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B276" w14:textId="1392A24F" w:rsidR="00F10D2D" w:rsidRPr="00C720E0" w:rsidRDefault="00C720E0">
      <w:pPr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</w:rPr>
      </w:pPr>
      <w:r w:rsidRPr="00C720E0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</w:rPr>
        <w:t>Supplements:</w:t>
      </w:r>
    </w:p>
    <w:p w14:paraId="0F4AD27E" w14:textId="77777777" w:rsidR="00C720E0" w:rsidRPr="00CB1B88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en-US"/>
        </w:rPr>
      </w:pPr>
      <w:r w:rsidRPr="00CB1B88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</w:rPr>
        <w:t>Supplementary Table 1.</w:t>
      </w:r>
      <w:r w:rsidRPr="00CB1B88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P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eak </w:t>
      </w:r>
      <w:r w:rsidRPr="00CB1B88">
        <w:rPr>
          <w:rFonts w:ascii="Times New Roman" w:hAnsi="Times New Roman" w:cs="Times New Roman"/>
          <w:kern w:val="0"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kern w:val="0"/>
          <w:sz w:val="24"/>
          <w:szCs w:val="24"/>
          <w:lang w:val="en-US"/>
        </w:rPr>
        <w:t>requency</w:t>
      </w:r>
      <w:r w:rsidRPr="00CB1B88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area counts</w:t>
      </w:r>
    </w:p>
    <w:p w14:paraId="4479E013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C7D28">
        <w:rPr>
          <w:rFonts w:ascii="Times New Roman" w:hAnsi="Times New Roman" w:cs="Times New Roman"/>
          <w:noProof/>
        </w:rPr>
        <w:drawing>
          <wp:inline distT="0" distB="0" distL="0" distR="0" wp14:anchorId="6A249A41" wp14:editId="193E9CDD">
            <wp:extent cx="5943600" cy="3689350"/>
            <wp:effectExtent l="0" t="0" r="0" b="6350"/>
            <wp:docPr id="10726701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67010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960A81" w14:textId="77777777" w:rsidR="00C720E0" w:rsidRPr="00CB1B88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en-US"/>
        </w:rPr>
      </w:pPr>
      <w:r w:rsidRPr="00CB1B88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</w:rPr>
        <w:t>Supplementary Table 2.</w:t>
      </w:r>
      <w:r w:rsidRPr="00CB1B88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Low voltage bridge area counts</w:t>
      </w:r>
    </w:p>
    <w:p w14:paraId="211DA2EC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C7D28">
        <w:rPr>
          <w:rFonts w:ascii="Times New Roman" w:hAnsi="Times New Roman" w:cs="Times New Roman"/>
          <w:noProof/>
        </w:rPr>
        <w:drawing>
          <wp:inline distT="0" distB="0" distL="0" distR="0" wp14:anchorId="12147752" wp14:editId="36323EA2">
            <wp:extent cx="5943600" cy="3822700"/>
            <wp:effectExtent l="0" t="0" r="0" b="6350"/>
            <wp:docPr id="12527801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278013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2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00A16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618F9301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5C078339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7421732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2D80ABD0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3C4C0B73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4C602028" w14:textId="77777777" w:rsidR="00C720E0" w:rsidRPr="00CB1B88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en-US"/>
        </w:rPr>
      </w:pPr>
      <w:r w:rsidRPr="00CB1B88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</w:rPr>
        <w:t>Supplementary Table 3.</w:t>
      </w:r>
      <w:r w:rsidRPr="00CB1B88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Frequency values on the slow pathway</w:t>
      </w:r>
    </w:p>
    <w:p w14:paraId="1EBE6F28" w14:textId="77777777" w:rsidR="00C720E0" w:rsidRPr="007C7D28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 w:rsidRPr="007C7D28">
        <w:rPr>
          <w:rFonts w:ascii="Times New Roman" w:hAnsi="Times New Roman" w:cs="Times New Roman"/>
          <w:noProof/>
        </w:rPr>
        <w:drawing>
          <wp:inline distT="0" distB="0" distL="0" distR="0" wp14:anchorId="4099AF62" wp14:editId="62EA16F8">
            <wp:extent cx="5943600" cy="3860800"/>
            <wp:effectExtent l="0" t="0" r="0" b="6350"/>
            <wp:docPr id="6110511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05114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6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B1618" w14:textId="77777777" w:rsidR="00C720E0" w:rsidRPr="00CB1B88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en-US"/>
        </w:rPr>
      </w:pPr>
      <w:r w:rsidRPr="00CB1B88">
        <w:rPr>
          <w:rFonts w:ascii="Times New Roman" w:hAnsi="Times New Roman" w:cs="Times New Roman"/>
          <w:b/>
          <w:bCs/>
          <w:kern w:val="0"/>
          <w:sz w:val="24"/>
          <w:szCs w:val="24"/>
          <w:lang w:val="en-US"/>
        </w:rPr>
        <w:t>Supplementary Table 4.</w:t>
      </w:r>
      <w:r w:rsidRPr="00CB1B88">
        <w:rPr>
          <w:rFonts w:ascii="Times New Roman" w:hAnsi="Times New Roman" w:cs="Times New Roman"/>
          <w:kern w:val="0"/>
          <w:sz w:val="24"/>
          <w:szCs w:val="24"/>
          <w:lang w:val="en-US"/>
        </w:rPr>
        <w:t xml:space="preserve"> Frequency values around the slow pathway</w:t>
      </w:r>
    </w:p>
    <w:p w14:paraId="464B51E9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</w:rPr>
        <w:drawing>
          <wp:inline distT="0" distB="0" distL="0" distR="0" wp14:anchorId="4980162A" wp14:editId="51DF1C94">
            <wp:extent cx="5943600" cy="3799840"/>
            <wp:effectExtent l="0" t="0" r="0" b="0"/>
            <wp:docPr id="119980197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80197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9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924484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7583301" wp14:editId="0DA99405">
            <wp:extent cx="5943600" cy="3530600"/>
            <wp:effectExtent l="0" t="0" r="0" b="0"/>
            <wp:docPr id="241682171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682171" name="Picture 1" descr="A screenshot of a computer screen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3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5B52DF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</w:p>
    <w:p w14:paraId="5A870376" w14:textId="77777777" w:rsidR="00C720E0" w:rsidRPr="00FD694E" w:rsidRDefault="00C720E0" w:rsidP="00C720E0">
      <w:pPr>
        <w:pStyle w:val="KeinLeerraum"/>
      </w:pPr>
      <w:r w:rsidRPr="00CB1B88">
        <w:rPr>
          <w:b/>
          <w:bCs/>
        </w:rPr>
        <w:t xml:space="preserve">Supplementary Figure 1. </w:t>
      </w:r>
      <w:r w:rsidRPr="00FD694E">
        <w:t xml:space="preserve">High-resolution mapping of the Koch triangle in Left Lateral views during sinus rhythm. The image displays on the left the </w:t>
      </w:r>
      <w:proofErr w:type="spellStart"/>
      <w:r w:rsidRPr="00FD694E">
        <w:t>omnipolar</w:t>
      </w:r>
      <w:proofErr w:type="spellEnd"/>
      <w:r w:rsidRPr="00FD694E">
        <w:t xml:space="preserve"> voltage map ranging from 0.00 to 1.257 mV showing the LVB area. The right panel shows the Peak Frequency map, with the highest frequency highlighted in white, using a cutoff above 410 Hz within the slow pathway region. </w:t>
      </w:r>
      <w:r w:rsidRPr="0079433B">
        <w:t>This figure illustrates LVB mapping with PF</w:t>
      </w:r>
      <w:r>
        <w:t xml:space="preserve"> </w:t>
      </w:r>
      <w:r w:rsidRPr="0079433B">
        <w:t>overlays for identification of junctional beats.</w:t>
      </w:r>
    </w:p>
    <w:p w14:paraId="089CA687" w14:textId="77777777" w:rsidR="00C720E0" w:rsidRPr="008539E1" w:rsidRDefault="00C720E0" w:rsidP="00C720E0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7CAD48A7" w14:textId="77777777" w:rsidR="00C720E0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DA03199" wp14:editId="459B93BF">
            <wp:extent cx="5943600" cy="6451600"/>
            <wp:effectExtent l="0" t="0" r="0" b="6350"/>
            <wp:docPr id="1666386173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386173" name="Picture 1" descr="A screenshot of a computer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5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9370A" w14:textId="77777777" w:rsidR="00C720E0" w:rsidRPr="0079433B" w:rsidRDefault="00C720E0" w:rsidP="00C720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  <w:sz w:val="24"/>
          <w:szCs w:val="24"/>
          <w:lang w:val="en-US"/>
        </w:rPr>
      </w:pPr>
    </w:p>
    <w:p w14:paraId="28514497" w14:textId="77777777" w:rsidR="00C720E0" w:rsidRPr="00FD694E" w:rsidRDefault="00C720E0" w:rsidP="00C720E0">
      <w:pPr>
        <w:pStyle w:val="KeinLeerraum"/>
      </w:pPr>
      <w:r w:rsidRPr="00CB1B88">
        <w:rPr>
          <w:b/>
          <w:bCs/>
        </w:rPr>
        <w:t xml:space="preserve">Supplementary Figure 2. </w:t>
      </w:r>
      <w:r w:rsidRPr="00FD694E">
        <w:t xml:space="preserve">High-resolution mapping of the Koch triangle in Left Lateral view during ablation with </w:t>
      </w:r>
      <w:proofErr w:type="spellStart"/>
      <w:r w:rsidRPr="00FD694E">
        <w:t>Tactiflex</w:t>
      </w:r>
      <w:proofErr w:type="spellEnd"/>
      <w:r w:rsidRPr="00FD694E">
        <w:t xml:space="preserve"> catheter. The image displays the Peak Frequency (</w:t>
      </w:r>
      <w:r w:rsidRPr="008F591B">
        <w:t>mixed-effects models</w:t>
      </w:r>
      <w:r w:rsidRPr="00FD694E">
        <w:t>) map, with the highest frequency highlighted in white, using a cutoff &gt; 590 Hz within the slow pathway region. This figure illustrates how the P</w:t>
      </w:r>
      <w:r>
        <w:t xml:space="preserve">eak </w:t>
      </w:r>
      <w:r w:rsidRPr="00FD694E">
        <w:t>F</w:t>
      </w:r>
      <w:r>
        <w:t>requency</w:t>
      </w:r>
      <w:r w:rsidRPr="00FD694E">
        <w:t xml:space="preserve"> map guides the ablation strategy by indicating sites where junctional beats are elicited during the procedure.</w:t>
      </w:r>
    </w:p>
    <w:p w14:paraId="50C1130C" w14:textId="77777777" w:rsidR="00C720E0" w:rsidRPr="008539E1" w:rsidRDefault="00C720E0" w:rsidP="00C720E0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</w:p>
    <w:p w14:paraId="1A04840F" w14:textId="77777777" w:rsidR="00C720E0" w:rsidRPr="008539E1" w:rsidRDefault="00C720E0" w:rsidP="00C720E0">
      <w:pPr>
        <w:rPr>
          <w:lang w:val="en-US"/>
        </w:rPr>
      </w:pPr>
    </w:p>
    <w:p w14:paraId="3A4AFEFA" w14:textId="77777777" w:rsidR="00C720E0" w:rsidRPr="00A832FE" w:rsidRDefault="00C720E0" w:rsidP="00C720E0">
      <w:pPr>
        <w:rPr>
          <w:lang w:val="en-GB"/>
        </w:rPr>
      </w:pPr>
    </w:p>
    <w:p w14:paraId="168534E4" w14:textId="77777777" w:rsidR="00C720E0" w:rsidRPr="00C720E0" w:rsidRDefault="00C720E0">
      <w:pPr>
        <w:rPr>
          <w:lang w:val="en-GB"/>
        </w:rPr>
      </w:pPr>
    </w:p>
    <w:sectPr w:rsidR="00C720E0" w:rsidRPr="00C720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0E0"/>
    <w:rsid w:val="00177D4F"/>
    <w:rsid w:val="00C720E0"/>
    <w:rsid w:val="00CB3E67"/>
    <w:rsid w:val="00E53C92"/>
    <w:rsid w:val="00F1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DB3C5"/>
  <w15:chartTrackingRefBased/>
  <w15:docId w15:val="{861F8C05-B45B-4E78-A466-1709977A2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C72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72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720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72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720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72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72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72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72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720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720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720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720E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720E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720E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720E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720E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720E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72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72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72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72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72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720E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720E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720E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720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720E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720E0"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uiPriority w:val="1"/>
    <w:qFormat/>
    <w:rsid w:val="00C720E0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</Words>
  <Characters>1032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Benito.Baldauf</dc:creator>
  <cp:keywords/>
  <dc:description/>
  <cp:lastModifiedBy>Benito.Baldauf</cp:lastModifiedBy>
  <cp:revision>1</cp:revision>
  <dcterms:created xsi:type="dcterms:W3CDTF">2026-09-09T09:55:00Z</dcterms:created>
  <dcterms:modified xsi:type="dcterms:W3CDTF">2026-09-09T09:56:00Z</dcterms:modified>
</cp:coreProperties>
</file>