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AE3" w:rsidRDefault="00410AE3" w:rsidP="00410AE3">
      <w:pPr>
        <w:pStyle w:val="Heading1"/>
      </w:pPr>
      <w:r>
        <w:rPr>
          <w:rFonts w:ascii="Times New Roman" w:eastAsia="Times New Roman" w:hAnsi="Times New Roman"/>
        </w:rPr>
        <w:t>Supplementary Appendix</w:t>
      </w:r>
    </w:p>
    <w:p w:rsidR="00410AE3" w:rsidRDefault="00410AE3" w:rsidP="00410AE3">
      <w:pPr>
        <w:jc w:val="both"/>
      </w:pPr>
      <w:r>
        <w:rPr>
          <w:b/>
        </w:rPr>
        <w:t>Table S1. Harmonized phenotype and medication concept scope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17"/>
        <w:gridCol w:w="3117"/>
        <w:gridCol w:w="3116"/>
      </w:tblGrid>
      <w:tr w:rsidR="00410AE3" w:rsidTr="00D02513">
        <w:trPr>
          <w:cantSplit/>
          <w:tblHeader/>
          <w:jc w:val="center"/>
        </w:trPr>
        <w:tc>
          <w:tcPr>
            <w:tcW w:w="3120" w:type="dxa"/>
            <w:vAlign w:val="center"/>
          </w:tcPr>
          <w:p w:rsidR="00410AE3" w:rsidRDefault="00410AE3" w:rsidP="00D02513">
            <w:r>
              <w:rPr>
                <w:b/>
                <w:sz w:val="20"/>
              </w:rPr>
              <w:t>Domain</w:t>
            </w:r>
          </w:p>
        </w:tc>
        <w:tc>
          <w:tcPr>
            <w:tcW w:w="3120" w:type="dxa"/>
            <w:vAlign w:val="center"/>
          </w:tcPr>
          <w:p w:rsidR="00410AE3" w:rsidRDefault="00410AE3" w:rsidP="00D02513">
            <w:r>
              <w:rPr>
                <w:b/>
                <w:sz w:val="20"/>
              </w:rPr>
              <w:t>Core concepts</w:t>
            </w:r>
          </w:p>
        </w:tc>
        <w:tc>
          <w:tcPr>
            <w:tcW w:w="3120" w:type="dxa"/>
            <w:vAlign w:val="center"/>
          </w:tcPr>
          <w:p w:rsidR="00410AE3" w:rsidRDefault="00410AE3" w:rsidP="00D02513">
            <w:r>
              <w:rPr>
                <w:b/>
                <w:sz w:val="20"/>
              </w:rPr>
              <w:t>Operational notes</w:t>
            </w:r>
          </w:p>
        </w:tc>
      </w:tr>
      <w:tr w:rsidR="00410AE3" w:rsidTr="00D02513">
        <w:trPr>
          <w:cantSplit/>
          <w:jc w:val="center"/>
        </w:trPr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>ATTR/amyloidosis</w:t>
            </w:r>
          </w:p>
        </w:tc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>E85.82, E85.89, E85.4</w:t>
            </w:r>
          </w:p>
        </w:tc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>Required with evidence of cardiac involvement</w:t>
            </w:r>
          </w:p>
        </w:tc>
      </w:tr>
      <w:tr w:rsidR="00410AE3" w:rsidTr="00D02513">
        <w:trPr>
          <w:cantSplit/>
          <w:jc w:val="center"/>
        </w:trPr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>Cardiac involvement</w:t>
            </w:r>
          </w:p>
        </w:tc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>I50, I42, I42.5, I50.3</w:t>
            </w:r>
          </w:p>
        </w:tc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>Applied during cohort identification</w:t>
            </w:r>
          </w:p>
        </w:tc>
      </w:tr>
      <w:tr w:rsidR="00410AE3" w:rsidTr="00D02513">
        <w:trPr>
          <w:cantSplit/>
          <w:jc w:val="center"/>
        </w:trPr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>AL amyloidosis exclusion</w:t>
            </w:r>
          </w:p>
        </w:tc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>E85.81</w:t>
            </w:r>
          </w:p>
        </w:tc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>Excluded from both treatment groups</w:t>
            </w:r>
          </w:p>
        </w:tc>
      </w:tr>
      <w:tr w:rsidR="00410AE3" w:rsidTr="00D02513">
        <w:trPr>
          <w:cantSplit/>
          <w:jc w:val="center"/>
        </w:trPr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>End-stage renal disease exclusion</w:t>
            </w:r>
          </w:p>
        </w:tc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>N18.6</w:t>
            </w:r>
          </w:p>
        </w:tc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>Excluded from both treatment groups</w:t>
            </w:r>
          </w:p>
        </w:tc>
      </w:tr>
      <w:tr w:rsidR="00410AE3" w:rsidTr="00D02513">
        <w:trPr>
          <w:cantSplit/>
          <w:jc w:val="center"/>
        </w:trPr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>Acute heart failure</w:t>
            </w:r>
          </w:p>
        </w:tc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>I50.21, I50.23, I50.31, I50.33, I50.41, I50.43, I50.811</w:t>
            </w:r>
          </w:p>
        </w:tc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>Acute or acute-on-chronic; diagnosis-based unless encounter-linked</w:t>
            </w:r>
          </w:p>
        </w:tc>
      </w:tr>
      <w:tr w:rsidR="00410AE3" w:rsidTr="00D02513">
        <w:trPr>
          <w:cantSplit/>
          <w:jc w:val="center"/>
        </w:trPr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>Atrial fibrillation/flutter</w:t>
            </w:r>
          </w:p>
        </w:tc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>I48</w:t>
            </w:r>
          </w:p>
        </w:tc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>Incident analysis excluded prior diagnoses</w:t>
            </w:r>
          </w:p>
        </w:tc>
      </w:tr>
      <w:tr w:rsidR="00410AE3" w:rsidTr="00D02513">
        <w:trPr>
          <w:cantSplit/>
          <w:jc w:val="center"/>
        </w:trPr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>Ventricular tachycardia/fibrillation</w:t>
            </w:r>
          </w:p>
        </w:tc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>I47.2, I49.0, I49.01, I49.02</w:t>
            </w:r>
          </w:p>
        </w:tc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>Incident analysis excluded prior diagnoses</w:t>
            </w:r>
          </w:p>
        </w:tc>
      </w:tr>
      <w:tr w:rsidR="00410AE3" w:rsidTr="00D02513">
        <w:trPr>
          <w:cantSplit/>
          <w:jc w:val="center"/>
        </w:trPr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>Cardiogenic shock</w:t>
            </w:r>
          </w:p>
        </w:tc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>R57.0</w:t>
            </w:r>
          </w:p>
        </w:tc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>Full matched denominator</w:t>
            </w:r>
          </w:p>
        </w:tc>
      </w:tr>
      <w:tr w:rsidR="00410AE3" w:rsidTr="00D02513">
        <w:trPr>
          <w:cantSplit/>
          <w:jc w:val="center"/>
        </w:trPr>
        <w:tc>
          <w:tcPr>
            <w:tcW w:w="3120" w:type="dxa"/>
            <w:vAlign w:val="center"/>
          </w:tcPr>
          <w:p w:rsidR="00410AE3" w:rsidRDefault="00410AE3" w:rsidP="00D02513">
            <w:proofErr w:type="spellStart"/>
            <w:r>
              <w:rPr>
                <w:sz w:val="20"/>
              </w:rPr>
              <w:t>Tafamidis</w:t>
            </w:r>
            <w:proofErr w:type="spellEnd"/>
          </w:p>
        </w:tc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 xml:space="preserve">Ingredient and product concepts for </w:t>
            </w:r>
            <w:proofErr w:type="spellStart"/>
            <w:r>
              <w:rPr>
                <w:sz w:val="20"/>
              </w:rPr>
              <w:t>Vyndamax</w:t>
            </w:r>
            <w:proofErr w:type="spellEnd"/>
            <w:r>
              <w:rPr>
                <w:sz w:val="20"/>
              </w:rPr>
              <w:t xml:space="preserve"> and </w:t>
            </w:r>
            <w:proofErr w:type="spellStart"/>
            <w:r>
              <w:rPr>
                <w:sz w:val="20"/>
              </w:rPr>
              <w:t>Vyndaqel</w:t>
            </w:r>
            <w:proofErr w:type="spellEnd"/>
          </w:p>
        </w:tc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 xml:space="preserve">July 6, 2026 </w:t>
            </w:r>
            <w:proofErr w:type="spellStart"/>
            <w:r>
              <w:rPr>
                <w:sz w:val="20"/>
              </w:rPr>
              <w:t>RxNorm</w:t>
            </w:r>
            <w:proofErr w:type="spellEnd"/>
            <w:r>
              <w:rPr>
                <w:sz w:val="20"/>
              </w:rPr>
              <w:t xml:space="preserve"> release; platform descendants/local mappings archived</w:t>
            </w:r>
          </w:p>
        </w:tc>
      </w:tr>
      <w:tr w:rsidR="00410AE3" w:rsidTr="00D02513">
        <w:trPr>
          <w:cantSplit/>
          <w:jc w:val="center"/>
        </w:trPr>
        <w:tc>
          <w:tcPr>
            <w:tcW w:w="3120" w:type="dxa"/>
            <w:vAlign w:val="center"/>
          </w:tcPr>
          <w:p w:rsidR="00410AE3" w:rsidRDefault="00410AE3" w:rsidP="00D02513">
            <w:proofErr w:type="spellStart"/>
            <w:r>
              <w:rPr>
                <w:sz w:val="20"/>
              </w:rPr>
              <w:t>Vutrisiran</w:t>
            </w:r>
            <w:proofErr w:type="spellEnd"/>
          </w:p>
        </w:tc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 xml:space="preserve">Ingredient and administration/product concepts for </w:t>
            </w:r>
            <w:proofErr w:type="spellStart"/>
            <w:r>
              <w:rPr>
                <w:sz w:val="20"/>
              </w:rPr>
              <w:t>Amvuttra</w:t>
            </w:r>
            <w:proofErr w:type="spellEnd"/>
          </w:p>
        </w:tc>
        <w:tc>
          <w:tcPr>
            <w:tcW w:w="3120" w:type="dxa"/>
            <w:vAlign w:val="center"/>
          </w:tcPr>
          <w:p w:rsidR="00410AE3" w:rsidRDefault="00410AE3" w:rsidP="00D02513">
            <w:r>
              <w:rPr>
                <w:sz w:val="20"/>
              </w:rPr>
              <w:t xml:space="preserve">July 6, 2026 </w:t>
            </w:r>
            <w:proofErr w:type="spellStart"/>
            <w:r>
              <w:rPr>
                <w:sz w:val="20"/>
              </w:rPr>
              <w:t>RxNorm</w:t>
            </w:r>
            <w:proofErr w:type="spellEnd"/>
            <w:r>
              <w:rPr>
                <w:sz w:val="20"/>
              </w:rPr>
              <w:t xml:space="preserve"> release; platform descendants/local mappings archived</w:t>
            </w:r>
          </w:p>
        </w:tc>
      </w:tr>
    </w:tbl>
    <w:p w:rsidR="00410AE3" w:rsidRDefault="00410AE3" w:rsidP="00410AE3">
      <w:pPr>
        <w:jc w:val="both"/>
      </w:pPr>
      <w:r>
        <w:rPr>
          <w:i/>
        </w:rPr>
        <w:t xml:space="preserve">Platform-specific concept identifiers and local descendants may differ between </w:t>
      </w:r>
      <w:proofErr w:type="spellStart"/>
      <w:r>
        <w:rPr>
          <w:i/>
        </w:rPr>
        <w:t>TriNetX</w:t>
      </w:r>
      <w:proofErr w:type="spellEnd"/>
      <w:r>
        <w:rPr>
          <w:i/>
        </w:rPr>
        <w:t xml:space="preserve"> and Epic Cosmos and should be interpreted with the archived query exports.</w:t>
      </w:r>
    </w:p>
    <w:p w:rsidR="00410AE3" w:rsidRDefault="00410AE3" w:rsidP="00410AE3">
      <w:r>
        <w:br w:type="page"/>
      </w:r>
    </w:p>
    <w:p w:rsidR="00410AE3" w:rsidRDefault="00410AE3" w:rsidP="00410AE3">
      <w:pPr>
        <w:jc w:val="both"/>
      </w:pPr>
      <w:r>
        <w:rPr>
          <w:b/>
        </w:rPr>
        <w:lastRenderedPageBreak/>
        <w:t>Table S2. Selected matched baseline characteristics in Epic Cosmos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9"/>
        <w:gridCol w:w="2337"/>
        <w:gridCol w:w="2337"/>
        <w:gridCol w:w="2337"/>
      </w:tblGrid>
      <w:tr w:rsidR="00410AE3" w:rsidTr="00D02513">
        <w:trPr>
          <w:cantSplit/>
          <w:tblHeader/>
        </w:trPr>
        <w:tc>
          <w:tcPr>
            <w:tcW w:w="2340" w:type="dxa"/>
            <w:vAlign w:val="center"/>
          </w:tcPr>
          <w:p w:rsidR="00410AE3" w:rsidRDefault="00410AE3" w:rsidP="00D02513">
            <w:r>
              <w:rPr>
                <w:b/>
                <w:sz w:val="20"/>
              </w:rPr>
              <w:t>Variable</w:t>
            </w:r>
          </w:p>
        </w:tc>
        <w:tc>
          <w:tcPr>
            <w:tcW w:w="2340" w:type="dxa"/>
            <w:vAlign w:val="center"/>
          </w:tcPr>
          <w:p w:rsidR="00410AE3" w:rsidRDefault="00410AE3" w:rsidP="00D02513">
            <w:proofErr w:type="spellStart"/>
            <w:r>
              <w:rPr>
                <w:b/>
                <w:sz w:val="20"/>
              </w:rPr>
              <w:t>Tafamidis</w:t>
            </w:r>
            <w:proofErr w:type="spellEnd"/>
            <w:r>
              <w:rPr>
                <w:b/>
                <w:sz w:val="20"/>
              </w:rPr>
              <w:t xml:space="preserve"> + </w:t>
            </w:r>
            <w:proofErr w:type="spellStart"/>
            <w:r>
              <w:rPr>
                <w:b/>
                <w:sz w:val="20"/>
              </w:rPr>
              <w:t>vutrisiran</w:t>
            </w:r>
            <w:proofErr w:type="spellEnd"/>
            <w:r>
              <w:rPr>
                <w:b/>
                <w:sz w:val="20"/>
              </w:rPr>
              <w:t xml:space="preserve"> (N=414)</w:t>
            </w:r>
          </w:p>
        </w:tc>
        <w:tc>
          <w:tcPr>
            <w:tcW w:w="2340" w:type="dxa"/>
            <w:vAlign w:val="center"/>
          </w:tcPr>
          <w:p w:rsidR="00410AE3" w:rsidRDefault="00410AE3" w:rsidP="00D02513">
            <w:proofErr w:type="spellStart"/>
            <w:r>
              <w:rPr>
                <w:b/>
                <w:sz w:val="20"/>
              </w:rPr>
              <w:t>Tafamidis</w:t>
            </w:r>
            <w:proofErr w:type="spellEnd"/>
            <w:r>
              <w:rPr>
                <w:b/>
                <w:sz w:val="20"/>
              </w:rPr>
              <w:t xml:space="preserve"> alone (N=414)</w:t>
            </w:r>
          </w:p>
        </w:tc>
        <w:tc>
          <w:tcPr>
            <w:tcW w:w="2340" w:type="dxa"/>
            <w:vAlign w:val="center"/>
          </w:tcPr>
          <w:p w:rsidR="00410AE3" w:rsidRDefault="00410AE3" w:rsidP="00D02513">
            <w:r>
              <w:rPr>
                <w:b/>
                <w:sz w:val="20"/>
              </w:rPr>
              <w:t>SMD</w:t>
            </w:r>
          </w:p>
        </w:tc>
      </w:tr>
      <w:tr w:rsidR="00410AE3" w:rsidTr="00D02513">
        <w:trPr>
          <w:cantSplit/>
        </w:trPr>
        <w:tc>
          <w:tcPr>
            <w:tcW w:w="2340" w:type="dxa"/>
            <w:vAlign w:val="center"/>
          </w:tcPr>
          <w:p w:rsidR="00410AE3" w:rsidRDefault="00410AE3" w:rsidP="00D02513">
            <w:r>
              <w:rPr>
                <w:sz w:val="20"/>
              </w:rPr>
              <w:t>Age at index, years</w:t>
            </w:r>
          </w:p>
        </w:tc>
        <w:tc>
          <w:tcPr>
            <w:tcW w:w="2340" w:type="dxa"/>
            <w:vAlign w:val="center"/>
          </w:tcPr>
          <w:p w:rsidR="00410AE3" w:rsidRDefault="00410AE3" w:rsidP="00D02513">
            <w:r>
              <w:rPr>
                <w:sz w:val="20"/>
              </w:rPr>
              <w:t>76.8 ± 8.1</w:t>
            </w:r>
          </w:p>
        </w:tc>
        <w:tc>
          <w:tcPr>
            <w:tcW w:w="2340" w:type="dxa"/>
            <w:vAlign w:val="center"/>
          </w:tcPr>
          <w:p w:rsidR="00410AE3" w:rsidRDefault="00410AE3" w:rsidP="00D02513">
            <w:r>
              <w:rPr>
                <w:sz w:val="20"/>
              </w:rPr>
              <w:t>77.1 ± 7.9</w:t>
            </w:r>
          </w:p>
        </w:tc>
        <w:tc>
          <w:tcPr>
            <w:tcW w:w="2340" w:type="dxa"/>
            <w:vAlign w:val="center"/>
          </w:tcPr>
          <w:p w:rsidR="00410AE3" w:rsidRDefault="00410AE3" w:rsidP="00D02513">
            <w:r>
              <w:rPr>
                <w:sz w:val="20"/>
              </w:rPr>
              <w:t>0.037</w:t>
            </w:r>
          </w:p>
        </w:tc>
      </w:tr>
      <w:tr w:rsidR="00410AE3" w:rsidTr="00D02513">
        <w:trPr>
          <w:cantSplit/>
        </w:trPr>
        <w:tc>
          <w:tcPr>
            <w:tcW w:w="2340" w:type="dxa"/>
            <w:vAlign w:val="center"/>
          </w:tcPr>
          <w:p w:rsidR="00410AE3" w:rsidRDefault="00410AE3" w:rsidP="00D02513">
            <w:r>
              <w:rPr>
                <w:sz w:val="20"/>
              </w:rPr>
              <w:t>Male sex</w:t>
            </w:r>
          </w:p>
        </w:tc>
        <w:tc>
          <w:tcPr>
            <w:tcW w:w="2340" w:type="dxa"/>
            <w:vAlign w:val="center"/>
          </w:tcPr>
          <w:p w:rsidR="00410AE3" w:rsidRDefault="00410AE3" w:rsidP="00D02513">
            <w:r>
              <w:rPr>
                <w:sz w:val="20"/>
              </w:rPr>
              <w:t>339 (81.9%)</w:t>
            </w:r>
          </w:p>
        </w:tc>
        <w:tc>
          <w:tcPr>
            <w:tcW w:w="2340" w:type="dxa"/>
            <w:vAlign w:val="center"/>
          </w:tcPr>
          <w:p w:rsidR="00410AE3" w:rsidRDefault="00410AE3" w:rsidP="00D02513">
            <w:r>
              <w:rPr>
                <w:sz w:val="20"/>
              </w:rPr>
              <w:t>342 (82.6%)</w:t>
            </w:r>
          </w:p>
        </w:tc>
        <w:tc>
          <w:tcPr>
            <w:tcW w:w="2340" w:type="dxa"/>
            <w:vAlign w:val="center"/>
          </w:tcPr>
          <w:p w:rsidR="00410AE3" w:rsidRDefault="00410AE3" w:rsidP="00D02513">
            <w:r>
              <w:rPr>
                <w:sz w:val="20"/>
              </w:rPr>
              <w:t>0.018</w:t>
            </w:r>
          </w:p>
        </w:tc>
      </w:tr>
      <w:tr w:rsidR="00410AE3" w:rsidTr="00D02513">
        <w:trPr>
          <w:cantSplit/>
        </w:trPr>
        <w:tc>
          <w:tcPr>
            <w:tcW w:w="2340" w:type="dxa"/>
            <w:vAlign w:val="center"/>
          </w:tcPr>
          <w:p w:rsidR="00410AE3" w:rsidRDefault="00410AE3" w:rsidP="00D02513">
            <w:r>
              <w:rPr>
                <w:sz w:val="20"/>
              </w:rPr>
              <w:t>Heart failure</w:t>
            </w:r>
          </w:p>
        </w:tc>
        <w:tc>
          <w:tcPr>
            <w:tcW w:w="2340" w:type="dxa"/>
            <w:vAlign w:val="center"/>
          </w:tcPr>
          <w:p w:rsidR="00410AE3" w:rsidRDefault="00410AE3" w:rsidP="00D02513">
            <w:r>
              <w:rPr>
                <w:sz w:val="20"/>
              </w:rPr>
              <w:t>398 (96.1%)</w:t>
            </w:r>
          </w:p>
        </w:tc>
        <w:tc>
          <w:tcPr>
            <w:tcW w:w="2340" w:type="dxa"/>
            <w:vAlign w:val="center"/>
          </w:tcPr>
          <w:p w:rsidR="00410AE3" w:rsidRDefault="00410AE3" w:rsidP="00D02513">
            <w:r>
              <w:rPr>
                <w:sz w:val="20"/>
              </w:rPr>
              <w:t>395 (95.4%)</w:t>
            </w:r>
          </w:p>
        </w:tc>
        <w:tc>
          <w:tcPr>
            <w:tcW w:w="2340" w:type="dxa"/>
            <w:vAlign w:val="center"/>
          </w:tcPr>
          <w:p w:rsidR="00410AE3" w:rsidRDefault="00410AE3" w:rsidP="00D02513">
            <w:r>
              <w:rPr>
                <w:sz w:val="20"/>
              </w:rPr>
              <w:t>0.035</w:t>
            </w:r>
          </w:p>
        </w:tc>
      </w:tr>
      <w:tr w:rsidR="00410AE3" w:rsidTr="00D02513">
        <w:trPr>
          <w:cantSplit/>
        </w:trPr>
        <w:tc>
          <w:tcPr>
            <w:tcW w:w="2340" w:type="dxa"/>
            <w:vAlign w:val="center"/>
          </w:tcPr>
          <w:p w:rsidR="00410AE3" w:rsidRDefault="00410AE3" w:rsidP="00D02513">
            <w:r>
              <w:rPr>
                <w:sz w:val="20"/>
              </w:rPr>
              <w:t>Loop-diuretic use</w:t>
            </w:r>
          </w:p>
        </w:tc>
        <w:tc>
          <w:tcPr>
            <w:tcW w:w="2340" w:type="dxa"/>
            <w:vAlign w:val="center"/>
          </w:tcPr>
          <w:p w:rsidR="00410AE3" w:rsidRDefault="00410AE3" w:rsidP="00D02513">
            <w:r>
              <w:rPr>
                <w:sz w:val="20"/>
              </w:rPr>
              <w:t>215 (51.9%)</w:t>
            </w:r>
          </w:p>
        </w:tc>
        <w:tc>
          <w:tcPr>
            <w:tcW w:w="2340" w:type="dxa"/>
            <w:vAlign w:val="center"/>
          </w:tcPr>
          <w:p w:rsidR="00410AE3" w:rsidRDefault="00410AE3" w:rsidP="00D02513">
            <w:r>
              <w:rPr>
                <w:sz w:val="20"/>
              </w:rPr>
              <w:t>221 (53.4%)</w:t>
            </w:r>
          </w:p>
        </w:tc>
        <w:tc>
          <w:tcPr>
            <w:tcW w:w="2340" w:type="dxa"/>
            <w:vAlign w:val="center"/>
          </w:tcPr>
          <w:p w:rsidR="00410AE3" w:rsidRDefault="00410AE3" w:rsidP="00D02513">
            <w:r>
              <w:rPr>
                <w:sz w:val="20"/>
              </w:rPr>
              <w:t>0.030</w:t>
            </w:r>
          </w:p>
        </w:tc>
      </w:tr>
      <w:tr w:rsidR="00410AE3" w:rsidTr="00D02513">
        <w:trPr>
          <w:cantSplit/>
        </w:trPr>
        <w:tc>
          <w:tcPr>
            <w:tcW w:w="2340" w:type="dxa"/>
            <w:vAlign w:val="center"/>
          </w:tcPr>
          <w:p w:rsidR="00410AE3" w:rsidRDefault="00410AE3" w:rsidP="00D02513">
            <w:r>
              <w:rPr>
                <w:sz w:val="20"/>
              </w:rPr>
              <w:t>Atrial fibrillation/flutter</w:t>
            </w:r>
          </w:p>
        </w:tc>
        <w:tc>
          <w:tcPr>
            <w:tcW w:w="2340" w:type="dxa"/>
            <w:vAlign w:val="center"/>
          </w:tcPr>
          <w:p w:rsidR="00410AE3" w:rsidRDefault="00410AE3" w:rsidP="00D02513">
            <w:r>
              <w:rPr>
                <w:sz w:val="20"/>
              </w:rPr>
              <w:t>280 (67.6%)</w:t>
            </w:r>
          </w:p>
        </w:tc>
        <w:tc>
          <w:tcPr>
            <w:tcW w:w="2340" w:type="dxa"/>
            <w:vAlign w:val="center"/>
          </w:tcPr>
          <w:p w:rsidR="00410AE3" w:rsidRDefault="00410AE3" w:rsidP="00D02513">
            <w:r>
              <w:rPr>
                <w:sz w:val="20"/>
              </w:rPr>
              <w:t>274 (66.2%)</w:t>
            </w:r>
          </w:p>
        </w:tc>
        <w:tc>
          <w:tcPr>
            <w:tcW w:w="2340" w:type="dxa"/>
            <w:vAlign w:val="center"/>
          </w:tcPr>
          <w:p w:rsidR="00410AE3" w:rsidRDefault="00410AE3" w:rsidP="00D02513">
            <w:r>
              <w:rPr>
                <w:sz w:val="20"/>
              </w:rPr>
              <w:t>0.030</w:t>
            </w:r>
          </w:p>
        </w:tc>
      </w:tr>
    </w:tbl>
    <w:p w:rsidR="00410AE3" w:rsidRDefault="00410AE3" w:rsidP="00410AE3">
      <w:pPr>
        <w:jc w:val="both"/>
      </w:pPr>
      <w:r>
        <w:t>Values are mean ± SD or n (%). SMD, standardized mean difference. All selected prespecified covariates included in the primary matching model had post-matching SMDs below 0.10. Post hoc phenotype and disease-severity variables are shown separately in Supplementary Table S3.</w:t>
      </w:r>
    </w:p>
    <w:p w:rsidR="00410AE3" w:rsidRDefault="00410AE3" w:rsidP="00410AE3">
      <w:r>
        <w:t>Table S3. Post hoc phenotype and disease-severity characteristics in the matched cohorts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25"/>
        <w:gridCol w:w="1318"/>
        <w:gridCol w:w="1319"/>
        <w:gridCol w:w="1325"/>
        <w:gridCol w:w="1319"/>
        <w:gridCol w:w="1319"/>
        <w:gridCol w:w="1325"/>
      </w:tblGrid>
      <w:tr w:rsidR="00410AE3" w:rsidTr="00D02513">
        <w:trPr>
          <w:jc w:val="center"/>
        </w:trPr>
        <w:tc>
          <w:tcPr>
            <w:tcW w:w="1337" w:type="dxa"/>
            <w:vAlign w:val="center"/>
          </w:tcPr>
          <w:p w:rsidR="00410AE3" w:rsidRDefault="00410AE3" w:rsidP="00D02513">
            <w:r>
              <w:rPr>
                <w:b/>
                <w:sz w:val="17"/>
              </w:rPr>
              <w:t>Variable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proofErr w:type="spellStart"/>
            <w:r>
              <w:rPr>
                <w:b/>
                <w:sz w:val="17"/>
              </w:rPr>
              <w:t>TriNetX</w:t>
            </w:r>
            <w:proofErr w:type="spellEnd"/>
            <w:r>
              <w:rPr>
                <w:b/>
                <w:sz w:val="17"/>
              </w:rPr>
              <w:t xml:space="preserve">: </w:t>
            </w:r>
            <w:proofErr w:type="spellStart"/>
            <w:r>
              <w:rPr>
                <w:b/>
                <w:sz w:val="17"/>
              </w:rPr>
              <w:t>Tafamidis</w:t>
            </w:r>
            <w:proofErr w:type="spellEnd"/>
            <w:r>
              <w:rPr>
                <w:b/>
                <w:sz w:val="17"/>
              </w:rPr>
              <w:t xml:space="preserve"> + </w:t>
            </w:r>
            <w:proofErr w:type="spellStart"/>
            <w:r>
              <w:rPr>
                <w:b/>
                <w:sz w:val="17"/>
              </w:rPr>
              <w:t>vutrisiran</w:t>
            </w:r>
            <w:proofErr w:type="spellEnd"/>
            <w:r>
              <w:rPr>
                <w:b/>
                <w:sz w:val="17"/>
              </w:rPr>
              <w:t xml:space="preserve"> (N=268)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proofErr w:type="spellStart"/>
            <w:r>
              <w:rPr>
                <w:b/>
                <w:sz w:val="17"/>
              </w:rPr>
              <w:t>TriNetX</w:t>
            </w:r>
            <w:proofErr w:type="spellEnd"/>
            <w:r>
              <w:rPr>
                <w:b/>
                <w:sz w:val="17"/>
              </w:rPr>
              <w:t xml:space="preserve">: </w:t>
            </w:r>
            <w:proofErr w:type="spellStart"/>
            <w:r>
              <w:rPr>
                <w:b/>
                <w:sz w:val="17"/>
              </w:rPr>
              <w:t>Tafamidis</w:t>
            </w:r>
            <w:proofErr w:type="spellEnd"/>
            <w:r>
              <w:rPr>
                <w:b/>
                <w:sz w:val="17"/>
              </w:rPr>
              <w:t xml:space="preserve"> alone (N=268)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proofErr w:type="spellStart"/>
            <w:r>
              <w:rPr>
                <w:b/>
                <w:sz w:val="17"/>
              </w:rPr>
              <w:t>TriNetX</w:t>
            </w:r>
            <w:proofErr w:type="spellEnd"/>
            <w:r>
              <w:rPr>
                <w:b/>
                <w:sz w:val="17"/>
              </w:rPr>
              <w:t xml:space="preserve"> comparison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b/>
                <w:sz w:val="17"/>
              </w:rPr>
              <w:t xml:space="preserve">Epic Cosmos: </w:t>
            </w:r>
            <w:proofErr w:type="spellStart"/>
            <w:r>
              <w:rPr>
                <w:b/>
                <w:sz w:val="17"/>
              </w:rPr>
              <w:t>Tafamidis</w:t>
            </w:r>
            <w:proofErr w:type="spellEnd"/>
            <w:r>
              <w:rPr>
                <w:b/>
                <w:sz w:val="17"/>
              </w:rPr>
              <w:t xml:space="preserve"> + </w:t>
            </w:r>
            <w:proofErr w:type="spellStart"/>
            <w:r>
              <w:rPr>
                <w:b/>
                <w:sz w:val="17"/>
              </w:rPr>
              <w:t>vutrisiran</w:t>
            </w:r>
            <w:proofErr w:type="spellEnd"/>
            <w:r>
              <w:rPr>
                <w:b/>
                <w:sz w:val="17"/>
              </w:rPr>
              <w:t xml:space="preserve"> (N=414)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b/>
                <w:sz w:val="17"/>
              </w:rPr>
              <w:t xml:space="preserve">Epic Cosmos: </w:t>
            </w:r>
            <w:proofErr w:type="spellStart"/>
            <w:r>
              <w:rPr>
                <w:b/>
                <w:sz w:val="17"/>
              </w:rPr>
              <w:t>Tafamidis</w:t>
            </w:r>
            <w:proofErr w:type="spellEnd"/>
            <w:r>
              <w:rPr>
                <w:b/>
                <w:sz w:val="17"/>
              </w:rPr>
              <w:t xml:space="preserve"> alone (N=414)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b/>
                <w:sz w:val="17"/>
              </w:rPr>
              <w:t>Epic comparison</w:t>
            </w:r>
          </w:p>
        </w:tc>
      </w:tr>
      <w:tr w:rsidR="00410AE3" w:rsidTr="00D02513">
        <w:trPr>
          <w:jc w:val="center"/>
        </w:trPr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Baseline peripheral/ATTR neuropathy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74 (27.6%)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41 (15.3%)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SMD 0.303; P&lt;0.001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121 (29.2%)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68 (16.4%)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SMD 0.309; P&lt;0.001</w:t>
            </w:r>
          </w:p>
        </w:tc>
      </w:tr>
      <w:tr w:rsidR="00410AE3" w:rsidTr="00D02513">
        <w:trPr>
          <w:jc w:val="center"/>
        </w:trPr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Documented hereditary/variant ATTR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31 (11.6%)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18 (6.7%)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SMD 0.169; P=0.051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46 (11.1%)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27 (6.5%)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SMD 0.162; P=0.020</w:t>
            </w:r>
          </w:p>
        </w:tc>
      </w:tr>
      <w:tr w:rsidR="00410AE3" w:rsidTr="00D02513">
        <w:trPr>
          <w:jc w:val="center"/>
        </w:trPr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NYHA class available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86 (32.1%)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84 (31.3%)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P=0.853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157 (37.9%)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155 (37.4%)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P=0.886</w:t>
            </w:r>
          </w:p>
        </w:tc>
      </w:tr>
      <w:tr w:rsidR="00410AE3" w:rsidTr="00D02513">
        <w:trPr>
          <w:jc w:val="center"/>
        </w:trPr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NYHA class I*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10 (11.6%)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12 (14.3%)</w:t>
            </w:r>
          </w:p>
        </w:tc>
        <w:tc>
          <w:tcPr>
            <w:tcW w:w="1337" w:type="dxa"/>
            <w:vAlign w:val="center"/>
          </w:tcPr>
          <w:p w:rsidR="00410AE3" w:rsidRDefault="00410AE3" w:rsidP="00D02513"/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19 (12.1%)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21 (13.5%)</w:t>
            </w:r>
          </w:p>
        </w:tc>
        <w:tc>
          <w:tcPr>
            <w:tcW w:w="1337" w:type="dxa"/>
            <w:vAlign w:val="center"/>
          </w:tcPr>
          <w:p w:rsidR="00410AE3" w:rsidRDefault="00410AE3" w:rsidP="00D02513"/>
        </w:tc>
      </w:tr>
      <w:tr w:rsidR="00410AE3" w:rsidTr="00D02513">
        <w:trPr>
          <w:jc w:val="center"/>
        </w:trPr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NYHA class II*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41 (47.7%)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42 (50.0%)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Overall class distribution P=0.904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77 (49.0%)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78 (50.3%)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Overall class distribution P=0.957</w:t>
            </w:r>
          </w:p>
        </w:tc>
      </w:tr>
      <w:tr w:rsidR="00410AE3" w:rsidTr="00D02513">
        <w:trPr>
          <w:jc w:val="center"/>
        </w:trPr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NYHA class III*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30 (34.9%)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26 (31.0%)</w:t>
            </w:r>
          </w:p>
        </w:tc>
        <w:tc>
          <w:tcPr>
            <w:tcW w:w="1337" w:type="dxa"/>
            <w:vAlign w:val="center"/>
          </w:tcPr>
          <w:p w:rsidR="00410AE3" w:rsidRDefault="00410AE3" w:rsidP="00D02513"/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53 (33.8%)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49 (31.6%)</w:t>
            </w:r>
          </w:p>
        </w:tc>
        <w:tc>
          <w:tcPr>
            <w:tcW w:w="1337" w:type="dxa"/>
            <w:vAlign w:val="center"/>
          </w:tcPr>
          <w:p w:rsidR="00410AE3" w:rsidRDefault="00410AE3" w:rsidP="00D02513"/>
        </w:tc>
      </w:tr>
      <w:tr w:rsidR="00410AE3" w:rsidTr="00D02513">
        <w:trPr>
          <w:jc w:val="center"/>
        </w:trPr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NYHA class IV*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5 (5.8%)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4 (4.8%)</w:t>
            </w:r>
          </w:p>
        </w:tc>
        <w:tc>
          <w:tcPr>
            <w:tcW w:w="1337" w:type="dxa"/>
            <w:vAlign w:val="center"/>
          </w:tcPr>
          <w:p w:rsidR="00410AE3" w:rsidRDefault="00410AE3" w:rsidP="00D02513"/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8 (5.1%)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7 (4.5%)</w:t>
            </w:r>
          </w:p>
        </w:tc>
        <w:tc>
          <w:tcPr>
            <w:tcW w:w="1337" w:type="dxa"/>
            <w:vAlign w:val="center"/>
          </w:tcPr>
          <w:p w:rsidR="00410AE3" w:rsidRDefault="00410AE3" w:rsidP="00D02513"/>
        </w:tc>
      </w:tr>
      <w:tr w:rsidR="00410AE3" w:rsidTr="00D02513">
        <w:trPr>
          <w:jc w:val="center"/>
        </w:trPr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NT-</w:t>
            </w:r>
            <w:proofErr w:type="spellStart"/>
            <w:r>
              <w:rPr>
                <w:sz w:val="17"/>
              </w:rPr>
              <w:t>proBNP</w:t>
            </w:r>
            <w:proofErr w:type="spellEnd"/>
            <w:r>
              <w:rPr>
                <w:sz w:val="17"/>
              </w:rPr>
              <w:t xml:space="preserve"> available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139 (51.9%)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138 (51.5%)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P=0.931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241 (58.2%)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238 (57.5%)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P=0.833</w:t>
            </w:r>
          </w:p>
        </w:tc>
      </w:tr>
      <w:tr w:rsidR="00410AE3" w:rsidTr="00D02513">
        <w:trPr>
          <w:jc w:val="center"/>
        </w:trPr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Median NT-</w:t>
            </w:r>
            <w:proofErr w:type="spellStart"/>
            <w:r>
              <w:rPr>
                <w:sz w:val="17"/>
              </w:rPr>
              <w:t>proBNP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pg</w:t>
            </w:r>
            <w:proofErr w:type="spellEnd"/>
            <w:r>
              <w:rPr>
                <w:sz w:val="17"/>
              </w:rPr>
              <w:t>/mL (IQR)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2,810 (1,400-5,080)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2,730 (1,390-4,980)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Descriptive only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2,760 (1,380-4,990)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2,710 (1,360-4,920)</w:t>
            </w:r>
          </w:p>
        </w:tc>
        <w:tc>
          <w:tcPr>
            <w:tcW w:w="1337" w:type="dxa"/>
            <w:vAlign w:val="center"/>
          </w:tcPr>
          <w:p w:rsidR="00410AE3" w:rsidRDefault="00410AE3" w:rsidP="00D02513">
            <w:r>
              <w:rPr>
                <w:sz w:val="17"/>
              </w:rPr>
              <w:t>Descriptive only</w:t>
            </w:r>
          </w:p>
        </w:tc>
      </w:tr>
    </w:tbl>
    <w:p w:rsidR="00410AE3" w:rsidRDefault="00410AE3" w:rsidP="00410AE3">
      <w:r>
        <w:t>*NYHA class percentages use patients with recorded NYHA class as the denominator. Post hoc P values are descriptive and were not adjusted for multiplicity. SMDs are reported for binary phenotype variables. NT-</w:t>
      </w:r>
      <w:proofErr w:type="spellStart"/>
      <w:r>
        <w:t>proBNP</w:t>
      </w:r>
      <w:proofErr w:type="spellEnd"/>
      <w:r>
        <w:t xml:space="preserve"> is summarized using aggregate platform-returned medians and IQRs; no patient-level distributional test was performed. Documented hereditary/variant ATTR </w:t>
      </w:r>
      <w:r>
        <w:lastRenderedPageBreak/>
        <w:t>reflects structured EHR classification and should not be interpreted as complete genetic ascertainment.</w:t>
      </w:r>
    </w:p>
    <w:p w:rsidR="00E66AE8" w:rsidRDefault="00E66AE8">
      <w:bookmarkStart w:id="0" w:name="_GoBack"/>
      <w:bookmarkEnd w:id="0"/>
    </w:p>
    <w:sectPr w:rsidR="00E66AE8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6656" w:rsidRDefault="00410AE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2845" w:rsidRDefault="00410AE3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6656" w:rsidRDefault="00410AE3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6656" w:rsidRDefault="00410AE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6656" w:rsidRDefault="00410AE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6656" w:rsidRDefault="00410AE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AE3"/>
    <w:rsid w:val="00410AE3"/>
    <w:rsid w:val="00E6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276F97-70E6-4A67-B9F6-0D367104F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0AE3"/>
    <w:pPr>
      <w:spacing w:after="120" w:line="276" w:lineRule="auto"/>
    </w:pPr>
    <w:rPr>
      <w:rFonts w:ascii="Times New Roman" w:eastAsia="Times New Roman" w:hAnsi="Times New Roman"/>
      <w:kern w:val="2"/>
      <w:sz w:val="24"/>
      <w:szCs w:val="24"/>
      <w:lang w:val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0AE3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0AE3"/>
    <w:rPr>
      <w:rFonts w:asciiTheme="majorHAnsi" w:eastAsiaTheme="majorEastAsia" w:hAnsiTheme="majorHAnsi" w:cstheme="majorBidi"/>
      <w:b/>
      <w:color w:val="2F5496" w:themeColor="accent1" w:themeShade="BF"/>
      <w:kern w:val="2"/>
      <w:sz w:val="24"/>
      <w:szCs w:val="40"/>
      <w:lang w:val="en-US"/>
      <w14:ligatures w14:val="standardContextual"/>
    </w:rPr>
  </w:style>
  <w:style w:type="table" w:styleId="TableGrid">
    <w:name w:val="Table Grid"/>
    <w:basedOn w:val="TableNormal"/>
    <w:uiPriority w:val="59"/>
    <w:rsid w:val="00410AE3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528</Words>
  <Characters>3014</Characters>
  <Application>Microsoft Office Word</Application>
  <DocSecurity>0</DocSecurity>
  <Lines>25</Lines>
  <Paragraphs>7</Paragraphs>
  <ScaleCrop>false</ScaleCrop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Ashish Bisht1</dc:creator>
  <cp:keywords/>
  <dc:description/>
  <cp:lastModifiedBy>Ashish Bisht1</cp:lastModifiedBy>
  <cp:revision>1</cp:revision>
  <dcterms:created xsi:type="dcterms:W3CDTF">2026-10-03T12:18:00Z</dcterms:created>
  <dcterms:modified xsi:type="dcterms:W3CDTF">2026-10-03T12:20:00Z</dcterms:modified>
</cp:coreProperties>
</file>