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Times New Roman" w:hAnsi="Times New Roman" w:eastAsia="Times New Roman"/>
          <w:color w:val="000000"/>
        </w:rPr>
        <w:t>Supplementary material</w:t>
      </w:r>
    </w:p>
    <w:p>
      <w:r>
        <w:rPr>
          <w:rFonts w:ascii="Times New Roman" w:hAnsi="Times New Roman" w:eastAsia="Times New Roman"/>
          <w:color w:val="FF0000"/>
        </w:rPr>
        <w:t>Troponin–Echocardiography Prognostic Discordance in Selected ICU Patients With Sepsis: A MIMIC-IV-ECHO Cohort Study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Supplementary methods</w:t>
      </w:r>
    </w:p>
    <w:p>
      <w:r>
        <w:rPr>
          <w:rFonts w:ascii="Times New Roman" w:hAnsi="Times New Roman" w:eastAsia="Times New Roman"/>
          <w:color w:val="FF0000"/>
        </w:rPr>
        <w:t>Temporal ordering and phenotype construction. Follow-up began at the index TTE. The primary exposure was the maximum troponin T measured from 24 hours before through the TTE; no post-TTE troponin contributed. Both LVEF and qualitative RV function had to be evaluable. Echo-negative required LVEF ≥50% and an RV category of Nl RV function, Low normal function, or Hyperdynamic. Echo-positive required LVEF &lt;50% or one of six abnormal structured RV categories. Free-text parsing was not used. TAPSE was available in 363/2,523 admissions (14.4%), and fractional area change was not available as a structured field.</w:t>
      </w:r>
    </w:p>
    <w:p>
      <w:r>
        <w:rPr>
          <w:rFonts w:ascii="Times New Roman" w:hAnsi="Times New Roman" w:eastAsia="Times New Roman"/>
          <w:color w:val="FF0000"/>
        </w:rPr>
        <w:t>Covariate availability and missing data. The primary model used age, sex, race, a modified Charlson score excluding age, congestive heart failure, and renal disease, coded chronic heart failure and renal disease, Sepsis-3 SOFA anchored at or before TTE, maximum lactate from ICU admission through TTE, and invasive ventilation and vasoactive exposure beginning before TTE. Seventy-two post-TTE SOFA anchors were set missing. Pre-index lactate was missing in 517 admissions. Median imputation plus missingness indicators was used, with complete-case lactate and pre-index creatinine analyses as sensitivities.</w:t>
      </w:r>
    </w:p>
    <w:p>
      <w:r>
        <w:rPr>
          <w:rFonts w:ascii="Times New Roman" w:hAnsi="Times New Roman" w:eastAsia="Times New Roman"/>
          <w:color w:val="FF0000"/>
        </w:rPr>
        <w:t>Time origin and censoring. Event time was the day difference between the index TTE date and death date. Same-day deaths were assigned 0.5 day because MIMIC provides day-level death dates. Patients without death were administratively censored at 28 or 90 days.</w:t>
      </w:r>
    </w:p>
    <w:p>
      <w:r>
        <w:rPr>
          <w:rFonts w:ascii="Times New Roman" w:hAnsi="Times New Roman" w:eastAsia="Times New Roman"/>
          <w:color w:val="FF0000"/>
        </w:rPr>
        <w:t>Repeated admissions. Subject-clustered robust standard errors accounted for repeated admissions. Seventy-eight admissions exceeded the number of unique patients. Twenty-one pairs of 90-day windows overlapped among 17 patients (36 admissions); a first-eligible-admission analysis removed duplicate risk windows.</w:t>
      </w:r>
    </w:p>
    <w:p>
      <w:r>
        <w:rPr>
          <w:rFonts w:ascii="Times New Roman" w:hAnsi="Times New Roman" w:eastAsia="Times New Roman"/>
          <w:color w:val="FF0000"/>
        </w:rPr>
        <w:t>Restricted cubic spline. Pre-index troponin was modeled as log2(ULN multiple+1) with knots at the 5th, 35th, 65th, and 95th percentiles. The spline interacted with echo status; likelihood-ratio tests compared the full model with no-troponin, linear, and no-interaction models. Figure 4 includes the observed-value rug plot.</w:t>
      </w:r>
    </w:p>
    <w:p>
      <w:r>
        <w:rPr>
          <w:rFonts w:ascii="Times New Roman" w:hAnsi="Times New Roman" w:eastAsia="Times New Roman"/>
          <w:color w:val="FF0000"/>
        </w:rPr>
        <w:t>Subgroups, diagnostics, and sensitivity analyses. Interaction models retained all four phenotypes and omitted only the subgroup-defining covariate; Benjamini–Hochberg q values controlled the false discovery rate across seven tests. Scaled Schoenfeld residuals were evaluated against rank-transformed event time. A nominal 28-day violation for Tn-low/Echo-positive was characterized with 0–7-day and 7–28-day Cox models. Sensitivities varied troponin threshold and timing, chamber evaluability, admission selection, lactate handling, creatinine adjustment, and comorbidity exclusions.</w:t>
      </w:r>
    </w:p>
    <w:p>
      <w:r>
        <w:br w:type="page"/>
      </w:r>
    </w:p>
    <w:p>
      <w:pPr>
        <w:pStyle w:val="Heading2"/>
      </w:pPr>
      <w:r>
        <w:rPr>
          <w:rFonts w:ascii="Times New Roman" w:hAnsi="Times New Roman" w:eastAsia="Times New Roman"/>
          <w:color w:val="FF0000"/>
        </w:rPr>
        <w:t>Table S1  Restricted cubic spline tests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98"/>
        <w:gridCol w:w="3398"/>
        <w:gridCol w:w="3398"/>
        <w:gridCol w:w="3398"/>
      </w:tblGrid>
      <w:tr>
        <w:trPr>
          <w:cantSplit/>
          <w:tblHeader w:val="true"/>
        </w:trPr>
        <w:tc>
          <w:tcPr>
            <w:tcW w:type="dxa" w:w="339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1F4E78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  <w:t>Test</w:t>
            </w:r>
          </w:p>
        </w:tc>
        <w:tc>
          <w:tcPr>
            <w:tcW w:type="dxa" w:w="339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1F4E78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  <w:t>χ²</w:t>
            </w:r>
          </w:p>
        </w:tc>
        <w:tc>
          <w:tcPr>
            <w:tcW w:type="dxa" w:w="339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1F4E78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  <w:t>df</w:t>
            </w:r>
          </w:p>
        </w:tc>
        <w:tc>
          <w:tcPr>
            <w:tcW w:type="dxa" w:w="339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1F4E78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  <w:t>P value</w:t>
            </w:r>
          </w:p>
        </w:tc>
      </w:tr>
      <w:tr>
        <w:trPr>
          <w:cantSplit/>
        </w:trPr>
        <w:tc>
          <w:tcPr>
            <w:tcW w:type="dxa" w:w="339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8"/>
              </w:rPr>
              <w:t>Overall troponin spline association</w:t>
            </w:r>
          </w:p>
        </w:tc>
        <w:tc>
          <w:tcPr>
            <w:tcW w:type="dxa" w:w="339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8"/>
              </w:rPr>
              <w:t>24.45</w:t>
            </w:r>
          </w:p>
        </w:tc>
        <w:tc>
          <w:tcPr>
            <w:tcW w:type="dxa" w:w="339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8"/>
              </w:rPr>
              <w:t>6</w:t>
            </w:r>
          </w:p>
        </w:tc>
        <w:tc>
          <w:tcPr>
            <w:tcW w:type="dxa" w:w="339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8"/>
              </w:rPr>
              <w:t>&lt;0.001</w:t>
            </w:r>
          </w:p>
        </w:tc>
      </w:tr>
      <w:tr>
        <w:trPr>
          <w:cantSplit/>
        </w:trPr>
        <w:tc>
          <w:tcPr>
            <w:tcW w:type="dxa" w:w="339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8"/>
              </w:rPr>
              <w:t>Nonlinearity beyond linear interaction</w:t>
            </w:r>
          </w:p>
        </w:tc>
        <w:tc>
          <w:tcPr>
            <w:tcW w:type="dxa" w:w="339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8"/>
              </w:rPr>
              <w:t>4.86</w:t>
            </w:r>
          </w:p>
        </w:tc>
        <w:tc>
          <w:tcPr>
            <w:tcW w:type="dxa" w:w="339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8"/>
              </w:rPr>
              <w:t>4</w:t>
            </w:r>
          </w:p>
        </w:tc>
        <w:tc>
          <w:tcPr>
            <w:tcW w:type="dxa" w:w="339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8"/>
              </w:rPr>
              <w:t>0.302</w:t>
            </w:r>
          </w:p>
        </w:tc>
      </w:tr>
      <w:tr>
        <w:trPr>
          <w:cantSplit/>
        </w:trPr>
        <w:tc>
          <w:tcPr>
            <w:tcW w:type="dxa" w:w="339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8"/>
              </w:rPr>
              <w:t>Troponin spline-by-echo interaction</w:t>
            </w:r>
          </w:p>
        </w:tc>
        <w:tc>
          <w:tcPr>
            <w:tcW w:type="dxa" w:w="339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8"/>
              </w:rPr>
              <w:t>5.54</w:t>
            </w:r>
          </w:p>
        </w:tc>
        <w:tc>
          <w:tcPr>
            <w:tcW w:type="dxa" w:w="339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8"/>
              </w:rPr>
              <w:t>3</w:t>
            </w:r>
          </w:p>
        </w:tc>
        <w:tc>
          <w:tcPr>
            <w:tcW w:type="dxa" w:w="339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8"/>
              </w:rPr>
              <w:t>0.136</w:t>
            </w:r>
          </w:p>
        </w:tc>
      </w:tr>
    </w:tbl>
    <w:p>
      <w:r>
        <w:rPr>
          <w:rFonts w:ascii="Times New Roman" w:hAnsi="Times New Roman" w:eastAsia="Times New Roman"/>
          <w:color w:val="FF0000"/>
        </w:rPr>
        <w:t>Knots were approximately 1×, 5.7×, 15×, and 113×ULN. The nonlinearity test compared the full spline-by-echo model with the linear troponin-by-echo model.</w:t>
      </w:r>
    </w:p>
    <w:p>
      <w:r>
        <w:br w:type="page"/>
      </w:r>
    </w:p>
    <w:p>
      <w:pPr>
        <w:pStyle w:val="Heading2"/>
      </w:pPr>
      <w:r>
        <w:rPr>
          <w:rFonts w:ascii="Times New Roman" w:hAnsi="Times New Roman" w:eastAsia="Times New Roman"/>
          <w:color w:val="FF0000"/>
        </w:rPr>
        <w:t>Table S2  Exploratory subgroup associations for double-positive versus double-negative status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99"/>
        <w:gridCol w:w="1699"/>
        <w:gridCol w:w="1699"/>
        <w:gridCol w:w="1699"/>
        <w:gridCol w:w="1699"/>
        <w:gridCol w:w="1699"/>
        <w:gridCol w:w="1699"/>
        <w:gridCol w:w="1699"/>
      </w:tblGrid>
      <w:tr>
        <w:trPr>
          <w:cantSplit/>
          <w:tblHeader w:val="true"/>
        </w:trPr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1F4E78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FFFFFF"/>
                <w:sz w:val="15"/>
              </w:rPr>
              <w:t>Subgroup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1F4E78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FFFFFF"/>
                <w:sz w:val="15"/>
              </w:rPr>
              <w:t>Level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1F4E78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FFFFFF"/>
                <w:sz w:val="15"/>
              </w:rPr>
              <w:t>n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1F4E78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FFFFFF"/>
                <w:sz w:val="15"/>
              </w:rPr>
              <w:t>Deaths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1F4E78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FFFFFF"/>
                <w:sz w:val="15"/>
              </w:rPr>
              <w:t>Adjusted HR (95% CI)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1F4E78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FFFFFF"/>
                <w:sz w:val="15"/>
              </w:rPr>
              <w:t>P value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1F4E78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FFFFFF"/>
                <w:sz w:val="15"/>
              </w:rPr>
              <w:t>P interaction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1F4E78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FFFFFF"/>
                <w:sz w:val="15"/>
              </w:rPr>
              <w:t>BH q</w:t>
            </w:r>
          </w:p>
        </w:tc>
      </w:tr>
      <w:tr>
        <w:trPr>
          <w:cantSplit/>
        </w:trPr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Age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&lt;65 years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859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310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1.23 (0.87–1.73)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0.234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0.064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0.178</w:t>
            </w:r>
          </w:p>
        </w:tc>
      </w:tr>
      <w:tr>
        <w:trPr>
          <w:cantSplit/>
        </w:trPr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Age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≥65 years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1,664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803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1.77 (1.45–2.16)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&lt;0.001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0.064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0.178</w:t>
            </w:r>
          </w:p>
        </w:tc>
      </w:tr>
      <w:tr>
        <w:trPr>
          <w:cantSplit/>
        </w:trPr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Sex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Female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1,074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475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1.41 (1.10–1.81)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0.006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0.048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0.178</w:t>
            </w:r>
          </w:p>
        </w:tc>
      </w:tr>
      <w:tr>
        <w:trPr>
          <w:cantSplit/>
        </w:trPr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Sex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Male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1,449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638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1.99 (1.56–2.54)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&lt;0.001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0.048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0.178</w:t>
            </w:r>
          </w:p>
        </w:tc>
      </w:tr>
      <w:tr>
        <w:trPr>
          <w:cantSplit/>
        </w:trPr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Chronic heart failure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No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1,116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497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1.83 (1.43–2.35)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&lt;0.001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0.423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0.556</w:t>
            </w:r>
          </w:p>
        </w:tc>
      </w:tr>
      <w:tr>
        <w:trPr>
          <w:cantSplit/>
        </w:trPr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Chronic heart failure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Yes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1,407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616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1.58 (1.23–2.04)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&lt;0.001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0.423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0.556</w:t>
            </w:r>
          </w:p>
        </w:tc>
      </w:tr>
      <w:tr>
        <w:trPr>
          <w:cantSplit/>
        </w:trPr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Renal disease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No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1,493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671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1.48 (1.19–1.84)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&lt;0.001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0.076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0.178</w:t>
            </w:r>
          </w:p>
        </w:tc>
      </w:tr>
      <w:tr>
        <w:trPr>
          <w:cantSplit/>
        </w:trPr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Renal disease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Yes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1,030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442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2.06 (1.52–2.79)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&lt;0.001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0.076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0.178</w:t>
            </w:r>
          </w:p>
        </w:tc>
      </w:tr>
      <w:tr>
        <w:trPr>
          <w:cantSplit/>
        </w:trPr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SOFA severity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SOFA &lt;8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2,334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995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1.68 (1.40–2.02)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&lt;0.001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0.988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0.988</w:t>
            </w:r>
          </w:p>
        </w:tc>
      </w:tr>
      <w:tr>
        <w:trPr>
          <w:cantSplit/>
        </w:trPr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SOFA severity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SOFA ≥8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189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118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1.68 (0.93–3.01)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0.083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0.988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0.988</w:t>
            </w:r>
          </w:p>
        </w:tc>
      </w:tr>
      <w:tr>
        <w:trPr>
          <w:cantSplit/>
        </w:trPr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Vasoactive therapy before TTE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No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1,281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485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1.58 (1.24–2.02)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&lt;0.001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0.477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0.556</w:t>
            </w:r>
          </w:p>
        </w:tc>
      </w:tr>
      <w:tr>
        <w:trPr>
          <w:cantSplit/>
        </w:trPr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Vasoactive therapy before TTE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Yes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1,242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628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1.78 (1.40–2.26)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&lt;0.001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0.477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0.556</w:t>
            </w:r>
          </w:p>
        </w:tc>
      </w:tr>
      <w:tr>
        <w:trPr>
          <w:cantSplit/>
        </w:trPr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Invasive ventilation before TTE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No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1,176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433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1.48 (1.15–1.90)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0.002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0.195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0.341</w:t>
            </w:r>
          </w:p>
        </w:tc>
      </w:tr>
      <w:tr>
        <w:trPr>
          <w:cantSplit/>
        </w:trPr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Invasive ventilation before TTE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Yes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1,347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680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1.84 (1.45–2.33)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&lt;0.001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0.195</w:t>
            </w:r>
          </w:p>
        </w:tc>
        <w:tc>
          <w:tcPr>
            <w:tcW w:type="dxa" w:w="169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5"/>
              </w:rPr>
              <w:t>0.341</w:t>
            </w:r>
          </w:p>
        </w:tc>
      </w:tr>
    </w:tbl>
    <w:p>
      <w:r>
        <w:rPr>
          <w:rFonts w:ascii="Times New Roman" w:hAnsi="Times New Roman" w:eastAsia="Times New Roman"/>
          <w:color w:val="FF0000"/>
        </w:rPr>
        <w:t>Interaction P values are nominal; q values use the Benjamini–Hochberg procedure across seven subgroups. No q value was &lt;0.05.</w:t>
      </w:r>
    </w:p>
    <w:p>
      <w:r>
        <w:br w:type="page"/>
      </w:r>
    </w:p>
    <w:p>
      <w:pPr>
        <w:pStyle w:val="Heading2"/>
      </w:pPr>
      <w:r>
        <w:rPr>
          <w:rFonts w:ascii="Times New Roman" w:hAnsi="Times New Roman" w:eastAsia="Times New Roman"/>
          <w:color w:val="FF0000"/>
        </w:rPr>
        <w:t>Table S3  Sensitivity analyses for double-positive versus double-negative status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719"/>
        <w:gridCol w:w="2719"/>
        <w:gridCol w:w="2719"/>
        <w:gridCol w:w="2719"/>
        <w:gridCol w:w="2719"/>
      </w:tblGrid>
      <w:tr>
        <w:trPr>
          <w:cantSplit/>
          <w:tblHeader w:val="true"/>
        </w:trPr>
        <w:tc>
          <w:tcPr>
            <w:tcW w:type="dxa" w:w="590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1F4E78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FFFFFF"/>
                <w:sz w:val="16"/>
              </w:rPr>
              <w:t>Scenario</w:t>
            </w:r>
          </w:p>
        </w:tc>
        <w:tc>
          <w:tcPr>
            <w:tcW w:type="dxa" w:w="100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1F4E78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FFFFFF"/>
                <w:sz w:val="16"/>
              </w:rPr>
              <w:t>n</w:t>
            </w:r>
          </w:p>
        </w:tc>
        <w:tc>
          <w:tcPr>
            <w:tcW w:type="dxa" w:w="100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1F4E78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FFFFFF"/>
                <w:sz w:val="16"/>
              </w:rPr>
              <w:t>Deaths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1F4E78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FFFFFF"/>
                <w:sz w:val="16"/>
              </w:rPr>
              <w:t>Adjusted 90-day HR (95% CI)</w:t>
            </w:r>
          </w:p>
        </w:tc>
        <w:tc>
          <w:tcPr>
            <w:tcW w:type="dxa" w:w="115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1F4E78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FFFFFF"/>
                <w:sz w:val="16"/>
              </w:rPr>
              <w:t>P value</w:t>
            </w:r>
          </w:p>
        </w:tc>
      </w:tr>
      <w:tr>
        <w:trPr>
          <w:cantSplit/>
        </w:trPr>
        <w:tc>
          <w:tcPr>
            <w:tcW w:type="dxa" w:w="590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Primary: pre-TTE troponin; both chambers</w:t>
            </w:r>
          </w:p>
        </w:tc>
        <w:tc>
          <w:tcPr>
            <w:tcW w:type="dxa" w:w="100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2,523</w:t>
            </w:r>
          </w:p>
        </w:tc>
        <w:tc>
          <w:tcPr>
            <w:tcW w:type="dxa" w:w="100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1,113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1.68 (1.41–2.01)</w:t>
            </w:r>
          </w:p>
        </w:tc>
        <w:tc>
          <w:tcPr>
            <w:tcW w:type="dxa" w:w="115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&lt;0.001</w:t>
            </w:r>
          </w:p>
        </w:tc>
      </w:tr>
      <w:tr>
        <w:trPr>
          <w:cantSplit/>
        </w:trPr>
        <w:tc>
          <w:tcPr>
            <w:tcW w:type="dxa" w:w="590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Pre-TTE troponin threshold 1×ULN</w:t>
            </w:r>
          </w:p>
        </w:tc>
        <w:tc>
          <w:tcPr>
            <w:tcW w:type="dxa" w:w="100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2,523</w:t>
            </w:r>
          </w:p>
        </w:tc>
        <w:tc>
          <w:tcPr>
            <w:tcW w:type="dxa" w:w="100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1,113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2.09 (1.41–3.09)</w:t>
            </w:r>
          </w:p>
        </w:tc>
        <w:tc>
          <w:tcPr>
            <w:tcW w:type="dxa" w:w="115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&lt;0.001</w:t>
            </w:r>
          </w:p>
        </w:tc>
      </w:tr>
      <w:tr>
        <w:trPr>
          <w:cantSplit/>
        </w:trPr>
        <w:tc>
          <w:tcPr>
            <w:tcW w:type="dxa" w:w="590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Pre-TTE troponin threshold 3×ULN</w:t>
            </w:r>
          </w:p>
        </w:tc>
        <w:tc>
          <w:tcPr>
            <w:tcW w:type="dxa" w:w="100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2,523</w:t>
            </w:r>
          </w:p>
        </w:tc>
        <w:tc>
          <w:tcPr>
            <w:tcW w:type="dxa" w:w="100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1,113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1.79 (1.46–2.20)</w:t>
            </w:r>
          </w:p>
        </w:tc>
        <w:tc>
          <w:tcPr>
            <w:tcW w:type="dxa" w:w="115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&lt;0.001</w:t>
            </w:r>
          </w:p>
        </w:tc>
      </w:tr>
      <w:tr>
        <w:trPr>
          <w:cantSplit/>
        </w:trPr>
        <w:tc>
          <w:tcPr>
            <w:tcW w:type="dxa" w:w="590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Pre-TTE troponin threshold 10×ULN</w:t>
            </w:r>
          </w:p>
        </w:tc>
        <w:tc>
          <w:tcPr>
            <w:tcW w:type="dxa" w:w="100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2,523</w:t>
            </w:r>
          </w:p>
        </w:tc>
        <w:tc>
          <w:tcPr>
            <w:tcW w:type="dxa" w:w="100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1,113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1.66 (1.40–1.95)</w:t>
            </w:r>
          </w:p>
        </w:tc>
        <w:tc>
          <w:tcPr>
            <w:tcW w:type="dxa" w:w="115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&lt;0.001</w:t>
            </w:r>
          </w:p>
        </w:tc>
      </w:tr>
      <w:tr>
        <w:trPr>
          <w:cantSplit/>
        </w:trPr>
        <w:tc>
          <w:tcPr>
            <w:tcW w:type="dxa" w:w="590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Index TTE within 24 h</w:t>
            </w:r>
          </w:p>
        </w:tc>
        <w:tc>
          <w:tcPr>
            <w:tcW w:type="dxa" w:w="100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2,129</w:t>
            </w:r>
          </w:p>
        </w:tc>
        <w:tc>
          <w:tcPr>
            <w:tcW w:type="dxa" w:w="100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942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1.63 (1.34–1.98)</w:t>
            </w:r>
          </w:p>
        </w:tc>
        <w:tc>
          <w:tcPr>
            <w:tcW w:type="dxa" w:w="115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&lt;0.001</w:t>
            </w:r>
          </w:p>
        </w:tc>
      </w:tr>
      <w:tr>
        <w:trPr>
          <w:cantSplit/>
        </w:trPr>
        <w:tc>
          <w:tcPr>
            <w:tcW w:type="dxa" w:w="590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Pre-TTE troponin within 12 h</w:t>
            </w:r>
          </w:p>
        </w:tc>
        <w:tc>
          <w:tcPr>
            <w:tcW w:type="dxa" w:w="100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2,058</w:t>
            </w:r>
          </w:p>
        </w:tc>
        <w:tc>
          <w:tcPr>
            <w:tcW w:type="dxa" w:w="100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910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1.56 (1.29–1.90)</w:t>
            </w:r>
          </w:p>
        </w:tc>
        <w:tc>
          <w:tcPr>
            <w:tcW w:type="dxa" w:w="115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&lt;0.001</w:t>
            </w:r>
          </w:p>
        </w:tc>
      </w:tr>
      <w:tr>
        <w:trPr>
          <w:cantSplit/>
        </w:trPr>
        <w:tc>
          <w:tcPr>
            <w:tcW w:type="dxa" w:w="590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Troponin maximum within ±24 h; both chambers</w:t>
            </w:r>
          </w:p>
        </w:tc>
        <w:tc>
          <w:tcPr>
            <w:tcW w:type="dxa" w:w="100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2,801</w:t>
            </w:r>
          </w:p>
        </w:tc>
        <w:tc>
          <w:tcPr>
            <w:tcW w:type="dxa" w:w="100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1,240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1.65 (1.40–1.96)</w:t>
            </w:r>
          </w:p>
        </w:tc>
        <w:tc>
          <w:tcPr>
            <w:tcW w:type="dxa" w:w="115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&lt;0.001</w:t>
            </w:r>
          </w:p>
        </w:tc>
      </w:tr>
      <w:tr>
        <w:trPr>
          <w:cantSplit/>
        </w:trPr>
        <w:tc>
          <w:tcPr>
            <w:tcW w:type="dxa" w:w="590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Original ±24-h one-chamber-permitted definition</w:t>
            </w:r>
          </w:p>
        </w:tc>
        <w:tc>
          <w:tcPr>
            <w:tcW w:type="dxa" w:w="100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3,074</w:t>
            </w:r>
          </w:p>
        </w:tc>
        <w:tc>
          <w:tcPr>
            <w:tcW w:type="dxa" w:w="100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1,357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1.61 (1.37–1.89)</w:t>
            </w:r>
          </w:p>
        </w:tc>
        <w:tc>
          <w:tcPr>
            <w:tcW w:type="dxa" w:w="115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&lt;0.001</w:t>
            </w:r>
          </w:p>
        </w:tc>
      </w:tr>
      <w:tr>
        <w:trPr>
          <w:cantSplit/>
        </w:trPr>
        <w:tc>
          <w:tcPr>
            <w:tcW w:type="dxa" w:w="590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First eligible admission per patient</w:t>
            </w:r>
          </w:p>
        </w:tc>
        <w:tc>
          <w:tcPr>
            <w:tcW w:type="dxa" w:w="100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2,445</w:t>
            </w:r>
          </w:p>
        </w:tc>
        <w:tc>
          <w:tcPr>
            <w:tcW w:type="dxa" w:w="100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1,079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1.71 (1.43–2.04)</w:t>
            </w:r>
          </w:p>
        </w:tc>
        <w:tc>
          <w:tcPr>
            <w:tcW w:type="dxa" w:w="115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&lt;0.001</w:t>
            </w:r>
          </w:p>
        </w:tc>
      </w:tr>
      <w:tr>
        <w:trPr>
          <w:cantSplit/>
        </w:trPr>
        <w:tc>
          <w:tcPr>
            <w:tcW w:type="dxa" w:w="590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Complete-case pre-index lactate</w:t>
            </w:r>
          </w:p>
        </w:tc>
        <w:tc>
          <w:tcPr>
            <w:tcW w:type="dxa" w:w="100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2,006</w:t>
            </w:r>
          </w:p>
        </w:tc>
        <w:tc>
          <w:tcPr>
            <w:tcW w:type="dxa" w:w="100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945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1.65 (1.36–2.01)</w:t>
            </w:r>
          </w:p>
        </w:tc>
        <w:tc>
          <w:tcPr>
            <w:tcW w:type="dxa" w:w="115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&lt;0.001</w:t>
            </w:r>
          </w:p>
        </w:tc>
      </w:tr>
      <w:tr>
        <w:trPr>
          <w:cantSplit/>
        </w:trPr>
        <w:tc>
          <w:tcPr>
            <w:tcW w:type="dxa" w:w="590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Additional pre-index creatinine adjustment</w:t>
            </w:r>
          </w:p>
        </w:tc>
        <w:tc>
          <w:tcPr>
            <w:tcW w:type="dxa" w:w="100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2,437</w:t>
            </w:r>
          </w:p>
        </w:tc>
        <w:tc>
          <w:tcPr>
            <w:tcW w:type="dxa" w:w="100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1,071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1.71 (1.42–2.05)</w:t>
            </w:r>
          </w:p>
        </w:tc>
        <w:tc>
          <w:tcPr>
            <w:tcW w:type="dxa" w:w="115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&lt;0.001</w:t>
            </w:r>
          </w:p>
        </w:tc>
      </w:tr>
      <w:tr>
        <w:trPr>
          <w:cantSplit/>
        </w:trPr>
        <w:tc>
          <w:tcPr>
            <w:tcW w:type="dxa" w:w="590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Exclude chronic heart failure</w:t>
            </w:r>
          </w:p>
        </w:tc>
        <w:tc>
          <w:tcPr>
            <w:tcW w:type="dxa" w:w="100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1,116</w:t>
            </w:r>
          </w:p>
        </w:tc>
        <w:tc>
          <w:tcPr>
            <w:tcW w:type="dxa" w:w="100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497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1.73 (1.36–2.20)</w:t>
            </w:r>
          </w:p>
        </w:tc>
        <w:tc>
          <w:tcPr>
            <w:tcW w:type="dxa" w:w="115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&lt;0.001</w:t>
            </w:r>
          </w:p>
        </w:tc>
      </w:tr>
      <w:tr>
        <w:trPr>
          <w:cantSplit/>
        </w:trPr>
        <w:tc>
          <w:tcPr>
            <w:tcW w:type="dxa" w:w="590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Exclude renal disease</w:t>
            </w:r>
          </w:p>
        </w:tc>
        <w:tc>
          <w:tcPr>
            <w:tcW w:type="dxa" w:w="100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1,493</w:t>
            </w:r>
          </w:p>
        </w:tc>
        <w:tc>
          <w:tcPr>
            <w:tcW w:type="dxa" w:w="100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671</w:t>
            </w:r>
          </w:p>
        </w:tc>
        <w:tc>
          <w:tcPr>
            <w:tcW w:type="dxa" w:w="259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1.52 (1.22–1.89)</w:t>
            </w:r>
          </w:p>
        </w:tc>
        <w:tc>
          <w:tcPr>
            <w:tcW w:type="dxa" w:w="115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&lt;0.001</w:t>
            </w:r>
          </w:p>
        </w:tc>
      </w:tr>
    </w:tbl>
    <w:p>
      <w:r>
        <w:br w:type="page"/>
      </w:r>
    </w:p>
    <w:p>
      <w:pPr>
        <w:pStyle w:val="Heading2"/>
      </w:pPr>
      <w:r>
        <w:rPr>
          <w:rFonts w:ascii="Times New Roman" w:hAnsi="Times New Roman" w:eastAsia="Times New Roman"/>
          <w:color w:val="FF0000"/>
        </w:rPr>
        <w:t>Table S4  Proportional-hazards diagnostics for phenotype terms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719"/>
        <w:gridCol w:w="2719"/>
        <w:gridCol w:w="2719"/>
        <w:gridCol w:w="2719"/>
        <w:gridCol w:w="2719"/>
      </w:tblGrid>
      <w:tr>
        <w:trPr>
          <w:cantSplit/>
          <w:tblHeader w:val="true"/>
        </w:trPr>
        <w:tc>
          <w:tcPr>
            <w:tcW w:type="dxa" w:w="271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1F4E78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FFFFFF"/>
                <w:sz w:val="17"/>
              </w:rPr>
              <w:t>Horizon</w:t>
            </w:r>
          </w:p>
        </w:tc>
        <w:tc>
          <w:tcPr>
            <w:tcW w:type="dxa" w:w="271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1F4E78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FFFFFF"/>
                <w:sz w:val="17"/>
              </w:rPr>
              <w:t>Phenotype term</w:t>
            </w:r>
          </w:p>
        </w:tc>
        <w:tc>
          <w:tcPr>
            <w:tcW w:type="dxa" w:w="271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1F4E78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FFFFFF"/>
                <w:sz w:val="17"/>
              </w:rPr>
              <w:t>Scaled-residual correlation</w:t>
            </w:r>
          </w:p>
        </w:tc>
        <w:tc>
          <w:tcPr>
            <w:tcW w:type="dxa" w:w="271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1F4E78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FFFFFF"/>
                <w:sz w:val="17"/>
              </w:rPr>
              <w:t>P value</w:t>
            </w:r>
          </w:p>
        </w:tc>
        <w:tc>
          <w:tcPr>
            <w:tcW w:type="dxa" w:w="271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1F4E78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FFFFFF"/>
                <w:sz w:val="17"/>
              </w:rPr>
              <w:t>Events</w:t>
            </w:r>
          </w:p>
        </w:tc>
      </w:tr>
      <w:tr>
        <w:trPr>
          <w:cantSplit/>
        </w:trPr>
        <w:tc>
          <w:tcPr>
            <w:tcW w:type="dxa" w:w="271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28</w:t>
            </w:r>
          </w:p>
        </w:tc>
        <w:tc>
          <w:tcPr>
            <w:tcW w:type="dxa" w:w="271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Tn-high/Echo-negative</w:t>
            </w:r>
          </w:p>
        </w:tc>
        <w:tc>
          <w:tcPr>
            <w:tcW w:type="dxa" w:w="271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-0.031</w:t>
            </w:r>
          </w:p>
        </w:tc>
        <w:tc>
          <w:tcPr>
            <w:tcW w:type="dxa" w:w="271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0.354</w:t>
            </w:r>
          </w:p>
        </w:tc>
        <w:tc>
          <w:tcPr>
            <w:tcW w:type="dxa" w:w="271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894</w:t>
            </w:r>
          </w:p>
        </w:tc>
      </w:tr>
      <w:tr>
        <w:trPr>
          <w:cantSplit/>
        </w:trPr>
        <w:tc>
          <w:tcPr>
            <w:tcW w:type="dxa" w:w="271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28</w:t>
            </w:r>
          </w:p>
        </w:tc>
        <w:tc>
          <w:tcPr>
            <w:tcW w:type="dxa" w:w="271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Tn-low/Echo-positive</w:t>
            </w:r>
          </w:p>
        </w:tc>
        <w:tc>
          <w:tcPr>
            <w:tcW w:type="dxa" w:w="271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-0.082</w:t>
            </w:r>
          </w:p>
        </w:tc>
        <w:tc>
          <w:tcPr>
            <w:tcW w:type="dxa" w:w="271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0.014</w:t>
            </w:r>
          </w:p>
        </w:tc>
        <w:tc>
          <w:tcPr>
            <w:tcW w:type="dxa" w:w="271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894</w:t>
            </w:r>
          </w:p>
        </w:tc>
      </w:tr>
      <w:tr>
        <w:trPr>
          <w:cantSplit/>
        </w:trPr>
        <w:tc>
          <w:tcPr>
            <w:tcW w:type="dxa" w:w="271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28</w:t>
            </w:r>
          </w:p>
        </w:tc>
        <w:tc>
          <w:tcPr>
            <w:tcW w:type="dxa" w:w="271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Tn-high/Echo-positive</w:t>
            </w:r>
          </w:p>
        </w:tc>
        <w:tc>
          <w:tcPr>
            <w:tcW w:type="dxa" w:w="271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-0.057</w:t>
            </w:r>
          </w:p>
        </w:tc>
        <w:tc>
          <w:tcPr>
            <w:tcW w:type="dxa" w:w="271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0.087</w:t>
            </w:r>
          </w:p>
        </w:tc>
        <w:tc>
          <w:tcPr>
            <w:tcW w:type="dxa" w:w="271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894</w:t>
            </w:r>
          </w:p>
        </w:tc>
      </w:tr>
      <w:tr>
        <w:trPr>
          <w:cantSplit/>
        </w:trPr>
        <w:tc>
          <w:tcPr>
            <w:tcW w:type="dxa" w:w="271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90</w:t>
            </w:r>
          </w:p>
        </w:tc>
        <w:tc>
          <w:tcPr>
            <w:tcW w:type="dxa" w:w="271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Tn-high/Echo-negative</w:t>
            </w:r>
          </w:p>
        </w:tc>
        <w:tc>
          <w:tcPr>
            <w:tcW w:type="dxa" w:w="271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-0.043</w:t>
            </w:r>
          </w:p>
        </w:tc>
        <w:tc>
          <w:tcPr>
            <w:tcW w:type="dxa" w:w="271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0.154</w:t>
            </w:r>
          </w:p>
        </w:tc>
        <w:tc>
          <w:tcPr>
            <w:tcW w:type="dxa" w:w="271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1113</w:t>
            </w:r>
          </w:p>
        </w:tc>
      </w:tr>
      <w:tr>
        <w:trPr>
          <w:cantSplit/>
        </w:trPr>
        <w:tc>
          <w:tcPr>
            <w:tcW w:type="dxa" w:w="271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90</w:t>
            </w:r>
          </w:p>
        </w:tc>
        <w:tc>
          <w:tcPr>
            <w:tcW w:type="dxa" w:w="271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Tn-low/Echo-positive</w:t>
            </w:r>
          </w:p>
        </w:tc>
        <w:tc>
          <w:tcPr>
            <w:tcW w:type="dxa" w:w="271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-0.057</w:t>
            </w:r>
          </w:p>
        </w:tc>
        <w:tc>
          <w:tcPr>
            <w:tcW w:type="dxa" w:w="271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0.058</w:t>
            </w:r>
          </w:p>
        </w:tc>
        <w:tc>
          <w:tcPr>
            <w:tcW w:type="dxa" w:w="271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1113</w:t>
            </w:r>
          </w:p>
        </w:tc>
      </w:tr>
      <w:tr>
        <w:trPr>
          <w:cantSplit/>
        </w:trPr>
        <w:tc>
          <w:tcPr>
            <w:tcW w:type="dxa" w:w="271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90</w:t>
            </w:r>
          </w:p>
        </w:tc>
        <w:tc>
          <w:tcPr>
            <w:tcW w:type="dxa" w:w="271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Tn-high/Echo-positive</w:t>
            </w:r>
          </w:p>
        </w:tc>
        <w:tc>
          <w:tcPr>
            <w:tcW w:type="dxa" w:w="271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-0.044</w:t>
            </w:r>
          </w:p>
        </w:tc>
        <w:tc>
          <w:tcPr>
            <w:tcW w:type="dxa" w:w="271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0.140</w:t>
            </w:r>
          </w:p>
        </w:tc>
        <w:tc>
          <w:tcPr>
            <w:tcW w:type="dxa" w:w="2719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1113</w:t>
            </w:r>
          </w:p>
        </w:tc>
      </w:tr>
    </w:tbl>
    <w:p>
      <w:r>
        <w:rPr>
          <w:rFonts w:ascii="Times New Roman" w:hAnsi="Times New Roman" w:eastAsia="Times New Roman"/>
          <w:color w:val="FF0000"/>
        </w:rPr>
        <w:t>The Tn-low/Echo-positive term showed a nominal 28-day violation (P=0.014); piecewise estimates are reported in Table S10. Phenotype terms satisfied proportional hazards at 90 days.</w:t>
      </w:r>
    </w:p>
    <w:p>
      <w:r>
        <w:br w:type="page"/>
      </w:r>
    </w:p>
    <w:p>
      <w:pPr>
        <w:pStyle w:val="Heading2"/>
      </w:pPr>
      <w:r>
        <w:rPr>
          <w:rFonts w:ascii="Times New Roman" w:hAnsi="Times New Roman" w:eastAsia="Times New Roman"/>
          <w:color w:val="FF0000"/>
        </w:rPr>
        <w:t>Table S5  Pairwise 90-day log-rank tests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98"/>
        <w:gridCol w:w="3398"/>
        <w:gridCol w:w="3398"/>
        <w:gridCol w:w="3398"/>
      </w:tblGrid>
      <w:tr>
        <w:trPr>
          <w:cantSplit/>
          <w:tblHeader w:val="true"/>
        </w:trPr>
        <w:tc>
          <w:tcPr>
            <w:tcW w:type="dxa" w:w="339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1F4E78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FFFFFF"/>
                <w:sz w:val="17"/>
              </w:rPr>
              <w:t>Group 1</w:t>
            </w:r>
          </w:p>
        </w:tc>
        <w:tc>
          <w:tcPr>
            <w:tcW w:type="dxa" w:w="339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1F4E78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FFFFFF"/>
                <w:sz w:val="17"/>
              </w:rPr>
              <w:t>Group 2</w:t>
            </w:r>
          </w:p>
        </w:tc>
        <w:tc>
          <w:tcPr>
            <w:tcW w:type="dxa" w:w="339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1F4E78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FFFFFF"/>
                <w:sz w:val="17"/>
              </w:rPr>
              <w:t>Nominal P</w:t>
            </w:r>
          </w:p>
        </w:tc>
        <w:tc>
          <w:tcPr>
            <w:tcW w:type="dxa" w:w="339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1F4E78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FFFFFF"/>
                <w:sz w:val="17"/>
              </w:rPr>
              <w:t>Holm-adjusted P</w:t>
            </w:r>
          </w:p>
        </w:tc>
      </w:tr>
      <w:tr>
        <w:trPr>
          <w:cantSplit/>
        </w:trPr>
        <w:tc>
          <w:tcPr>
            <w:tcW w:type="dxa" w:w="339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TnLo/Echo-</w:t>
            </w:r>
          </w:p>
        </w:tc>
        <w:tc>
          <w:tcPr>
            <w:tcW w:type="dxa" w:w="339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TnHi/Echo-</w:t>
            </w:r>
          </w:p>
        </w:tc>
        <w:tc>
          <w:tcPr>
            <w:tcW w:type="dxa" w:w="339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0.106</w:t>
            </w:r>
          </w:p>
        </w:tc>
        <w:tc>
          <w:tcPr>
            <w:tcW w:type="dxa" w:w="339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0.317</w:t>
            </w:r>
          </w:p>
        </w:tc>
      </w:tr>
      <w:tr>
        <w:trPr>
          <w:cantSplit/>
        </w:trPr>
        <w:tc>
          <w:tcPr>
            <w:tcW w:type="dxa" w:w="339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TnLo/Echo-</w:t>
            </w:r>
          </w:p>
        </w:tc>
        <w:tc>
          <w:tcPr>
            <w:tcW w:type="dxa" w:w="339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TnLo/Echo+</w:t>
            </w:r>
          </w:p>
        </w:tc>
        <w:tc>
          <w:tcPr>
            <w:tcW w:type="dxa" w:w="339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0.171</w:t>
            </w:r>
          </w:p>
        </w:tc>
        <w:tc>
          <w:tcPr>
            <w:tcW w:type="dxa" w:w="339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0.343</w:t>
            </w:r>
          </w:p>
        </w:tc>
      </w:tr>
      <w:tr>
        <w:trPr>
          <w:cantSplit/>
        </w:trPr>
        <w:tc>
          <w:tcPr>
            <w:tcW w:type="dxa" w:w="339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TnLo/Echo-</w:t>
            </w:r>
          </w:p>
        </w:tc>
        <w:tc>
          <w:tcPr>
            <w:tcW w:type="dxa" w:w="339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TnHi/Echo+</w:t>
            </w:r>
          </w:p>
        </w:tc>
        <w:tc>
          <w:tcPr>
            <w:tcW w:type="dxa" w:w="339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&lt;0.001</w:t>
            </w:r>
          </w:p>
        </w:tc>
        <w:tc>
          <w:tcPr>
            <w:tcW w:type="dxa" w:w="339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&lt;0.001</w:t>
            </w:r>
          </w:p>
        </w:tc>
      </w:tr>
      <w:tr>
        <w:trPr>
          <w:cantSplit/>
        </w:trPr>
        <w:tc>
          <w:tcPr>
            <w:tcW w:type="dxa" w:w="339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TnHi/Echo-</w:t>
            </w:r>
          </w:p>
        </w:tc>
        <w:tc>
          <w:tcPr>
            <w:tcW w:type="dxa" w:w="339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TnLo/Echo+</w:t>
            </w:r>
          </w:p>
        </w:tc>
        <w:tc>
          <w:tcPr>
            <w:tcW w:type="dxa" w:w="339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0.991</w:t>
            </w:r>
          </w:p>
        </w:tc>
        <w:tc>
          <w:tcPr>
            <w:tcW w:type="dxa" w:w="339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0.991</w:t>
            </w:r>
          </w:p>
        </w:tc>
      </w:tr>
      <w:tr>
        <w:trPr>
          <w:cantSplit/>
        </w:trPr>
        <w:tc>
          <w:tcPr>
            <w:tcW w:type="dxa" w:w="339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TnHi/Echo-</w:t>
            </w:r>
          </w:p>
        </w:tc>
        <w:tc>
          <w:tcPr>
            <w:tcW w:type="dxa" w:w="339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TnHi/Echo+</w:t>
            </w:r>
          </w:p>
        </w:tc>
        <w:tc>
          <w:tcPr>
            <w:tcW w:type="dxa" w:w="339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&lt;0.001</w:t>
            </w:r>
          </w:p>
        </w:tc>
        <w:tc>
          <w:tcPr>
            <w:tcW w:type="dxa" w:w="339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&lt;0.001</w:t>
            </w:r>
          </w:p>
        </w:tc>
      </w:tr>
      <w:tr>
        <w:trPr>
          <w:cantSplit/>
        </w:trPr>
        <w:tc>
          <w:tcPr>
            <w:tcW w:type="dxa" w:w="339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TnLo/Echo+</w:t>
            </w:r>
          </w:p>
        </w:tc>
        <w:tc>
          <w:tcPr>
            <w:tcW w:type="dxa" w:w="339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TnHi/Echo+</w:t>
            </w:r>
          </w:p>
        </w:tc>
        <w:tc>
          <w:tcPr>
            <w:tcW w:type="dxa" w:w="339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&lt;0.001</w:t>
            </w:r>
          </w:p>
        </w:tc>
        <w:tc>
          <w:tcPr>
            <w:tcW w:type="dxa" w:w="339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0.003</w:t>
            </w:r>
          </w:p>
        </w:tc>
      </w:tr>
    </w:tbl>
    <w:p>
      <w:r>
        <w:br w:type="page"/>
      </w:r>
    </w:p>
    <w:p>
      <w:pPr>
        <w:pStyle w:val="Heading2"/>
      </w:pPr>
      <w:r>
        <w:rPr>
          <w:rFonts w:ascii="Times New Roman" w:hAnsi="Times New Roman" w:eastAsia="Times New Roman"/>
          <w:color w:val="FF0000"/>
        </w:rPr>
        <w:t>Table S6  Descriptive outcomes by ventricular subtype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98"/>
        <w:gridCol w:w="3398"/>
        <w:gridCol w:w="3398"/>
        <w:gridCol w:w="3398"/>
      </w:tblGrid>
      <w:tr>
        <w:trPr>
          <w:cantSplit/>
          <w:tblHeader w:val="true"/>
        </w:trPr>
        <w:tc>
          <w:tcPr>
            <w:tcW w:type="dxa" w:w="339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1F4E78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  <w:t>Ventricular subtype</w:t>
            </w:r>
          </w:p>
        </w:tc>
        <w:tc>
          <w:tcPr>
            <w:tcW w:type="dxa" w:w="339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1F4E78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  <w:t>n</w:t>
            </w:r>
          </w:p>
        </w:tc>
        <w:tc>
          <w:tcPr>
            <w:tcW w:type="dxa" w:w="339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1F4E78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  <w:t>28-day mortality</w:t>
            </w:r>
          </w:p>
        </w:tc>
        <w:tc>
          <w:tcPr>
            <w:tcW w:type="dxa" w:w="339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1F4E78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  <w:t>90-day mortality</w:t>
            </w:r>
          </w:p>
        </w:tc>
      </w:tr>
      <w:tr>
        <w:trPr>
          <w:cantSplit/>
        </w:trPr>
        <w:tc>
          <w:tcPr>
            <w:tcW w:type="dxa" w:w="339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8"/>
              </w:rPr>
              <w:t>Biventricular dysfunction</w:t>
            </w:r>
          </w:p>
        </w:tc>
        <w:tc>
          <w:tcPr>
            <w:tcW w:type="dxa" w:w="339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8"/>
              </w:rPr>
              <w:t>589</w:t>
            </w:r>
          </w:p>
        </w:tc>
        <w:tc>
          <w:tcPr>
            <w:tcW w:type="dxa" w:w="339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8"/>
              </w:rPr>
              <w:t>237 (40.2%)</w:t>
            </w:r>
          </w:p>
        </w:tc>
        <w:tc>
          <w:tcPr>
            <w:tcW w:type="dxa" w:w="339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8"/>
              </w:rPr>
              <w:t>296 (50.3%)</w:t>
            </w:r>
          </w:p>
        </w:tc>
      </w:tr>
      <w:tr>
        <w:trPr>
          <w:cantSplit/>
        </w:trPr>
        <w:tc>
          <w:tcPr>
            <w:tcW w:type="dxa" w:w="339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8"/>
              </w:rPr>
              <w:t>LV-only dysfunction</w:t>
            </w:r>
          </w:p>
        </w:tc>
        <w:tc>
          <w:tcPr>
            <w:tcW w:type="dxa" w:w="339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8"/>
              </w:rPr>
              <w:t>364</w:t>
            </w:r>
          </w:p>
        </w:tc>
        <w:tc>
          <w:tcPr>
            <w:tcW w:type="dxa" w:w="339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8"/>
              </w:rPr>
              <w:t>126 (34.6%)</w:t>
            </w:r>
          </w:p>
        </w:tc>
        <w:tc>
          <w:tcPr>
            <w:tcW w:type="dxa" w:w="339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8"/>
              </w:rPr>
              <w:t>162 (44.5%)</w:t>
            </w:r>
          </w:p>
        </w:tc>
      </w:tr>
      <w:tr>
        <w:trPr>
          <w:cantSplit/>
        </w:trPr>
        <w:tc>
          <w:tcPr>
            <w:tcW w:type="dxa" w:w="339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8"/>
              </w:rPr>
              <w:t>No systolic dysfunction</w:t>
            </w:r>
          </w:p>
        </w:tc>
        <w:tc>
          <w:tcPr>
            <w:tcW w:type="dxa" w:w="339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8"/>
              </w:rPr>
              <w:t>1219</w:t>
            </w:r>
          </w:p>
        </w:tc>
        <w:tc>
          <w:tcPr>
            <w:tcW w:type="dxa" w:w="339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8"/>
              </w:rPr>
              <w:t>387 (31.7%)</w:t>
            </w:r>
          </w:p>
        </w:tc>
        <w:tc>
          <w:tcPr>
            <w:tcW w:type="dxa" w:w="339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8"/>
              </w:rPr>
              <w:t>475 (39.0%)</w:t>
            </w:r>
          </w:p>
        </w:tc>
      </w:tr>
      <w:tr>
        <w:trPr>
          <w:cantSplit/>
        </w:trPr>
        <w:tc>
          <w:tcPr>
            <w:tcW w:type="dxa" w:w="339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8"/>
              </w:rPr>
              <w:t>RV-only dysfunction</w:t>
            </w:r>
          </w:p>
        </w:tc>
        <w:tc>
          <w:tcPr>
            <w:tcW w:type="dxa" w:w="339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8"/>
              </w:rPr>
              <w:t>351</w:t>
            </w:r>
          </w:p>
        </w:tc>
        <w:tc>
          <w:tcPr>
            <w:tcW w:type="dxa" w:w="339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8"/>
              </w:rPr>
              <w:t>144 (41.0%)</w:t>
            </w:r>
          </w:p>
        </w:tc>
        <w:tc>
          <w:tcPr>
            <w:tcW w:type="dxa" w:w="339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8"/>
              </w:rPr>
              <w:t>180 (51.3%)</w:t>
            </w:r>
          </w:p>
        </w:tc>
      </w:tr>
    </w:tbl>
    <w:p>
      <w:r>
        <w:br w:type="page"/>
      </w:r>
    </w:p>
    <w:p>
      <w:pPr>
        <w:pStyle w:val="Heading2"/>
      </w:pPr>
      <w:r>
        <w:rPr>
          <w:rFonts w:ascii="Times New Roman" w:hAnsi="Times New Roman" w:eastAsia="Times New Roman"/>
          <w:color w:val="FF0000"/>
        </w:rPr>
        <w:t>Table S7A  Prior-echo chronicity and mortality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1"/>
        <w:gridCol w:w="4531"/>
        <w:gridCol w:w="4531"/>
      </w:tblGrid>
      <w:tr>
        <w:trPr>
          <w:cantSplit/>
          <w:tblHeader w:val="true"/>
        </w:trPr>
        <w:tc>
          <w:tcPr>
            <w:tcW w:type="dxa" w:w="453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1F4E78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  <w:t>Category</w:t>
            </w:r>
          </w:p>
        </w:tc>
        <w:tc>
          <w:tcPr>
            <w:tcW w:type="dxa" w:w="453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1F4E78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  <w:t>n</w:t>
            </w:r>
          </w:p>
        </w:tc>
        <w:tc>
          <w:tcPr>
            <w:tcW w:type="dxa" w:w="453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1F4E78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  <w:t>90-day mortality</w:t>
            </w:r>
          </w:p>
        </w:tc>
      </w:tr>
      <w:tr>
        <w:trPr>
          <w:cantSplit/>
        </w:trPr>
        <w:tc>
          <w:tcPr>
            <w:tcW w:type="dxa" w:w="453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8"/>
              </w:rPr>
              <w:t>New systolic dysfunction</w:t>
            </w:r>
          </w:p>
        </w:tc>
        <w:tc>
          <w:tcPr>
            <w:tcW w:type="dxa" w:w="453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8"/>
              </w:rPr>
              <w:t>127</w:t>
            </w:r>
          </w:p>
        </w:tc>
        <w:tc>
          <w:tcPr>
            <w:tcW w:type="dxa" w:w="453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8"/>
              </w:rPr>
              <w:t>63 (49.6%)</w:t>
            </w:r>
          </w:p>
        </w:tc>
      </w:tr>
      <w:tr>
        <w:trPr>
          <w:cantSplit/>
        </w:trPr>
        <w:tc>
          <w:tcPr>
            <w:tcW w:type="dxa" w:w="453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8"/>
              </w:rPr>
              <w:t>No current systolic dysfunction</w:t>
            </w:r>
          </w:p>
        </w:tc>
        <w:tc>
          <w:tcPr>
            <w:tcW w:type="dxa" w:w="453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8"/>
              </w:rPr>
              <w:t>303</w:t>
            </w:r>
          </w:p>
        </w:tc>
        <w:tc>
          <w:tcPr>
            <w:tcW w:type="dxa" w:w="453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8"/>
              </w:rPr>
              <w:t>128 (42.2%)</w:t>
            </w:r>
          </w:p>
        </w:tc>
      </w:tr>
      <w:tr>
        <w:trPr>
          <w:cantSplit/>
        </w:trPr>
        <w:tc>
          <w:tcPr>
            <w:tcW w:type="dxa" w:w="453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8"/>
              </w:rPr>
              <w:t>Pre-existing systolic dysfunction</w:t>
            </w:r>
          </w:p>
        </w:tc>
        <w:tc>
          <w:tcPr>
            <w:tcW w:type="dxa" w:w="453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8"/>
              </w:rPr>
              <w:t>259</w:t>
            </w:r>
          </w:p>
        </w:tc>
        <w:tc>
          <w:tcPr>
            <w:tcW w:type="dxa" w:w="453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8"/>
              </w:rPr>
              <w:t>135 (52.1%)</w:t>
            </w:r>
          </w:p>
        </w:tc>
      </w:tr>
    </w:tbl>
    <w:p>
      <w:pPr>
        <w:pStyle w:val="Heading2"/>
      </w:pPr>
      <w:r>
        <w:rPr>
          <w:rFonts w:ascii="Times New Roman" w:hAnsi="Times New Roman" w:eastAsia="Times New Roman"/>
          <w:color w:val="FF0000"/>
        </w:rPr>
        <w:t>Table S7B  Repeat-LVEF recovery among echo-positive admissions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98"/>
        <w:gridCol w:w="3398"/>
        <w:gridCol w:w="3398"/>
        <w:gridCol w:w="3398"/>
      </w:tblGrid>
      <w:tr>
        <w:trPr>
          <w:cantSplit/>
          <w:tblHeader w:val="true"/>
        </w:trPr>
        <w:tc>
          <w:tcPr>
            <w:tcW w:type="dxa" w:w="339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1F4E78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  <w:t>Troponin stratum</w:t>
            </w:r>
          </w:p>
        </w:tc>
        <w:tc>
          <w:tcPr>
            <w:tcW w:type="dxa" w:w="339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1F4E78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  <w:t>n</w:t>
            </w:r>
          </w:p>
        </w:tc>
        <w:tc>
          <w:tcPr>
            <w:tcW w:type="dxa" w:w="339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1F4E78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  <w:t>LVEF change, percentage points</w:t>
            </w:r>
          </w:p>
        </w:tc>
        <w:tc>
          <w:tcPr>
            <w:tcW w:type="dxa" w:w="339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1F4E78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  <w:t>Recovery to LVEF ≥50%, n (%)</w:t>
            </w:r>
          </w:p>
        </w:tc>
      </w:tr>
      <w:tr>
        <w:trPr>
          <w:cantSplit/>
        </w:trPr>
        <w:tc>
          <w:tcPr>
            <w:tcW w:type="dxa" w:w="339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8"/>
              </w:rPr>
              <w:t>Tn-high</w:t>
            </w:r>
          </w:p>
        </w:tc>
        <w:tc>
          <w:tcPr>
            <w:tcW w:type="dxa" w:w="339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8"/>
              </w:rPr>
              <w:t>186</w:t>
            </w:r>
          </w:p>
        </w:tc>
        <w:tc>
          <w:tcPr>
            <w:tcW w:type="dxa" w:w="339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8"/>
              </w:rPr>
              <w:t>5.0 [-1.0, 15.0]</w:t>
            </w:r>
          </w:p>
        </w:tc>
        <w:tc>
          <w:tcPr>
            <w:tcW w:type="dxa" w:w="339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8"/>
              </w:rPr>
              <w:t>77 (41.4%)</w:t>
            </w:r>
          </w:p>
        </w:tc>
      </w:tr>
      <w:tr>
        <w:trPr>
          <w:cantSplit/>
        </w:trPr>
        <w:tc>
          <w:tcPr>
            <w:tcW w:type="dxa" w:w="339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8"/>
              </w:rPr>
              <w:t>Tn-low</w:t>
            </w:r>
          </w:p>
        </w:tc>
        <w:tc>
          <w:tcPr>
            <w:tcW w:type="dxa" w:w="339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8"/>
              </w:rPr>
              <w:t>49</w:t>
            </w:r>
          </w:p>
        </w:tc>
        <w:tc>
          <w:tcPr>
            <w:tcW w:type="dxa" w:w="339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8"/>
              </w:rPr>
              <w:t>3.0 [-5.0, 14.0]</w:t>
            </w:r>
          </w:p>
        </w:tc>
        <w:tc>
          <w:tcPr>
            <w:tcW w:type="dxa" w:w="339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8"/>
              </w:rPr>
              <w:t>22 (44.9%)</w:t>
            </w:r>
          </w:p>
        </w:tc>
      </w:tr>
    </w:tbl>
    <w:p>
      <w:r>
        <w:br w:type="page"/>
      </w:r>
    </w:p>
    <w:p>
      <w:pPr>
        <w:pStyle w:val="Heading2"/>
      </w:pPr>
      <w:r>
        <w:rPr>
          <w:rFonts w:ascii="Times New Roman" w:hAnsi="Times New Roman" w:eastAsia="Times New Roman"/>
          <w:color w:val="FF0000"/>
        </w:rPr>
        <w:t>Table S8  Subject-grouped cross-validated incremental performance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66"/>
        <w:gridCol w:w="2266"/>
        <w:gridCol w:w="2266"/>
        <w:gridCol w:w="2266"/>
        <w:gridCol w:w="2266"/>
        <w:gridCol w:w="2266"/>
      </w:tblGrid>
      <w:tr>
        <w:trPr>
          <w:cantSplit/>
          <w:tblHeader w:val="true"/>
        </w:trPr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1F4E78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FFFFFF"/>
                <w:sz w:val="17"/>
              </w:rPr>
              <w:t>Horizon</w:t>
            </w:r>
          </w:p>
        </w:tc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1F4E78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FFFFFF"/>
                <w:sz w:val="17"/>
              </w:rPr>
              <w:t>Model</w:t>
            </w:r>
          </w:p>
        </w:tc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1F4E78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FFFFFF"/>
                <w:sz w:val="17"/>
              </w:rPr>
              <w:t>n</w:t>
            </w:r>
          </w:p>
        </w:tc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1F4E78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FFFFFF"/>
                <w:sz w:val="17"/>
              </w:rPr>
              <w:t>Events</w:t>
            </w:r>
          </w:p>
        </w:tc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1F4E78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FFFFFF"/>
                <w:sz w:val="17"/>
              </w:rPr>
              <w:t>AUC</w:t>
            </w:r>
          </w:p>
        </w:tc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1F4E78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FFFFFF"/>
                <w:sz w:val="17"/>
              </w:rPr>
              <w:t>Brier score</w:t>
            </w:r>
          </w:p>
        </w:tc>
      </w:tr>
      <w:tr>
        <w:trPr>
          <w:cantSplit/>
        </w:trPr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28</w:t>
            </w:r>
          </w:p>
        </w:tc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Clinical covariates</w:t>
            </w:r>
          </w:p>
        </w:tc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2523</w:t>
            </w:r>
          </w:p>
        </w:tc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894</w:t>
            </w:r>
          </w:p>
        </w:tc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0.715</w:t>
            </w:r>
          </w:p>
        </w:tc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0.200</w:t>
            </w:r>
          </w:p>
        </w:tc>
      </w:tr>
      <w:tr>
        <w:trPr>
          <w:cantSplit/>
        </w:trPr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28</w:t>
            </w:r>
          </w:p>
        </w:tc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Clinical + troponin + echo</w:t>
            </w:r>
          </w:p>
        </w:tc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2523</w:t>
            </w:r>
          </w:p>
        </w:tc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894</w:t>
            </w:r>
          </w:p>
        </w:tc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0.718</w:t>
            </w:r>
          </w:p>
        </w:tc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0.198</w:t>
            </w:r>
          </w:p>
        </w:tc>
      </w:tr>
      <w:tr>
        <w:trPr>
          <w:cantSplit/>
        </w:trPr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28</w:t>
            </w:r>
          </w:p>
        </w:tc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Increment (extended minus clinical)</w:t>
            </w:r>
          </w:p>
        </w:tc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2523</w:t>
            </w:r>
          </w:p>
        </w:tc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894</w:t>
            </w:r>
          </w:p>
        </w:tc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0.003</w:t>
            </w:r>
          </w:p>
        </w:tc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-0.002</w:t>
            </w:r>
          </w:p>
        </w:tc>
      </w:tr>
      <w:tr>
        <w:trPr>
          <w:cantSplit/>
        </w:trPr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90</w:t>
            </w:r>
          </w:p>
        </w:tc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Clinical covariates</w:t>
            </w:r>
          </w:p>
        </w:tc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2523</w:t>
            </w:r>
          </w:p>
        </w:tc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1113</w:t>
            </w:r>
          </w:p>
        </w:tc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0.694</w:t>
            </w:r>
          </w:p>
        </w:tc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0.219</w:t>
            </w:r>
          </w:p>
        </w:tc>
      </w:tr>
      <w:tr>
        <w:trPr>
          <w:cantSplit/>
        </w:trPr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90</w:t>
            </w:r>
          </w:p>
        </w:tc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Clinical + troponin + echo</w:t>
            </w:r>
          </w:p>
        </w:tc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2523</w:t>
            </w:r>
          </w:p>
        </w:tc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1113</w:t>
            </w:r>
          </w:p>
        </w:tc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0.700</w:t>
            </w:r>
          </w:p>
        </w:tc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0.217</w:t>
            </w:r>
          </w:p>
        </w:tc>
      </w:tr>
      <w:tr>
        <w:trPr>
          <w:cantSplit/>
        </w:trPr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90</w:t>
            </w:r>
          </w:p>
        </w:tc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Increment (extended minus clinical)</w:t>
            </w:r>
          </w:p>
        </w:tc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2523</w:t>
            </w:r>
          </w:p>
        </w:tc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1113</w:t>
            </w:r>
          </w:p>
        </w:tc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0.006</w:t>
            </w:r>
          </w:p>
        </w:tc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7"/>
              </w:rPr>
              <w:t>-0.002</w:t>
            </w:r>
          </w:p>
        </w:tc>
      </w:tr>
    </w:tbl>
    <w:p>
      <w:r>
        <w:rPr>
          <w:rFonts w:ascii="Times New Roman" w:hAnsi="Times New Roman" w:eastAsia="Times New Roman"/>
          <w:color w:val="FF0000"/>
        </w:rPr>
        <w:t>The increment rows report extended minus clinical performance. Negative Brier differences favor the extended model. These exploratory metrics quantify incremental information and do not establish a deployment-ready prediction model.</w:t>
      </w:r>
    </w:p>
    <w:p>
      <w:r>
        <w:br w:type="page"/>
      </w:r>
    </w:p>
    <w:p>
      <w:pPr>
        <w:pStyle w:val="Heading2"/>
      </w:pPr>
      <w:r>
        <w:rPr>
          <w:rFonts w:ascii="Times New Roman" w:hAnsi="Times New Roman" w:eastAsia="Times New Roman"/>
          <w:color w:val="FF0000"/>
        </w:rPr>
        <w:t>Table S9  Repeated-admission and overlapping-window audit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6797"/>
        <w:gridCol w:w="6797"/>
      </w:tblGrid>
      <w:tr>
        <w:trPr>
          <w:cantSplit/>
          <w:tblHeader w:val="true"/>
        </w:trPr>
        <w:tc>
          <w:tcPr>
            <w:tcW w:type="dxa" w:w="679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1F4E78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  <w:t>Measure</w:t>
            </w:r>
          </w:p>
        </w:tc>
        <w:tc>
          <w:tcPr>
            <w:tcW w:type="dxa" w:w="679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1F4E78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  <w:t>Value</w:t>
            </w:r>
          </w:p>
        </w:tc>
      </w:tr>
      <w:tr>
        <w:trPr>
          <w:cantSplit/>
        </w:trPr>
        <w:tc>
          <w:tcPr>
            <w:tcW w:type="dxa" w:w="679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8"/>
              </w:rPr>
              <w:t>Primary admissions</w:t>
            </w:r>
          </w:p>
        </w:tc>
        <w:tc>
          <w:tcPr>
            <w:tcW w:type="dxa" w:w="679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8"/>
              </w:rPr>
              <w:t>2,523</w:t>
            </w:r>
          </w:p>
        </w:tc>
      </w:tr>
      <w:tr>
        <w:trPr>
          <w:cantSplit/>
        </w:trPr>
        <w:tc>
          <w:tcPr>
            <w:tcW w:type="dxa" w:w="679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8"/>
              </w:rPr>
              <w:t>Unique patients</w:t>
            </w:r>
          </w:p>
        </w:tc>
        <w:tc>
          <w:tcPr>
            <w:tcW w:type="dxa" w:w="679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8"/>
              </w:rPr>
              <w:t>2,445</w:t>
            </w:r>
          </w:p>
        </w:tc>
      </w:tr>
      <w:tr>
        <w:trPr>
          <w:cantSplit/>
        </w:trPr>
        <w:tc>
          <w:tcPr>
            <w:tcW w:type="dxa" w:w="679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8"/>
              </w:rPr>
              <w:t>Additional admissions beyond first per patient</w:t>
            </w:r>
          </w:p>
        </w:tc>
        <w:tc>
          <w:tcPr>
            <w:tcW w:type="dxa" w:w="679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8"/>
              </w:rPr>
              <w:t>78</w:t>
            </w:r>
          </w:p>
        </w:tc>
      </w:tr>
      <w:tr>
        <w:trPr>
          <w:cantSplit/>
        </w:trPr>
        <w:tc>
          <w:tcPr>
            <w:tcW w:type="dxa" w:w="679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8"/>
              </w:rPr>
              <w:t>Overlapping 90-day risk-window pairs</w:t>
            </w:r>
          </w:p>
        </w:tc>
        <w:tc>
          <w:tcPr>
            <w:tcW w:type="dxa" w:w="679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8"/>
              </w:rPr>
              <w:t>21</w:t>
            </w:r>
          </w:p>
        </w:tc>
      </w:tr>
      <w:tr>
        <w:trPr>
          <w:cantSplit/>
        </w:trPr>
        <w:tc>
          <w:tcPr>
            <w:tcW w:type="dxa" w:w="679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8"/>
              </w:rPr>
              <w:t>Patients contributing an overlap</w:t>
            </w:r>
          </w:p>
        </w:tc>
        <w:tc>
          <w:tcPr>
            <w:tcW w:type="dxa" w:w="679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8"/>
              </w:rPr>
              <w:t>17</w:t>
            </w:r>
          </w:p>
        </w:tc>
      </w:tr>
      <w:tr>
        <w:trPr>
          <w:cantSplit/>
        </w:trPr>
        <w:tc>
          <w:tcPr>
            <w:tcW w:type="dxa" w:w="679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8"/>
              </w:rPr>
              <w:t>Admissions involved in an overlap</w:t>
            </w:r>
          </w:p>
        </w:tc>
        <w:tc>
          <w:tcPr>
            <w:tcW w:type="dxa" w:w="679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8"/>
              </w:rPr>
              <w:t>36</w:t>
            </w:r>
          </w:p>
        </w:tc>
      </w:tr>
    </w:tbl>
    <w:p>
      <w:r>
        <w:br w:type="page"/>
      </w:r>
    </w:p>
    <w:p>
      <w:pPr>
        <w:pStyle w:val="Heading2"/>
      </w:pPr>
      <w:r>
        <w:rPr>
          <w:rFonts w:ascii="Times New Roman" w:hAnsi="Times New Roman" w:eastAsia="Times New Roman"/>
          <w:color w:val="FF0000"/>
        </w:rPr>
        <w:t>Table S10  Piecewise Cox estimates for 28-day mortality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66"/>
        <w:gridCol w:w="2266"/>
        <w:gridCol w:w="2266"/>
        <w:gridCol w:w="2266"/>
        <w:gridCol w:w="2266"/>
        <w:gridCol w:w="2266"/>
      </w:tblGrid>
      <w:tr>
        <w:trPr>
          <w:cantSplit/>
          <w:tblHeader w:val="true"/>
        </w:trPr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1F4E78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FFFFFF"/>
                <w:sz w:val="16"/>
              </w:rPr>
              <w:t>Interval</w:t>
            </w:r>
          </w:p>
        </w:tc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1F4E78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FFFFFF"/>
                <w:sz w:val="16"/>
              </w:rPr>
              <w:t>Phenotype</w:t>
            </w:r>
          </w:p>
        </w:tc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1F4E78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FFFFFF"/>
                <w:sz w:val="16"/>
              </w:rPr>
              <w:t>n at risk</w:t>
            </w:r>
          </w:p>
        </w:tc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1F4E78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FFFFFF"/>
                <w:sz w:val="16"/>
              </w:rPr>
              <w:t>Deaths</w:t>
            </w:r>
          </w:p>
        </w:tc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1F4E78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FFFFFF"/>
                <w:sz w:val="16"/>
              </w:rPr>
              <w:t>Adjusted HR (95% CI)</w:t>
            </w:r>
          </w:p>
        </w:tc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1F4E78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color w:val="FFFFFF"/>
                <w:sz w:val="16"/>
              </w:rPr>
              <w:t>P value</w:t>
            </w:r>
          </w:p>
        </w:tc>
      </w:tr>
      <w:tr>
        <w:trPr>
          <w:cantSplit/>
        </w:trPr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0-7 days</w:t>
            </w:r>
          </w:p>
        </w:tc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TnHi/Echo-</w:t>
            </w:r>
          </w:p>
        </w:tc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2523</w:t>
            </w:r>
          </w:p>
        </w:tc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532</w:t>
            </w:r>
          </w:p>
        </w:tc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1.40 (1.06–1.85)</w:t>
            </w:r>
          </w:p>
        </w:tc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0.018</w:t>
            </w:r>
          </w:p>
        </w:tc>
      </w:tr>
      <w:tr>
        <w:trPr>
          <w:cantSplit/>
        </w:trPr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0-7 days</w:t>
            </w:r>
          </w:p>
        </w:tc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TnLo/Echo+</w:t>
            </w:r>
          </w:p>
        </w:tc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2523</w:t>
            </w:r>
          </w:p>
        </w:tc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532</w:t>
            </w:r>
          </w:p>
        </w:tc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1.67 (1.19–2.35)</w:t>
            </w:r>
          </w:p>
        </w:tc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0.003</w:t>
            </w:r>
          </w:p>
        </w:tc>
      </w:tr>
      <w:tr>
        <w:trPr>
          <w:cantSplit/>
        </w:trPr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0-7 days</w:t>
            </w:r>
          </w:p>
        </w:tc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TnHi/Echo+</w:t>
            </w:r>
          </w:p>
        </w:tc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2523</w:t>
            </w:r>
          </w:p>
        </w:tc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532</w:t>
            </w:r>
          </w:p>
        </w:tc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1.93 (1.46–2.53)</w:t>
            </w:r>
          </w:p>
        </w:tc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&lt;0.001</w:t>
            </w:r>
          </w:p>
        </w:tc>
      </w:tr>
      <w:tr>
        <w:trPr>
          <w:cantSplit/>
        </w:trPr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7-28 days</w:t>
            </w:r>
          </w:p>
        </w:tc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TnHi/Echo-</w:t>
            </w:r>
          </w:p>
        </w:tc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1991</w:t>
            </w:r>
          </w:p>
        </w:tc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362</w:t>
            </w:r>
          </w:p>
        </w:tc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0.98 (0.72–1.34)</w:t>
            </w:r>
          </w:p>
        </w:tc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0.898</w:t>
            </w:r>
          </w:p>
        </w:tc>
      </w:tr>
      <w:tr>
        <w:trPr>
          <w:cantSplit/>
        </w:trPr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7-28 days</w:t>
            </w:r>
          </w:p>
        </w:tc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TnLo/Echo+</w:t>
            </w:r>
          </w:p>
        </w:tc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1991</w:t>
            </w:r>
          </w:p>
        </w:tc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362</w:t>
            </w:r>
          </w:p>
        </w:tc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0.98 (0.66–1.44)</w:t>
            </w:r>
          </w:p>
        </w:tc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0.903</w:t>
            </w:r>
          </w:p>
        </w:tc>
      </w:tr>
      <w:tr>
        <w:trPr>
          <w:cantSplit/>
        </w:trPr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7-28 days</w:t>
            </w:r>
          </w:p>
        </w:tc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TnHi/Echo+</w:t>
            </w:r>
          </w:p>
        </w:tc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1991</w:t>
            </w:r>
          </w:p>
        </w:tc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362</w:t>
            </w:r>
          </w:p>
        </w:tc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1.35 (1.01–1.81)</w:t>
            </w:r>
          </w:p>
        </w:tc>
        <w:tc>
          <w:tcPr>
            <w:tcW w:type="dxa" w:w="2266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  <w:shd w:fill="F2F7FB"/>
          </w:tcPr>
          <w:p>
            <w:pPr>
              <w:spacing w:after="0" w:line="240" w:lineRule="auto"/>
            </w:pPr>
            <w:r>
              <w:rPr>
                <w:rFonts w:ascii="Times New Roman" w:hAnsi="Times New Roman" w:eastAsia="Times New Roman"/>
                <w:b w:val="0"/>
                <w:color w:val="FF0000"/>
                <w:sz w:val="16"/>
              </w:rPr>
              <w:t>0.041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Supplementary figures</w:t>
      </w:r>
    </w:p>
    <w:p>
      <w:pPr>
        <w:pStyle w:val="Heading2"/>
      </w:pPr>
      <w:r>
        <w:rPr>
          <w:rFonts w:ascii="Times New Roman" w:hAnsi="Times New Roman" w:eastAsia="Times New Roman"/>
          <w:color w:val="FF0000"/>
        </w:rPr>
        <w:t>Supplementary Figure S1  Phenotype distribution and mortality</w:t>
      </w:r>
    </w:p>
    <w:p>
      <w:r>
        <w:drawing>
          <wp:inline xmlns:a="http://schemas.openxmlformats.org/drawingml/2006/main" xmlns:pic="http://schemas.openxmlformats.org/drawingml/2006/picture">
            <wp:extent cx="8046720" cy="351129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upplementary_Figure_S1_Distribution_Mortality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046720" cy="35112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Times New Roman" w:hAnsi="Times New Roman" w:eastAsia="Times New Roman"/>
          <w:color w:val="FF0000"/>
        </w:rPr>
        <w:t>Phenotype distribution and unadjusted 28- and 90-day mortality in the primary cohort.</w:t>
      </w:r>
    </w:p>
    <w:p>
      <w:r>
        <w:br w:type="page"/>
      </w:r>
    </w:p>
    <w:p>
      <w:pPr>
        <w:pStyle w:val="Heading2"/>
      </w:pPr>
      <w:r>
        <w:rPr>
          <w:rFonts w:ascii="Times New Roman" w:hAnsi="Times New Roman" w:eastAsia="Times New Roman"/>
          <w:color w:val="FF0000"/>
        </w:rPr>
        <w:t>Supplementary Figure S2  Sensitivity analyses</w:t>
      </w:r>
    </w:p>
    <w:p>
      <w:r>
        <w:drawing>
          <wp:inline xmlns:a="http://schemas.openxmlformats.org/drawingml/2006/main" xmlns:pic="http://schemas.openxmlformats.org/drawingml/2006/picture">
            <wp:extent cx="6766560" cy="575877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upplementary_Figure_S2_Sensitivity_Forest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66560" cy="57587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Times New Roman" w:hAnsi="Times New Roman" w:eastAsia="Times New Roman"/>
          <w:color w:val="FF0000"/>
        </w:rPr>
        <w:t>Adjusted 90-day association of double-positive versus double-negative status across alternative definitions and analytic restrictions.</w:t>
      </w:r>
    </w:p>
    <w:sectPr w:rsidR="00FC693F" w:rsidRPr="0006063C" w:rsidSect="00034616">
      <w:footerReference w:type="default" r:id="rId11"/>
      <w:pgSz w:w="15840" w:h="12240" w:orient="landscape"/>
      <w:pgMar w:top="1037" w:right="1123" w:bottom="1037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Times New Roman" w:hAnsi="Times New Roman" w:eastAsia="Times New Roman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00" w:line="259" w:lineRule="auto"/>
    </w:pPr>
    <w:rPr>
      <w:rFonts w:ascii="Times New Roman" w:hAnsi="Times New Roman" w:eastAsia="Times New Roman"/>
      <w:color w:val="000000"/>
      <w:sz w:val="21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