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9D260" w14:textId="77777777" w:rsidR="00BA14A4" w:rsidRPr="002A2504" w:rsidRDefault="00000000">
      <w:pPr>
        <w:pStyle w:val="1"/>
        <w:rPr>
          <w:rFonts w:ascii="Times New Roman" w:hAnsi="Times New Roman" w:cs="Times New Roman"/>
        </w:rPr>
      </w:pPr>
      <w:r w:rsidRPr="002A2504">
        <w:rPr>
          <w:rFonts w:ascii="Times New Roman" w:hAnsi="Times New Roman" w:cs="Times New Roman"/>
        </w:rPr>
        <w:t>STROBE checklist—cohort study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2381"/>
        <w:gridCol w:w="5102"/>
        <w:gridCol w:w="2835"/>
        <w:gridCol w:w="1417"/>
      </w:tblGrid>
      <w:tr w:rsidR="00BA14A4" w:rsidRPr="002A2504" w14:paraId="49870F29" w14:textId="77777777">
        <w:trPr>
          <w:tblHeader/>
          <w:jc w:val="center"/>
          <w:cantSplit/>
          <w:tblHeader w:val="true"/>
        </w:trPr>
        <w:tc>
          <w:tcPr>
            <w:tcW w:w="1134" w:type="dxa"/>
            <w:shd w:val="clear" w:color="auto" w:fill="1F4E78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31C899F9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/>
                <w:color w:val="FFFFFF"/>
                <w:sz w:val="16"/>
              </w:rPr>
              <w:t>Item</w:t>
            </w:r>
          </w:p>
        </w:tc>
        <w:tc>
          <w:tcPr>
            <w:tcW w:w="2381" w:type="dxa"/>
            <w:shd w:val="clear" w:color="auto" w:fill="1F4E78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77C7AAEA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/>
                <w:color w:val="FFFFFF"/>
                <w:sz w:val="16"/>
              </w:rPr>
              <w:t>STROBE domain</w:t>
            </w:r>
          </w:p>
        </w:tc>
        <w:tc>
          <w:tcPr>
            <w:tcW w:w="5102" w:type="dxa"/>
            <w:shd w:val="clear" w:color="auto" w:fill="1F4E78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41F4BB75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/>
                <w:color w:val="FFFFFF"/>
                <w:sz w:val="16"/>
              </w:rPr>
              <w:t>Reported content</w:t>
            </w:r>
          </w:p>
        </w:tc>
        <w:tc>
          <w:tcPr>
            <w:tcW w:w="2835" w:type="dxa"/>
            <w:shd w:val="clear" w:color="auto" w:fill="1F4E78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64C8596F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/>
                <w:color w:val="FFFFFF"/>
                <w:sz w:val="16"/>
              </w:rPr>
              <w:t>Location</w:t>
            </w:r>
          </w:p>
        </w:tc>
        <w:tc>
          <w:tcPr>
            <w:tcW w:w="1417" w:type="dxa"/>
            <w:shd w:val="clear" w:color="auto" w:fill="1F4E78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751BE0AC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/>
                <w:color w:val="FFFFFF"/>
                <w:sz w:val="16"/>
              </w:rPr>
              <w:t>Status</w:t>
            </w:r>
          </w:p>
        </w:tc>
      </w:tr>
      <w:tr w:rsidR="00BA14A4" w:rsidRPr="002A2504" w14:paraId="53D761D7" w14:textId="77777777">
        <w:trPr>
          <w:jc w:val="center"/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5D5D684B" w14:textId="77777777" w:rsidR="00BA14A4" w:rsidRPr="002A250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w="2381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6376DB43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Title and abstract</w:t>
            </w:r>
          </w:p>
        </w:tc>
        <w:tc>
          <w:tcPr>
            <w:tcW w:w="5102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61C68742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  <w:color w:val="FF0000"/>
              </w:rPr>
              <w:t>Design, selected tested-and-imaged population, primary cohort size, and adjusted HRs</w:t>
            </w:r>
          </w:p>
        </w:tc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183FDABA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  <w:color w:val="FF0000"/>
              </w:rPr>
              <w:t>Title; Abstract</w:t>
            </w:r>
          </w:p>
        </w:tc>
        <w:tc>
          <w:tcPr>
            <w:tcW w:w="1417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64B6CCB0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Complete</w:t>
            </w:r>
          </w:p>
        </w:tc>
      </w:tr>
      <w:tr w:rsidR="00BA14A4" w:rsidRPr="002A2504" w14:paraId="5DFBF18C" w14:textId="77777777">
        <w:trPr>
          <w:jc w:val="center"/>
          <w:cantSplit/>
        </w:trPr>
        <w:tc>
          <w:tcPr>
            <w:tcW w:w="1134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08D15026" w14:textId="77777777" w:rsidR="00BA14A4" w:rsidRPr="002A250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2–3</w:t>
            </w:r>
          </w:p>
        </w:tc>
        <w:tc>
          <w:tcPr>
            <w:tcW w:w="2381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60FC6984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Background and objectives</w:t>
            </w:r>
          </w:p>
        </w:tc>
        <w:tc>
          <w:tcPr>
            <w:tcW w:w="5102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4E68D122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Scientific rationale and prespecified hypotheses</w:t>
            </w:r>
          </w:p>
        </w:tc>
        <w:tc>
          <w:tcPr>
            <w:tcW w:w="2835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262BD993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Introduction</w:t>
            </w:r>
          </w:p>
        </w:tc>
        <w:tc>
          <w:tcPr>
            <w:tcW w:w="1417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7B46962B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Complete</w:t>
            </w:r>
          </w:p>
        </w:tc>
      </w:tr>
      <w:tr w:rsidR="00BA14A4" w:rsidRPr="002A2504" w14:paraId="6891AD37" w14:textId="77777777">
        <w:trPr>
          <w:jc w:val="center"/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256E6080" w14:textId="77777777" w:rsidR="00BA14A4" w:rsidRPr="002A250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w="2381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1678E3C5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Study design</w:t>
            </w:r>
          </w:p>
        </w:tc>
        <w:tc>
          <w:tcPr>
            <w:tcW w:w="5102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36C6CB2B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Retrospective observational cohort stated</w:t>
            </w:r>
          </w:p>
        </w:tc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036CF8DB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Methods—Study design</w:t>
            </w:r>
          </w:p>
        </w:tc>
        <w:tc>
          <w:tcPr>
            <w:tcW w:w="1417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0693A0EF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Complete</w:t>
            </w:r>
          </w:p>
        </w:tc>
      </w:tr>
      <w:tr w:rsidR="00BA14A4" w:rsidRPr="002A2504" w14:paraId="2630F626" w14:textId="77777777">
        <w:trPr>
          <w:jc w:val="center"/>
          <w:cantSplit/>
        </w:trPr>
        <w:tc>
          <w:tcPr>
            <w:tcW w:w="1134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37AF0041" w14:textId="77777777" w:rsidR="00BA14A4" w:rsidRPr="002A250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w="2381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4FA99F52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Setting</w:t>
            </w:r>
          </w:p>
        </w:tc>
        <w:tc>
          <w:tcPr>
            <w:tcW w:w="5102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3951E13C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MIMIC-IV v3.1, MIMIC-IV-ECHO v1.0, ICU/TTE windows</w:t>
            </w:r>
          </w:p>
        </w:tc>
        <w:tc>
          <w:tcPr>
            <w:tcW w:w="2835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153A8979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Methods—Data sources</w:t>
            </w:r>
          </w:p>
        </w:tc>
        <w:tc>
          <w:tcPr>
            <w:tcW w:w="1417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01B8B629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Complete</w:t>
            </w:r>
          </w:p>
        </w:tc>
      </w:tr>
      <w:tr w:rsidR="00BA14A4" w:rsidRPr="002A2504" w14:paraId="63C74D57" w14:textId="77777777">
        <w:trPr>
          <w:jc w:val="center"/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3F5FCC93" w14:textId="77777777" w:rsidR="00BA14A4" w:rsidRPr="002A250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w="2381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5937F9CB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Participants</w:t>
            </w:r>
          </w:p>
        </w:tc>
        <w:tc>
          <w:tcPr>
            <w:tcW w:w="5102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5376CB25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  <w:color w:val="FF0000"/>
              </w:rPr>
              <w:t>Eligibility, strict pre-index troponin, complete LV/RV requirement, admission rule, exclusions</w:t>
            </w:r>
          </w:p>
        </w:tc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0F5C2196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  <w:color w:val="FF0000"/>
              </w:rPr>
              <w:t>Methods—Cohort; Figure 1</w:t>
            </w:r>
          </w:p>
        </w:tc>
        <w:tc>
          <w:tcPr>
            <w:tcW w:w="1417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5C81347B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Complete</w:t>
            </w:r>
          </w:p>
        </w:tc>
      </w:tr>
      <w:tr w:rsidR="00BA14A4" w:rsidRPr="002A2504" w14:paraId="40DE6C31" w14:textId="77777777">
        <w:trPr>
          <w:jc w:val="center"/>
          <w:cantSplit/>
        </w:trPr>
        <w:tc>
          <w:tcPr>
            <w:tcW w:w="1134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6FEEE9B4" w14:textId="77777777" w:rsidR="00BA14A4" w:rsidRPr="002A250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w="2381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3B889C32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Variables</w:t>
            </w:r>
          </w:p>
        </w:tc>
        <w:tc>
          <w:tcPr>
            <w:tcW w:w="5102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02DD031C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Phenotypes, outcomes, covariates defined</w:t>
            </w:r>
          </w:p>
        </w:tc>
        <w:tc>
          <w:tcPr>
            <w:tcW w:w="2835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73CCED96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Methods—Exposure/Outcomes</w:t>
            </w:r>
          </w:p>
        </w:tc>
        <w:tc>
          <w:tcPr>
            <w:tcW w:w="1417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17C377FA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Complete</w:t>
            </w:r>
          </w:p>
        </w:tc>
      </w:tr>
      <w:tr w:rsidR="00BA14A4" w:rsidRPr="002A2504" w14:paraId="1FC9BAE1" w14:textId="77777777">
        <w:trPr>
          <w:jc w:val="center"/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2FE95A62" w14:textId="77777777" w:rsidR="00BA14A4" w:rsidRPr="002A250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w="2381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263D3F7D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Data sources/measurement</w:t>
            </w:r>
          </w:p>
        </w:tc>
        <w:tc>
          <w:tcPr>
            <w:tcW w:w="5102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16B968BE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  <w:color w:val="FF0000"/>
              </w:rPr>
              <w:t>Troponin item/ULN, LVEF hierarchy, exact structured RV categories, chamber completeness</w:t>
            </w:r>
          </w:p>
        </w:tc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61F3FBB1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  <w:color w:val="FF0000"/>
              </w:rPr>
              <w:t>Methods—Exposure</w:t>
            </w:r>
          </w:p>
        </w:tc>
        <w:tc>
          <w:tcPr>
            <w:tcW w:w="1417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680B97C1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Complete</w:t>
            </w:r>
          </w:p>
        </w:tc>
      </w:tr>
      <w:tr w:rsidR="00BA14A4" w:rsidRPr="002A2504" w14:paraId="0219B585" w14:textId="77777777">
        <w:trPr>
          <w:jc w:val="center"/>
          <w:cantSplit/>
        </w:trPr>
        <w:tc>
          <w:tcPr>
            <w:tcW w:w="1134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19131592" w14:textId="77777777" w:rsidR="00BA14A4" w:rsidRPr="002A250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w="2381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0C2F2EA0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Bias</w:t>
            </w:r>
          </w:p>
        </w:tc>
        <w:tc>
          <w:tcPr>
            <w:tcW w:w="5102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091C6687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  <w:color w:val="FF0000"/>
              </w:rPr>
              <w:t>Clinical test ordering, selection/collider bias, loading, residual confounding</w:t>
            </w:r>
          </w:p>
        </w:tc>
        <w:tc>
          <w:tcPr>
            <w:tcW w:w="2835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2195F793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  <w:color w:val="FF0000"/>
              </w:rPr>
              <w:t>Discussion—Limitations</w:t>
            </w:r>
          </w:p>
        </w:tc>
        <w:tc>
          <w:tcPr>
            <w:tcW w:w="1417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11479487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Complete</w:t>
            </w:r>
          </w:p>
        </w:tc>
      </w:tr>
      <w:tr w:rsidR="00BA14A4" w:rsidRPr="002A2504" w14:paraId="1A83258E" w14:textId="77777777">
        <w:trPr>
          <w:jc w:val="center"/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2F5564D1" w14:textId="77777777" w:rsidR="00BA14A4" w:rsidRPr="002A250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w="2381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7A0973ED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Study size</w:t>
            </w:r>
          </w:p>
        </w:tc>
        <w:tc>
          <w:tcPr>
            <w:tcW w:w="5102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57B13F4F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  <w:color w:val="FF0000"/>
              </w:rPr>
              <w:t>Flow from 41,296 ICU stays to 2,523 admissions</w:t>
            </w:r>
          </w:p>
        </w:tc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45D6AF69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  <w:color w:val="FF0000"/>
              </w:rPr>
              <w:t>Methods; Figure 1</w:t>
            </w:r>
          </w:p>
        </w:tc>
        <w:tc>
          <w:tcPr>
            <w:tcW w:w="1417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581436B2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Complete</w:t>
            </w:r>
          </w:p>
        </w:tc>
      </w:tr>
      <w:tr w:rsidR="00BA14A4" w:rsidRPr="002A2504" w14:paraId="4E71EB01" w14:textId="77777777">
        <w:trPr>
          <w:jc w:val="center"/>
          <w:cantSplit/>
        </w:trPr>
        <w:tc>
          <w:tcPr>
            <w:tcW w:w="1134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344478BA" w14:textId="77777777" w:rsidR="00BA14A4" w:rsidRPr="002A250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w="2381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41D83DA1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Quantitative variables</w:t>
            </w:r>
          </w:p>
        </w:tc>
        <w:tc>
          <w:tcPr>
            <w:tcW w:w="5102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1FC11CF6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5×ULN primary; alternative thresholds; RCS</w:t>
            </w:r>
          </w:p>
        </w:tc>
        <w:tc>
          <w:tcPr>
            <w:tcW w:w="2835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4E80CA2E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Methods—Statistics</w:t>
            </w:r>
          </w:p>
        </w:tc>
        <w:tc>
          <w:tcPr>
            <w:tcW w:w="1417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3DD9251F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Complete</w:t>
            </w:r>
          </w:p>
        </w:tc>
      </w:tr>
      <w:tr w:rsidR="00BA14A4" w:rsidRPr="002A2504" w14:paraId="6A788CB6" w14:textId="77777777">
        <w:trPr>
          <w:jc w:val="center"/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03516FEA" w14:textId="77777777" w:rsidR="00BA14A4" w:rsidRPr="002A250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12a–b</w:t>
            </w:r>
          </w:p>
        </w:tc>
        <w:tc>
          <w:tcPr>
            <w:tcW w:w="2381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663F22B9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Statistical methods/confounding</w:t>
            </w:r>
          </w:p>
        </w:tc>
        <w:tc>
          <w:tcPr>
            <w:tcW w:w="5102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1F23EE53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  <w:color w:val="FF0000"/>
              </w:rPr>
              <w:t>Subject-clustered Cox with pre-index covariates and modified Charlson score</w:t>
            </w:r>
          </w:p>
        </w:tc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407AABD6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  <w:color w:val="FF0000"/>
              </w:rPr>
              <w:t>Methods—Statistics</w:t>
            </w:r>
          </w:p>
        </w:tc>
        <w:tc>
          <w:tcPr>
            <w:tcW w:w="1417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3D1F07BC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Complete</w:t>
            </w:r>
          </w:p>
        </w:tc>
      </w:tr>
      <w:tr w:rsidR="00BA14A4" w:rsidRPr="002A2504" w14:paraId="6332C570" w14:textId="77777777">
        <w:trPr>
          <w:jc w:val="center"/>
          <w:cantSplit/>
        </w:trPr>
        <w:tc>
          <w:tcPr>
            <w:tcW w:w="1134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2DBB2505" w14:textId="77777777" w:rsidR="00BA14A4" w:rsidRPr="002A250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12c</w:t>
            </w:r>
          </w:p>
        </w:tc>
        <w:tc>
          <w:tcPr>
            <w:tcW w:w="2381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7F87F0CD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Subgroups/interactions</w:t>
            </w:r>
          </w:p>
        </w:tc>
        <w:tc>
          <w:tcPr>
            <w:tcW w:w="5102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1D2DED53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Seven subgroups and BH q values</w:t>
            </w:r>
          </w:p>
        </w:tc>
        <w:tc>
          <w:tcPr>
            <w:tcW w:w="2835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05F63E95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Methods; Table S2</w:t>
            </w:r>
          </w:p>
        </w:tc>
        <w:tc>
          <w:tcPr>
            <w:tcW w:w="1417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52CB7ACC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Complete</w:t>
            </w:r>
          </w:p>
        </w:tc>
      </w:tr>
      <w:tr w:rsidR="00BA14A4" w:rsidRPr="002A2504" w14:paraId="7D77146B" w14:textId="77777777">
        <w:trPr>
          <w:jc w:val="center"/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2DCD5805" w14:textId="77777777" w:rsidR="00BA14A4" w:rsidRPr="002A250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12d</w:t>
            </w:r>
          </w:p>
        </w:tc>
        <w:tc>
          <w:tcPr>
            <w:tcW w:w="2381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39B674BC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Missing data</w:t>
            </w:r>
          </w:p>
        </w:tc>
        <w:tc>
          <w:tcPr>
            <w:tcW w:w="5102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27A91DA0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  <w:color w:val="FF0000"/>
              </w:rPr>
              <w:t>Median imputation with indicators; complete-case lactate sensitivity</w:t>
            </w:r>
          </w:p>
        </w:tc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1DE247FD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  <w:color w:val="FF0000"/>
              </w:rPr>
              <w:t>Methods—Covariates; Table S3</w:t>
            </w:r>
          </w:p>
        </w:tc>
        <w:tc>
          <w:tcPr>
            <w:tcW w:w="1417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0CF0659E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Complete</w:t>
            </w:r>
          </w:p>
        </w:tc>
      </w:tr>
      <w:tr w:rsidR="00BA14A4" w:rsidRPr="002A2504" w14:paraId="4D1E2C3E" w14:textId="77777777">
        <w:trPr>
          <w:jc w:val="center"/>
          <w:cantSplit/>
        </w:trPr>
        <w:tc>
          <w:tcPr>
            <w:tcW w:w="1134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5C574BA6" w14:textId="77777777" w:rsidR="00BA14A4" w:rsidRPr="002A250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12e</w:t>
            </w:r>
          </w:p>
        </w:tc>
        <w:tc>
          <w:tcPr>
            <w:tcW w:w="2381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1BFE0609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Sensitivity analyses</w:t>
            </w:r>
          </w:p>
        </w:tc>
        <w:tc>
          <w:tcPr>
            <w:tcW w:w="5102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7B3A3BDE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  <w:color w:val="FF0000"/>
              </w:rPr>
              <w:t>Timing, thresholds, chamber definition, first admission, lactate, creatinine</w:t>
            </w:r>
          </w:p>
        </w:tc>
        <w:tc>
          <w:tcPr>
            <w:tcW w:w="2835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0417A11F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  <w:color w:val="FF0000"/>
              </w:rPr>
              <w:t>Methods; Table S3</w:t>
            </w:r>
          </w:p>
        </w:tc>
        <w:tc>
          <w:tcPr>
            <w:tcW w:w="1417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198CE447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Complete</w:t>
            </w:r>
          </w:p>
        </w:tc>
      </w:tr>
      <w:tr w:rsidR="00BA14A4" w:rsidRPr="002A2504" w14:paraId="6DD413FD" w14:textId="77777777">
        <w:trPr>
          <w:jc w:val="center"/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1994260F" w14:textId="77777777" w:rsidR="00BA14A4" w:rsidRPr="002A250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w="2381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6384D7A0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Participants</w:t>
            </w:r>
          </w:p>
        </w:tc>
        <w:tc>
          <w:tcPr>
            <w:tcW w:w="5102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7A510E95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  <w:color w:val="FF0000"/>
              </w:rPr>
              <w:t>Numbers at each stage and revised phenotype counts</w:t>
            </w:r>
          </w:p>
        </w:tc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12A954D4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  <w:color w:val="FF0000"/>
              </w:rPr>
              <w:t>Results; Figure 1</w:t>
            </w:r>
          </w:p>
        </w:tc>
        <w:tc>
          <w:tcPr>
            <w:tcW w:w="1417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052815AC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Complete</w:t>
            </w:r>
          </w:p>
        </w:tc>
      </w:tr>
      <w:tr w:rsidR="00BA14A4" w:rsidRPr="002A2504" w14:paraId="18A2E37B" w14:textId="77777777">
        <w:trPr>
          <w:jc w:val="center"/>
          <w:cantSplit/>
        </w:trPr>
        <w:tc>
          <w:tcPr>
            <w:tcW w:w="1134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7C0FCD10" w14:textId="77777777" w:rsidR="00BA14A4" w:rsidRPr="002A250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lastRenderedPageBreak/>
              <w:t>14</w:t>
            </w:r>
          </w:p>
        </w:tc>
        <w:tc>
          <w:tcPr>
            <w:tcW w:w="2381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053ADE45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Descriptive data</w:t>
            </w:r>
          </w:p>
        </w:tc>
        <w:tc>
          <w:tcPr>
            <w:tcW w:w="5102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3E6DAF7E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Baseline characteristics and missingness</w:t>
            </w:r>
          </w:p>
        </w:tc>
        <w:tc>
          <w:tcPr>
            <w:tcW w:w="2835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10F257FB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Results; Table 1</w:t>
            </w:r>
          </w:p>
        </w:tc>
        <w:tc>
          <w:tcPr>
            <w:tcW w:w="1417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3C25FE8B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Complete</w:t>
            </w:r>
          </w:p>
        </w:tc>
      </w:tr>
      <w:tr w:rsidR="00BA14A4" w:rsidRPr="002A2504" w14:paraId="45B3E1E4" w14:textId="77777777">
        <w:trPr>
          <w:jc w:val="center"/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3BFD9603" w14:textId="77777777" w:rsidR="00BA14A4" w:rsidRPr="002A250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w="2381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0A70D100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Outcome data</w:t>
            </w:r>
          </w:p>
        </w:tc>
        <w:tc>
          <w:tcPr>
            <w:tcW w:w="5102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250EB3A9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28-/90-day and in-hospital outcomes</w:t>
            </w:r>
          </w:p>
        </w:tc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400F18E3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Results; Table 2</w:t>
            </w:r>
          </w:p>
        </w:tc>
        <w:tc>
          <w:tcPr>
            <w:tcW w:w="1417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1E3A82AD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Complete</w:t>
            </w:r>
          </w:p>
        </w:tc>
      </w:tr>
      <w:tr w:rsidR="00BA14A4" w:rsidRPr="002A2504" w14:paraId="3C1599F4" w14:textId="77777777">
        <w:trPr>
          <w:jc w:val="center"/>
          <w:cantSplit/>
        </w:trPr>
        <w:tc>
          <w:tcPr>
            <w:tcW w:w="1134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20EDC6C4" w14:textId="77777777" w:rsidR="00BA14A4" w:rsidRPr="002A250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w="2381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5CEF05FF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Main results</w:t>
            </w:r>
          </w:p>
        </w:tc>
        <w:tc>
          <w:tcPr>
            <w:tcW w:w="5102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58C5FBB3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Adjusted HRs with 95% CIs and reference group</w:t>
            </w:r>
          </w:p>
        </w:tc>
        <w:tc>
          <w:tcPr>
            <w:tcW w:w="2835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3E55E9BB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Results; Table 3</w:t>
            </w:r>
          </w:p>
        </w:tc>
        <w:tc>
          <w:tcPr>
            <w:tcW w:w="1417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00F46D66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Complete</w:t>
            </w:r>
          </w:p>
        </w:tc>
      </w:tr>
      <w:tr w:rsidR="00BA14A4" w:rsidRPr="002A2504" w14:paraId="76FE2318" w14:textId="77777777">
        <w:trPr>
          <w:jc w:val="center"/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23BFEC73" w14:textId="77777777" w:rsidR="00BA14A4" w:rsidRPr="002A250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w="2381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14DECFAC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Other analyses</w:t>
            </w:r>
          </w:p>
        </w:tc>
        <w:tc>
          <w:tcPr>
            <w:tcW w:w="5102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42D1AF6F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  <w:color w:val="FF0000"/>
              </w:rPr>
              <w:t>KM, RCS, subgroup multiplicity, PH and piecewise diagnostics, sensitivity</w:t>
            </w:r>
          </w:p>
        </w:tc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014406C7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  <w:color w:val="FF0000"/>
              </w:rPr>
              <w:t>Figures 2–5; Tables S1–S10</w:t>
            </w:r>
          </w:p>
        </w:tc>
        <w:tc>
          <w:tcPr>
            <w:tcW w:w="1417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29C49E6A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Complete</w:t>
            </w:r>
          </w:p>
        </w:tc>
      </w:tr>
      <w:tr w:rsidR="00BA14A4" w:rsidRPr="002A2504" w14:paraId="463D9E2D" w14:textId="77777777">
        <w:trPr>
          <w:jc w:val="center"/>
          <w:cantSplit/>
        </w:trPr>
        <w:tc>
          <w:tcPr>
            <w:tcW w:w="1134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0E954C37" w14:textId="77777777" w:rsidR="00BA14A4" w:rsidRPr="002A250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18–21</w:t>
            </w:r>
          </w:p>
        </w:tc>
        <w:tc>
          <w:tcPr>
            <w:tcW w:w="2381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109998D9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Discussion</w:t>
            </w:r>
          </w:p>
        </w:tc>
        <w:tc>
          <w:tcPr>
            <w:tcW w:w="5102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6F897F84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Key results, limitations, interpretation, generalizability</w:t>
            </w:r>
          </w:p>
        </w:tc>
        <w:tc>
          <w:tcPr>
            <w:tcW w:w="2835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08EDDE1F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Discussion</w:t>
            </w:r>
          </w:p>
        </w:tc>
        <w:tc>
          <w:tcPr>
            <w:tcW w:w="1417" w:type="dxa"/>
            <w:shd w:val="clear" w:color="auto" w:fill="F2F7FB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286F05C8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Complete</w:t>
            </w:r>
          </w:p>
        </w:tc>
      </w:tr>
      <w:tr w:rsidR="00BA14A4" w:rsidRPr="002A2504" w14:paraId="1EE8E4AF" w14:textId="77777777">
        <w:trPr>
          <w:jc w:val="center"/>
          <w:cantSplit/>
        </w:trPr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44E9F9FE" w14:textId="77777777" w:rsidR="00BA14A4" w:rsidRPr="002A2504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w="2381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5F28505A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Funding</w:t>
            </w:r>
          </w:p>
        </w:tc>
        <w:tc>
          <w:tcPr>
            <w:tcW w:w="5102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289F66B0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None</w:t>
            </w:r>
          </w:p>
        </w:tc>
        <w:tc>
          <w:tcPr>
            <w:tcW w:w="2835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06332730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Declarations</w:t>
            </w:r>
          </w:p>
        </w:tc>
        <w:tc>
          <w:tcPr>
            <w:tcW w:w="1417" w:type="dxa"/>
            <w:tcMar>
              <w:top w:w="70" w:type="dxa"/>
              <w:left w:w="90" w:type="dxa"/>
              <w:bottom w:w="70" w:type="dxa"/>
              <w:right w:w="90" w:type="dxa"/>
              <w:start w:w="80" w:type="dxa"/>
              <w:end w:w="80" w:type="dxa"/>
            </w:tcMar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 w14:paraId="73730738" w14:textId="77777777" w:rsidR="00BA14A4" w:rsidRPr="002A250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A2504">
              <w:rPr>
                <w:rFonts w:ascii="Times New Roman" w:hAnsi="Times New Roman" w:cs="Times New Roman" w:eastAsia="Times New Roman"/>
                <w:b w:val="0"/>
                <w:color w:val="000000"/>
                <w:sz w:val="16"/>
              </w:rPr>
              <w:t>Complete</w:t>
            </w:r>
          </w:p>
        </w:tc>
      </w:tr>
    </w:tbl>
    <w:p w14:paraId="6799D26E" w14:textId="77777777" w:rsidR="00BA14A4" w:rsidRPr="002A2504" w:rsidRDefault="00BA14A4">
      <w:pPr>
        <w:rPr>
          <w:rFonts w:ascii="Times New Roman" w:hAnsi="Times New Roman" w:cs="Times New Roman"/>
        </w:rPr>
      </w:pPr>
    </w:p>
    <w:sectPr w:rsidR="00BA14A4" w:rsidRPr="002A2504" w:rsidSect="00034616">
      <w:footerReference w:type="default" r:id="rId8"/>
      <w:pgSz w:w="15840" w:h="12240" w:orient="landscape"/>
      <w:pgMar w:top="1037" w:right="1123" w:bottom="1037" w:left="112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90185" w14:textId="77777777" w:rsidR="00D97BC9" w:rsidRDefault="00D97BC9">
      <w:pPr>
        <w:spacing w:after="0" w:line="240" w:lineRule="auto"/>
      </w:pPr>
      <w:r>
        <w:separator/>
      </w:r>
    </w:p>
  </w:endnote>
  <w:endnote w:type="continuationSeparator" w:id="0">
    <w:p w14:paraId="6CD61BF4" w14:textId="77777777" w:rsidR="00D97BC9" w:rsidRDefault="00D97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26269" w14:textId="77777777" w:rsidR="00BA14A4" w:rsidRDefault="00000000">
    <w:pPr>
      <w:pStyle w:val="a7"/>
      <w:jc w:val="center"/>
    </w:pPr>
    <w:fldSimple w:instr="PAGE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03CB4" w14:textId="77777777" w:rsidR="00D97BC9" w:rsidRDefault="00D97BC9">
      <w:pPr>
        <w:spacing w:after="0" w:line="240" w:lineRule="auto"/>
      </w:pPr>
      <w:r>
        <w:separator/>
      </w:r>
    </w:p>
  </w:footnote>
  <w:footnote w:type="continuationSeparator" w:id="0">
    <w:p w14:paraId="4E7B0997" w14:textId="77777777" w:rsidR="00D97BC9" w:rsidRDefault="00D97B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3951355">
    <w:abstractNumId w:val="8"/>
  </w:num>
  <w:num w:numId="2" w16cid:durableId="1663855957">
    <w:abstractNumId w:val="6"/>
  </w:num>
  <w:num w:numId="3" w16cid:durableId="213663778">
    <w:abstractNumId w:val="5"/>
  </w:num>
  <w:num w:numId="4" w16cid:durableId="1877311109">
    <w:abstractNumId w:val="4"/>
  </w:num>
  <w:num w:numId="5" w16cid:durableId="1946841509">
    <w:abstractNumId w:val="7"/>
  </w:num>
  <w:num w:numId="6" w16cid:durableId="979001396">
    <w:abstractNumId w:val="3"/>
  </w:num>
  <w:num w:numId="7" w16cid:durableId="1442453658">
    <w:abstractNumId w:val="2"/>
  </w:num>
  <w:num w:numId="8" w16cid:durableId="1704479678">
    <w:abstractNumId w:val="1"/>
  </w:num>
  <w:num w:numId="9" w16cid:durableId="380524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A2504"/>
    <w:rsid w:val="00326F90"/>
    <w:rsid w:val="00AA1D8D"/>
    <w:rsid w:val="00B47730"/>
    <w:rsid w:val="00BA14A4"/>
    <w:rsid w:val="00BB0806"/>
    <w:rsid w:val="00CB0664"/>
    <w:rsid w:val="00D97BC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304E6C"/>
  <w14:defaultImageDpi w14:val="300"/>
  <w15:docId w15:val="{A718744E-21C2-4854-A74D-4B2F58BD8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59" w:lineRule="auto"/>
    </w:pPr>
    <w:rPr>
      <w:rFonts w:ascii="Times New Roman" w:hAnsi="Times New Roman" w:eastAsia="Times New Roman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3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00" w:line="259" w:lineRule="auto"/>
    </w:pPr>
    <w:rPr>
      <w:rFonts w:ascii="Times New Roman" w:hAnsi="Times New Roman" w:eastAsia="Times New Roman"/>
      <w:color w:val="000000"/>
      <w:sz w:val="21"/>
    </w:r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257</Words>
  <Characters>1770</Characters>
  <Application>Microsoft Office Word</Application>
  <DocSecurity>0</DocSecurity>
  <Lines>118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Prognostic Discordance Between Troponin Elevation and Echocardiographic Dysfunction in Sepsis: A MIMIC-IV-ECHO Cohort Study</dc:title>
  <dc:subject>Journal of Intensive Care submission package</dc:subject>
  <dc:creator>python-docx</dc:creator>
  <cp:keywords>sepsis, troponin, echocardiography, MIMIC-IV-ECHO, survival</cp:keywords>
  <dc:description>generated by python-docx</dc:description>
  <cp:lastModifiedBy>lifen hu</cp:lastModifiedBy>
  <cp:revision>2</cp:revision>
  <dcterms:created xsi:type="dcterms:W3CDTF">2013-12-23T23:15:00Z</dcterms:created>
  <dcterms:modified xsi:type="dcterms:W3CDTF">2026-08-06T14:23:00Z</dcterms:modified>
  <cp:category/>
</cp:coreProperties>
</file>