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1861" w14:textId="5DE71D66" w:rsidR="00F71545" w:rsidRDefault="00F71545" w:rsidP="00F71545">
      <w:pPr>
        <w:rPr>
          <w:rFonts w:asciiTheme="majorBidi" w:hAnsiTheme="majorBidi" w:cstheme="majorBidi"/>
        </w:rPr>
      </w:pPr>
      <w:r w:rsidRPr="00F71545">
        <w:rPr>
          <w:rFonts w:asciiTheme="majorBidi" w:hAnsiTheme="majorBidi" w:cstheme="majorBidi"/>
          <w:b/>
          <w:bCs/>
        </w:rPr>
        <w:t>Supplementary Table 1:</w:t>
      </w:r>
      <w:r>
        <w:rPr>
          <w:rFonts w:asciiTheme="majorBidi" w:hAnsiTheme="majorBidi" w:cstheme="majorBidi"/>
        </w:rPr>
        <w:t xml:space="preserve"> </w:t>
      </w:r>
      <w:r w:rsidRPr="00F71545">
        <w:rPr>
          <w:rFonts w:asciiTheme="majorBidi" w:hAnsiTheme="majorBidi" w:cstheme="majorBidi"/>
        </w:rPr>
        <w:t>Search strategies, specific to each database, and the resulting number of identified records</w:t>
      </w:r>
      <w:r>
        <w:rPr>
          <w:rFonts w:asciiTheme="majorBidi" w:hAnsiTheme="majorBidi" w:cstheme="majorBidi"/>
        </w:rPr>
        <w:t>.</w:t>
      </w:r>
    </w:p>
    <w:p w14:paraId="584C43E0" w14:textId="77777777" w:rsidR="00F20070" w:rsidRDefault="00F20070" w:rsidP="00F71545">
      <w:pPr>
        <w:rPr>
          <w:rFonts w:asciiTheme="majorBidi" w:hAnsiTheme="majorBidi" w:cstheme="majorBidi"/>
        </w:rPr>
      </w:pPr>
    </w:p>
    <w:tbl>
      <w:tblPr>
        <w:tblStyle w:val="TableGrid"/>
        <w:tblW w:w="10890" w:type="dxa"/>
        <w:tblInd w:w="-815" w:type="dxa"/>
        <w:tblLook w:val="04A0" w:firstRow="1" w:lastRow="0" w:firstColumn="1" w:lastColumn="0" w:noHBand="0" w:noVBand="1"/>
      </w:tblPr>
      <w:tblGrid>
        <w:gridCol w:w="1440"/>
        <w:gridCol w:w="8280"/>
        <w:gridCol w:w="1170"/>
      </w:tblGrid>
      <w:tr w:rsidR="00F20070" w:rsidRPr="003205F9" w14:paraId="2886D221" w14:textId="77777777" w:rsidTr="008F6988">
        <w:tc>
          <w:tcPr>
            <w:tcW w:w="1440" w:type="dxa"/>
            <w:vAlign w:val="center"/>
          </w:tcPr>
          <w:p w14:paraId="604B00E6"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Database</w:t>
            </w:r>
          </w:p>
        </w:tc>
        <w:tc>
          <w:tcPr>
            <w:tcW w:w="8280" w:type="dxa"/>
          </w:tcPr>
          <w:p w14:paraId="386E60F1"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Search strategy</w:t>
            </w:r>
          </w:p>
        </w:tc>
        <w:tc>
          <w:tcPr>
            <w:tcW w:w="1170" w:type="dxa"/>
          </w:tcPr>
          <w:p w14:paraId="7D89BF8F"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Search results</w:t>
            </w:r>
          </w:p>
        </w:tc>
      </w:tr>
      <w:tr w:rsidR="00F20070" w:rsidRPr="003205F9" w14:paraId="20779FE5" w14:textId="77777777" w:rsidTr="008F6988">
        <w:tc>
          <w:tcPr>
            <w:tcW w:w="1440" w:type="dxa"/>
            <w:vAlign w:val="center"/>
          </w:tcPr>
          <w:p w14:paraId="5737F528"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Pubmed</w:t>
            </w:r>
          </w:p>
        </w:tc>
        <w:tc>
          <w:tcPr>
            <w:tcW w:w="8280" w:type="dxa"/>
          </w:tcPr>
          <w:p w14:paraId="07B66EEC" w14:textId="77777777" w:rsidR="00D43731" w:rsidRPr="00D43731" w:rsidRDefault="00D43731" w:rsidP="00D43731">
            <w:pPr>
              <w:rPr>
                <w:rFonts w:asciiTheme="majorBidi" w:hAnsiTheme="majorBidi" w:cstheme="majorBidi"/>
              </w:rPr>
            </w:pPr>
            <w:r w:rsidRPr="00D43731">
              <w:rPr>
                <w:rFonts w:asciiTheme="majorBidi" w:hAnsiTheme="majorBidi" w:cstheme="majorBidi"/>
              </w:rPr>
              <w:t>(Sirolimus[Title/Abstract] OR Rapamycin[Title/Abstract] OR Rapamune[Title/Abstract] OR Rapalimus[Title/Abstract] OR AY-22989[Title/Abstract] OR Supralimus[Title/Abstract] OR WY-090217[Title/Abstract] OR HYFTOR[Title/Abstract] OR "Cypher"[Title/Abstract] OR RAPA[Title/Abstract]) AND (Paclitaxel[Title/Abstract] OR Taxol[Title/Abstract] OR Abitaxel[Title/Abstract] OR Altaxel[Title/Abstract] OR Anzatax[Title/Abstract] OR Anzatec[Title/Abstract] OR Apealea[Title/Abstract] OR Asotax[Title/Abstract] OR Betaxel[Title/Abstract] OR Bristaxol[Title/Abstract] OR Britaxol[Title/Abstract] OR Clitaxel[Title/Abstract] OR Cytax[Title/Abstract] OR Daburex[Title/Abstract] OR Dalys[Title/Abstract] OR Drifen[Title/Abstract] OR Ebetaxel[Title/Abstract] OR Formoxol[Title/Abstract] OR Genexol[Title/Abstract] OR Genetaxyl[Title/Abstract] OR Gros[Title/Abstract] OR Ifaxol[Title/Abstract] OR Intaxel[Title/Abstract] OR Magytax[Title/Abstract] OR Medixel[Title/Abstract] OR Mitotax[Title/Abstract] OR Neotacs[Title/Abstract] OR Neotaxan[Title/Abstract] OR Neotaxl[Title/Abstract] OR Ofoxel[Title/Abstract] OR Oncotaxel[Title/Abstract] OR Onxol[Title/Abstract] OR Paclitax[Title/Abstract] OR Paclitaxin[Title/Abstract] OR Pacliteva[Title/Abstract] OR Pacxel[Title/Abstract] OR Padexol[Title/Abstract] OR Paklitaxfil[Title/Abstract] OR Panataxel[Title/Abstract] OR Parexel[Title/Abstract] OR Paxene[Title/Abstract] OR Paxenor[Title/Abstract] OR Paxus[Title/Abstract] OR Pazenir[Title/Abstract] OR Petaxel[Title/Abstract] OR Phyxol[Title/Abstract] OR Poltaxel[Title/Abstract] OR Praxel[Title/Abstract] OR Ribotax[Title/Abstract] OR Sindaxel[Title/Abstract] OR Taclipaxol[Title/Abstract] OR Tarvexol[Title/Abstract] OR Taxocris[Title/Abstract] OR Taxodiol[Title/Abstract] OR Taxus[Title/Abstract] OR Taxomedac[Title/Abstract] OR Taycovit[Title/Abstract] OR Unitaxel[Title/Abstract] OR Yewtaxan[Title/Abstract]) AND (Balloon[Title/Abstract] OR Baloon[Title/Abstract] OR Angioplasty Balloon[Title/Abstract] OR Inflatable Device[Title/Abstract] OR Dilatation Balloon[Title/Abstract] OR "Inflatable catheter"[Title/Abstract] OR "Balloon catheter"[Title/Abstract] OR "Angioplasty device"[Title/Abstract]) AND (Coronary[Title/Abstract] OR "Coronary artery disease"[Title/Abstract] OR "Obstructive coronary artery disease"[Title/Abstract] OR "Nonobstructive coronary artery disease"[Title/Abstract] OR "Spontaneous coronary artery dissection"[Title/Abstract] OR "Atherosclerotic coronary artery disease"[Title/Abstract] OR "Nonatherosclerotic coronary artery disease"[Title/Abstract] OR "Coronary heart disease"[Title/Abstract] OR "Ischemic heart disease"[Title/Abstract] OR "Myocardial ischemia"[Title/Abstract] OR "Angina pectoris"[Title/Abstract] OR "Stable angina"[Title/Abstract] OR "Unstable angina"[Title/Abstract] OR "Myocardial infarction"[Title/Abstract])</w:t>
            </w:r>
          </w:p>
          <w:p w14:paraId="563ADBFF" w14:textId="77777777" w:rsidR="00F20070" w:rsidRPr="003205F9" w:rsidRDefault="00F20070" w:rsidP="008F6988">
            <w:pPr>
              <w:rPr>
                <w:rFonts w:asciiTheme="majorBidi" w:hAnsiTheme="majorBidi" w:cstheme="majorBidi"/>
              </w:rPr>
            </w:pPr>
          </w:p>
        </w:tc>
        <w:tc>
          <w:tcPr>
            <w:tcW w:w="1170" w:type="dxa"/>
          </w:tcPr>
          <w:p w14:paraId="2B16B056" w14:textId="5D214350" w:rsidR="00F20070" w:rsidRPr="003205F9" w:rsidRDefault="00F20070" w:rsidP="008F6988">
            <w:pPr>
              <w:jc w:val="center"/>
              <w:rPr>
                <w:rFonts w:asciiTheme="majorBidi" w:hAnsiTheme="majorBidi" w:cstheme="majorBidi"/>
              </w:rPr>
            </w:pPr>
            <w:r w:rsidRPr="003205F9">
              <w:rPr>
                <w:rFonts w:asciiTheme="majorBidi" w:hAnsiTheme="majorBidi" w:cstheme="majorBidi"/>
              </w:rPr>
              <w:lastRenderedPageBreak/>
              <w:t>1</w:t>
            </w:r>
            <w:r w:rsidR="00D43731">
              <w:rPr>
                <w:rFonts w:asciiTheme="majorBidi" w:hAnsiTheme="majorBidi" w:cstheme="majorBidi"/>
              </w:rPr>
              <w:t>79</w:t>
            </w:r>
          </w:p>
        </w:tc>
      </w:tr>
      <w:tr w:rsidR="00F20070" w:rsidRPr="003205F9" w14:paraId="5F37FEE6" w14:textId="77777777" w:rsidTr="008F6988">
        <w:tc>
          <w:tcPr>
            <w:tcW w:w="1440" w:type="dxa"/>
            <w:vAlign w:val="center"/>
          </w:tcPr>
          <w:p w14:paraId="283DE710"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Scopus</w:t>
            </w:r>
          </w:p>
        </w:tc>
        <w:tc>
          <w:tcPr>
            <w:tcW w:w="8280" w:type="dxa"/>
          </w:tcPr>
          <w:p w14:paraId="5CB6CF66" w14:textId="77777777" w:rsidR="00D43731" w:rsidRPr="00D43731" w:rsidRDefault="00D43731" w:rsidP="00D43731">
            <w:pPr>
              <w:rPr>
                <w:rFonts w:asciiTheme="majorBidi" w:hAnsiTheme="majorBidi" w:cstheme="majorBidi"/>
              </w:rPr>
            </w:pPr>
            <w:r w:rsidRPr="00D43731">
              <w:rPr>
                <w:rFonts w:asciiTheme="majorBidi" w:hAnsiTheme="majorBidi" w:cstheme="majorBidi"/>
              </w:rPr>
              <w:t>TITLE-ABS-KEY ( ( Sirolimus OR Rapamycin OR Rapamune OR Rapalimus OR AY-22989 OR Supralimus OR WY-090217 OR HYFTOR OR "Cypher" OR RAPA ) AND ( Paclitaxel OR Taxol OR Abitaxel OR Altaxel OR Anzatax OR Anzatec OR Apealea OR Asotax OR Betaxel OR Bristaxol OR Britaxol OR Clitaxel OR Cytax OR Daburex OR Dalys OR Drifen OR Ebetaxel OR Formoxol OR Genexol OR Genetaxyl OR Gros OR Ifaxol OR Intaxel OR Magytax OR Medixel OR Mitotax OR Neotacs OR Neotaxan OR Neotaxl OR Ofoxel OR Oncotaxel OR Onxol OR Paclitax OR Paclitaxin OR Pacliteva OR Pacxel OR Padexol OR Paklitaxfil OR Panataxel OR Parexel OR Paxene OR Paxenor OR Paxus OR Pazenir OR Petaxel OR Phyxol OR Poltaxel OR Praxel OR Ribotax OR Sindaxel OR Taclipaxol OR Tarvexol OR Taxocris OR Taxodiol OR Taxus OR Taxomedac OR Taycovit OR Unitaxel OR Yewtaxan ) AND ( Balloon OR Baloon OR Angioplasty Balloon OR Inflatable Device OR Dilatation Balloon OR "Inflatable catheter" OR "Balloon catheter" OR "Angioplasty device" ) AND ( Coronary OR "Coronary artery disease" OR "Obstructive coronary artery disease" OR "Nonobstructive coronary artery disease" OR "Spontaneous coronary artery dissection" OR "Atherosclerotic coronary artery disease" OR "Nonatherosclerotic coronary artery disease" OR "Coronary heart disease" OR "Ischemic heart disease" OR "Myocardial ischemia" OR "Angina pectoris" OR "Stable angina" OR "Unstable angina" OR "Myocardial infarction" ) )</w:t>
            </w:r>
          </w:p>
          <w:p w14:paraId="69D6269A" w14:textId="10530A17" w:rsidR="00F20070" w:rsidRPr="003205F9" w:rsidRDefault="00F20070" w:rsidP="008F6988">
            <w:pPr>
              <w:rPr>
                <w:rFonts w:asciiTheme="majorBidi" w:hAnsiTheme="majorBidi" w:cstheme="majorBidi"/>
              </w:rPr>
            </w:pPr>
          </w:p>
        </w:tc>
        <w:tc>
          <w:tcPr>
            <w:tcW w:w="1170" w:type="dxa"/>
          </w:tcPr>
          <w:p w14:paraId="5793E153" w14:textId="040F991E" w:rsidR="00F20070" w:rsidRPr="003205F9" w:rsidRDefault="00D43731" w:rsidP="008F6988">
            <w:pPr>
              <w:jc w:val="center"/>
              <w:rPr>
                <w:rFonts w:asciiTheme="majorBidi" w:hAnsiTheme="majorBidi" w:cstheme="majorBidi"/>
              </w:rPr>
            </w:pPr>
            <w:r>
              <w:rPr>
                <w:rFonts w:asciiTheme="majorBidi" w:hAnsiTheme="majorBidi" w:cstheme="majorBidi"/>
              </w:rPr>
              <w:t>505</w:t>
            </w:r>
          </w:p>
        </w:tc>
      </w:tr>
      <w:tr w:rsidR="00F20070" w:rsidRPr="003205F9" w14:paraId="604F348E" w14:textId="77777777" w:rsidTr="008F6988">
        <w:tc>
          <w:tcPr>
            <w:tcW w:w="1440" w:type="dxa"/>
            <w:vAlign w:val="center"/>
          </w:tcPr>
          <w:p w14:paraId="023A9DEB"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Web Of Science</w:t>
            </w:r>
          </w:p>
        </w:tc>
        <w:tc>
          <w:tcPr>
            <w:tcW w:w="8280" w:type="dxa"/>
          </w:tcPr>
          <w:p w14:paraId="703F2E4F" w14:textId="77777777" w:rsidR="00D43731" w:rsidRPr="00D43731" w:rsidRDefault="00D43731" w:rsidP="00D43731">
            <w:pPr>
              <w:rPr>
                <w:rFonts w:asciiTheme="majorBidi" w:hAnsiTheme="majorBidi" w:cstheme="majorBidi"/>
              </w:rPr>
            </w:pPr>
            <w:r w:rsidRPr="00D43731">
              <w:rPr>
                <w:rFonts w:asciiTheme="majorBidi" w:hAnsiTheme="majorBidi" w:cstheme="majorBidi"/>
              </w:rPr>
              <w:t>TS=((Sirolimus OR Rapamycin OR Rapamune OR Rapalimus OR AY-22989 OR Supralimus OR WY-090217 OR HYFTOR OR "Cypher" OR RAPA) AND (Paclitaxel OR Taxol OR Abitaxel OR Altaxel OR Anzatax OR Anzatec OR Apealea OR Asotax OR Betaxel OR Bristaxol OR Britaxol OR Clitaxel OR Cytax OR Daburex OR Dalys OR Drifen OR Ebetaxel OR Formoxol OR Genexol OR Genetaxyl OR Gros OR Ifaxol OR Intaxel OR Magytax OR Medixel OR Mitotax OR Neotacs OR Neotaxan OR Neotaxl OR Ofoxel OR Oncotaxel OR Onxol OR Paclitax OR Paclitaxin OR Pacliteva OR Pacxel OR Padexol OR Paklitaxfil OR Panataxel OR Parexel OR Paxene OR Paxenor OR Paxus OR Pazenir OR Petaxel OR Phyxol OR Poltaxel OR Praxel OR Ribotax OR Sindaxel OR Taclipaxol OR Tarvexol OR Taxocris OR Taxodiol OR Taxus OR Taxomedac OR Taycovit OR Unitaxel OR Yewtaxan) AND (Balloon OR Baloon OR Angioplasty Balloon OR Inflatable Device OR Dilatation Balloon OR "Inflatable catheter" OR "Balloon catheter" OR "Angioplasty device") AND (Coronary OR "Coronary artery disease" OR "Obstructive coronary artery disease" OR "Nonobstructive coronary artery disease" OR "Spontaneous coronary artery dissection" OR "Atherosclerotic coronary artery disease" OR "Nonatherosclerotic coronary artery disease" OR "Coronary heart disease" OR "Ischemic heart disease" OR "Myocardial ischemia" OR "Angina pectoris" OR "Stable angina" OR "Unstable angina" OR "Myocardial infarction"))</w:t>
            </w:r>
          </w:p>
          <w:p w14:paraId="3EE3F8AA" w14:textId="77777777" w:rsidR="00F20070" w:rsidRPr="003205F9" w:rsidRDefault="00F20070" w:rsidP="008F6988">
            <w:pPr>
              <w:rPr>
                <w:rFonts w:asciiTheme="majorBidi" w:hAnsiTheme="majorBidi" w:cstheme="majorBidi"/>
              </w:rPr>
            </w:pPr>
          </w:p>
        </w:tc>
        <w:tc>
          <w:tcPr>
            <w:tcW w:w="1170" w:type="dxa"/>
          </w:tcPr>
          <w:p w14:paraId="4AC77137" w14:textId="7A082C94" w:rsidR="00F20070" w:rsidRPr="003205F9" w:rsidRDefault="00F20070" w:rsidP="008F6988">
            <w:pPr>
              <w:jc w:val="center"/>
              <w:rPr>
                <w:rFonts w:asciiTheme="majorBidi" w:hAnsiTheme="majorBidi" w:cstheme="majorBidi"/>
              </w:rPr>
            </w:pPr>
            <w:r w:rsidRPr="003205F9">
              <w:rPr>
                <w:rFonts w:asciiTheme="majorBidi" w:hAnsiTheme="majorBidi" w:cstheme="majorBidi"/>
              </w:rPr>
              <w:t>4</w:t>
            </w:r>
            <w:r w:rsidR="00D43731">
              <w:rPr>
                <w:rFonts w:asciiTheme="majorBidi" w:hAnsiTheme="majorBidi" w:cstheme="majorBidi"/>
              </w:rPr>
              <w:t>62</w:t>
            </w:r>
          </w:p>
        </w:tc>
      </w:tr>
      <w:tr w:rsidR="00F20070" w:rsidRPr="003205F9" w14:paraId="3BF287A2" w14:textId="77777777" w:rsidTr="008F6988">
        <w:tc>
          <w:tcPr>
            <w:tcW w:w="1440" w:type="dxa"/>
            <w:vAlign w:val="center"/>
          </w:tcPr>
          <w:p w14:paraId="59A002CD"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Cochrane</w:t>
            </w:r>
          </w:p>
        </w:tc>
        <w:tc>
          <w:tcPr>
            <w:tcW w:w="8280" w:type="dxa"/>
          </w:tcPr>
          <w:p w14:paraId="6A985CCB" w14:textId="5E0ED2E5" w:rsidR="00F20070" w:rsidRPr="003205F9" w:rsidRDefault="00D43731" w:rsidP="00D43731">
            <w:pPr>
              <w:rPr>
                <w:rFonts w:asciiTheme="majorBidi" w:hAnsiTheme="majorBidi" w:cstheme="majorBidi"/>
              </w:rPr>
            </w:pPr>
            <w:r w:rsidRPr="00D43731">
              <w:rPr>
                <w:rFonts w:asciiTheme="majorBidi" w:hAnsiTheme="majorBidi" w:cstheme="majorBidi"/>
              </w:rPr>
              <w:t xml:space="preserve">((Sirolimus OR Rapamycin OR Rapamune OR Rapalimus OR AY-22989 OR Supralimus OR WY-090217 OR HYFTOR OR "Cypher" OR RAPA) AND (Paclitaxel OR Taxol OR Abitaxel OR Altaxel OR Anzatax OR Anzatec OR </w:t>
            </w:r>
            <w:r w:rsidRPr="00D43731">
              <w:rPr>
                <w:rFonts w:asciiTheme="majorBidi" w:hAnsiTheme="majorBidi" w:cstheme="majorBidi"/>
              </w:rPr>
              <w:lastRenderedPageBreak/>
              <w:t>Apealea OR Asotax OR Betaxel OR Bristaxol OR Britaxol OR Clitaxel OR Cytax OR Daburex OR Dalys OR Drifen OR Ebetaxel OR Formoxol OR Genexol OR Genetaxyl OR Gros OR Ifaxol OR Intaxel OR Magytax OR Medixel OR Mitotax OR Neotacs OR Neotaxan OR Neotaxl OR Ofoxel OR Oncotaxel OR Onxol OR Paclitax OR Paclitaxin OR Pacliteva OR Pacxel OR Padexol OR Paklitaxfil OR Panataxel OR Parexel OR Paxene OR Paxenor OR Paxus OR Pazenir OR Petaxel OR Phyxol OR Poltaxel OR Praxel OR Ribotax OR Sindaxel OR Taclipaxol OR Tarvexol OR Taxocris OR Taxodiol OR Taxus OR Taxomedac OR Taycovit OR Unitaxel OR Yewtaxan) AND (Balloon OR Baloon OR Angioplasty Balloon OR Inflatable Device OR Dilatation Balloon OR "Inflatable catheter" OR "Balloon catheter" OR "Angioplasty device") AND (Coronary OR "Coronary artery disease" OR "Obstructive coronary artery disease" OR "Nonobstructive coronary artery disease" OR "Spontaneous coronary artery dissection" OR "Atherosclerotic coronary artery disease" OR "Nonatherosclerotic coronary artery disease" OR "Coronary heart disease" OR "Ischemic heart disease" OR "Myocardial ischemia" OR "Angina pectoris" OR "Stable angina" OR "Unstable angina" OR "Myocardial infarction")):ti,ab,kw</w:t>
            </w:r>
          </w:p>
        </w:tc>
        <w:tc>
          <w:tcPr>
            <w:tcW w:w="1170" w:type="dxa"/>
          </w:tcPr>
          <w:p w14:paraId="722CCE48" w14:textId="6FE11E93" w:rsidR="00F20070" w:rsidRPr="003205F9" w:rsidRDefault="00D43731" w:rsidP="008F6988">
            <w:pPr>
              <w:jc w:val="center"/>
              <w:rPr>
                <w:rFonts w:asciiTheme="majorBidi" w:hAnsiTheme="majorBidi" w:cstheme="majorBidi"/>
              </w:rPr>
            </w:pPr>
            <w:r>
              <w:rPr>
                <w:rFonts w:asciiTheme="majorBidi" w:hAnsiTheme="majorBidi" w:cstheme="majorBidi"/>
              </w:rPr>
              <w:lastRenderedPageBreak/>
              <w:t>268</w:t>
            </w:r>
          </w:p>
        </w:tc>
      </w:tr>
      <w:tr w:rsidR="00F20070" w:rsidRPr="003205F9" w14:paraId="1814926C" w14:textId="77777777" w:rsidTr="008F6988">
        <w:tc>
          <w:tcPr>
            <w:tcW w:w="1440" w:type="dxa"/>
            <w:vAlign w:val="center"/>
          </w:tcPr>
          <w:p w14:paraId="624A25D8" w14:textId="77777777" w:rsidR="00F20070" w:rsidRPr="003205F9" w:rsidRDefault="00F20070" w:rsidP="008F6988">
            <w:pPr>
              <w:jc w:val="center"/>
              <w:rPr>
                <w:rFonts w:asciiTheme="majorBidi" w:hAnsiTheme="majorBidi" w:cstheme="majorBidi"/>
                <w:b/>
                <w:bCs/>
              </w:rPr>
            </w:pPr>
            <w:r w:rsidRPr="003205F9">
              <w:rPr>
                <w:rFonts w:asciiTheme="majorBidi" w:hAnsiTheme="majorBidi" w:cstheme="majorBidi"/>
                <w:b/>
                <w:bCs/>
              </w:rPr>
              <w:t>Embase</w:t>
            </w:r>
          </w:p>
        </w:tc>
        <w:tc>
          <w:tcPr>
            <w:tcW w:w="8280" w:type="dxa"/>
          </w:tcPr>
          <w:p w14:paraId="38ED4460" w14:textId="222769B1" w:rsidR="00F20070" w:rsidRPr="003205F9" w:rsidRDefault="00E0780A" w:rsidP="008F6988">
            <w:pPr>
              <w:rPr>
                <w:rFonts w:asciiTheme="majorBidi" w:hAnsiTheme="majorBidi" w:cstheme="majorBidi"/>
              </w:rPr>
            </w:pPr>
            <w:r w:rsidRPr="00E0780A">
              <w:rPr>
                <w:rFonts w:asciiTheme="majorBidi" w:hAnsiTheme="majorBidi" w:cstheme="majorBidi"/>
              </w:rPr>
              <w:t>(sirolimus:ab,ti OR rapamycin:ab,ti OR rapamune:ab,ti OR rapalimus:ab,ti OR 'ay 22989':ab,ti OR supralimus:ab,ti OR 'wy 090217':ab,ti OR hyftor:ab,ti OR 'cypher':ab,ti OR rapa:ab,ti) AND (paclitaxel:ab,ti OR taxol:ab,ti OR abitaxel:ab,ti OR altaxel:ab,ti OR anzatax:ab,ti OR anzatec:ab,ti OR apealea:ab,ti OR asotax:ab,ti OR betaxel:ab,ti OR bristaxol:ab,ti OR britaxol:ab,ti OR clitaxel:ab,ti OR cytax:ab,ti OR daburex:ab,ti OR dalys:ab,ti OR drifen:ab,ti OR ebetaxel:ab,ti OR formoxol:ab,ti OR genexol:ab,ti OR genetaxyl:ab,ti OR gros:ab,ti OR ifaxol:ab,ti OR intaxel:ab,ti OR magytax:ab,ti OR medixel:ab,ti OR mitotax:ab,ti OR neotacs:ab,ti OR neotaxan:ab,ti OR neotaxl:ab,ti OR ofoxel:ab,ti OR oncotaxel:ab,ti OR onxol:ab,ti OR paclitax:ab,ti OR paclitaxin:ab,ti OR pacliteva:ab,ti OR pacxel:ab,ti OR padexol:ab,ti OR paklitaxfil:ab,ti OR panataxel:ab,ti OR parexel:ab,ti OR paxene:ab,ti OR paxenor:ab,ti OR paxus:ab,ti OR pazenir:ab,ti OR petaxel:ab,ti OR phyxol:ab,ti OR poltaxel:ab,ti OR praxel:ab,ti OR ribotax:ab,ti OR sindaxel:ab,ti OR taclipaxol:ab,ti OR tarvexol:ab,ti OR taxocris:ab,ti OR taxodiol:ab,ti OR taxus:ab,ti OR taxomedac:ab,ti OR taycovit:ab,ti OR unitaxel:ab,ti OR yewtaxan:ab,ti) AND (balloon:ab,ti OR baloon:ab,ti OR 'angioplasty balloon':ab,ti OR 'inflatable device':ab,ti OR 'dilatation balloon':ab,ti OR 'inflatable catheter':ab,ti OR 'balloon catheter':ab,ti OR 'angioplasty device':ab,ti) AND (coronary:ab,ti OR 'coronary artery disease':ab,ti OR 'obstructive coronary artery disease':ab,ti OR 'nonobstructive coronary artery disease':ab,ti OR 'spontaneous coronary artery dissection':ab,ti OR 'atherosclerotic coronary artery disease':ab,ti OR 'nonatherosclerotic coronary artery disease':ab,ti OR 'coronary heart disease':ab,ti OR 'ischemic heart disease':ab,ti OR 'myocardial ischemia':ab,ti OR 'angina pectoris':ab,ti OR 'stable angina':ab,ti OR 'unstable angina':ab,ti OR 'myocardial infarction':ab,ti)</w:t>
            </w:r>
          </w:p>
        </w:tc>
        <w:tc>
          <w:tcPr>
            <w:tcW w:w="1170" w:type="dxa"/>
          </w:tcPr>
          <w:p w14:paraId="0164EE3F" w14:textId="11D91004" w:rsidR="00F20070" w:rsidRPr="003205F9" w:rsidRDefault="00E0780A" w:rsidP="008F6988">
            <w:pPr>
              <w:jc w:val="center"/>
              <w:rPr>
                <w:rFonts w:asciiTheme="majorBidi" w:hAnsiTheme="majorBidi" w:cstheme="majorBidi"/>
              </w:rPr>
            </w:pPr>
            <w:r>
              <w:rPr>
                <w:rFonts w:asciiTheme="majorBidi" w:hAnsiTheme="majorBidi" w:cstheme="majorBidi"/>
              </w:rPr>
              <w:t>402</w:t>
            </w:r>
          </w:p>
        </w:tc>
      </w:tr>
    </w:tbl>
    <w:p w14:paraId="0116BC86" w14:textId="77777777" w:rsidR="00F20070" w:rsidRPr="003205F9" w:rsidRDefault="00F20070" w:rsidP="00F71545">
      <w:pPr>
        <w:rPr>
          <w:rFonts w:asciiTheme="majorBidi" w:hAnsiTheme="majorBidi" w:cstheme="majorBidi"/>
        </w:rPr>
      </w:pPr>
    </w:p>
    <w:sectPr w:rsidR="00F20070" w:rsidRPr="003205F9" w:rsidSect="00F71545">
      <w:pgSz w:w="12240" w:h="15840"/>
      <w:pgMar w:top="153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119CD" w14:textId="77777777" w:rsidR="005E3D5A" w:rsidRDefault="005E3D5A" w:rsidP="00F71545">
      <w:pPr>
        <w:spacing w:after="0" w:line="240" w:lineRule="auto"/>
      </w:pPr>
      <w:r>
        <w:separator/>
      </w:r>
    </w:p>
  </w:endnote>
  <w:endnote w:type="continuationSeparator" w:id="0">
    <w:p w14:paraId="30D1EF14" w14:textId="77777777" w:rsidR="005E3D5A" w:rsidRDefault="005E3D5A" w:rsidP="00F71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971CD" w14:textId="77777777" w:rsidR="005E3D5A" w:rsidRDefault="005E3D5A" w:rsidP="00F71545">
      <w:pPr>
        <w:spacing w:after="0" w:line="240" w:lineRule="auto"/>
      </w:pPr>
      <w:r>
        <w:separator/>
      </w:r>
    </w:p>
  </w:footnote>
  <w:footnote w:type="continuationSeparator" w:id="0">
    <w:p w14:paraId="1639A67C" w14:textId="77777777" w:rsidR="005E3D5A" w:rsidRDefault="005E3D5A" w:rsidP="00F715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2C"/>
    <w:rsid w:val="00020EA3"/>
    <w:rsid w:val="001351EB"/>
    <w:rsid w:val="0017264E"/>
    <w:rsid w:val="00261B2C"/>
    <w:rsid w:val="003205F9"/>
    <w:rsid w:val="0034000F"/>
    <w:rsid w:val="005E3D5A"/>
    <w:rsid w:val="00A16DA7"/>
    <w:rsid w:val="00A93AA8"/>
    <w:rsid w:val="00AD73F3"/>
    <w:rsid w:val="00C10D52"/>
    <w:rsid w:val="00D421AB"/>
    <w:rsid w:val="00D43731"/>
    <w:rsid w:val="00E06BD0"/>
    <w:rsid w:val="00E0780A"/>
    <w:rsid w:val="00E84DCB"/>
    <w:rsid w:val="00F0156D"/>
    <w:rsid w:val="00F20070"/>
    <w:rsid w:val="00F71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A9F5"/>
  <w15:chartTrackingRefBased/>
  <w15:docId w15:val="{11D3CAA9-7445-40DD-B4C2-7853D001D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B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61B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61B2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61B2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61B2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61B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B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B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B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B2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61B2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61B2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61B2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61B2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61B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B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B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B2C"/>
    <w:rPr>
      <w:rFonts w:eastAsiaTheme="majorEastAsia" w:cstheme="majorBidi"/>
      <w:color w:val="272727" w:themeColor="text1" w:themeTint="D8"/>
    </w:rPr>
  </w:style>
  <w:style w:type="paragraph" w:styleId="Title">
    <w:name w:val="Title"/>
    <w:basedOn w:val="Normal"/>
    <w:next w:val="Normal"/>
    <w:link w:val="TitleChar"/>
    <w:uiPriority w:val="10"/>
    <w:qFormat/>
    <w:rsid w:val="00261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B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B2C"/>
    <w:pPr>
      <w:spacing w:before="160"/>
      <w:jc w:val="center"/>
    </w:pPr>
    <w:rPr>
      <w:i/>
      <w:iCs/>
      <w:color w:val="404040" w:themeColor="text1" w:themeTint="BF"/>
    </w:rPr>
  </w:style>
  <w:style w:type="character" w:customStyle="1" w:styleId="QuoteChar">
    <w:name w:val="Quote Char"/>
    <w:basedOn w:val="DefaultParagraphFont"/>
    <w:link w:val="Quote"/>
    <w:uiPriority w:val="29"/>
    <w:rsid w:val="00261B2C"/>
    <w:rPr>
      <w:i/>
      <w:iCs/>
      <w:color w:val="404040" w:themeColor="text1" w:themeTint="BF"/>
    </w:rPr>
  </w:style>
  <w:style w:type="paragraph" w:styleId="ListParagraph">
    <w:name w:val="List Paragraph"/>
    <w:basedOn w:val="Normal"/>
    <w:uiPriority w:val="34"/>
    <w:qFormat/>
    <w:rsid w:val="00261B2C"/>
    <w:pPr>
      <w:ind w:left="720"/>
      <w:contextualSpacing/>
    </w:pPr>
  </w:style>
  <w:style w:type="character" w:styleId="IntenseEmphasis">
    <w:name w:val="Intense Emphasis"/>
    <w:basedOn w:val="DefaultParagraphFont"/>
    <w:uiPriority w:val="21"/>
    <w:qFormat/>
    <w:rsid w:val="00261B2C"/>
    <w:rPr>
      <w:i/>
      <w:iCs/>
      <w:color w:val="2E74B5" w:themeColor="accent1" w:themeShade="BF"/>
    </w:rPr>
  </w:style>
  <w:style w:type="paragraph" w:styleId="IntenseQuote">
    <w:name w:val="Intense Quote"/>
    <w:basedOn w:val="Normal"/>
    <w:next w:val="Normal"/>
    <w:link w:val="IntenseQuoteChar"/>
    <w:uiPriority w:val="30"/>
    <w:qFormat/>
    <w:rsid w:val="00261B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61B2C"/>
    <w:rPr>
      <w:i/>
      <w:iCs/>
      <w:color w:val="2E74B5" w:themeColor="accent1" w:themeShade="BF"/>
    </w:rPr>
  </w:style>
  <w:style w:type="character" w:styleId="IntenseReference">
    <w:name w:val="Intense Reference"/>
    <w:basedOn w:val="DefaultParagraphFont"/>
    <w:uiPriority w:val="32"/>
    <w:qFormat/>
    <w:rsid w:val="00261B2C"/>
    <w:rPr>
      <w:b/>
      <w:bCs/>
      <w:smallCaps/>
      <w:color w:val="2E74B5" w:themeColor="accent1" w:themeShade="BF"/>
      <w:spacing w:val="5"/>
    </w:rPr>
  </w:style>
  <w:style w:type="table" w:styleId="TableGrid">
    <w:name w:val="Table Grid"/>
    <w:basedOn w:val="TableNormal"/>
    <w:uiPriority w:val="39"/>
    <w:rsid w:val="00AD7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545"/>
    <w:pPr>
      <w:tabs>
        <w:tab w:val="center" w:pos="4320"/>
        <w:tab w:val="right" w:pos="8640"/>
      </w:tabs>
      <w:spacing w:after="0" w:line="240" w:lineRule="auto"/>
    </w:pPr>
  </w:style>
  <w:style w:type="character" w:customStyle="1" w:styleId="HeaderChar">
    <w:name w:val="Header Char"/>
    <w:basedOn w:val="DefaultParagraphFont"/>
    <w:link w:val="Header"/>
    <w:uiPriority w:val="99"/>
    <w:rsid w:val="00F71545"/>
  </w:style>
  <w:style w:type="paragraph" w:styleId="Footer">
    <w:name w:val="footer"/>
    <w:basedOn w:val="Normal"/>
    <w:link w:val="FooterChar"/>
    <w:uiPriority w:val="99"/>
    <w:unhideWhenUsed/>
    <w:rsid w:val="00F7154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71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mahmoud160375@fmed.bu.edu.eg</dc:creator>
  <cp:keywords/>
  <dc:description/>
  <cp:lastModifiedBy>mahmoud160375@fmed.bu.edu.eg</cp:lastModifiedBy>
  <cp:revision>5</cp:revision>
  <dcterms:created xsi:type="dcterms:W3CDTF">2025-09-10T12:03:00Z</dcterms:created>
  <dcterms:modified xsi:type="dcterms:W3CDTF">2025-09-12T09:17:00Z</dcterms:modified>
</cp:coreProperties>
</file>