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B7C09" w14:textId="69019CDE" w:rsidR="009F02C3" w:rsidRPr="009F02C3" w:rsidRDefault="009F02C3" w:rsidP="009F02C3">
      <w:pPr>
        <w:pStyle w:val="u-mb-24"/>
        <w:spacing w:line="360" w:lineRule="auto"/>
        <w:jc w:val="center"/>
        <w:rPr>
          <w:rFonts w:ascii="Times New Roman" w:hAnsi="Times New Roman" w:cs="Times New Roman"/>
          <w:color w:val="222222"/>
          <w:spacing w:val="2"/>
          <w:sz w:val="21"/>
          <w:szCs w:val="21"/>
        </w:rPr>
      </w:pPr>
      <w:r w:rsidRPr="009F02C3">
        <w:rPr>
          <w:rFonts w:ascii="Times New Roman" w:hAnsi="Times New Roman" w:cs="Times New Roman"/>
          <w:color w:val="222222"/>
          <w:spacing w:val="2"/>
          <w:sz w:val="21"/>
          <w:szCs w:val="21"/>
        </w:rPr>
        <w:t xml:space="preserve">Supplementary Table </w:t>
      </w:r>
      <w:r w:rsidR="00700E3C">
        <w:rPr>
          <w:rFonts w:ascii="Times New Roman" w:hAnsi="Times New Roman" w:cs="Times New Roman" w:hint="eastAsia"/>
          <w:color w:val="222222"/>
          <w:spacing w:val="2"/>
          <w:sz w:val="21"/>
          <w:szCs w:val="21"/>
        </w:rPr>
        <w:t>2.</w:t>
      </w:r>
      <w:r w:rsidRPr="009F02C3">
        <w:rPr>
          <w:rFonts w:ascii="Times New Roman" w:hAnsi="Times New Roman" w:cs="Times New Roman"/>
          <w:color w:val="222222"/>
          <w:spacing w:val="2"/>
          <w:sz w:val="21"/>
          <w:szCs w:val="21"/>
        </w:rPr>
        <w:t xml:space="preserve"> </w:t>
      </w:r>
      <w:r w:rsidR="00AA5372" w:rsidRPr="00AA5372">
        <w:rPr>
          <w:rFonts w:ascii="Times New Roman" w:hAnsi="Times New Roman" w:cs="Times New Roman"/>
          <w:color w:val="222222"/>
          <w:spacing w:val="2"/>
          <w:sz w:val="21"/>
          <w:szCs w:val="21"/>
        </w:rPr>
        <w:t>Outcome estimates from analyses in the propensity‑score‑matched cohort</w:t>
      </w:r>
    </w:p>
    <w:tbl>
      <w:tblPr>
        <w:tblW w:w="8639" w:type="dxa"/>
        <w:tblCellMar>
          <w:top w:w="15" w:type="dxa"/>
          <w:left w:w="15" w:type="dxa"/>
          <w:bottom w:w="15" w:type="dxa"/>
          <w:right w:w="15" w:type="dxa"/>
        </w:tblCellMar>
        <w:tblLook w:val="04A0" w:firstRow="1" w:lastRow="0" w:firstColumn="1" w:lastColumn="0" w:noHBand="0" w:noVBand="1"/>
      </w:tblPr>
      <w:tblGrid>
        <w:gridCol w:w="3610"/>
        <w:gridCol w:w="2424"/>
        <w:gridCol w:w="2605"/>
      </w:tblGrid>
      <w:tr w:rsidR="009F02C3" w:rsidRPr="009F02C3" w14:paraId="356EB65C" w14:textId="77777777" w:rsidTr="009F02C3">
        <w:trPr>
          <w:trHeight w:val="875"/>
        </w:trPr>
        <w:tc>
          <w:tcPr>
            <w:tcW w:w="0" w:type="auto"/>
            <w:tcBorders>
              <w:top w:val="single" w:sz="4" w:space="0" w:color="auto"/>
              <w:bottom w:val="single" w:sz="4" w:space="0" w:color="auto"/>
            </w:tcBorders>
            <w:tcMar>
              <w:top w:w="120" w:type="dxa"/>
              <w:left w:w="120" w:type="dxa"/>
              <w:bottom w:w="120" w:type="dxa"/>
              <w:right w:w="120" w:type="dxa"/>
            </w:tcMar>
            <w:hideMark/>
          </w:tcPr>
          <w:p w14:paraId="57C8EB5E" w14:textId="77777777" w:rsidR="009F02C3" w:rsidRPr="009F02C3" w:rsidRDefault="009F02C3" w:rsidP="00B40AF1">
            <w:pPr>
              <w:widowControl/>
              <w:jc w:val="left"/>
              <w:rPr>
                <w:rFonts w:ascii="Times New Roman" w:eastAsia="宋体" w:hAnsi="Times New Roman" w:cs="Times New Roman"/>
                <w:kern w:val="0"/>
                <w:szCs w:val="21"/>
              </w:rPr>
            </w:pPr>
            <w:bookmarkStart w:id="0" w:name="OLE_LINK45"/>
            <w:r w:rsidRPr="009F02C3">
              <w:rPr>
                <w:rFonts w:ascii="Times New Roman" w:eastAsia="宋体" w:hAnsi="Times New Roman" w:cs="Times New Roman"/>
                <w:kern w:val="0"/>
                <w:szCs w:val="21"/>
              </w:rPr>
              <w:t>Analysis</w:t>
            </w:r>
          </w:p>
        </w:tc>
        <w:tc>
          <w:tcPr>
            <w:tcW w:w="0" w:type="auto"/>
            <w:tcBorders>
              <w:top w:val="single" w:sz="4" w:space="0" w:color="auto"/>
              <w:bottom w:val="single" w:sz="4" w:space="0" w:color="auto"/>
            </w:tcBorders>
            <w:tcMar>
              <w:top w:w="120" w:type="dxa"/>
              <w:left w:w="120" w:type="dxa"/>
              <w:bottom w:w="120" w:type="dxa"/>
              <w:right w:w="120" w:type="dxa"/>
            </w:tcMar>
            <w:hideMark/>
          </w:tcPr>
          <w:p w14:paraId="51FA6923" w14:textId="5C27C8B6" w:rsidR="009F02C3" w:rsidRPr="009F02C3" w:rsidRDefault="005E60F5" w:rsidP="00B40AF1">
            <w:pPr>
              <w:widowControl/>
              <w:jc w:val="left"/>
              <w:rPr>
                <w:rFonts w:ascii="Times New Roman" w:eastAsia="宋体" w:hAnsi="Times New Roman" w:cs="Times New Roman"/>
                <w:kern w:val="0"/>
                <w:szCs w:val="21"/>
              </w:rPr>
            </w:pPr>
            <w:r w:rsidRPr="005E60F5">
              <w:rPr>
                <w:rFonts w:ascii="Times New Roman" w:eastAsia="宋体" w:hAnsi="Times New Roman" w:cs="Times New Roman"/>
                <w:kern w:val="0"/>
                <w:szCs w:val="21"/>
              </w:rPr>
              <w:t>OR (95% CI)</w:t>
            </w:r>
            <w:r>
              <w:rPr>
                <w:rFonts w:ascii="Times New Roman" w:eastAsia="宋体" w:hAnsi="Times New Roman" w:cs="Times New Roman" w:hint="eastAsia"/>
                <w:kern w:val="0"/>
                <w:szCs w:val="21"/>
              </w:rPr>
              <w:t xml:space="preserve"> </w:t>
            </w:r>
            <w:r w:rsidRPr="005E60F5">
              <w:rPr>
                <w:rFonts w:ascii="Times New Roman" w:eastAsia="宋体" w:hAnsi="Times New Roman" w:cs="Times New Roman"/>
                <w:kern w:val="0"/>
                <w:szCs w:val="21"/>
              </w:rPr>
              <w:t>Binary MACCE</w:t>
            </w:r>
            <w:r>
              <w:rPr>
                <w:rFonts w:ascii="Times New Roman" w:eastAsia="宋体" w:hAnsi="Times New Roman" w:cs="Times New Roman" w:hint="eastAsia"/>
                <w:kern w:val="0"/>
                <w:szCs w:val="21"/>
              </w:rPr>
              <w:t xml:space="preserve"> </w:t>
            </w:r>
            <w:r w:rsidRPr="005E60F5">
              <w:rPr>
                <w:rFonts w:ascii="Times New Roman" w:eastAsia="宋体" w:hAnsi="Times New Roman" w:cs="Times New Roman"/>
                <w:kern w:val="0"/>
                <w:szCs w:val="21"/>
              </w:rPr>
              <w:t>(conditional logistic regression)</w:t>
            </w:r>
          </w:p>
        </w:tc>
        <w:tc>
          <w:tcPr>
            <w:tcW w:w="0" w:type="auto"/>
            <w:tcBorders>
              <w:top w:val="single" w:sz="4" w:space="0" w:color="auto"/>
              <w:bottom w:val="single" w:sz="4" w:space="0" w:color="auto"/>
            </w:tcBorders>
            <w:tcMar>
              <w:top w:w="120" w:type="dxa"/>
              <w:left w:w="120" w:type="dxa"/>
              <w:bottom w:w="120" w:type="dxa"/>
              <w:right w:w="120" w:type="dxa"/>
            </w:tcMar>
            <w:hideMark/>
          </w:tcPr>
          <w:p w14:paraId="0EA04473" w14:textId="61B2979C" w:rsidR="009F02C3" w:rsidRPr="009F02C3" w:rsidRDefault="005E60F5" w:rsidP="00B40AF1">
            <w:pPr>
              <w:widowControl/>
              <w:jc w:val="left"/>
              <w:rPr>
                <w:rFonts w:ascii="Times New Roman" w:eastAsia="宋体" w:hAnsi="Times New Roman" w:cs="Times New Roman"/>
                <w:kern w:val="0"/>
                <w:szCs w:val="21"/>
              </w:rPr>
            </w:pPr>
            <w:r w:rsidRPr="005E60F5">
              <w:rPr>
                <w:rFonts w:ascii="Times New Roman" w:eastAsia="宋体" w:hAnsi="Times New Roman" w:cs="Times New Roman"/>
                <w:kern w:val="0"/>
                <w:szCs w:val="21"/>
              </w:rPr>
              <w:t>HR (95% CI)</w:t>
            </w:r>
            <w:r>
              <w:rPr>
                <w:rFonts w:ascii="Times New Roman" w:eastAsia="宋体" w:hAnsi="Times New Roman" w:cs="Times New Roman" w:hint="eastAsia"/>
                <w:kern w:val="0"/>
                <w:szCs w:val="21"/>
              </w:rPr>
              <w:t xml:space="preserve"> </w:t>
            </w:r>
            <w:r w:rsidRPr="005E60F5">
              <w:rPr>
                <w:rFonts w:ascii="Times New Roman" w:eastAsia="宋体" w:hAnsi="Times New Roman" w:cs="Times New Roman"/>
                <w:kern w:val="0"/>
                <w:szCs w:val="21"/>
              </w:rPr>
              <w:t>Time‑to‑event MACCE</w:t>
            </w:r>
            <w:r>
              <w:rPr>
                <w:rFonts w:ascii="Times New Roman" w:eastAsia="宋体" w:hAnsi="Times New Roman" w:cs="Times New Roman" w:hint="eastAsia"/>
                <w:kern w:val="0"/>
                <w:szCs w:val="21"/>
              </w:rPr>
              <w:t xml:space="preserve"> </w:t>
            </w:r>
            <w:r w:rsidRPr="005E60F5">
              <w:rPr>
                <w:rFonts w:ascii="Times New Roman" w:eastAsia="宋体" w:hAnsi="Times New Roman" w:cs="Times New Roman"/>
                <w:kern w:val="0"/>
                <w:szCs w:val="21"/>
              </w:rPr>
              <w:t>(stratified Cox regression)</w:t>
            </w:r>
          </w:p>
        </w:tc>
      </w:tr>
      <w:tr w:rsidR="009F02C3" w:rsidRPr="009F02C3" w14:paraId="7E2D44DB" w14:textId="77777777" w:rsidTr="009F02C3">
        <w:trPr>
          <w:trHeight w:val="875"/>
        </w:trPr>
        <w:tc>
          <w:tcPr>
            <w:tcW w:w="0" w:type="auto"/>
            <w:tcBorders>
              <w:top w:val="single" w:sz="4" w:space="0" w:color="auto"/>
            </w:tcBorders>
            <w:tcMar>
              <w:top w:w="120" w:type="dxa"/>
              <w:left w:w="120" w:type="dxa"/>
              <w:bottom w:w="120" w:type="dxa"/>
              <w:right w:w="120" w:type="dxa"/>
            </w:tcMar>
            <w:hideMark/>
          </w:tcPr>
          <w:p w14:paraId="7356C54E" w14:textId="77777777" w:rsidR="009F02C3" w:rsidRPr="009F02C3" w:rsidRDefault="009F02C3" w:rsidP="00B40AF1">
            <w:pPr>
              <w:widowControl/>
              <w:jc w:val="left"/>
              <w:rPr>
                <w:rFonts w:ascii="Times New Roman" w:eastAsia="宋体" w:hAnsi="Times New Roman" w:cs="Times New Roman"/>
                <w:kern w:val="0"/>
                <w:szCs w:val="21"/>
              </w:rPr>
            </w:pPr>
            <w:r w:rsidRPr="009F02C3">
              <w:rPr>
                <w:rFonts w:ascii="Times New Roman" w:eastAsia="宋体" w:hAnsi="Times New Roman" w:cs="Times New Roman"/>
                <w:kern w:val="0"/>
                <w:szCs w:val="21"/>
              </w:rPr>
              <w:t>Primary PSM-matched analysis (without calendar-year adjustment)</w:t>
            </w:r>
          </w:p>
        </w:tc>
        <w:tc>
          <w:tcPr>
            <w:tcW w:w="0" w:type="auto"/>
            <w:tcBorders>
              <w:top w:val="single" w:sz="4" w:space="0" w:color="auto"/>
            </w:tcBorders>
            <w:tcMar>
              <w:top w:w="120" w:type="dxa"/>
              <w:left w:w="120" w:type="dxa"/>
              <w:bottom w:w="120" w:type="dxa"/>
              <w:right w:w="120" w:type="dxa"/>
            </w:tcMar>
            <w:hideMark/>
          </w:tcPr>
          <w:p w14:paraId="62DC3207" w14:textId="4BF68EFE" w:rsidR="009F02C3" w:rsidRPr="009F02C3" w:rsidRDefault="009F02C3" w:rsidP="00B40AF1">
            <w:pPr>
              <w:widowControl/>
              <w:jc w:val="left"/>
              <w:rPr>
                <w:rFonts w:ascii="Times New Roman" w:eastAsia="宋体" w:hAnsi="Times New Roman" w:cs="Times New Roman"/>
                <w:kern w:val="0"/>
                <w:szCs w:val="21"/>
              </w:rPr>
            </w:pPr>
            <w:r w:rsidRPr="009F02C3">
              <w:rPr>
                <w:rFonts w:ascii="Times New Roman" w:eastAsia="宋体" w:hAnsi="Times New Roman" w:cs="Times New Roman"/>
                <w:kern w:val="0"/>
                <w:szCs w:val="21"/>
              </w:rPr>
              <w:t>0.33 (0.1</w:t>
            </w:r>
            <w:r w:rsidR="00AA5372">
              <w:rPr>
                <w:rFonts w:ascii="Times New Roman" w:eastAsia="宋体" w:hAnsi="Times New Roman" w:cs="Times New Roman" w:hint="eastAsia"/>
                <w:kern w:val="0"/>
                <w:szCs w:val="21"/>
              </w:rPr>
              <w:t>1</w:t>
            </w:r>
            <w:r w:rsidRPr="009F02C3">
              <w:rPr>
                <w:rFonts w:ascii="Times New Roman" w:eastAsia="宋体" w:hAnsi="Times New Roman" w:cs="Times New Roman"/>
                <w:kern w:val="0"/>
                <w:szCs w:val="21"/>
              </w:rPr>
              <w:t>–1.03)</w:t>
            </w:r>
          </w:p>
        </w:tc>
        <w:tc>
          <w:tcPr>
            <w:tcW w:w="0" w:type="auto"/>
            <w:tcBorders>
              <w:top w:val="single" w:sz="4" w:space="0" w:color="auto"/>
            </w:tcBorders>
            <w:tcMar>
              <w:top w:w="120" w:type="dxa"/>
              <w:left w:w="120" w:type="dxa"/>
              <w:bottom w:w="120" w:type="dxa"/>
              <w:right w:w="120" w:type="dxa"/>
            </w:tcMar>
            <w:hideMark/>
          </w:tcPr>
          <w:p w14:paraId="34781793" w14:textId="2B53188E" w:rsidR="009F02C3" w:rsidRPr="009F02C3" w:rsidRDefault="009F02C3" w:rsidP="00B40AF1">
            <w:pPr>
              <w:widowControl/>
              <w:jc w:val="left"/>
              <w:rPr>
                <w:rFonts w:ascii="Times New Roman" w:eastAsia="宋体" w:hAnsi="Times New Roman" w:cs="Times New Roman"/>
                <w:kern w:val="0"/>
                <w:szCs w:val="21"/>
              </w:rPr>
            </w:pPr>
            <w:r w:rsidRPr="009F02C3">
              <w:rPr>
                <w:rFonts w:ascii="Times New Roman" w:eastAsia="宋体" w:hAnsi="Times New Roman" w:cs="Times New Roman"/>
                <w:kern w:val="0"/>
                <w:szCs w:val="21"/>
              </w:rPr>
              <w:t>0.61 (0.2</w:t>
            </w:r>
            <w:r w:rsidR="00AA5372">
              <w:rPr>
                <w:rFonts w:ascii="Times New Roman" w:eastAsia="宋体" w:hAnsi="Times New Roman" w:cs="Times New Roman" w:hint="eastAsia"/>
                <w:kern w:val="0"/>
                <w:szCs w:val="21"/>
              </w:rPr>
              <w:t>9</w:t>
            </w:r>
            <w:r w:rsidRPr="009F02C3">
              <w:rPr>
                <w:rFonts w:ascii="Times New Roman" w:eastAsia="宋体" w:hAnsi="Times New Roman" w:cs="Times New Roman"/>
                <w:kern w:val="0"/>
                <w:szCs w:val="21"/>
              </w:rPr>
              <w:t>1.29)</w:t>
            </w:r>
          </w:p>
        </w:tc>
      </w:tr>
      <w:tr w:rsidR="009F02C3" w:rsidRPr="009F02C3" w14:paraId="35C698A4" w14:textId="77777777" w:rsidTr="00AA5372">
        <w:trPr>
          <w:trHeight w:val="875"/>
        </w:trPr>
        <w:tc>
          <w:tcPr>
            <w:tcW w:w="0" w:type="auto"/>
            <w:tcMar>
              <w:top w:w="120" w:type="dxa"/>
              <w:left w:w="120" w:type="dxa"/>
              <w:bottom w:w="120" w:type="dxa"/>
              <w:right w:w="120" w:type="dxa"/>
            </w:tcMar>
            <w:hideMark/>
          </w:tcPr>
          <w:p w14:paraId="29B77953" w14:textId="77777777" w:rsidR="009F02C3" w:rsidRPr="009F02C3" w:rsidRDefault="009F02C3" w:rsidP="00B40AF1">
            <w:pPr>
              <w:widowControl/>
              <w:jc w:val="left"/>
              <w:rPr>
                <w:rFonts w:ascii="Times New Roman" w:eastAsia="宋体" w:hAnsi="Times New Roman" w:cs="Times New Roman"/>
                <w:kern w:val="0"/>
                <w:szCs w:val="21"/>
              </w:rPr>
            </w:pPr>
            <w:bookmarkStart w:id="1" w:name="_Hlk238936717"/>
            <w:r w:rsidRPr="009F02C3">
              <w:rPr>
                <w:rFonts w:ascii="Times New Roman" w:eastAsia="宋体" w:hAnsi="Times New Roman" w:cs="Times New Roman"/>
                <w:kern w:val="0"/>
                <w:szCs w:val="21"/>
              </w:rPr>
              <w:t>Sensitivity analysis: further adjusted for calendar-year of operation</w:t>
            </w:r>
          </w:p>
        </w:tc>
        <w:tc>
          <w:tcPr>
            <w:tcW w:w="0" w:type="auto"/>
            <w:tcMar>
              <w:top w:w="120" w:type="dxa"/>
              <w:left w:w="120" w:type="dxa"/>
              <w:bottom w:w="120" w:type="dxa"/>
              <w:right w:w="120" w:type="dxa"/>
            </w:tcMar>
            <w:hideMark/>
          </w:tcPr>
          <w:p w14:paraId="7EB6310D" w14:textId="3C9C5C3A" w:rsidR="009F02C3" w:rsidRPr="009F02C3" w:rsidRDefault="009F02C3" w:rsidP="00B40AF1">
            <w:pPr>
              <w:widowControl/>
              <w:jc w:val="left"/>
              <w:rPr>
                <w:rFonts w:ascii="Times New Roman" w:eastAsia="宋体" w:hAnsi="Times New Roman" w:cs="Times New Roman"/>
                <w:kern w:val="0"/>
                <w:szCs w:val="21"/>
              </w:rPr>
            </w:pPr>
            <w:r w:rsidRPr="009F02C3">
              <w:rPr>
                <w:rFonts w:ascii="Times New Roman" w:eastAsia="宋体" w:hAnsi="Times New Roman" w:cs="Times New Roman"/>
                <w:kern w:val="0"/>
                <w:szCs w:val="21"/>
              </w:rPr>
              <w:t>0.</w:t>
            </w:r>
            <w:r w:rsidR="00AA5372">
              <w:rPr>
                <w:rFonts w:ascii="Times New Roman" w:eastAsia="宋体" w:hAnsi="Times New Roman" w:cs="Times New Roman" w:hint="eastAsia"/>
                <w:kern w:val="0"/>
                <w:szCs w:val="21"/>
              </w:rPr>
              <w:t>40</w:t>
            </w:r>
            <w:r w:rsidRPr="009F02C3">
              <w:rPr>
                <w:rFonts w:ascii="Times New Roman" w:eastAsia="宋体" w:hAnsi="Times New Roman" w:cs="Times New Roman"/>
                <w:kern w:val="0"/>
                <w:szCs w:val="21"/>
              </w:rPr>
              <w:t xml:space="preserve"> (0.1</w:t>
            </w:r>
            <w:r w:rsidR="00AA5372">
              <w:rPr>
                <w:rFonts w:ascii="Times New Roman" w:eastAsia="宋体" w:hAnsi="Times New Roman" w:cs="Times New Roman" w:hint="eastAsia"/>
                <w:kern w:val="0"/>
                <w:szCs w:val="21"/>
              </w:rPr>
              <w:t>2</w:t>
            </w:r>
            <w:r w:rsidRPr="009F02C3">
              <w:rPr>
                <w:rFonts w:ascii="Times New Roman" w:eastAsia="宋体" w:hAnsi="Times New Roman" w:cs="Times New Roman"/>
                <w:kern w:val="0"/>
                <w:szCs w:val="21"/>
              </w:rPr>
              <w:t>–1.33)</w:t>
            </w:r>
          </w:p>
        </w:tc>
        <w:tc>
          <w:tcPr>
            <w:tcW w:w="0" w:type="auto"/>
            <w:tcMar>
              <w:top w:w="120" w:type="dxa"/>
              <w:left w:w="120" w:type="dxa"/>
              <w:bottom w:w="120" w:type="dxa"/>
              <w:right w:w="120" w:type="dxa"/>
            </w:tcMar>
            <w:hideMark/>
          </w:tcPr>
          <w:p w14:paraId="2E84C000" w14:textId="6818ED64" w:rsidR="009F02C3" w:rsidRPr="009F02C3" w:rsidRDefault="009F02C3" w:rsidP="00B40AF1">
            <w:pPr>
              <w:widowControl/>
              <w:jc w:val="left"/>
              <w:rPr>
                <w:rFonts w:ascii="Times New Roman" w:eastAsia="宋体" w:hAnsi="Times New Roman" w:cs="Times New Roman"/>
                <w:kern w:val="0"/>
                <w:szCs w:val="21"/>
              </w:rPr>
            </w:pPr>
            <w:r w:rsidRPr="009F02C3">
              <w:rPr>
                <w:rFonts w:ascii="Times New Roman" w:eastAsia="宋体" w:hAnsi="Times New Roman" w:cs="Times New Roman"/>
                <w:kern w:val="0"/>
                <w:szCs w:val="21"/>
              </w:rPr>
              <w:t>0.53(0.22–1.2</w:t>
            </w:r>
            <w:r w:rsidR="00AA5372">
              <w:rPr>
                <w:rFonts w:ascii="Times New Roman" w:eastAsia="宋体" w:hAnsi="Times New Roman" w:cs="Times New Roman" w:hint="eastAsia"/>
                <w:kern w:val="0"/>
                <w:szCs w:val="21"/>
              </w:rPr>
              <w:t>9</w:t>
            </w:r>
            <w:r w:rsidRPr="009F02C3">
              <w:rPr>
                <w:rFonts w:ascii="Times New Roman" w:eastAsia="宋体" w:hAnsi="Times New Roman" w:cs="Times New Roman"/>
                <w:kern w:val="0"/>
                <w:szCs w:val="21"/>
              </w:rPr>
              <w:t>)</w:t>
            </w:r>
          </w:p>
        </w:tc>
      </w:tr>
      <w:tr w:rsidR="00AA5372" w:rsidRPr="009F02C3" w14:paraId="231E6968" w14:textId="77777777" w:rsidTr="009F02C3">
        <w:trPr>
          <w:trHeight w:val="875"/>
        </w:trPr>
        <w:tc>
          <w:tcPr>
            <w:tcW w:w="0" w:type="auto"/>
            <w:tcBorders>
              <w:bottom w:val="single" w:sz="4" w:space="0" w:color="auto"/>
            </w:tcBorders>
            <w:tcMar>
              <w:top w:w="120" w:type="dxa"/>
              <w:left w:w="120" w:type="dxa"/>
              <w:bottom w:w="120" w:type="dxa"/>
              <w:right w:w="120" w:type="dxa"/>
            </w:tcMar>
          </w:tcPr>
          <w:p w14:paraId="2871E8B5" w14:textId="5D447B8E" w:rsidR="00AA5372" w:rsidRPr="009F02C3" w:rsidRDefault="00AA5372" w:rsidP="00B40AF1">
            <w:pPr>
              <w:widowControl/>
              <w:jc w:val="left"/>
              <w:rPr>
                <w:rFonts w:ascii="Times New Roman" w:eastAsia="宋体" w:hAnsi="Times New Roman" w:cs="Times New Roman"/>
                <w:kern w:val="0"/>
                <w:szCs w:val="21"/>
              </w:rPr>
            </w:pPr>
            <w:r w:rsidRPr="00AA5372">
              <w:rPr>
                <w:rFonts w:ascii="Times New Roman" w:eastAsia="宋体" w:hAnsi="Times New Roman" w:cs="Times New Roman"/>
                <w:kern w:val="0"/>
                <w:szCs w:val="21"/>
              </w:rPr>
              <w:t>Sensitivity analysis: restricted to enoxaparin‑only matched pairs (nadroparin pairs excluded, 135 pairs)</w:t>
            </w:r>
          </w:p>
        </w:tc>
        <w:tc>
          <w:tcPr>
            <w:tcW w:w="0" w:type="auto"/>
            <w:tcBorders>
              <w:bottom w:val="single" w:sz="4" w:space="0" w:color="auto"/>
            </w:tcBorders>
            <w:tcMar>
              <w:top w:w="120" w:type="dxa"/>
              <w:left w:w="120" w:type="dxa"/>
              <w:bottom w:w="120" w:type="dxa"/>
              <w:right w:w="120" w:type="dxa"/>
            </w:tcMar>
          </w:tcPr>
          <w:p w14:paraId="34F91F34" w14:textId="152CC6DC" w:rsidR="00AA5372" w:rsidRPr="009F02C3" w:rsidRDefault="00AA5372" w:rsidP="00B40AF1">
            <w:pPr>
              <w:widowControl/>
              <w:jc w:val="left"/>
              <w:rPr>
                <w:rFonts w:ascii="Times New Roman" w:eastAsia="宋体" w:hAnsi="Times New Roman" w:cs="Times New Roman"/>
                <w:kern w:val="0"/>
                <w:szCs w:val="21"/>
              </w:rPr>
            </w:pPr>
            <w:r w:rsidRPr="00AA5372">
              <w:rPr>
                <w:rFonts w:ascii="Times New Roman" w:eastAsia="宋体" w:hAnsi="Times New Roman" w:cs="Times New Roman"/>
                <w:kern w:val="0"/>
                <w:szCs w:val="21"/>
              </w:rPr>
              <w:t>0.3</w:t>
            </w:r>
            <w:r>
              <w:rPr>
                <w:rFonts w:ascii="Times New Roman" w:eastAsia="宋体" w:hAnsi="Times New Roman" w:cs="Times New Roman" w:hint="eastAsia"/>
                <w:kern w:val="0"/>
                <w:szCs w:val="21"/>
              </w:rPr>
              <w:t>1</w:t>
            </w:r>
            <w:r w:rsidRPr="00AA5372">
              <w:rPr>
                <w:rFonts w:ascii="Times New Roman" w:eastAsia="宋体" w:hAnsi="Times New Roman" w:cs="Times New Roman"/>
                <w:kern w:val="0"/>
                <w:szCs w:val="21"/>
              </w:rPr>
              <w:t xml:space="preserve"> (0.10</w:t>
            </w:r>
            <w:r w:rsidRPr="00AA5372">
              <w:rPr>
                <w:rFonts w:ascii="Times New Roman" w:eastAsia="宋体" w:hAnsi="Times New Roman" w:cs="Times New Roman"/>
                <w:kern w:val="0"/>
                <w:szCs w:val="21"/>
              </w:rPr>
              <w:noBreakHyphen/>
              <w:t>0.94)</w:t>
            </w:r>
          </w:p>
        </w:tc>
        <w:tc>
          <w:tcPr>
            <w:tcW w:w="0" w:type="auto"/>
            <w:tcBorders>
              <w:bottom w:val="single" w:sz="4" w:space="0" w:color="auto"/>
            </w:tcBorders>
            <w:tcMar>
              <w:top w:w="120" w:type="dxa"/>
              <w:left w:w="120" w:type="dxa"/>
              <w:bottom w:w="120" w:type="dxa"/>
              <w:right w:w="120" w:type="dxa"/>
            </w:tcMar>
          </w:tcPr>
          <w:p w14:paraId="542ED140" w14:textId="1012B0A3" w:rsidR="00AA5372" w:rsidRPr="009F02C3" w:rsidRDefault="00AA5372" w:rsidP="00B40AF1">
            <w:pPr>
              <w:widowControl/>
              <w:jc w:val="left"/>
              <w:rPr>
                <w:rFonts w:ascii="Times New Roman" w:eastAsia="宋体" w:hAnsi="Times New Roman" w:cs="Times New Roman"/>
                <w:kern w:val="0"/>
                <w:szCs w:val="21"/>
              </w:rPr>
            </w:pPr>
            <w:r w:rsidRPr="00AA5372">
              <w:rPr>
                <w:rFonts w:ascii="Times New Roman" w:eastAsia="宋体" w:hAnsi="Times New Roman" w:cs="Times New Roman"/>
                <w:kern w:val="0"/>
                <w:szCs w:val="21"/>
              </w:rPr>
              <w:t>0.3</w:t>
            </w:r>
            <w:r>
              <w:rPr>
                <w:rFonts w:ascii="Times New Roman" w:eastAsia="宋体" w:hAnsi="Times New Roman" w:cs="Times New Roman" w:hint="eastAsia"/>
                <w:kern w:val="0"/>
                <w:szCs w:val="21"/>
              </w:rPr>
              <w:t>1</w:t>
            </w:r>
            <w:r w:rsidRPr="00AA5372">
              <w:rPr>
                <w:rFonts w:ascii="Times New Roman" w:eastAsia="宋体" w:hAnsi="Times New Roman" w:cs="Times New Roman"/>
                <w:kern w:val="0"/>
                <w:szCs w:val="21"/>
              </w:rPr>
              <w:t xml:space="preserve"> (0.10</w:t>
            </w:r>
            <w:r w:rsidRPr="00AA5372">
              <w:rPr>
                <w:rFonts w:ascii="Times New Roman" w:eastAsia="宋体" w:hAnsi="Times New Roman" w:cs="Times New Roman"/>
                <w:kern w:val="0"/>
                <w:szCs w:val="21"/>
              </w:rPr>
              <w:noBreakHyphen/>
              <w:t>0.94)</w:t>
            </w:r>
          </w:p>
        </w:tc>
      </w:tr>
    </w:tbl>
    <w:bookmarkEnd w:id="0"/>
    <w:bookmarkEnd w:id="1"/>
    <w:p w14:paraId="716902A1" w14:textId="1EB69394" w:rsidR="007A036A" w:rsidRPr="009F02C3" w:rsidRDefault="00FF278D" w:rsidP="00FF278D">
      <w:pPr>
        <w:rPr>
          <w:rFonts w:ascii="Times New Roman" w:hAnsi="Times New Roman" w:cs="Times New Roman"/>
          <w:b/>
          <w:bCs/>
          <w:szCs w:val="21"/>
        </w:rPr>
      </w:pPr>
      <w:r w:rsidRPr="00FF278D">
        <w:rPr>
          <w:rFonts w:ascii="Times New Roman" w:hAnsi="Times New Roman" w:cs="Times New Roman"/>
          <w:b/>
          <w:bCs/>
          <w:szCs w:val="21"/>
        </w:rPr>
        <w:t>Analyses were performed on the original matched dataset containing 151 pairs for primary and calendar-year-adjusted conditional-logistic-regression analyses, with 17 informative discordant pairs for the binary MACCE endpoint. The enoxaparin-only sensitivity analysis excluded pairs involving nadroparin, leaving 135 matched pairs. Odds-ratio and hazard-ratio point estimates and confidence intervals were identical in the enoxaparin-only subset; this is consistent with the low overall MACCE event rate, where group differences are mainly driven by event occurrence rather than timing of events. Attempted further adjustment for individual surgeon identifier resulted in model non-convergence and unstable coefficient estimates due to sparse cell counts after matching and was therefore not reported. Conventional log-rank test was used for descriptive visualization only and was not applied for formal statistical inference. CI, confidence interval; OR, odds ratio; HR, hazard ratio; MACCE, major adverse cardiac and cerebrovascular event.</w:t>
      </w:r>
    </w:p>
    <w:sectPr w:rsidR="007A036A" w:rsidRPr="009F02C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F14DC" w14:textId="77777777" w:rsidR="00860631" w:rsidRDefault="00860631" w:rsidP="009F02C3">
      <w:pPr>
        <w:rPr>
          <w:rFonts w:hint="eastAsia"/>
        </w:rPr>
      </w:pPr>
      <w:r>
        <w:separator/>
      </w:r>
    </w:p>
  </w:endnote>
  <w:endnote w:type="continuationSeparator" w:id="0">
    <w:p w14:paraId="04CF28FC" w14:textId="77777777" w:rsidR="00860631" w:rsidRDefault="00860631" w:rsidP="009F02C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2D486" w14:textId="77777777" w:rsidR="00860631" w:rsidRDefault="00860631" w:rsidP="009F02C3">
      <w:pPr>
        <w:rPr>
          <w:rFonts w:hint="eastAsia"/>
        </w:rPr>
      </w:pPr>
      <w:r>
        <w:separator/>
      </w:r>
    </w:p>
  </w:footnote>
  <w:footnote w:type="continuationSeparator" w:id="0">
    <w:p w14:paraId="6519C703" w14:textId="77777777" w:rsidR="00860631" w:rsidRDefault="00860631" w:rsidP="009F02C3">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7A7"/>
    <w:rsid w:val="00120282"/>
    <w:rsid w:val="00256245"/>
    <w:rsid w:val="004A00D2"/>
    <w:rsid w:val="005E60F5"/>
    <w:rsid w:val="006C5879"/>
    <w:rsid w:val="00700E3C"/>
    <w:rsid w:val="00791627"/>
    <w:rsid w:val="007A036A"/>
    <w:rsid w:val="007D6C69"/>
    <w:rsid w:val="00860631"/>
    <w:rsid w:val="0088689F"/>
    <w:rsid w:val="008D351F"/>
    <w:rsid w:val="008F4C06"/>
    <w:rsid w:val="009507A7"/>
    <w:rsid w:val="009F02C3"/>
    <w:rsid w:val="00AA5372"/>
    <w:rsid w:val="00BD05A8"/>
    <w:rsid w:val="00D41D06"/>
    <w:rsid w:val="00D43299"/>
    <w:rsid w:val="00E03997"/>
    <w:rsid w:val="00E90E76"/>
    <w:rsid w:val="00FC6351"/>
    <w:rsid w:val="00FF27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626D1B"/>
  <w15:chartTrackingRefBased/>
  <w15:docId w15:val="{7E38E932-953F-44EB-A068-81A3F971D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507A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9507A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9507A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9507A7"/>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9507A7"/>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9507A7"/>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9507A7"/>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9507A7"/>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9507A7"/>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507A7"/>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9507A7"/>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9507A7"/>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9507A7"/>
    <w:rPr>
      <w:rFonts w:cstheme="majorBidi"/>
      <w:color w:val="0F4761" w:themeColor="accent1" w:themeShade="BF"/>
      <w:sz w:val="28"/>
      <w:szCs w:val="28"/>
    </w:rPr>
  </w:style>
  <w:style w:type="character" w:customStyle="1" w:styleId="50">
    <w:name w:val="标题 5 字符"/>
    <w:basedOn w:val="a0"/>
    <w:link w:val="5"/>
    <w:uiPriority w:val="9"/>
    <w:semiHidden/>
    <w:rsid w:val="009507A7"/>
    <w:rPr>
      <w:rFonts w:cstheme="majorBidi"/>
      <w:color w:val="0F4761" w:themeColor="accent1" w:themeShade="BF"/>
      <w:sz w:val="24"/>
      <w:szCs w:val="24"/>
    </w:rPr>
  </w:style>
  <w:style w:type="character" w:customStyle="1" w:styleId="60">
    <w:name w:val="标题 6 字符"/>
    <w:basedOn w:val="a0"/>
    <w:link w:val="6"/>
    <w:uiPriority w:val="9"/>
    <w:semiHidden/>
    <w:rsid w:val="009507A7"/>
    <w:rPr>
      <w:rFonts w:cstheme="majorBidi"/>
      <w:b/>
      <w:bCs/>
      <w:color w:val="0F4761" w:themeColor="accent1" w:themeShade="BF"/>
    </w:rPr>
  </w:style>
  <w:style w:type="character" w:customStyle="1" w:styleId="70">
    <w:name w:val="标题 7 字符"/>
    <w:basedOn w:val="a0"/>
    <w:link w:val="7"/>
    <w:uiPriority w:val="9"/>
    <w:semiHidden/>
    <w:rsid w:val="009507A7"/>
    <w:rPr>
      <w:rFonts w:cstheme="majorBidi"/>
      <w:b/>
      <w:bCs/>
      <w:color w:val="595959" w:themeColor="text1" w:themeTint="A6"/>
    </w:rPr>
  </w:style>
  <w:style w:type="character" w:customStyle="1" w:styleId="80">
    <w:name w:val="标题 8 字符"/>
    <w:basedOn w:val="a0"/>
    <w:link w:val="8"/>
    <w:uiPriority w:val="9"/>
    <w:semiHidden/>
    <w:rsid w:val="009507A7"/>
    <w:rPr>
      <w:rFonts w:cstheme="majorBidi"/>
      <w:color w:val="595959" w:themeColor="text1" w:themeTint="A6"/>
    </w:rPr>
  </w:style>
  <w:style w:type="character" w:customStyle="1" w:styleId="90">
    <w:name w:val="标题 9 字符"/>
    <w:basedOn w:val="a0"/>
    <w:link w:val="9"/>
    <w:uiPriority w:val="9"/>
    <w:semiHidden/>
    <w:rsid w:val="009507A7"/>
    <w:rPr>
      <w:rFonts w:eastAsiaTheme="majorEastAsia" w:cstheme="majorBidi"/>
      <w:color w:val="595959" w:themeColor="text1" w:themeTint="A6"/>
    </w:rPr>
  </w:style>
  <w:style w:type="paragraph" w:styleId="a3">
    <w:name w:val="Title"/>
    <w:basedOn w:val="a"/>
    <w:next w:val="a"/>
    <w:link w:val="a4"/>
    <w:uiPriority w:val="10"/>
    <w:qFormat/>
    <w:rsid w:val="009507A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9507A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507A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9507A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507A7"/>
    <w:pPr>
      <w:spacing w:before="160" w:after="160"/>
      <w:jc w:val="center"/>
    </w:pPr>
    <w:rPr>
      <w:i/>
      <w:iCs/>
      <w:color w:val="404040" w:themeColor="text1" w:themeTint="BF"/>
    </w:rPr>
  </w:style>
  <w:style w:type="character" w:customStyle="1" w:styleId="a8">
    <w:name w:val="引用 字符"/>
    <w:basedOn w:val="a0"/>
    <w:link w:val="a7"/>
    <w:uiPriority w:val="29"/>
    <w:rsid w:val="009507A7"/>
    <w:rPr>
      <w:i/>
      <w:iCs/>
      <w:color w:val="404040" w:themeColor="text1" w:themeTint="BF"/>
    </w:rPr>
  </w:style>
  <w:style w:type="paragraph" w:styleId="a9">
    <w:name w:val="List Paragraph"/>
    <w:basedOn w:val="a"/>
    <w:uiPriority w:val="34"/>
    <w:qFormat/>
    <w:rsid w:val="009507A7"/>
    <w:pPr>
      <w:ind w:left="720"/>
      <w:contextualSpacing/>
    </w:pPr>
  </w:style>
  <w:style w:type="character" w:styleId="aa">
    <w:name w:val="Intense Emphasis"/>
    <w:basedOn w:val="a0"/>
    <w:uiPriority w:val="21"/>
    <w:qFormat/>
    <w:rsid w:val="009507A7"/>
    <w:rPr>
      <w:i/>
      <w:iCs/>
      <w:color w:val="0F4761" w:themeColor="accent1" w:themeShade="BF"/>
    </w:rPr>
  </w:style>
  <w:style w:type="paragraph" w:styleId="ab">
    <w:name w:val="Intense Quote"/>
    <w:basedOn w:val="a"/>
    <w:next w:val="a"/>
    <w:link w:val="ac"/>
    <w:uiPriority w:val="30"/>
    <w:qFormat/>
    <w:rsid w:val="009507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9507A7"/>
    <w:rPr>
      <w:i/>
      <w:iCs/>
      <w:color w:val="0F4761" w:themeColor="accent1" w:themeShade="BF"/>
    </w:rPr>
  </w:style>
  <w:style w:type="character" w:styleId="ad">
    <w:name w:val="Intense Reference"/>
    <w:basedOn w:val="a0"/>
    <w:uiPriority w:val="32"/>
    <w:qFormat/>
    <w:rsid w:val="009507A7"/>
    <w:rPr>
      <w:b/>
      <w:bCs/>
      <w:smallCaps/>
      <w:color w:val="0F4761" w:themeColor="accent1" w:themeShade="BF"/>
      <w:spacing w:val="5"/>
    </w:rPr>
  </w:style>
  <w:style w:type="paragraph" w:styleId="ae">
    <w:name w:val="header"/>
    <w:basedOn w:val="a"/>
    <w:link w:val="af"/>
    <w:uiPriority w:val="99"/>
    <w:unhideWhenUsed/>
    <w:rsid w:val="009F02C3"/>
    <w:pPr>
      <w:tabs>
        <w:tab w:val="center" w:pos="4153"/>
        <w:tab w:val="right" w:pos="8306"/>
      </w:tabs>
      <w:snapToGrid w:val="0"/>
      <w:jc w:val="center"/>
    </w:pPr>
    <w:rPr>
      <w:sz w:val="18"/>
      <w:szCs w:val="18"/>
    </w:rPr>
  </w:style>
  <w:style w:type="character" w:customStyle="1" w:styleId="af">
    <w:name w:val="页眉 字符"/>
    <w:basedOn w:val="a0"/>
    <w:link w:val="ae"/>
    <w:uiPriority w:val="99"/>
    <w:rsid w:val="009F02C3"/>
    <w:rPr>
      <w:sz w:val="18"/>
      <w:szCs w:val="18"/>
    </w:rPr>
  </w:style>
  <w:style w:type="paragraph" w:styleId="af0">
    <w:name w:val="footer"/>
    <w:basedOn w:val="a"/>
    <w:link w:val="af1"/>
    <w:uiPriority w:val="99"/>
    <w:unhideWhenUsed/>
    <w:rsid w:val="009F02C3"/>
    <w:pPr>
      <w:tabs>
        <w:tab w:val="center" w:pos="4153"/>
        <w:tab w:val="right" w:pos="8306"/>
      </w:tabs>
      <w:snapToGrid w:val="0"/>
      <w:jc w:val="left"/>
    </w:pPr>
    <w:rPr>
      <w:sz w:val="18"/>
      <w:szCs w:val="18"/>
    </w:rPr>
  </w:style>
  <w:style w:type="character" w:customStyle="1" w:styleId="af1">
    <w:name w:val="页脚 字符"/>
    <w:basedOn w:val="a0"/>
    <w:link w:val="af0"/>
    <w:uiPriority w:val="99"/>
    <w:rsid w:val="009F02C3"/>
    <w:rPr>
      <w:sz w:val="18"/>
      <w:szCs w:val="18"/>
    </w:rPr>
  </w:style>
  <w:style w:type="paragraph" w:customStyle="1" w:styleId="u-mb-24">
    <w:name w:val="u-mb-24"/>
    <w:basedOn w:val="a"/>
    <w:rsid w:val="009F02C3"/>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205</Words>
  <Characters>1401</Characters>
  <Application>Microsoft Office Word</Application>
  <DocSecurity>0</DocSecurity>
  <Lines>34</Lines>
  <Paragraphs>15</Paragraphs>
  <ScaleCrop>false</ScaleCrop>
  <Company/>
  <LinksUpToDate>false</LinksUpToDate>
  <CharactersWithSpaces>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恒 张</dc:creator>
  <cp:keywords/>
  <dc:description/>
  <cp:lastModifiedBy>恒 张</cp:lastModifiedBy>
  <cp:revision>7</cp:revision>
  <dcterms:created xsi:type="dcterms:W3CDTF">2026-08-29T07:05:00Z</dcterms:created>
  <dcterms:modified xsi:type="dcterms:W3CDTF">2026-09-13T09:58:00Z</dcterms:modified>
</cp:coreProperties>
</file>