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F02F2">
      <w:pPr>
        <w:spacing w:after="200"/>
        <w:rPr>
          <w:rFonts w:hint="default"/>
          <w:color w:val="auto"/>
          <w:lang w:val="en-US"/>
        </w:rPr>
      </w:pPr>
      <w:r>
        <w:rPr>
          <w:rFonts w:cs="Times New Roman"/>
          <w:b/>
          <w:color w:val="auto"/>
          <w:sz w:val="24"/>
        </w:rPr>
        <w:t>Supplementary Material</w:t>
      </w:r>
      <w:r>
        <w:rPr>
          <w:rFonts w:hint="default" w:cs="Times New Roman"/>
          <w:b/>
          <w:color w:val="auto"/>
          <w:sz w:val="24"/>
          <w:lang w:val="en-US"/>
        </w:rPr>
        <w:t>s</w:t>
      </w:r>
    </w:p>
    <w:p w14:paraId="7BC10502">
      <w:pPr>
        <w:spacing w:before="100" w:after="200"/>
        <w:jc w:val="both"/>
        <w:rPr>
          <w:color w:val="auto"/>
        </w:rPr>
      </w:pPr>
      <w:r>
        <w:rPr>
          <w:rFonts w:cs="Times New Roman"/>
          <w:b/>
          <w:color w:val="auto"/>
          <w:sz w:val="24"/>
        </w:rPr>
        <w:t>Supplementary Table S1. Associations of combined admission NLR-CAR categories with clinical outcomes and bootstrap stability of the both-high category</w:t>
      </w:r>
    </w:p>
    <w:p w14:paraId="36EA0AC0">
      <w:pPr>
        <w:spacing w:after="40"/>
        <w:rPr>
          <w:color w:val="auto"/>
          <w:sz w:val="21"/>
          <w:szCs w:val="21"/>
        </w:rPr>
      </w:pPr>
      <w:r>
        <w:rPr>
          <w:b/>
          <w:color w:val="auto"/>
          <w:sz w:val="21"/>
          <w:szCs w:val="21"/>
        </w:rPr>
        <w:t>Panel A. Multivariable Cox analyses of combined NLR-CAR categories</w:t>
      </w:r>
    </w:p>
    <w:tbl>
      <w:tblPr>
        <w:tblStyle w:val="32"/>
        <w:tblW w:w="9027" w:type="dxa"/>
        <w:tblInd w:w="0" w:type="dxa"/>
        <w:tblLayout w:type="fixed"/>
        <w:tblCellMar>
          <w:top w:w="0" w:type="dxa"/>
          <w:left w:w="108" w:type="dxa"/>
          <w:bottom w:w="0" w:type="dxa"/>
          <w:right w:w="108" w:type="dxa"/>
        </w:tblCellMar>
      </w:tblPr>
      <w:tblGrid>
        <w:gridCol w:w="2114"/>
        <w:gridCol w:w="2043"/>
        <w:gridCol w:w="1247"/>
        <w:gridCol w:w="2200"/>
        <w:gridCol w:w="1423"/>
      </w:tblGrid>
      <w:tr w14:paraId="1793D9BF">
        <w:tc>
          <w:tcPr>
            <w:tcW w:w="2114" w:type="dxa"/>
            <w:tcBorders>
              <w:top w:val="single" w:color="000000" w:sz="12" w:space="0"/>
              <w:bottom w:val="single" w:color="000000" w:sz="8" w:space="0"/>
            </w:tcBorders>
            <w:tcMar>
              <w:top w:w="35" w:type="dxa"/>
              <w:left w:w="45" w:type="dxa"/>
              <w:bottom w:w="35" w:type="dxa"/>
              <w:right w:w="45" w:type="dxa"/>
            </w:tcMar>
            <w:vAlign w:val="center"/>
          </w:tcPr>
          <w:p w14:paraId="4BAB2651">
            <w:pPr>
              <w:spacing w:after="0" w:line="240" w:lineRule="auto"/>
              <w:jc w:val="center"/>
              <w:rPr>
                <w:color w:val="auto"/>
                <w:sz w:val="18"/>
                <w:szCs w:val="18"/>
              </w:rPr>
            </w:pPr>
            <w:r>
              <w:rPr>
                <w:b/>
                <w:color w:val="auto"/>
                <w:sz w:val="18"/>
                <w:szCs w:val="18"/>
              </w:rPr>
              <w:t>Outcome</w:t>
            </w:r>
          </w:p>
        </w:tc>
        <w:tc>
          <w:tcPr>
            <w:tcW w:w="2043" w:type="dxa"/>
            <w:tcBorders>
              <w:top w:val="single" w:color="000000" w:sz="12" w:space="0"/>
              <w:bottom w:val="single" w:color="000000" w:sz="8" w:space="0"/>
            </w:tcBorders>
            <w:tcMar>
              <w:top w:w="35" w:type="dxa"/>
              <w:left w:w="45" w:type="dxa"/>
              <w:bottom w:w="35" w:type="dxa"/>
              <w:right w:w="45" w:type="dxa"/>
            </w:tcMar>
            <w:vAlign w:val="center"/>
          </w:tcPr>
          <w:p w14:paraId="7FE9BE99">
            <w:pPr>
              <w:spacing w:after="0" w:line="240" w:lineRule="auto"/>
              <w:jc w:val="center"/>
              <w:rPr>
                <w:color w:val="auto"/>
                <w:sz w:val="18"/>
                <w:szCs w:val="18"/>
              </w:rPr>
            </w:pPr>
            <w:r>
              <w:rPr>
                <w:b/>
                <w:color w:val="auto"/>
                <w:sz w:val="18"/>
                <w:szCs w:val="18"/>
              </w:rPr>
              <w:t>NLR-CAR category</w:t>
            </w:r>
          </w:p>
        </w:tc>
        <w:tc>
          <w:tcPr>
            <w:tcW w:w="1247" w:type="dxa"/>
            <w:tcBorders>
              <w:top w:val="single" w:color="000000" w:sz="12" w:space="0"/>
              <w:bottom w:val="single" w:color="000000" w:sz="8" w:space="0"/>
            </w:tcBorders>
            <w:tcMar>
              <w:top w:w="35" w:type="dxa"/>
              <w:left w:w="45" w:type="dxa"/>
              <w:bottom w:w="35" w:type="dxa"/>
              <w:right w:w="45" w:type="dxa"/>
            </w:tcMar>
            <w:vAlign w:val="center"/>
          </w:tcPr>
          <w:p w14:paraId="4541F73B">
            <w:pPr>
              <w:spacing w:after="0" w:line="240" w:lineRule="auto"/>
              <w:jc w:val="center"/>
              <w:rPr>
                <w:color w:val="auto"/>
                <w:sz w:val="18"/>
                <w:szCs w:val="18"/>
              </w:rPr>
            </w:pPr>
            <w:r>
              <w:rPr>
                <w:b/>
                <w:color w:val="auto"/>
                <w:sz w:val="18"/>
                <w:szCs w:val="18"/>
              </w:rPr>
              <w:t>n/events</w:t>
            </w:r>
          </w:p>
        </w:tc>
        <w:tc>
          <w:tcPr>
            <w:tcW w:w="2200" w:type="dxa"/>
            <w:tcBorders>
              <w:top w:val="single" w:color="000000" w:sz="12" w:space="0"/>
              <w:bottom w:val="single" w:color="000000" w:sz="8" w:space="0"/>
            </w:tcBorders>
            <w:tcMar>
              <w:top w:w="35" w:type="dxa"/>
              <w:left w:w="45" w:type="dxa"/>
              <w:bottom w:w="35" w:type="dxa"/>
              <w:right w:w="45" w:type="dxa"/>
            </w:tcMar>
            <w:vAlign w:val="center"/>
          </w:tcPr>
          <w:p w14:paraId="0EB671D2">
            <w:pPr>
              <w:spacing w:after="0" w:line="240" w:lineRule="auto"/>
              <w:jc w:val="center"/>
              <w:rPr>
                <w:color w:val="auto"/>
                <w:sz w:val="18"/>
                <w:szCs w:val="18"/>
              </w:rPr>
            </w:pPr>
            <w:r>
              <w:rPr>
                <w:b/>
                <w:color w:val="auto"/>
                <w:sz w:val="18"/>
                <w:szCs w:val="18"/>
              </w:rPr>
              <w:t>Adjusted HR (95% CI)</w:t>
            </w:r>
          </w:p>
        </w:tc>
        <w:tc>
          <w:tcPr>
            <w:tcW w:w="1423" w:type="dxa"/>
            <w:tcBorders>
              <w:top w:val="single" w:color="000000" w:sz="12" w:space="0"/>
              <w:bottom w:val="single" w:color="000000" w:sz="8" w:space="0"/>
            </w:tcBorders>
            <w:tcMar>
              <w:top w:w="35" w:type="dxa"/>
              <w:left w:w="45" w:type="dxa"/>
              <w:bottom w:w="35" w:type="dxa"/>
              <w:right w:w="45" w:type="dxa"/>
            </w:tcMar>
            <w:vAlign w:val="center"/>
          </w:tcPr>
          <w:p w14:paraId="08394189">
            <w:pPr>
              <w:spacing w:after="0" w:line="240" w:lineRule="auto"/>
              <w:jc w:val="center"/>
              <w:rPr>
                <w:color w:val="auto"/>
                <w:sz w:val="18"/>
                <w:szCs w:val="18"/>
              </w:rPr>
            </w:pPr>
            <w:r>
              <w:rPr>
                <w:b/>
                <w:color w:val="auto"/>
                <w:sz w:val="18"/>
                <w:szCs w:val="18"/>
              </w:rPr>
              <w:t>P value</w:t>
            </w:r>
          </w:p>
        </w:tc>
      </w:tr>
      <w:tr w14:paraId="435059A3">
        <w:tc>
          <w:tcPr>
            <w:tcW w:w="2114" w:type="dxa"/>
            <w:vMerge w:val="restart"/>
            <w:tcMar>
              <w:top w:w="35" w:type="dxa"/>
              <w:left w:w="45" w:type="dxa"/>
              <w:bottom w:w="35" w:type="dxa"/>
              <w:right w:w="45" w:type="dxa"/>
            </w:tcMar>
            <w:vAlign w:val="center"/>
          </w:tcPr>
          <w:p w14:paraId="1E1537F9">
            <w:pPr>
              <w:spacing w:after="0" w:line="240" w:lineRule="auto"/>
              <w:rPr>
                <w:color w:val="auto"/>
                <w:sz w:val="18"/>
                <w:szCs w:val="18"/>
              </w:rPr>
            </w:pPr>
            <w:r>
              <w:rPr>
                <w:color w:val="auto"/>
                <w:sz w:val="18"/>
                <w:szCs w:val="18"/>
              </w:rPr>
              <w:t>12-month all-cause</w:t>
            </w:r>
            <w:r>
              <w:rPr>
                <w:color w:val="auto"/>
                <w:sz w:val="18"/>
                <w:szCs w:val="18"/>
              </w:rPr>
              <w:br w:type="textWrapping"/>
            </w:r>
            <w:r>
              <w:rPr>
                <w:color w:val="auto"/>
                <w:sz w:val="18"/>
                <w:szCs w:val="18"/>
              </w:rPr>
              <w:t>mortality</w:t>
            </w:r>
          </w:p>
        </w:tc>
        <w:tc>
          <w:tcPr>
            <w:tcW w:w="2043" w:type="dxa"/>
            <w:tcMar>
              <w:top w:w="35" w:type="dxa"/>
              <w:left w:w="45" w:type="dxa"/>
              <w:bottom w:w="35" w:type="dxa"/>
              <w:right w:w="45" w:type="dxa"/>
            </w:tcMar>
            <w:vAlign w:val="center"/>
          </w:tcPr>
          <w:p w14:paraId="2F111F27">
            <w:pPr>
              <w:spacing w:after="0" w:line="240" w:lineRule="auto"/>
              <w:rPr>
                <w:color w:val="auto"/>
                <w:sz w:val="18"/>
                <w:szCs w:val="18"/>
              </w:rPr>
            </w:pPr>
            <w:r>
              <w:rPr>
                <w:color w:val="auto"/>
                <w:sz w:val="18"/>
                <w:szCs w:val="18"/>
              </w:rPr>
              <w:t>Low NLR and low CAR</w:t>
            </w:r>
          </w:p>
        </w:tc>
        <w:tc>
          <w:tcPr>
            <w:tcW w:w="1247" w:type="dxa"/>
            <w:tcMar>
              <w:top w:w="35" w:type="dxa"/>
              <w:left w:w="45" w:type="dxa"/>
              <w:bottom w:w="35" w:type="dxa"/>
              <w:right w:w="45" w:type="dxa"/>
            </w:tcMar>
            <w:vAlign w:val="center"/>
          </w:tcPr>
          <w:p w14:paraId="3EE4F0E3">
            <w:pPr>
              <w:spacing w:after="0" w:line="240" w:lineRule="auto"/>
              <w:jc w:val="center"/>
              <w:rPr>
                <w:color w:val="auto"/>
                <w:sz w:val="18"/>
                <w:szCs w:val="18"/>
              </w:rPr>
            </w:pPr>
            <w:r>
              <w:rPr>
                <w:color w:val="auto"/>
                <w:sz w:val="18"/>
                <w:szCs w:val="18"/>
              </w:rPr>
              <w:t>348/26</w:t>
            </w:r>
          </w:p>
        </w:tc>
        <w:tc>
          <w:tcPr>
            <w:tcW w:w="2200" w:type="dxa"/>
            <w:tcMar>
              <w:top w:w="35" w:type="dxa"/>
              <w:left w:w="45" w:type="dxa"/>
              <w:bottom w:w="35" w:type="dxa"/>
              <w:right w:w="45" w:type="dxa"/>
            </w:tcMar>
            <w:vAlign w:val="center"/>
          </w:tcPr>
          <w:p w14:paraId="6FFA0682">
            <w:pPr>
              <w:spacing w:after="0" w:line="240" w:lineRule="auto"/>
              <w:jc w:val="center"/>
              <w:rPr>
                <w:color w:val="auto"/>
                <w:sz w:val="18"/>
                <w:szCs w:val="18"/>
              </w:rPr>
            </w:pPr>
            <w:r>
              <w:rPr>
                <w:color w:val="auto"/>
                <w:sz w:val="18"/>
                <w:szCs w:val="18"/>
              </w:rPr>
              <w:t>1.00 (Reference)</w:t>
            </w:r>
          </w:p>
        </w:tc>
        <w:tc>
          <w:tcPr>
            <w:tcW w:w="1423" w:type="dxa"/>
            <w:tcMar>
              <w:top w:w="35" w:type="dxa"/>
              <w:left w:w="45" w:type="dxa"/>
              <w:bottom w:w="35" w:type="dxa"/>
              <w:right w:w="45" w:type="dxa"/>
            </w:tcMar>
            <w:vAlign w:val="center"/>
          </w:tcPr>
          <w:p w14:paraId="65D8A575">
            <w:pPr>
              <w:spacing w:after="0" w:line="240" w:lineRule="auto"/>
              <w:jc w:val="center"/>
              <w:rPr>
                <w:color w:val="auto"/>
                <w:sz w:val="18"/>
                <w:szCs w:val="18"/>
              </w:rPr>
            </w:pPr>
            <w:r>
              <w:rPr>
                <w:color w:val="auto"/>
                <w:sz w:val="18"/>
                <w:szCs w:val="18"/>
              </w:rPr>
              <w:t>—</w:t>
            </w:r>
          </w:p>
        </w:tc>
      </w:tr>
      <w:tr w14:paraId="55360904">
        <w:tc>
          <w:tcPr>
            <w:tcW w:w="2114" w:type="dxa"/>
            <w:vMerge w:val="continue"/>
            <w:tcMar>
              <w:top w:w="35" w:type="dxa"/>
              <w:left w:w="45" w:type="dxa"/>
              <w:bottom w:w="35" w:type="dxa"/>
              <w:right w:w="45" w:type="dxa"/>
            </w:tcMar>
            <w:vAlign w:val="center"/>
          </w:tcPr>
          <w:p w14:paraId="7C8B9DC6">
            <w:pPr>
              <w:rPr>
                <w:color w:val="auto"/>
                <w:sz w:val="18"/>
                <w:szCs w:val="18"/>
              </w:rPr>
            </w:pPr>
          </w:p>
        </w:tc>
        <w:tc>
          <w:tcPr>
            <w:tcW w:w="2043" w:type="dxa"/>
            <w:tcMar>
              <w:top w:w="35" w:type="dxa"/>
              <w:left w:w="45" w:type="dxa"/>
              <w:bottom w:w="35" w:type="dxa"/>
              <w:right w:w="45" w:type="dxa"/>
            </w:tcMar>
            <w:vAlign w:val="center"/>
          </w:tcPr>
          <w:p w14:paraId="1330B3C9">
            <w:pPr>
              <w:spacing w:after="0" w:line="240" w:lineRule="auto"/>
              <w:rPr>
                <w:color w:val="auto"/>
                <w:sz w:val="18"/>
                <w:szCs w:val="18"/>
              </w:rPr>
            </w:pPr>
            <w:r>
              <w:rPr>
                <w:color w:val="auto"/>
                <w:sz w:val="18"/>
                <w:szCs w:val="18"/>
              </w:rPr>
              <w:t>NLR-high only</w:t>
            </w:r>
          </w:p>
        </w:tc>
        <w:tc>
          <w:tcPr>
            <w:tcW w:w="1247" w:type="dxa"/>
            <w:tcMar>
              <w:top w:w="35" w:type="dxa"/>
              <w:left w:w="45" w:type="dxa"/>
              <w:bottom w:w="35" w:type="dxa"/>
              <w:right w:w="45" w:type="dxa"/>
            </w:tcMar>
            <w:vAlign w:val="center"/>
          </w:tcPr>
          <w:p w14:paraId="4E6DED6D">
            <w:pPr>
              <w:spacing w:after="0" w:line="240" w:lineRule="auto"/>
              <w:jc w:val="center"/>
              <w:rPr>
                <w:color w:val="auto"/>
                <w:sz w:val="18"/>
                <w:szCs w:val="18"/>
              </w:rPr>
            </w:pPr>
            <w:r>
              <w:rPr>
                <w:color w:val="auto"/>
                <w:sz w:val="18"/>
                <w:szCs w:val="18"/>
              </w:rPr>
              <w:t>41/8</w:t>
            </w:r>
          </w:p>
        </w:tc>
        <w:tc>
          <w:tcPr>
            <w:tcW w:w="2200" w:type="dxa"/>
            <w:tcMar>
              <w:top w:w="35" w:type="dxa"/>
              <w:left w:w="45" w:type="dxa"/>
              <w:bottom w:w="35" w:type="dxa"/>
              <w:right w:w="45" w:type="dxa"/>
            </w:tcMar>
            <w:vAlign w:val="center"/>
          </w:tcPr>
          <w:p w14:paraId="6A3A4C68">
            <w:pPr>
              <w:spacing w:after="0" w:line="240" w:lineRule="auto"/>
              <w:jc w:val="center"/>
              <w:rPr>
                <w:color w:val="auto"/>
                <w:sz w:val="18"/>
                <w:szCs w:val="18"/>
              </w:rPr>
            </w:pPr>
            <w:r>
              <w:rPr>
                <w:color w:val="auto"/>
                <w:sz w:val="18"/>
                <w:szCs w:val="18"/>
              </w:rPr>
              <w:t>1.95 (0.88–4.36)</w:t>
            </w:r>
          </w:p>
        </w:tc>
        <w:tc>
          <w:tcPr>
            <w:tcW w:w="1423" w:type="dxa"/>
            <w:tcMar>
              <w:top w:w="35" w:type="dxa"/>
              <w:left w:w="45" w:type="dxa"/>
              <w:bottom w:w="35" w:type="dxa"/>
              <w:right w:w="45" w:type="dxa"/>
            </w:tcMar>
            <w:vAlign w:val="center"/>
          </w:tcPr>
          <w:p w14:paraId="59921B81">
            <w:pPr>
              <w:spacing w:after="0" w:line="240" w:lineRule="auto"/>
              <w:jc w:val="center"/>
              <w:rPr>
                <w:color w:val="auto"/>
                <w:sz w:val="18"/>
                <w:szCs w:val="18"/>
              </w:rPr>
            </w:pPr>
            <w:r>
              <w:rPr>
                <w:color w:val="auto"/>
                <w:sz w:val="18"/>
                <w:szCs w:val="18"/>
              </w:rPr>
              <w:t>0.102</w:t>
            </w:r>
          </w:p>
        </w:tc>
      </w:tr>
      <w:tr w14:paraId="2242D00A">
        <w:tc>
          <w:tcPr>
            <w:tcW w:w="2114" w:type="dxa"/>
            <w:vMerge w:val="continue"/>
            <w:tcMar>
              <w:top w:w="35" w:type="dxa"/>
              <w:left w:w="45" w:type="dxa"/>
              <w:bottom w:w="35" w:type="dxa"/>
              <w:right w:w="45" w:type="dxa"/>
            </w:tcMar>
            <w:vAlign w:val="center"/>
          </w:tcPr>
          <w:p w14:paraId="1504C08A">
            <w:pPr>
              <w:rPr>
                <w:color w:val="auto"/>
                <w:sz w:val="18"/>
                <w:szCs w:val="18"/>
              </w:rPr>
            </w:pPr>
          </w:p>
        </w:tc>
        <w:tc>
          <w:tcPr>
            <w:tcW w:w="2043" w:type="dxa"/>
            <w:tcMar>
              <w:top w:w="35" w:type="dxa"/>
              <w:left w:w="45" w:type="dxa"/>
              <w:bottom w:w="35" w:type="dxa"/>
              <w:right w:w="45" w:type="dxa"/>
            </w:tcMar>
            <w:vAlign w:val="center"/>
          </w:tcPr>
          <w:p w14:paraId="725B18B0">
            <w:pPr>
              <w:spacing w:after="0" w:line="240" w:lineRule="auto"/>
              <w:rPr>
                <w:color w:val="auto"/>
                <w:sz w:val="18"/>
                <w:szCs w:val="18"/>
              </w:rPr>
            </w:pPr>
            <w:r>
              <w:rPr>
                <w:color w:val="auto"/>
                <w:sz w:val="18"/>
                <w:szCs w:val="18"/>
              </w:rPr>
              <w:t>CAR-high only</w:t>
            </w:r>
          </w:p>
        </w:tc>
        <w:tc>
          <w:tcPr>
            <w:tcW w:w="1247" w:type="dxa"/>
            <w:tcMar>
              <w:top w:w="35" w:type="dxa"/>
              <w:left w:w="45" w:type="dxa"/>
              <w:bottom w:w="35" w:type="dxa"/>
              <w:right w:w="45" w:type="dxa"/>
            </w:tcMar>
            <w:vAlign w:val="center"/>
          </w:tcPr>
          <w:p w14:paraId="2BCF1EBC">
            <w:pPr>
              <w:spacing w:after="0" w:line="240" w:lineRule="auto"/>
              <w:jc w:val="center"/>
              <w:rPr>
                <w:color w:val="auto"/>
                <w:sz w:val="18"/>
                <w:szCs w:val="18"/>
              </w:rPr>
            </w:pPr>
            <w:r>
              <w:rPr>
                <w:color w:val="auto"/>
                <w:sz w:val="18"/>
                <w:szCs w:val="18"/>
              </w:rPr>
              <w:t>73/20</w:t>
            </w:r>
          </w:p>
        </w:tc>
        <w:tc>
          <w:tcPr>
            <w:tcW w:w="2200" w:type="dxa"/>
            <w:tcMar>
              <w:top w:w="35" w:type="dxa"/>
              <w:left w:w="45" w:type="dxa"/>
              <w:bottom w:w="35" w:type="dxa"/>
              <w:right w:w="45" w:type="dxa"/>
            </w:tcMar>
            <w:vAlign w:val="center"/>
          </w:tcPr>
          <w:p w14:paraId="43DAE372">
            <w:pPr>
              <w:spacing w:after="0" w:line="240" w:lineRule="auto"/>
              <w:jc w:val="center"/>
              <w:rPr>
                <w:color w:val="auto"/>
                <w:sz w:val="18"/>
                <w:szCs w:val="18"/>
              </w:rPr>
            </w:pPr>
            <w:r>
              <w:rPr>
                <w:color w:val="auto"/>
                <w:sz w:val="18"/>
                <w:szCs w:val="18"/>
              </w:rPr>
              <w:t>2.79 (1.51–5.16)</w:t>
            </w:r>
          </w:p>
        </w:tc>
        <w:tc>
          <w:tcPr>
            <w:tcW w:w="1423" w:type="dxa"/>
            <w:tcMar>
              <w:top w:w="35" w:type="dxa"/>
              <w:left w:w="45" w:type="dxa"/>
              <w:bottom w:w="35" w:type="dxa"/>
              <w:right w:w="45" w:type="dxa"/>
            </w:tcMar>
            <w:vAlign w:val="center"/>
          </w:tcPr>
          <w:p w14:paraId="3F545B64">
            <w:pPr>
              <w:spacing w:after="0" w:line="240" w:lineRule="auto"/>
              <w:jc w:val="center"/>
              <w:rPr>
                <w:color w:val="auto"/>
                <w:sz w:val="18"/>
                <w:szCs w:val="18"/>
              </w:rPr>
            </w:pPr>
            <w:r>
              <w:rPr>
                <w:color w:val="auto"/>
                <w:sz w:val="18"/>
                <w:szCs w:val="18"/>
              </w:rPr>
              <w:t>0.001</w:t>
            </w:r>
          </w:p>
        </w:tc>
      </w:tr>
      <w:tr w14:paraId="0E9C6822">
        <w:tc>
          <w:tcPr>
            <w:tcW w:w="2114" w:type="dxa"/>
            <w:vMerge w:val="continue"/>
            <w:tcMar>
              <w:top w:w="35" w:type="dxa"/>
              <w:left w:w="45" w:type="dxa"/>
              <w:bottom w:w="35" w:type="dxa"/>
              <w:right w:w="45" w:type="dxa"/>
            </w:tcMar>
            <w:vAlign w:val="center"/>
          </w:tcPr>
          <w:p w14:paraId="7833D8C2">
            <w:pPr>
              <w:rPr>
                <w:color w:val="auto"/>
                <w:sz w:val="18"/>
                <w:szCs w:val="18"/>
              </w:rPr>
            </w:pPr>
          </w:p>
        </w:tc>
        <w:tc>
          <w:tcPr>
            <w:tcW w:w="2043" w:type="dxa"/>
            <w:tcMar>
              <w:top w:w="35" w:type="dxa"/>
              <w:left w:w="45" w:type="dxa"/>
              <w:bottom w:w="35" w:type="dxa"/>
              <w:right w:w="45" w:type="dxa"/>
            </w:tcMar>
            <w:vAlign w:val="center"/>
          </w:tcPr>
          <w:p w14:paraId="780F9577">
            <w:pPr>
              <w:spacing w:after="0" w:line="240" w:lineRule="auto"/>
              <w:rPr>
                <w:color w:val="auto"/>
                <w:sz w:val="18"/>
                <w:szCs w:val="18"/>
              </w:rPr>
            </w:pPr>
            <w:r>
              <w:rPr>
                <w:color w:val="auto"/>
                <w:sz w:val="18"/>
                <w:szCs w:val="18"/>
              </w:rPr>
              <w:t>Both-high</w:t>
            </w:r>
          </w:p>
        </w:tc>
        <w:tc>
          <w:tcPr>
            <w:tcW w:w="1247" w:type="dxa"/>
            <w:tcMar>
              <w:top w:w="35" w:type="dxa"/>
              <w:left w:w="45" w:type="dxa"/>
              <w:bottom w:w="35" w:type="dxa"/>
              <w:right w:w="45" w:type="dxa"/>
            </w:tcMar>
            <w:vAlign w:val="center"/>
          </w:tcPr>
          <w:p w14:paraId="08E5F457">
            <w:pPr>
              <w:spacing w:after="0" w:line="240" w:lineRule="auto"/>
              <w:jc w:val="center"/>
              <w:rPr>
                <w:color w:val="auto"/>
                <w:sz w:val="18"/>
                <w:szCs w:val="18"/>
              </w:rPr>
            </w:pPr>
            <w:r>
              <w:rPr>
                <w:color w:val="auto"/>
                <w:sz w:val="18"/>
                <w:szCs w:val="18"/>
              </w:rPr>
              <w:t>26/15</w:t>
            </w:r>
          </w:p>
        </w:tc>
        <w:tc>
          <w:tcPr>
            <w:tcW w:w="2200" w:type="dxa"/>
            <w:tcMar>
              <w:top w:w="35" w:type="dxa"/>
              <w:left w:w="45" w:type="dxa"/>
              <w:bottom w:w="35" w:type="dxa"/>
              <w:right w:w="45" w:type="dxa"/>
            </w:tcMar>
            <w:vAlign w:val="center"/>
          </w:tcPr>
          <w:p w14:paraId="78DB55B0">
            <w:pPr>
              <w:spacing w:after="0" w:line="240" w:lineRule="auto"/>
              <w:jc w:val="center"/>
              <w:rPr>
                <w:color w:val="auto"/>
                <w:sz w:val="18"/>
                <w:szCs w:val="18"/>
              </w:rPr>
            </w:pPr>
            <w:r>
              <w:rPr>
                <w:color w:val="auto"/>
                <w:sz w:val="18"/>
                <w:szCs w:val="18"/>
              </w:rPr>
              <w:t>4.55 (2.30–9.00)</w:t>
            </w:r>
          </w:p>
        </w:tc>
        <w:tc>
          <w:tcPr>
            <w:tcW w:w="1423" w:type="dxa"/>
            <w:tcMar>
              <w:top w:w="35" w:type="dxa"/>
              <w:left w:w="45" w:type="dxa"/>
              <w:bottom w:w="35" w:type="dxa"/>
              <w:right w:w="45" w:type="dxa"/>
            </w:tcMar>
            <w:vAlign w:val="center"/>
          </w:tcPr>
          <w:p w14:paraId="117347F6">
            <w:pPr>
              <w:spacing w:after="0" w:line="240" w:lineRule="auto"/>
              <w:jc w:val="center"/>
              <w:rPr>
                <w:color w:val="auto"/>
                <w:sz w:val="18"/>
                <w:szCs w:val="18"/>
              </w:rPr>
            </w:pPr>
            <w:r>
              <w:rPr>
                <w:color w:val="auto"/>
                <w:sz w:val="18"/>
                <w:szCs w:val="18"/>
              </w:rPr>
              <w:t>&lt;0.001</w:t>
            </w:r>
          </w:p>
        </w:tc>
      </w:tr>
      <w:tr w14:paraId="543A99AB">
        <w:tc>
          <w:tcPr>
            <w:tcW w:w="2114" w:type="dxa"/>
            <w:vMerge w:val="restart"/>
            <w:tcBorders>
              <w:bottom w:val="single" w:color="000000" w:sz="12" w:space="0"/>
            </w:tcBorders>
            <w:tcMar>
              <w:top w:w="35" w:type="dxa"/>
              <w:left w:w="45" w:type="dxa"/>
              <w:bottom w:w="35" w:type="dxa"/>
              <w:right w:w="45" w:type="dxa"/>
            </w:tcMar>
            <w:vAlign w:val="center"/>
          </w:tcPr>
          <w:p w14:paraId="2153A9EF">
            <w:pPr>
              <w:spacing w:after="0" w:line="240" w:lineRule="auto"/>
              <w:rPr>
                <w:color w:val="auto"/>
                <w:sz w:val="18"/>
                <w:szCs w:val="18"/>
              </w:rPr>
            </w:pPr>
            <w:r>
              <w:rPr>
                <w:color w:val="auto"/>
                <w:sz w:val="18"/>
                <w:szCs w:val="18"/>
              </w:rPr>
              <w:t>90-day unplanned</w:t>
            </w:r>
            <w:r>
              <w:rPr>
                <w:color w:val="auto"/>
                <w:sz w:val="18"/>
                <w:szCs w:val="18"/>
              </w:rPr>
              <w:br w:type="textWrapping"/>
            </w:r>
            <w:r>
              <w:rPr>
                <w:color w:val="auto"/>
                <w:sz w:val="18"/>
                <w:szCs w:val="18"/>
              </w:rPr>
              <w:t>readmission</w:t>
            </w:r>
          </w:p>
        </w:tc>
        <w:tc>
          <w:tcPr>
            <w:tcW w:w="2043" w:type="dxa"/>
            <w:tcMar>
              <w:top w:w="35" w:type="dxa"/>
              <w:left w:w="45" w:type="dxa"/>
              <w:bottom w:w="35" w:type="dxa"/>
              <w:right w:w="45" w:type="dxa"/>
            </w:tcMar>
            <w:vAlign w:val="center"/>
          </w:tcPr>
          <w:p w14:paraId="21AAF78A">
            <w:pPr>
              <w:spacing w:after="0" w:line="240" w:lineRule="auto"/>
              <w:rPr>
                <w:color w:val="auto"/>
                <w:sz w:val="18"/>
                <w:szCs w:val="18"/>
              </w:rPr>
            </w:pPr>
            <w:r>
              <w:rPr>
                <w:color w:val="auto"/>
                <w:sz w:val="18"/>
                <w:szCs w:val="18"/>
              </w:rPr>
              <w:t>Low NLR and low CAR</w:t>
            </w:r>
          </w:p>
        </w:tc>
        <w:tc>
          <w:tcPr>
            <w:tcW w:w="1247" w:type="dxa"/>
            <w:tcMar>
              <w:top w:w="35" w:type="dxa"/>
              <w:left w:w="45" w:type="dxa"/>
              <w:bottom w:w="35" w:type="dxa"/>
              <w:right w:w="45" w:type="dxa"/>
            </w:tcMar>
            <w:vAlign w:val="center"/>
          </w:tcPr>
          <w:p w14:paraId="36E72813">
            <w:pPr>
              <w:spacing w:after="0" w:line="240" w:lineRule="auto"/>
              <w:jc w:val="center"/>
              <w:rPr>
                <w:color w:val="auto"/>
                <w:sz w:val="18"/>
                <w:szCs w:val="18"/>
              </w:rPr>
            </w:pPr>
            <w:r>
              <w:rPr>
                <w:color w:val="auto"/>
                <w:sz w:val="18"/>
                <w:szCs w:val="18"/>
              </w:rPr>
              <w:t>348/17</w:t>
            </w:r>
          </w:p>
        </w:tc>
        <w:tc>
          <w:tcPr>
            <w:tcW w:w="2200" w:type="dxa"/>
            <w:tcMar>
              <w:top w:w="35" w:type="dxa"/>
              <w:left w:w="45" w:type="dxa"/>
              <w:bottom w:w="35" w:type="dxa"/>
              <w:right w:w="45" w:type="dxa"/>
            </w:tcMar>
            <w:vAlign w:val="center"/>
          </w:tcPr>
          <w:p w14:paraId="5CF92A8E">
            <w:pPr>
              <w:spacing w:after="0" w:line="240" w:lineRule="auto"/>
              <w:jc w:val="center"/>
              <w:rPr>
                <w:color w:val="auto"/>
                <w:sz w:val="18"/>
                <w:szCs w:val="18"/>
              </w:rPr>
            </w:pPr>
            <w:r>
              <w:rPr>
                <w:color w:val="auto"/>
                <w:sz w:val="18"/>
                <w:szCs w:val="18"/>
              </w:rPr>
              <w:t>1.00 (Reference)</w:t>
            </w:r>
          </w:p>
        </w:tc>
        <w:tc>
          <w:tcPr>
            <w:tcW w:w="1423" w:type="dxa"/>
            <w:tcMar>
              <w:top w:w="35" w:type="dxa"/>
              <w:left w:w="45" w:type="dxa"/>
              <w:bottom w:w="35" w:type="dxa"/>
              <w:right w:w="45" w:type="dxa"/>
            </w:tcMar>
            <w:vAlign w:val="center"/>
          </w:tcPr>
          <w:p w14:paraId="5DE278A1">
            <w:pPr>
              <w:spacing w:after="0" w:line="240" w:lineRule="auto"/>
              <w:jc w:val="center"/>
              <w:rPr>
                <w:color w:val="auto"/>
                <w:sz w:val="18"/>
                <w:szCs w:val="18"/>
              </w:rPr>
            </w:pPr>
            <w:r>
              <w:rPr>
                <w:color w:val="auto"/>
                <w:sz w:val="18"/>
                <w:szCs w:val="18"/>
              </w:rPr>
              <w:t>—</w:t>
            </w:r>
          </w:p>
        </w:tc>
      </w:tr>
      <w:tr w14:paraId="10052197">
        <w:tc>
          <w:tcPr>
            <w:tcW w:w="2114" w:type="dxa"/>
            <w:vMerge w:val="continue"/>
            <w:tcMar>
              <w:top w:w="35" w:type="dxa"/>
              <w:left w:w="45" w:type="dxa"/>
              <w:bottom w:w="35" w:type="dxa"/>
              <w:right w:w="45" w:type="dxa"/>
            </w:tcMar>
            <w:vAlign w:val="center"/>
          </w:tcPr>
          <w:p w14:paraId="67262583">
            <w:pPr>
              <w:rPr>
                <w:color w:val="auto"/>
                <w:sz w:val="18"/>
                <w:szCs w:val="18"/>
              </w:rPr>
            </w:pPr>
          </w:p>
        </w:tc>
        <w:tc>
          <w:tcPr>
            <w:tcW w:w="2043" w:type="dxa"/>
            <w:tcMar>
              <w:top w:w="35" w:type="dxa"/>
              <w:left w:w="45" w:type="dxa"/>
              <w:bottom w:w="35" w:type="dxa"/>
              <w:right w:w="45" w:type="dxa"/>
            </w:tcMar>
            <w:vAlign w:val="center"/>
          </w:tcPr>
          <w:p w14:paraId="3D79FE1D">
            <w:pPr>
              <w:spacing w:after="0" w:line="240" w:lineRule="auto"/>
              <w:rPr>
                <w:color w:val="auto"/>
                <w:sz w:val="18"/>
                <w:szCs w:val="18"/>
              </w:rPr>
            </w:pPr>
            <w:r>
              <w:rPr>
                <w:color w:val="auto"/>
                <w:sz w:val="18"/>
                <w:szCs w:val="18"/>
              </w:rPr>
              <w:t>NLR-high only</w:t>
            </w:r>
          </w:p>
        </w:tc>
        <w:tc>
          <w:tcPr>
            <w:tcW w:w="1247" w:type="dxa"/>
            <w:tcMar>
              <w:top w:w="35" w:type="dxa"/>
              <w:left w:w="45" w:type="dxa"/>
              <w:bottom w:w="35" w:type="dxa"/>
              <w:right w:w="45" w:type="dxa"/>
            </w:tcMar>
            <w:vAlign w:val="center"/>
          </w:tcPr>
          <w:p w14:paraId="0C166B1E">
            <w:pPr>
              <w:spacing w:after="0" w:line="240" w:lineRule="auto"/>
              <w:jc w:val="center"/>
              <w:rPr>
                <w:color w:val="auto"/>
                <w:sz w:val="18"/>
                <w:szCs w:val="18"/>
              </w:rPr>
            </w:pPr>
            <w:r>
              <w:rPr>
                <w:color w:val="auto"/>
                <w:sz w:val="18"/>
                <w:szCs w:val="18"/>
              </w:rPr>
              <w:t>41/10</w:t>
            </w:r>
          </w:p>
        </w:tc>
        <w:tc>
          <w:tcPr>
            <w:tcW w:w="2200" w:type="dxa"/>
            <w:tcMar>
              <w:top w:w="35" w:type="dxa"/>
              <w:left w:w="45" w:type="dxa"/>
              <w:bottom w:w="35" w:type="dxa"/>
              <w:right w:w="45" w:type="dxa"/>
            </w:tcMar>
            <w:vAlign w:val="center"/>
          </w:tcPr>
          <w:p w14:paraId="53180370">
            <w:pPr>
              <w:spacing w:after="0" w:line="240" w:lineRule="auto"/>
              <w:jc w:val="center"/>
              <w:rPr>
                <w:color w:val="auto"/>
                <w:sz w:val="18"/>
                <w:szCs w:val="18"/>
              </w:rPr>
            </w:pPr>
            <w:r>
              <w:rPr>
                <w:color w:val="auto"/>
                <w:sz w:val="18"/>
                <w:szCs w:val="18"/>
              </w:rPr>
              <w:t>5.30 (2.37–11.85)</w:t>
            </w:r>
          </w:p>
        </w:tc>
        <w:tc>
          <w:tcPr>
            <w:tcW w:w="1423" w:type="dxa"/>
            <w:tcMar>
              <w:top w:w="35" w:type="dxa"/>
              <w:left w:w="45" w:type="dxa"/>
              <w:bottom w:w="35" w:type="dxa"/>
              <w:right w:w="45" w:type="dxa"/>
            </w:tcMar>
            <w:vAlign w:val="center"/>
          </w:tcPr>
          <w:p w14:paraId="5B48B99A">
            <w:pPr>
              <w:spacing w:after="0" w:line="240" w:lineRule="auto"/>
              <w:jc w:val="center"/>
              <w:rPr>
                <w:color w:val="auto"/>
                <w:sz w:val="18"/>
                <w:szCs w:val="18"/>
              </w:rPr>
            </w:pPr>
            <w:r>
              <w:rPr>
                <w:color w:val="auto"/>
                <w:sz w:val="18"/>
                <w:szCs w:val="18"/>
              </w:rPr>
              <w:t>&lt;0.001</w:t>
            </w:r>
          </w:p>
        </w:tc>
      </w:tr>
      <w:tr w14:paraId="75B7BB8D">
        <w:tc>
          <w:tcPr>
            <w:tcW w:w="2114" w:type="dxa"/>
            <w:vMerge w:val="continue"/>
            <w:tcMar>
              <w:top w:w="35" w:type="dxa"/>
              <w:left w:w="45" w:type="dxa"/>
              <w:bottom w:w="35" w:type="dxa"/>
              <w:right w:w="45" w:type="dxa"/>
            </w:tcMar>
            <w:vAlign w:val="center"/>
          </w:tcPr>
          <w:p w14:paraId="2FE64CC3">
            <w:pPr>
              <w:rPr>
                <w:color w:val="auto"/>
                <w:sz w:val="18"/>
                <w:szCs w:val="18"/>
              </w:rPr>
            </w:pPr>
          </w:p>
        </w:tc>
        <w:tc>
          <w:tcPr>
            <w:tcW w:w="2043" w:type="dxa"/>
            <w:tcMar>
              <w:top w:w="35" w:type="dxa"/>
              <w:left w:w="45" w:type="dxa"/>
              <w:bottom w:w="35" w:type="dxa"/>
              <w:right w:w="45" w:type="dxa"/>
            </w:tcMar>
            <w:vAlign w:val="center"/>
          </w:tcPr>
          <w:p w14:paraId="311BA371">
            <w:pPr>
              <w:spacing w:after="0" w:line="240" w:lineRule="auto"/>
              <w:rPr>
                <w:color w:val="auto"/>
                <w:sz w:val="18"/>
                <w:szCs w:val="18"/>
              </w:rPr>
            </w:pPr>
            <w:r>
              <w:rPr>
                <w:color w:val="auto"/>
                <w:sz w:val="18"/>
                <w:szCs w:val="18"/>
              </w:rPr>
              <w:t>CAR-high only</w:t>
            </w:r>
          </w:p>
        </w:tc>
        <w:tc>
          <w:tcPr>
            <w:tcW w:w="1247" w:type="dxa"/>
            <w:tcMar>
              <w:top w:w="35" w:type="dxa"/>
              <w:left w:w="45" w:type="dxa"/>
              <w:bottom w:w="35" w:type="dxa"/>
              <w:right w:w="45" w:type="dxa"/>
            </w:tcMar>
            <w:vAlign w:val="center"/>
          </w:tcPr>
          <w:p w14:paraId="0C59EE49">
            <w:pPr>
              <w:spacing w:after="0" w:line="240" w:lineRule="auto"/>
              <w:jc w:val="center"/>
              <w:rPr>
                <w:color w:val="auto"/>
                <w:sz w:val="18"/>
                <w:szCs w:val="18"/>
              </w:rPr>
            </w:pPr>
            <w:r>
              <w:rPr>
                <w:color w:val="auto"/>
                <w:sz w:val="18"/>
                <w:szCs w:val="18"/>
              </w:rPr>
              <w:t>73/21</w:t>
            </w:r>
          </w:p>
        </w:tc>
        <w:tc>
          <w:tcPr>
            <w:tcW w:w="2200" w:type="dxa"/>
            <w:tcMar>
              <w:top w:w="35" w:type="dxa"/>
              <w:left w:w="45" w:type="dxa"/>
              <w:bottom w:w="35" w:type="dxa"/>
              <w:right w:w="45" w:type="dxa"/>
            </w:tcMar>
            <w:vAlign w:val="center"/>
          </w:tcPr>
          <w:p w14:paraId="71171DE4">
            <w:pPr>
              <w:spacing w:after="0" w:line="240" w:lineRule="auto"/>
              <w:jc w:val="center"/>
              <w:rPr>
                <w:color w:val="auto"/>
                <w:sz w:val="18"/>
                <w:szCs w:val="18"/>
              </w:rPr>
            </w:pPr>
            <w:r>
              <w:rPr>
                <w:color w:val="auto"/>
                <w:sz w:val="18"/>
                <w:szCs w:val="18"/>
              </w:rPr>
              <w:t>5.65 (2.89–11.05)</w:t>
            </w:r>
          </w:p>
        </w:tc>
        <w:tc>
          <w:tcPr>
            <w:tcW w:w="1423" w:type="dxa"/>
            <w:tcMar>
              <w:top w:w="35" w:type="dxa"/>
              <w:left w:w="45" w:type="dxa"/>
              <w:bottom w:w="35" w:type="dxa"/>
              <w:right w:w="45" w:type="dxa"/>
            </w:tcMar>
            <w:vAlign w:val="center"/>
          </w:tcPr>
          <w:p w14:paraId="1EE29696">
            <w:pPr>
              <w:spacing w:after="0" w:line="240" w:lineRule="auto"/>
              <w:jc w:val="center"/>
              <w:rPr>
                <w:color w:val="auto"/>
                <w:sz w:val="18"/>
                <w:szCs w:val="18"/>
              </w:rPr>
            </w:pPr>
            <w:r>
              <w:rPr>
                <w:color w:val="auto"/>
                <w:sz w:val="18"/>
                <w:szCs w:val="18"/>
              </w:rPr>
              <w:t>&lt;0.001</w:t>
            </w:r>
          </w:p>
        </w:tc>
      </w:tr>
      <w:tr w14:paraId="6C722254">
        <w:tc>
          <w:tcPr>
            <w:tcW w:w="2114" w:type="dxa"/>
            <w:vMerge w:val="continue"/>
            <w:tcBorders>
              <w:bottom w:val="single" w:color="000000" w:sz="12" w:space="0"/>
            </w:tcBorders>
            <w:tcMar>
              <w:top w:w="35" w:type="dxa"/>
              <w:left w:w="45" w:type="dxa"/>
              <w:bottom w:w="35" w:type="dxa"/>
              <w:right w:w="45" w:type="dxa"/>
            </w:tcMar>
            <w:vAlign w:val="center"/>
          </w:tcPr>
          <w:p w14:paraId="24A2FFDE">
            <w:pPr>
              <w:rPr>
                <w:color w:val="auto"/>
                <w:sz w:val="18"/>
                <w:szCs w:val="18"/>
              </w:rPr>
            </w:pPr>
          </w:p>
        </w:tc>
        <w:tc>
          <w:tcPr>
            <w:tcW w:w="2043" w:type="dxa"/>
            <w:tcBorders>
              <w:bottom w:val="single" w:color="000000" w:sz="12" w:space="0"/>
            </w:tcBorders>
            <w:tcMar>
              <w:top w:w="35" w:type="dxa"/>
              <w:left w:w="45" w:type="dxa"/>
              <w:bottom w:w="35" w:type="dxa"/>
              <w:right w:w="45" w:type="dxa"/>
            </w:tcMar>
            <w:vAlign w:val="center"/>
          </w:tcPr>
          <w:p w14:paraId="1C3EB401">
            <w:pPr>
              <w:spacing w:after="0" w:line="240" w:lineRule="auto"/>
              <w:rPr>
                <w:color w:val="auto"/>
                <w:sz w:val="18"/>
                <w:szCs w:val="18"/>
              </w:rPr>
            </w:pPr>
            <w:r>
              <w:rPr>
                <w:color w:val="auto"/>
                <w:sz w:val="18"/>
                <w:szCs w:val="18"/>
              </w:rPr>
              <w:t>Both-high</w:t>
            </w:r>
          </w:p>
        </w:tc>
        <w:tc>
          <w:tcPr>
            <w:tcW w:w="1247" w:type="dxa"/>
            <w:tcBorders>
              <w:bottom w:val="single" w:color="000000" w:sz="12" w:space="0"/>
            </w:tcBorders>
            <w:tcMar>
              <w:top w:w="35" w:type="dxa"/>
              <w:left w:w="45" w:type="dxa"/>
              <w:bottom w:w="35" w:type="dxa"/>
              <w:right w:w="45" w:type="dxa"/>
            </w:tcMar>
            <w:vAlign w:val="center"/>
          </w:tcPr>
          <w:p w14:paraId="2C8C415D">
            <w:pPr>
              <w:spacing w:after="0" w:line="240" w:lineRule="auto"/>
              <w:jc w:val="center"/>
              <w:rPr>
                <w:color w:val="auto"/>
                <w:sz w:val="18"/>
                <w:szCs w:val="18"/>
              </w:rPr>
            </w:pPr>
            <w:r>
              <w:rPr>
                <w:color w:val="auto"/>
                <w:sz w:val="18"/>
                <w:szCs w:val="18"/>
              </w:rPr>
              <w:t>26/16</w:t>
            </w:r>
          </w:p>
        </w:tc>
        <w:tc>
          <w:tcPr>
            <w:tcW w:w="2200" w:type="dxa"/>
            <w:tcBorders>
              <w:bottom w:val="single" w:color="000000" w:sz="12" w:space="0"/>
            </w:tcBorders>
            <w:tcMar>
              <w:top w:w="35" w:type="dxa"/>
              <w:left w:w="45" w:type="dxa"/>
              <w:bottom w:w="35" w:type="dxa"/>
              <w:right w:w="45" w:type="dxa"/>
            </w:tcMar>
            <w:vAlign w:val="center"/>
          </w:tcPr>
          <w:p w14:paraId="1BB44CB4">
            <w:pPr>
              <w:spacing w:after="0" w:line="240" w:lineRule="auto"/>
              <w:jc w:val="center"/>
              <w:rPr>
                <w:color w:val="auto"/>
                <w:sz w:val="18"/>
                <w:szCs w:val="18"/>
              </w:rPr>
            </w:pPr>
            <w:r>
              <w:rPr>
                <w:color w:val="auto"/>
                <w:sz w:val="18"/>
                <w:szCs w:val="18"/>
              </w:rPr>
              <w:t>11.85 (5.55–25.29)</w:t>
            </w:r>
          </w:p>
        </w:tc>
        <w:tc>
          <w:tcPr>
            <w:tcW w:w="1423" w:type="dxa"/>
            <w:tcBorders>
              <w:bottom w:val="single" w:color="000000" w:sz="12" w:space="0"/>
            </w:tcBorders>
            <w:tcMar>
              <w:top w:w="35" w:type="dxa"/>
              <w:left w:w="45" w:type="dxa"/>
              <w:bottom w:w="35" w:type="dxa"/>
              <w:right w:w="45" w:type="dxa"/>
            </w:tcMar>
            <w:vAlign w:val="center"/>
          </w:tcPr>
          <w:p w14:paraId="6EEF468B">
            <w:pPr>
              <w:spacing w:after="0" w:line="240" w:lineRule="auto"/>
              <w:jc w:val="center"/>
              <w:rPr>
                <w:color w:val="auto"/>
                <w:sz w:val="18"/>
                <w:szCs w:val="18"/>
              </w:rPr>
            </w:pPr>
            <w:r>
              <w:rPr>
                <w:color w:val="auto"/>
                <w:sz w:val="18"/>
                <w:szCs w:val="18"/>
              </w:rPr>
              <w:t>&lt;0.001</w:t>
            </w:r>
          </w:p>
        </w:tc>
      </w:tr>
    </w:tbl>
    <w:p w14:paraId="719BD6A4">
      <w:pPr>
        <w:spacing w:before="80" w:after="40"/>
        <w:rPr>
          <w:color w:val="auto"/>
          <w:sz w:val="21"/>
          <w:szCs w:val="21"/>
        </w:rPr>
      </w:pPr>
      <w:r>
        <w:rPr>
          <w:b/>
          <w:color w:val="auto"/>
          <w:sz w:val="21"/>
          <w:szCs w:val="21"/>
        </w:rPr>
        <w:t>Panel B. Bootstrap stability of the both-high category</w:t>
      </w:r>
    </w:p>
    <w:tbl>
      <w:tblPr>
        <w:tblStyle w:val="32"/>
        <w:tblW w:w="9030" w:type="dxa"/>
        <w:tblInd w:w="0" w:type="dxa"/>
        <w:tblLayout w:type="fixed"/>
        <w:tblCellMar>
          <w:top w:w="0" w:type="dxa"/>
          <w:left w:w="108" w:type="dxa"/>
          <w:bottom w:w="0" w:type="dxa"/>
          <w:right w:w="108" w:type="dxa"/>
        </w:tblCellMar>
      </w:tblPr>
      <w:tblGrid>
        <w:gridCol w:w="2114"/>
        <w:gridCol w:w="1016"/>
        <w:gridCol w:w="1887"/>
        <w:gridCol w:w="2125"/>
        <w:gridCol w:w="1888"/>
      </w:tblGrid>
      <w:tr w14:paraId="52C45510">
        <w:tc>
          <w:tcPr>
            <w:tcW w:w="2114" w:type="dxa"/>
            <w:tcBorders>
              <w:top w:val="single" w:color="000000" w:sz="12" w:space="0"/>
              <w:bottom w:val="single" w:color="000000" w:sz="8" w:space="0"/>
            </w:tcBorders>
            <w:tcMar>
              <w:top w:w="35" w:type="dxa"/>
              <w:left w:w="45" w:type="dxa"/>
              <w:bottom w:w="35" w:type="dxa"/>
              <w:right w:w="45" w:type="dxa"/>
            </w:tcMar>
            <w:vAlign w:val="center"/>
          </w:tcPr>
          <w:p w14:paraId="0286419A">
            <w:pPr>
              <w:spacing w:after="0" w:line="240" w:lineRule="auto"/>
              <w:jc w:val="center"/>
              <w:rPr>
                <w:color w:val="auto"/>
                <w:sz w:val="18"/>
                <w:szCs w:val="18"/>
              </w:rPr>
            </w:pPr>
            <w:r>
              <w:rPr>
                <w:b/>
                <w:color w:val="auto"/>
                <w:sz w:val="18"/>
                <w:szCs w:val="18"/>
              </w:rPr>
              <w:t>Outcome</w:t>
            </w:r>
          </w:p>
        </w:tc>
        <w:tc>
          <w:tcPr>
            <w:tcW w:w="1016" w:type="dxa"/>
            <w:tcBorders>
              <w:top w:val="single" w:color="000000" w:sz="12" w:space="0"/>
              <w:bottom w:val="single" w:color="000000" w:sz="8" w:space="0"/>
            </w:tcBorders>
            <w:tcMar>
              <w:top w:w="35" w:type="dxa"/>
              <w:left w:w="45" w:type="dxa"/>
              <w:bottom w:w="35" w:type="dxa"/>
              <w:right w:w="45" w:type="dxa"/>
            </w:tcMar>
            <w:vAlign w:val="center"/>
          </w:tcPr>
          <w:p w14:paraId="738F5356">
            <w:pPr>
              <w:spacing w:after="0" w:line="240" w:lineRule="auto"/>
              <w:jc w:val="center"/>
              <w:rPr>
                <w:color w:val="auto"/>
                <w:sz w:val="18"/>
                <w:szCs w:val="18"/>
              </w:rPr>
            </w:pPr>
            <w:r>
              <w:rPr>
                <w:b/>
                <w:color w:val="auto"/>
                <w:sz w:val="18"/>
                <w:szCs w:val="18"/>
              </w:rPr>
              <w:t>Both-high</w:t>
            </w:r>
            <w:r>
              <w:rPr>
                <w:b/>
                <w:color w:val="auto"/>
                <w:sz w:val="18"/>
                <w:szCs w:val="18"/>
              </w:rPr>
              <w:br w:type="textWrapping"/>
            </w:r>
            <w:r>
              <w:rPr>
                <w:b/>
                <w:color w:val="auto"/>
                <w:sz w:val="18"/>
                <w:szCs w:val="18"/>
              </w:rPr>
              <w:t>n/events</w:t>
            </w:r>
          </w:p>
        </w:tc>
        <w:tc>
          <w:tcPr>
            <w:tcW w:w="1887" w:type="dxa"/>
            <w:tcBorders>
              <w:top w:val="single" w:color="000000" w:sz="12" w:space="0"/>
              <w:bottom w:val="single" w:color="000000" w:sz="8" w:space="0"/>
            </w:tcBorders>
            <w:tcMar>
              <w:top w:w="35" w:type="dxa"/>
              <w:left w:w="45" w:type="dxa"/>
              <w:bottom w:w="35" w:type="dxa"/>
              <w:right w:w="45" w:type="dxa"/>
            </w:tcMar>
            <w:vAlign w:val="center"/>
          </w:tcPr>
          <w:p w14:paraId="5C7CF265">
            <w:pPr>
              <w:spacing w:after="0" w:line="240" w:lineRule="auto"/>
              <w:jc w:val="center"/>
              <w:rPr>
                <w:color w:val="auto"/>
                <w:sz w:val="18"/>
                <w:szCs w:val="18"/>
              </w:rPr>
            </w:pPr>
            <w:r>
              <w:rPr>
                <w:b/>
                <w:color w:val="auto"/>
                <w:sz w:val="18"/>
                <w:szCs w:val="18"/>
              </w:rPr>
              <w:t>Conventional adjusted</w:t>
            </w:r>
            <w:r>
              <w:rPr>
                <w:b/>
                <w:color w:val="auto"/>
                <w:sz w:val="18"/>
                <w:szCs w:val="18"/>
              </w:rPr>
              <w:br w:type="textWrapping"/>
            </w:r>
            <w:r>
              <w:rPr>
                <w:b/>
                <w:color w:val="auto"/>
                <w:sz w:val="18"/>
                <w:szCs w:val="18"/>
              </w:rPr>
              <w:t>HR (95% CI)</w:t>
            </w:r>
          </w:p>
        </w:tc>
        <w:tc>
          <w:tcPr>
            <w:tcW w:w="2125" w:type="dxa"/>
            <w:tcBorders>
              <w:top w:val="single" w:color="000000" w:sz="12" w:space="0"/>
              <w:bottom w:val="single" w:color="000000" w:sz="8" w:space="0"/>
            </w:tcBorders>
            <w:tcMar>
              <w:top w:w="35" w:type="dxa"/>
              <w:left w:w="45" w:type="dxa"/>
              <w:bottom w:w="35" w:type="dxa"/>
              <w:right w:w="45" w:type="dxa"/>
            </w:tcMar>
            <w:vAlign w:val="center"/>
          </w:tcPr>
          <w:p w14:paraId="406BE9AD">
            <w:pPr>
              <w:spacing w:after="0" w:line="240" w:lineRule="auto"/>
              <w:jc w:val="center"/>
              <w:rPr>
                <w:color w:val="auto"/>
                <w:sz w:val="18"/>
                <w:szCs w:val="18"/>
              </w:rPr>
            </w:pPr>
            <w:r>
              <w:rPr>
                <w:b/>
                <w:color w:val="auto"/>
                <w:sz w:val="18"/>
                <w:szCs w:val="18"/>
              </w:rPr>
              <w:t>Bootstrap HR, median</w:t>
            </w:r>
            <w:r>
              <w:rPr>
                <w:b/>
                <w:color w:val="auto"/>
                <w:sz w:val="18"/>
                <w:szCs w:val="18"/>
              </w:rPr>
              <w:br w:type="textWrapping"/>
            </w:r>
            <w:r>
              <w:rPr>
                <w:b/>
                <w:color w:val="auto"/>
                <w:sz w:val="18"/>
                <w:szCs w:val="18"/>
              </w:rPr>
              <w:t>(95% percentile interval)</w:t>
            </w:r>
          </w:p>
        </w:tc>
        <w:tc>
          <w:tcPr>
            <w:tcW w:w="1888" w:type="dxa"/>
            <w:tcBorders>
              <w:top w:val="single" w:color="000000" w:sz="12" w:space="0"/>
              <w:bottom w:val="single" w:color="000000" w:sz="8" w:space="0"/>
            </w:tcBorders>
            <w:tcMar>
              <w:top w:w="35" w:type="dxa"/>
              <w:left w:w="45" w:type="dxa"/>
              <w:bottom w:w="35" w:type="dxa"/>
              <w:right w:w="45" w:type="dxa"/>
            </w:tcMar>
            <w:vAlign w:val="center"/>
          </w:tcPr>
          <w:p w14:paraId="06F07BA6">
            <w:pPr>
              <w:spacing w:after="0" w:line="240" w:lineRule="auto"/>
              <w:jc w:val="center"/>
              <w:rPr>
                <w:color w:val="auto"/>
                <w:sz w:val="18"/>
                <w:szCs w:val="18"/>
              </w:rPr>
            </w:pPr>
            <w:r>
              <w:rPr>
                <w:b/>
                <w:color w:val="auto"/>
                <w:sz w:val="18"/>
                <w:szCs w:val="18"/>
              </w:rPr>
              <w:t>Successful resamples,</w:t>
            </w:r>
            <w:r>
              <w:rPr>
                <w:b/>
                <w:color w:val="auto"/>
                <w:sz w:val="18"/>
                <w:szCs w:val="18"/>
              </w:rPr>
              <w:br w:type="textWrapping"/>
            </w:r>
            <w:r>
              <w:rPr>
                <w:b/>
                <w:color w:val="auto"/>
                <w:sz w:val="18"/>
                <w:szCs w:val="18"/>
              </w:rPr>
              <w:t>n (%)</w:t>
            </w:r>
          </w:p>
        </w:tc>
      </w:tr>
      <w:tr w14:paraId="18EF339E">
        <w:tc>
          <w:tcPr>
            <w:tcW w:w="2114" w:type="dxa"/>
            <w:tcMar>
              <w:top w:w="35" w:type="dxa"/>
              <w:left w:w="45" w:type="dxa"/>
              <w:bottom w:w="35" w:type="dxa"/>
              <w:right w:w="45" w:type="dxa"/>
            </w:tcMar>
            <w:vAlign w:val="center"/>
          </w:tcPr>
          <w:p w14:paraId="510024C6">
            <w:pPr>
              <w:spacing w:after="0" w:line="240" w:lineRule="auto"/>
              <w:rPr>
                <w:color w:val="auto"/>
                <w:sz w:val="18"/>
                <w:szCs w:val="18"/>
              </w:rPr>
            </w:pPr>
            <w:r>
              <w:rPr>
                <w:color w:val="auto"/>
                <w:sz w:val="18"/>
                <w:szCs w:val="18"/>
              </w:rPr>
              <w:t>12-month all-cause mortality</w:t>
            </w:r>
          </w:p>
        </w:tc>
        <w:tc>
          <w:tcPr>
            <w:tcW w:w="1016" w:type="dxa"/>
            <w:tcMar>
              <w:top w:w="35" w:type="dxa"/>
              <w:left w:w="45" w:type="dxa"/>
              <w:bottom w:w="35" w:type="dxa"/>
              <w:right w:w="45" w:type="dxa"/>
            </w:tcMar>
            <w:vAlign w:val="center"/>
          </w:tcPr>
          <w:p w14:paraId="0D8F913B">
            <w:pPr>
              <w:spacing w:after="0" w:line="240" w:lineRule="auto"/>
              <w:jc w:val="center"/>
              <w:rPr>
                <w:color w:val="auto"/>
                <w:sz w:val="18"/>
                <w:szCs w:val="18"/>
              </w:rPr>
            </w:pPr>
            <w:r>
              <w:rPr>
                <w:color w:val="auto"/>
                <w:sz w:val="18"/>
                <w:szCs w:val="18"/>
              </w:rPr>
              <w:t>26/15</w:t>
            </w:r>
          </w:p>
        </w:tc>
        <w:tc>
          <w:tcPr>
            <w:tcW w:w="1887" w:type="dxa"/>
            <w:tcMar>
              <w:top w:w="35" w:type="dxa"/>
              <w:left w:w="45" w:type="dxa"/>
              <w:bottom w:w="35" w:type="dxa"/>
              <w:right w:w="45" w:type="dxa"/>
            </w:tcMar>
            <w:vAlign w:val="center"/>
          </w:tcPr>
          <w:p w14:paraId="57C33AFB">
            <w:pPr>
              <w:spacing w:after="0" w:line="240" w:lineRule="auto"/>
              <w:jc w:val="center"/>
              <w:rPr>
                <w:color w:val="auto"/>
                <w:sz w:val="18"/>
                <w:szCs w:val="18"/>
              </w:rPr>
            </w:pPr>
            <w:r>
              <w:rPr>
                <w:color w:val="auto"/>
                <w:sz w:val="18"/>
                <w:szCs w:val="18"/>
              </w:rPr>
              <w:t>4.55 (2.30–9.00)</w:t>
            </w:r>
          </w:p>
        </w:tc>
        <w:tc>
          <w:tcPr>
            <w:tcW w:w="2125" w:type="dxa"/>
            <w:tcMar>
              <w:top w:w="35" w:type="dxa"/>
              <w:left w:w="45" w:type="dxa"/>
              <w:bottom w:w="35" w:type="dxa"/>
              <w:right w:w="45" w:type="dxa"/>
            </w:tcMar>
            <w:vAlign w:val="center"/>
          </w:tcPr>
          <w:p w14:paraId="77BA9203">
            <w:pPr>
              <w:spacing w:after="0" w:line="240" w:lineRule="auto"/>
              <w:jc w:val="center"/>
              <w:rPr>
                <w:color w:val="auto"/>
                <w:sz w:val="18"/>
                <w:szCs w:val="18"/>
              </w:rPr>
            </w:pPr>
            <w:r>
              <w:rPr>
                <w:color w:val="auto"/>
                <w:sz w:val="18"/>
                <w:szCs w:val="18"/>
              </w:rPr>
              <w:t>4.43 (2.06–9.74)</w:t>
            </w:r>
          </w:p>
        </w:tc>
        <w:tc>
          <w:tcPr>
            <w:tcW w:w="1888" w:type="dxa"/>
            <w:tcMar>
              <w:top w:w="35" w:type="dxa"/>
              <w:left w:w="45" w:type="dxa"/>
              <w:bottom w:w="35" w:type="dxa"/>
              <w:right w:w="45" w:type="dxa"/>
            </w:tcMar>
            <w:vAlign w:val="center"/>
          </w:tcPr>
          <w:p w14:paraId="4B806D55">
            <w:pPr>
              <w:spacing w:after="0" w:line="240" w:lineRule="auto"/>
              <w:jc w:val="center"/>
              <w:rPr>
                <w:color w:val="auto"/>
                <w:sz w:val="18"/>
                <w:szCs w:val="18"/>
              </w:rPr>
            </w:pPr>
            <w:r>
              <w:rPr>
                <w:color w:val="auto"/>
                <w:sz w:val="18"/>
                <w:szCs w:val="18"/>
              </w:rPr>
              <w:t>2000 (100%)</w:t>
            </w:r>
          </w:p>
        </w:tc>
      </w:tr>
      <w:tr w14:paraId="5CC3393F">
        <w:tc>
          <w:tcPr>
            <w:tcW w:w="2114" w:type="dxa"/>
            <w:tcBorders>
              <w:bottom w:val="single" w:color="000000" w:sz="12" w:space="0"/>
            </w:tcBorders>
            <w:tcMar>
              <w:top w:w="35" w:type="dxa"/>
              <w:left w:w="45" w:type="dxa"/>
              <w:bottom w:w="35" w:type="dxa"/>
              <w:right w:w="45" w:type="dxa"/>
            </w:tcMar>
            <w:vAlign w:val="center"/>
          </w:tcPr>
          <w:p w14:paraId="2B9BF0CB">
            <w:pPr>
              <w:spacing w:after="0" w:line="240" w:lineRule="auto"/>
              <w:rPr>
                <w:color w:val="auto"/>
                <w:sz w:val="18"/>
                <w:szCs w:val="18"/>
              </w:rPr>
            </w:pPr>
            <w:r>
              <w:rPr>
                <w:color w:val="auto"/>
                <w:sz w:val="18"/>
                <w:szCs w:val="18"/>
              </w:rPr>
              <w:t>90-day unplanned readmission</w:t>
            </w:r>
          </w:p>
        </w:tc>
        <w:tc>
          <w:tcPr>
            <w:tcW w:w="1016" w:type="dxa"/>
            <w:tcBorders>
              <w:bottom w:val="single" w:color="000000" w:sz="12" w:space="0"/>
            </w:tcBorders>
            <w:tcMar>
              <w:top w:w="35" w:type="dxa"/>
              <w:left w:w="45" w:type="dxa"/>
              <w:bottom w:w="35" w:type="dxa"/>
              <w:right w:w="45" w:type="dxa"/>
            </w:tcMar>
            <w:vAlign w:val="center"/>
          </w:tcPr>
          <w:p w14:paraId="18715EA9">
            <w:pPr>
              <w:spacing w:after="0" w:line="240" w:lineRule="auto"/>
              <w:jc w:val="center"/>
              <w:rPr>
                <w:color w:val="auto"/>
                <w:sz w:val="18"/>
                <w:szCs w:val="18"/>
              </w:rPr>
            </w:pPr>
            <w:r>
              <w:rPr>
                <w:color w:val="auto"/>
                <w:sz w:val="18"/>
                <w:szCs w:val="18"/>
              </w:rPr>
              <w:t>26/16</w:t>
            </w:r>
          </w:p>
        </w:tc>
        <w:tc>
          <w:tcPr>
            <w:tcW w:w="1887" w:type="dxa"/>
            <w:tcBorders>
              <w:bottom w:val="single" w:color="000000" w:sz="12" w:space="0"/>
            </w:tcBorders>
            <w:tcMar>
              <w:top w:w="35" w:type="dxa"/>
              <w:left w:w="45" w:type="dxa"/>
              <w:bottom w:w="35" w:type="dxa"/>
              <w:right w:w="45" w:type="dxa"/>
            </w:tcMar>
            <w:vAlign w:val="center"/>
          </w:tcPr>
          <w:p w14:paraId="504934BD">
            <w:pPr>
              <w:spacing w:after="0" w:line="240" w:lineRule="auto"/>
              <w:jc w:val="center"/>
              <w:rPr>
                <w:color w:val="auto"/>
                <w:sz w:val="18"/>
                <w:szCs w:val="18"/>
              </w:rPr>
            </w:pPr>
            <w:r>
              <w:rPr>
                <w:color w:val="auto"/>
                <w:sz w:val="18"/>
                <w:szCs w:val="18"/>
              </w:rPr>
              <w:t>11.85 (5.55–25.29)</w:t>
            </w:r>
          </w:p>
        </w:tc>
        <w:tc>
          <w:tcPr>
            <w:tcW w:w="2125" w:type="dxa"/>
            <w:tcBorders>
              <w:bottom w:val="single" w:color="000000" w:sz="12" w:space="0"/>
            </w:tcBorders>
            <w:tcMar>
              <w:top w:w="35" w:type="dxa"/>
              <w:left w:w="45" w:type="dxa"/>
              <w:bottom w:w="35" w:type="dxa"/>
              <w:right w:w="45" w:type="dxa"/>
            </w:tcMar>
            <w:vAlign w:val="center"/>
          </w:tcPr>
          <w:p w14:paraId="23790B1B">
            <w:pPr>
              <w:spacing w:after="0" w:line="240" w:lineRule="auto"/>
              <w:jc w:val="center"/>
              <w:rPr>
                <w:color w:val="auto"/>
                <w:sz w:val="18"/>
                <w:szCs w:val="18"/>
              </w:rPr>
            </w:pPr>
            <w:r>
              <w:rPr>
                <w:color w:val="auto"/>
                <w:sz w:val="18"/>
                <w:szCs w:val="18"/>
              </w:rPr>
              <w:t>12.41 (5.47–29.96)</w:t>
            </w:r>
          </w:p>
        </w:tc>
        <w:tc>
          <w:tcPr>
            <w:tcW w:w="1888" w:type="dxa"/>
            <w:tcBorders>
              <w:bottom w:val="single" w:color="000000" w:sz="12" w:space="0"/>
            </w:tcBorders>
            <w:tcMar>
              <w:top w:w="35" w:type="dxa"/>
              <w:left w:w="45" w:type="dxa"/>
              <w:bottom w:w="35" w:type="dxa"/>
              <w:right w:w="45" w:type="dxa"/>
            </w:tcMar>
            <w:vAlign w:val="center"/>
          </w:tcPr>
          <w:p w14:paraId="75ABD97B">
            <w:pPr>
              <w:spacing w:after="0" w:line="240" w:lineRule="auto"/>
              <w:jc w:val="center"/>
              <w:rPr>
                <w:color w:val="auto"/>
                <w:sz w:val="18"/>
                <w:szCs w:val="18"/>
              </w:rPr>
            </w:pPr>
            <w:r>
              <w:rPr>
                <w:color w:val="auto"/>
                <w:sz w:val="18"/>
                <w:szCs w:val="18"/>
              </w:rPr>
              <w:t>2000 (100%)</w:t>
            </w:r>
          </w:p>
        </w:tc>
      </w:tr>
    </w:tbl>
    <w:p w14:paraId="4877FF93">
      <w:pPr>
        <w:widowControl w:val="0"/>
        <w:spacing w:before="100" w:after="200"/>
        <w:jc w:val="both"/>
        <w:rPr>
          <w:rFonts w:cs="Times New Roman"/>
          <w:b/>
          <w:color w:val="auto"/>
          <w:sz w:val="24"/>
        </w:rPr>
      </w:pPr>
      <w:r>
        <w:rPr>
          <w:rFonts w:hint="eastAsia"/>
          <w:color w:val="auto"/>
          <w:sz w:val="18"/>
          <w:szCs w:val="18"/>
        </w:rPr>
        <w:t>Notes: Exploratory cut-offs were NLR &gt;8.97 and CAR &gt;0.49. The four mutually exclusive categories were defined as low NLR and low CAR (NLR ≤8.97 and CAR ≤0.49), NLR-high only (NLR &gt;8.97 and CAR ≤0.49), CAR-high only (NLR ≤8.97 and CAR &gt;0.49), and both-high (NLR &gt;8.97 and CAR &gt;0.49). The low NLR and low CAR group served as the reference. In Panel A, the four-level NLR-CAR category variable was entered into a multivariable Cox model adjusted for age, sex, New York Heart Association functional class, Charlson Comorbidity Index, hemoglobin, and body mass index. Complete-case analysis was used, and tied event times were handled using the Breslow method. In Panel B, the stability of the both-high estimate was assessed using 2,000 patient-level bootstrap resamples, with the same adjusted four-level Cox model refitted in each resample. Bootstrap estimates are presented as the median HR with the 2.5th and 97.5th percentiles of the bootstrap distribution. All 2,000 resamples were successfully fitted for both outcomes. CAR, C-reactive protein-to-albumin ratio; CI, confidence interval; HR, hazard ratio; NLR, neutrophil-to-lymphocyte ratio.</w:t>
      </w:r>
    </w:p>
    <w:p w14:paraId="791A307D">
      <w:pPr>
        <w:widowControl w:val="0"/>
        <w:spacing w:before="100" w:after="200"/>
        <w:jc w:val="both"/>
        <w:rPr>
          <w:rFonts w:eastAsia="宋体" w:cs="Times New Roman"/>
          <w:b/>
          <w:color w:val="auto"/>
          <w:sz w:val="24"/>
          <w:lang w:eastAsia="zh-CN"/>
        </w:rPr>
      </w:pPr>
    </w:p>
    <w:p w14:paraId="63D4F594">
      <w:pPr>
        <w:widowControl w:val="0"/>
        <w:spacing w:before="100" w:after="200"/>
        <w:jc w:val="both"/>
        <w:rPr>
          <w:rFonts w:eastAsia="宋体" w:cs="Times New Roman"/>
          <w:b/>
          <w:color w:val="auto"/>
          <w:sz w:val="24"/>
          <w:lang w:eastAsia="zh-CN"/>
        </w:rPr>
      </w:pPr>
    </w:p>
    <w:p w14:paraId="149D3EB3">
      <w:pPr>
        <w:widowControl w:val="0"/>
        <w:spacing w:before="100" w:after="200"/>
        <w:jc w:val="both"/>
        <w:rPr>
          <w:rFonts w:eastAsia="宋体" w:cs="Times New Roman"/>
          <w:b/>
          <w:color w:val="auto"/>
          <w:sz w:val="24"/>
          <w:lang w:eastAsia="zh-CN"/>
        </w:rPr>
      </w:pPr>
    </w:p>
    <w:p w14:paraId="62D451E8">
      <w:pPr>
        <w:widowControl w:val="0"/>
        <w:spacing w:before="100" w:after="200"/>
        <w:jc w:val="both"/>
        <w:rPr>
          <w:rFonts w:eastAsia="宋体" w:cs="Times New Roman"/>
          <w:b/>
          <w:color w:val="auto"/>
          <w:sz w:val="24"/>
          <w:lang w:eastAsia="zh-CN"/>
        </w:rPr>
      </w:pPr>
    </w:p>
    <w:p w14:paraId="57C7CE1A">
      <w:pPr>
        <w:widowControl w:val="0"/>
        <w:spacing w:before="100" w:after="200"/>
        <w:jc w:val="both"/>
        <w:rPr>
          <w:rFonts w:eastAsia="宋体" w:cs="Times New Roman"/>
          <w:b/>
          <w:color w:val="auto"/>
          <w:sz w:val="24"/>
          <w:lang w:eastAsia="zh-CN"/>
        </w:rPr>
      </w:pPr>
    </w:p>
    <w:p w14:paraId="0CEE29A9">
      <w:pPr>
        <w:widowControl w:val="0"/>
        <w:spacing w:before="100" w:after="200"/>
        <w:jc w:val="both"/>
        <w:rPr>
          <w:rFonts w:eastAsia="宋体" w:cs="Times New Roman"/>
          <w:b/>
          <w:color w:val="auto"/>
          <w:sz w:val="24"/>
          <w:lang w:eastAsia="zh-CN"/>
        </w:rPr>
      </w:pPr>
    </w:p>
    <w:p w14:paraId="313683E4">
      <w:pPr>
        <w:widowControl w:val="0"/>
        <w:spacing w:before="100" w:after="200"/>
        <w:jc w:val="both"/>
        <w:rPr>
          <w:rFonts w:eastAsia="宋体" w:cs="Times New Roman"/>
          <w:b/>
          <w:color w:val="auto"/>
          <w:sz w:val="24"/>
          <w:lang w:eastAsia="zh-CN"/>
        </w:rPr>
      </w:pPr>
    </w:p>
    <w:p w14:paraId="10DEB445">
      <w:pPr>
        <w:widowControl w:val="0"/>
        <w:spacing w:before="100" w:after="200"/>
        <w:jc w:val="both"/>
        <w:rPr>
          <w:rFonts w:eastAsia="宋体" w:cs="Times New Roman"/>
          <w:b/>
          <w:color w:val="auto"/>
          <w:sz w:val="24"/>
          <w:lang w:eastAsia="zh-CN"/>
        </w:rPr>
      </w:pPr>
    </w:p>
    <w:p w14:paraId="52402D3D">
      <w:pPr>
        <w:widowControl w:val="0"/>
        <w:spacing w:before="100" w:after="200"/>
        <w:jc w:val="both"/>
        <w:rPr>
          <w:rFonts w:eastAsia="宋体" w:cs="Times New Roman"/>
          <w:b/>
          <w:color w:val="auto"/>
          <w:sz w:val="24"/>
          <w:lang w:eastAsia="zh-CN"/>
        </w:rPr>
      </w:pPr>
    </w:p>
    <w:p w14:paraId="3E949480">
      <w:pPr>
        <w:widowControl w:val="0"/>
        <w:spacing w:before="100" w:after="200"/>
        <w:jc w:val="both"/>
        <w:rPr>
          <w:color w:val="auto"/>
        </w:rPr>
      </w:pPr>
      <w:r>
        <w:rPr>
          <w:rFonts w:cs="Times New Roman"/>
          <w:b/>
          <w:color w:val="auto"/>
          <w:sz w:val="24"/>
        </w:rPr>
        <w:t>Supplementary Table S2. Interaction and robustness analyses of continuous NLR and CAR</w:t>
      </w:r>
    </w:p>
    <w:p w14:paraId="6511D421">
      <w:pPr>
        <w:spacing w:after="40"/>
        <w:rPr>
          <w:b/>
          <w:color w:val="auto"/>
          <w:sz w:val="21"/>
          <w:szCs w:val="21"/>
        </w:rPr>
      </w:pPr>
      <w:r>
        <w:rPr>
          <w:b/>
          <w:color w:val="auto"/>
          <w:sz w:val="21"/>
          <w:szCs w:val="21"/>
        </w:rPr>
        <w:t>Panel A. Median-centered interaction models</w:t>
      </w:r>
    </w:p>
    <w:tbl>
      <w:tblPr>
        <w:tblStyle w:val="32"/>
        <w:tblW w:w="0" w:type="auto"/>
        <w:jc w:val="center"/>
        <w:tblLayout w:type="autofit"/>
        <w:tblCellMar>
          <w:top w:w="0" w:type="dxa"/>
          <w:left w:w="108" w:type="dxa"/>
          <w:bottom w:w="0" w:type="dxa"/>
          <w:right w:w="108" w:type="dxa"/>
        </w:tblCellMar>
      </w:tblPr>
      <w:tblGrid>
        <w:gridCol w:w="1817"/>
        <w:gridCol w:w="2818"/>
        <w:gridCol w:w="995"/>
        <w:gridCol w:w="1919"/>
        <w:gridCol w:w="857"/>
      </w:tblGrid>
      <w:tr w14:paraId="01840D03">
        <w:trPr>
          <w:tblHeader/>
          <w:jc w:val="center"/>
        </w:trPr>
        <w:tc>
          <w:tcPr>
            <w:tcW w:w="2088"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7803E9D3">
            <w:pPr>
              <w:spacing w:after="0" w:line="240" w:lineRule="auto"/>
              <w:jc w:val="center"/>
              <w:rPr>
                <w:color w:val="auto"/>
                <w:sz w:val="18"/>
                <w:szCs w:val="18"/>
              </w:rPr>
            </w:pPr>
            <w:r>
              <w:rPr>
                <w:rFonts w:cs="Times New Roman"/>
                <w:b/>
                <w:color w:val="auto"/>
                <w:sz w:val="18"/>
                <w:szCs w:val="18"/>
              </w:rPr>
              <w:t>Outcome</w:t>
            </w:r>
          </w:p>
        </w:tc>
        <w:tc>
          <w:tcPr>
            <w:tcW w:w="3384"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492E3CD0">
            <w:pPr>
              <w:spacing w:after="0" w:line="240" w:lineRule="auto"/>
              <w:jc w:val="center"/>
              <w:rPr>
                <w:color w:val="auto"/>
                <w:sz w:val="18"/>
                <w:szCs w:val="18"/>
              </w:rPr>
            </w:pPr>
            <w:r>
              <w:rPr>
                <w:rFonts w:cs="Times New Roman"/>
                <w:b/>
                <w:color w:val="auto"/>
                <w:sz w:val="18"/>
                <w:szCs w:val="18"/>
              </w:rPr>
              <w:t>Term</w:t>
            </w:r>
          </w:p>
        </w:tc>
        <w:tc>
          <w:tcPr>
            <w:tcW w:w="1080"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0DDFC677">
            <w:pPr>
              <w:spacing w:after="0" w:line="240" w:lineRule="auto"/>
              <w:jc w:val="center"/>
              <w:rPr>
                <w:color w:val="auto"/>
                <w:sz w:val="18"/>
                <w:szCs w:val="18"/>
              </w:rPr>
            </w:pPr>
            <w:r>
              <w:rPr>
                <w:rFonts w:cs="Times New Roman"/>
                <w:b/>
                <w:color w:val="auto"/>
                <w:sz w:val="18"/>
                <w:szCs w:val="18"/>
              </w:rPr>
              <w:t>n/events</w:t>
            </w:r>
          </w:p>
        </w:tc>
        <w:tc>
          <w:tcPr>
            <w:tcW w:w="2232"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5CCD80F8">
            <w:pPr>
              <w:spacing w:after="0" w:line="240" w:lineRule="auto"/>
              <w:jc w:val="center"/>
              <w:rPr>
                <w:color w:val="auto"/>
                <w:sz w:val="18"/>
                <w:szCs w:val="18"/>
              </w:rPr>
            </w:pPr>
            <w:r>
              <w:rPr>
                <w:rFonts w:cs="Times New Roman"/>
                <w:b/>
                <w:color w:val="auto"/>
                <w:sz w:val="18"/>
                <w:szCs w:val="18"/>
              </w:rPr>
              <w:t>Adjusted HR (95% CI)</w:t>
            </w:r>
          </w:p>
        </w:tc>
        <w:tc>
          <w:tcPr>
            <w:tcW w:w="936"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52D99DB5">
            <w:pPr>
              <w:spacing w:after="0" w:line="240" w:lineRule="auto"/>
              <w:jc w:val="center"/>
              <w:rPr>
                <w:color w:val="auto"/>
                <w:sz w:val="18"/>
                <w:szCs w:val="18"/>
              </w:rPr>
            </w:pPr>
            <w:r>
              <w:rPr>
                <w:rFonts w:cs="Times New Roman"/>
                <w:b/>
                <w:color w:val="auto"/>
                <w:sz w:val="18"/>
                <w:szCs w:val="18"/>
              </w:rPr>
              <w:t>P value</w:t>
            </w:r>
          </w:p>
        </w:tc>
      </w:tr>
      <w:tr w14:paraId="59AB0DBB">
        <w:trPr>
          <w:jc w:val="center"/>
        </w:trPr>
        <w:tc>
          <w:tcPr>
            <w:tcW w:w="2088" w:type="dxa"/>
            <w:tcBorders>
              <w:top w:val="nil"/>
              <w:left w:val="nil"/>
              <w:bottom w:val="nil"/>
              <w:right w:val="nil"/>
            </w:tcBorders>
            <w:tcMar>
              <w:top w:w="40" w:type="dxa"/>
              <w:left w:w="50" w:type="dxa"/>
              <w:bottom w:w="40" w:type="dxa"/>
              <w:right w:w="50" w:type="dxa"/>
            </w:tcMar>
            <w:vAlign w:val="center"/>
          </w:tcPr>
          <w:p w14:paraId="41F3E0EA">
            <w:pPr>
              <w:spacing w:after="0" w:line="240" w:lineRule="auto"/>
              <w:rPr>
                <w:color w:val="auto"/>
                <w:sz w:val="18"/>
                <w:szCs w:val="18"/>
              </w:rPr>
            </w:pPr>
            <w:r>
              <w:rPr>
                <w:rFonts w:cs="Times New Roman"/>
                <w:color w:val="auto"/>
                <w:sz w:val="18"/>
                <w:szCs w:val="18"/>
              </w:rPr>
              <w:t>12-month mortality</w:t>
            </w:r>
          </w:p>
        </w:tc>
        <w:tc>
          <w:tcPr>
            <w:tcW w:w="3384" w:type="dxa"/>
            <w:tcBorders>
              <w:top w:val="nil"/>
              <w:left w:val="nil"/>
              <w:bottom w:val="nil"/>
              <w:right w:val="nil"/>
            </w:tcBorders>
            <w:tcMar>
              <w:top w:w="40" w:type="dxa"/>
              <w:left w:w="50" w:type="dxa"/>
              <w:bottom w:w="40" w:type="dxa"/>
              <w:right w:w="50" w:type="dxa"/>
            </w:tcMar>
            <w:vAlign w:val="center"/>
          </w:tcPr>
          <w:p w14:paraId="44084D05">
            <w:pPr>
              <w:spacing w:after="0" w:line="240" w:lineRule="auto"/>
              <w:rPr>
                <w:color w:val="auto"/>
                <w:sz w:val="18"/>
                <w:szCs w:val="18"/>
              </w:rPr>
            </w:pPr>
            <w:r>
              <w:rPr>
                <w:rFonts w:cs="Times New Roman"/>
                <w:color w:val="auto"/>
                <w:sz w:val="18"/>
                <w:szCs w:val="18"/>
              </w:rPr>
              <w:t>log₂(NLR), median-centered</w:t>
            </w:r>
          </w:p>
        </w:tc>
        <w:tc>
          <w:tcPr>
            <w:tcW w:w="1080" w:type="dxa"/>
            <w:tcBorders>
              <w:top w:val="nil"/>
              <w:left w:val="nil"/>
              <w:bottom w:val="nil"/>
              <w:right w:val="nil"/>
            </w:tcBorders>
            <w:tcMar>
              <w:top w:w="40" w:type="dxa"/>
              <w:left w:w="50" w:type="dxa"/>
              <w:bottom w:w="40" w:type="dxa"/>
              <w:right w:w="50" w:type="dxa"/>
            </w:tcMar>
            <w:vAlign w:val="center"/>
          </w:tcPr>
          <w:p w14:paraId="0D7FA039">
            <w:pPr>
              <w:spacing w:after="0" w:line="240" w:lineRule="auto"/>
              <w:jc w:val="center"/>
              <w:rPr>
                <w:color w:val="auto"/>
                <w:sz w:val="18"/>
                <w:szCs w:val="18"/>
              </w:rPr>
            </w:pPr>
            <w:r>
              <w:rPr>
                <w:rFonts w:cs="Times New Roman"/>
                <w:color w:val="auto"/>
                <w:sz w:val="18"/>
                <w:szCs w:val="18"/>
              </w:rPr>
              <w:t>488/69</w:t>
            </w:r>
          </w:p>
        </w:tc>
        <w:tc>
          <w:tcPr>
            <w:tcW w:w="2232" w:type="dxa"/>
            <w:tcBorders>
              <w:top w:val="nil"/>
              <w:left w:val="nil"/>
              <w:bottom w:val="nil"/>
              <w:right w:val="nil"/>
            </w:tcBorders>
            <w:tcMar>
              <w:top w:w="40" w:type="dxa"/>
              <w:left w:w="50" w:type="dxa"/>
              <w:bottom w:w="40" w:type="dxa"/>
              <w:right w:w="50" w:type="dxa"/>
            </w:tcMar>
            <w:vAlign w:val="center"/>
          </w:tcPr>
          <w:p w14:paraId="7432514B">
            <w:pPr>
              <w:spacing w:after="0" w:line="240" w:lineRule="auto"/>
              <w:jc w:val="center"/>
              <w:rPr>
                <w:color w:val="auto"/>
                <w:sz w:val="18"/>
                <w:szCs w:val="18"/>
              </w:rPr>
            </w:pPr>
            <w:r>
              <w:rPr>
                <w:rFonts w:cs="Times New Roman"/>
                <w:color w:val="auto"/>
                <w:sz w:val="18"/>
                <w:szCs w:val="18"/>
              </w:rPr>
              <w:t>0.92 (0.69–1.23)</w:t>
            </w:r>
          </w:p>
        </w:tc>
        <w:tc>
          <w:tcPr>
            <w:tcW w:w="936" w:type="dxa"/>
            <w:tcBorders>
              <w:top w:val="nil"/>
              <w:left w:val="nil"/>
              <w:bottom w:val="nil"/>
              <w:right w:val="nil"/>
            </w:tcBorders>
            <w:tcMar>
              <w:top w:w="40" w:type="dxa"/>
              <w:left w:w="50" w:type="dxa"/>
              <w:bottom w:w="40" w:type="dxa"/>
              <w:right w:w="50" w:type="dxa"/>
            </w:tcMar>
            <w:vAlign w:val="center"/>
          </w:tcPr>
          <w:p w14:paraId="496598FD">
            <w:pPr>
              <w:spacing w:after="0" w:line="240" w:lineRule="auto"/>
              <w:jc w:val="center"/>
              <w:rPr>
                <w:color w:val="auto"/>
                <w:sz w:val="18"/>
                <w:szCs w:val="18"/>
              </w:rPr>
            </w:pPr>
            <w:r>
              <w:rPr>
                <w:rFonts w:cs="Times New Roman"/>
                <w:color w:val="auto"/>
                <w:sz w:val="18"/>
                <w:szCs w:val="18"/>
              </w:rPr>
              <w:t>0.580</w:t>
            </w:r>
          </w:p>
        </w:tc>
      </w:tr>
      <w:tr w14:paraId="0845C312">
        <w:trPr>
          <w:jc w:val="center"/>
        </w:trPr>
        <w:tc>
          <w:tcPr>
            <w:tcW w:w="2088" w:type="dxa"/>
            <w:tcBorders>
              <w:top w:val="nil"/>
              <w:left w:val="nil"/>
              <w:bottom w:val="nil"/>
              <w:right w:val="nil"/>
            </w:tcBorders>
            <w:tcMar>
              <w:top w:w="40" w:type="dxa"/>
              <w:left w:w="50" w:type="dxa"/>
              <w:bottom w:w="40" w:type="dxa"/>
              <w:right w:w="50" w:type="dxa"/>
            </w:tcMar>
            <w:vAlign w:val="center"/>
          </w:tcPr>
          <w:p w14:paraId="123AA763">
            <w:pPr>
              <w:spacing w:after="0" w:line="240" w:lineRule="auto"/>
              <w:rPr>
                <w:color w:val="auto"/>
                <w:sz w:val="18"/>
                <w:szCs w:val="18"/>
              </w:rPr>
            </w:pPr>
          </w:p>
        </w:tc>
        <w:tc>
          <w:tcPr>
            <w:tcW w:w="3384" w:type="dxa"/>
            <w:tcBorders>
              <w:top w:val="nil"/>
              <w:left w:val="nil"/>
              <w:bottom w:val="nil"/>
              <w:right w:val="nil"/>
            </w:tcBorders>
            <w:tcMar>
              <w:top w:w="40" w:type="dxa"/>
              <w:left w:w="50" w:type="dxa"/>
              <w:bottom w:w="40" w:type="dxa"/>
              <w:right w:w="50" w:type="dxa"/>
            </w:tcMar>
            <w:vAlign w:val="center"/>
          </w:tcPr>
          <w:p w14:paraId="6F343C61">
            <w:pPr>
              <w:spacing w:after="0" w:line="240" w:lineRule="auto"/>
              <w:rPr>
                <w:color w:val="auto"/>
                <w:sz w:val="18"/>
                <w:szCs w:val="18"/>
              </w:rPr>
            </w:pPr>
            <w:r>
              <w:rPr>
                <w:rFonts w:cs="Times New Roman"/>
                <w:color w:val="auto"/>
                <w:sz w:val="18"/>
                <w:szCs w:val="18"/>
              </w:rPr>
              <w:t>log₂(CAR), median-centered</w:t>
            </w:r>
          </w:p>
        </w:tc>
        <w:tc>
          <w:tcPr>
            <w:tcW w:w="1080" w:type="dxa"/>
            <w:tcBorders>
              <w:top w:val="nil"/>
              <w:left w:val="nil"/>
              <w:bottom w:val="nil"/>
              <w:right w:val="nil"/>
            </w:tcBorders>
            <w:tcMar>
              <w:top w:w="40" w:type="dxa"/>
              <w:left w:w="50" w:type="dxa"/>
              <w:bottom w:w="40" w:type="dxa"/>
              <w:right w:w="50" w:type="dxa"/>
            </w:tcMar>
            <w:vAlign w:val="center"/>
          </w:tcPr>
          <w:p w14:paraId="41FD5704">
            <w:pPr>
              <w:spacing w:after="0" w:line="240" w:lineRule="auto"/>
              <w:jc w:val="center"/>
              <w:rPr>
                <w:color w:val="auto"/>
                <w:sz w:val="18"/>
                <w:szCs w:val="18"/>
              </w:rPr>
            </w:pPr>
            <w:r>
              <w:rPr>
                <w:rFonts w:cs="Times New Roman"/>
                <w:color w:val="auto"/>
                <w:sz w:val="18"/>
                <w:szCs w:val="18"/>
              </w:rPr>
              <w:t>488/69</w:t>
            </w:r>
          </w:p>
        </w:tc>
        <w:tc>
          <w:tcPr>
            <w:tcW w:w="2232" w:type="dxa"/>
            <w:tcBorders>
              <w:top w:val="nil"/>
              <w:left w:val="nil"/>
              <w:bottom w:val="nil"/>
              <w:right w:val="nil"/>
            </w:tcBorders>
            <w:tcMar>
              <w:top w:w="40" w:type="dxa"/>
              <w:left w:w="50" w:type="dxa"/>
              <w:bottom w:w="40" w:type="dxa"/>
              <w:right w:w="50" w:type="dxa"/>
            </w:tcMar>
            <w:vAlign w:val="center"/>
          </w:tcPr>
          <w:p w14:paraId="2EFFFF02">
            <w:pPr>
              <w:spacing w:after="0" w:line="240" w:lineRule="auto"/>
              <w:jc w:val="center"/>
              <w:rPr>
                <w:color w:val="auto"/>
                <w:sz w:val="18"/>
                <w:szCs w:val="18"/>
              </w:rPr>
            </w:pPr>
            <w:r>
              <w:rPr>
                <w:rFonts w:cs="Times New Roman"/>
                <w:color w:val="auto"/>
                <w:sz w:val="18"/>
                <w:szCs w:val="18"/>
              </w:rPr>
              <w:t>1.21 (1.07–1.38)</w:t>
            </w:r>
          </w:p>
        </w:tc>
        <w:tc>
          <w:tcPr>
            <w:tcW w:w="936" w:type="dxa"/>
            <w:tcBorders>
              <w:top w:val="nil"/>
              <w:left w:val="nil"/>
              <w:bottom w:val="nil"/>
              <w:right w:val="nil"/>
            </w:tcBorders>
            <w:tcMar>
              <w:top w:w="40" w:type="dxa"/>
              <w:left w:w="50" w:type="dxa"/>
              <w:bottom w:w="40" w:type="dxa"/>
              <w:right w:w="50" w:type="dxa"/>
            </w:tcMar>
            <w:vAlign w:val="center"/>
          </w:tcPr>
          <w:p w14:paraId="2DE6BF4D">
            <w:pPr>
              <w:spacing w:after="0" w:line="240" w:lineRule="auto"/>
              <w:jc w:val="center"/>
              <w:rPr>
                <w:color w:val="auto"/>
                <w:sz w:val="18"/>
                <w:szCs w:val="18"/>
              </w:rPr>
            </w:pPr>
            <w:r>
              <w:rPr>
                <w:rFonts w:cs="Times New Roman"/>
                <w:color w:val="auto"/>
                <w:sz w:val="18"/>
                <w:szCs w:val="18"/>
              </w:rPr>
              <w:t>0.003</w:t>
            </w:r>
          </w:p>
        </w:tc>
      </w:tr>
      <w:tr w14:paraId="2F80FADB">
        <w:trPr>
          <w:jc w:val="center"/>
        </w:trPr>
        <w:tc>
          <w:tcPr>
            <w:tcW w:w="2088" w:type="dxa"/>
            <w:tcBorders>
              <w:top w:val="nil"/>
              <w:left w:val="nil"/>
              <w:bottom w:val="nil"/>
              <w:right w:val="nil"/>
            </w:tcBorders>
            <w:tcMar>
              <w:top w:w="40" w:type="dxa"/>
              <w:left w:w="50" w:type="dxa"/>
              <w:bottom w:w="40" w:type="dxa"/>
              <w:right w:w="50" w:type="dxa"/>
            </w:tcMar>
            <w:vAlign w:val="center"/>
          </w:tcPr>
          <w:p w14:paraId="775931B3">
            <w:pPr>
              <w:spacing w:after="0" w:line="240" w:lineRule="auto"/>
              <w:rPr>
                <w:color w:val="auto"/>
                <w:sz w:val="18"/>
                <w:szCs w:val="18"/>
              </w:rPr>
            </w:pPr>
          </w:p>
        </w:tc>
        <w:tc>
          <w:tcPr>
            <w:tcW w:w="3384" w:type="dxa"/>
            <w:tcBorders>
              <w:top w:val="nil"/>
              <w:left w:val="nil"/>
              <w:bottom w:val="nil"/>
              <w:right w:val="nil"/>
            </w:tcBorders>
            <w:tcMar>
              <w:top w:w="40" w:type="dxa"/>
              <w:left w:w="50" w:type="dxa"/>
              <w:bottom w:w="40" w:type="dxa"/>
              <w:right w:w="50" w:type="dxa"/>
            </w:tcMar>
            <w:vAlign w:val="center"/>
          </w:tcPr>
          <w:p w14:paraId="33D487A7">
            <w:pPr>
              <w:spacing w:after="0" w:line="240" w:lineRule="auto"/>
              <w:rPr>
                <w:color w:val="auto"/>
                <w:sz w:val="18"/>
                <w:szCs w:val="18"/>
              </w:rPr>
            </w:pPr>
            <w:r>
              <w:rPr>
                <w:rFonts w:cs="Times New Roman"/>
                <w:color w:val="auto"/>
                <w:sz w:val="18"/>
                <w:szCs w:val="18"/>
              </w:rPr>
              <w:t>NLR × CAR interaction</w:t>
            </w:r>
          </w:p>
        </w:tc>
        <w:tc>
          <w:tcPr>
            <w:tcW w:w="1080" w:type="dxa"/>
            <w:tcBorders>
              <w:top w:val="nil"/>
              <w:left w:val="nil"/>
              <w:bottom w:val="nil"/>
              <w:right w:val="nil"/>
            </w:tcBorders>
            <w:tcMar>
              <w:top w:w="40" w:type="dxa"/>
              <w:left w:w="50" w:type="dxa"/>
              <w:bottom w:w="40" w:type="dxa"/>
              <w:right w:w="50" w:type="dxa"/>
            </w:tcMar>
            <w:vAlign w:val="center"/>
          </w:tcPr>
          <w:p w14:paraId="7B64F399">
            <w:pPr>
              <w:spacing w:after="0" w:line="240" w:lineRule="auto"/>
              <w:jc w:val="center"/>
              <w:rPr>
                <w:color w:val="auto"/>
                <w:sz w:val="18"/>
                <w:szCs w:val="18"/>
              </w:rPr>
            </w:pPr>
            <w:r>
              <w:rPr>
                <w:rFonts w:cs="Times New Roman"/>
                <w:color w:val="auto"/>
                <w:sz w:val="18"/>
                <w:szCs w:val="18"/>
              </w:rPr>
              <w:t>488/69</w:t>
            </w:r>
          </w:p>
        </w:tc>
        <w:tc>
          <w:tcPr>
            <w:tcW w:w="2232" w:type="dxa"/>
            <w:tcBorders>
              <w:top w:val="nil"/>
              <w:left w:val="nil"/>
              <w:bottom w:val="nil"/>
              <w:right w:val="nil"/>
            </w:tcBorders>
            <w:tcMar>
              <w:top w:w="40" w:type="dxa"/>
              <w:left w:w="50" w:type="dxa"/>
              <w:bottom w:w="40" w:type="dxa"/>
              <w:right w:w="50" w:type="dxa"/>
            </w:tcMar>
            <w:vAlign w:val="center"/>
          </w:tcPr>
          <w:p w14:paraId="6AE21DEE">
            <w:pPr>
              <w:spacing w:after="0" w:line="240" w:lineRule="auto"/>
              <w:jc w:val="center"/>
              <w:rPr>
                <w:color w:val="auto"/>
                <w:sz w:val="18"/>
                <w:szCs w:val="18"/>
              </w:rPr>
            </w:pPr>
            <w:r>
              <w:rPr>
                <w:rFonts w:cs="Times New Roman"/>
                <w:color w:val="auto"/>
                <w:sz w:val="18"/>
                <w:szCs w:val="18"/>
              </w:rPr>
              <w:t>1.09 (0.98–1.21)</w:t>
            </w:r>
          </w:p>
        </w:tc>
        <w:tc>
          <w:tcPr>
            <w:tcW w:w="936" w:type="dxa"/>
            <w:tcBorders>
              <w:top w:val="nil"/>
              <w:left w:val="nil"/>
              <w:bottom w:val="nil"/>
              <w:right w:val="nil"/>
            </w:tcBorders>
            <w:tcMar>
              <w:top w:w="40" w:type="dxa"/>
              <w:left w:w="50" w:type="dxa"/>
              <w:bottom w:w="40" w:type="dxa"/>
              <w:right w:w="50" w:type="dxa"/>
            </w:tcMar>
            <w:vAlign w:val="center"/>
          </w:tcPr>
          <w:p w14:paraId="7FA31C48">
            <w:pPr>
              <w:spacing w:after="0" w:line="240" w:lineRule="auto"/>
              <w:jc w:val="center"/>
              <w:rPr>
                <w:color w:val="auto"/>
                <w:sz w:val="18"/>
                <w:szCs w:val="18"/>
              </w:rPr>
            </w:pPr>
            <w:r>
              <w:rPr>
                <w:rFonts w:cs="Times New Roman"/>
                <w:color w:val="auto"/>
                <w:sz w:val="18"/>
                <w:szCs w:val="18"/>
              </w:rPr>
              <w:t>0.128</w:t>
            </w:r>
          </w:p>
        </w:tc>
      </w:tr>
      <w:tr w14:paraId="45161FFD">
        <w:trPr>
          <w:jc w:val="center"/>
        </w:trPr>
        <w:tc>
          <w:tcPr>
            <w:tcW w:w="2088" w:type="dxa"/>
            <w:tcBorders>
              <w:top w:val="nil"/>
              <w:left w:val="nil"/>
              <w:bottom w:val="nil"/>
              <w:right w:val="nil"/>
            </w:tcBorders>
            <w:tcMar>
              <w:top w:w="40" w:type="dxa"/>
              <w:left w:w="50" w:type="dxa"/>
              <w:bottom w:w="40" w:type="dxa"/>
              <w:right w:w="50" w:type="dxa"/>
            </w:tcMar>
            <w:vAlign w:val="center"/>
          </w:tcPr>
          <w:p w14:paraId="0224716A">
            <w:pPr>
              <w:spacing w:after="0" w:line="240" w:lineRule="auto"/>
              <w:rPr>
                <w:color w:val="auto"/>
                <w:sz w:val="18"/>
                <w:szCs w:val="18"/>
              </w:rPr>
            </w:pPr>
            <w:r>
              <w:rPr>
                <w:rFonts w:cs="Times New Roman"/>
                <w:color w:val="auto"/>
                <w:sz w:val="18"/>
                <w:szCs w:val="18"/>
              </w:rPr>
              <w:t>90-day readmission</w:t>
            </w:r>
          </w:p>
        </w:tc>
        <w:tc>
          <w:tcPr>
            <w:tcW w:w="3384" w:type="dxa"/>
            <w:tcBorders>
              <w:top w:val="nil"/>
              <w:left w:val="nil"/>
              <w:bottom w:val="nil"/>
              <w:right w:val="nil"/>
            </w:tcBorders>
            <w:tcMar>
              <w:top w:w="40" w:type="dxa"/>
              <w:left w:w="50" w:type="dxa"/>
              <w:bottom w:w="40" w:type="dxa"/>
              <w:right w:w="50" w:type="dxa"/>
            </w:tcMar>
            <w:vAlign w:val="center"/>
          </w:tcPr>
          <w:p w14:paraId="4B1F986B">
            <w:pPr>
              <w:spacing w:after="0" w:line="240" w:lineRule="auto"/>
              <w:rPr>
                <w:color w:val="auto"/>
                <w:sz w:val="18"/>
                <w:szCs w:val="18"/>
              </w:rPr>
            </w:pPr>
            <w:r>
              <w:rPr>
                <w:rFonts w:cs="Times New Roman"/>
                <w:color w:val="auto"/>
                <w:sz w:val="18"/>
                <w:szCs w:val="18"/>
              </w:rPr>
              <w:t>log₂(NLR), median-centered</w:t>
            </w:r>
          </w:p>
        </w:tc>
        <w:tc>
          <w:tcPr>
            <w:tcW w:w="1080" w:type="dxa"/>
            <w:tcBorders>
              <w:top w:val="nil"/>
              <w:left w:val="nil"/>
              <w:bottom w:val="nil"/>
              <w:right w:val="nil"/>
            </w:tcBorders>
            <w:tcMar>
              <w:top w:w="40" w:type="dxa"/>
              <w:left w:w="50" w:type="dxa"/>
              <w:bottom w:w="40" w:type="dxa"/>
              <w:right w:w="50" w:type="dxa"/>
            </w:tcMar>
            <w:vAlign w:val="center"/>
          </w:tcPr>
          <w:p w14:paraId="16272175">
            <w:pPr>
              <w:spacing w:after="0" w:line="240" w:lineRule="auto"/>
              <w:jc w:val="center"/>
              <w:rPr>
                <w:color w:val="auto"/>
                <w:sz w:val="18"/>
                <w:szCs w:val="18"/>
              </w:rPr>
            </w:pPr>
            <w:r>
              <w:rPr>
                <w:rFonts w:cs="Times New Roman"/>
                <w:color w:val="auto"/>
                <w:sz w:val="18"/>
                <w:szCs w:val="18"/>
              </w:rPr>
              <w:t>488/64</w:t>
            </w:r>
          </w:p>
        </w:tc>
        <w:tc>
          <w:tcPr>
            <w:tcW w:w="2232" w:type="dxa"/>
            <w:tcBorders>
              <w:top w:val="nil"/>
              <w:left w:val="nil"/>
              <w:bottom w:val="nil"/>
              <w:right w:val="nil"/>
            </w:tcBorders>
            <w:tcMar>
              <w:top w:w="40" w:type="dxa"/>
              <w:left w:w="50" w:type="dxa"/>
              <w:bottom w:w="40" w:type="dxa"/>
              <w:right w:w="50" w:type="dxa"/>
            </w:tcMar>
            <w:vAlign w:val="center"/>
          </w:tcPr>
          <w:p w14:paraId="763B5526">
            <w:pPr>
              <w:spacing w:after="0" w:line="240" w:lineRule="auto"/>
              <w:jc w:val="center"/>
              <w:rPr>
                <w:color w:val="auto"/>
                <w:sz w:val="18"/>
                <w:szCs w:val="18"/>
              </w:rPr>
            </w:pPr>
            <w:r>
              <w:rPr>
                <w:rFonts w:cs="Times New Roman"/>
                <w:color w:val="auto"/>
                <w:sz w:val="18"/>
                <w:szCs w:val="18"/>
              </w:rPr>
              <w:t>1.93 (1.47–2.54)</w:t>
            </w:r>
          </w:p>
        </w:tc>
        <w:tc>
          <w:tcPr>
            <w:tcW w:w="936" w:type="dxa"/>
            <w:tcBorders>
              <w:top w:val="nil"/>
              <w:left w:val="nil"/>
              <w:bottom w:val="nil"/>
              <w:right w:val="nil"/>
            </w:tcBorders>
            <w:tcMar>
              <w:top w:w="40" w:type="dxa"/>
              <w:left w:w="50" w:type="dxa"/>
              <w:bottom w:w="40" w:type="dxa"/>
              <w:right w:w="50" w:type="dxa"/>
            </w:tcMar>
            <w:vAlign w:val="center"/>
          </w:tcPr>
          <w:p w14:paraId="5D3E963A">
            <w:pPr>
              <w:spacing w:after="0" w:line="240" w:lineRule="auto"/>
              <w:jc w:val="center"/>
              <w:rPr>
                <w:color w:val="auto"/>
                <w:sz w:val="18"/>
                <w:szCs w:val="18"/>
              </w:rPr>
            </w:pPr>
            <w:r>
              <w:rPr>
                <w:rFonts w:cs="Times New Roman"/>
                <w:color w:val="auto"/>
                <w:sz w:val="18"/>
                <w:szCs w:val="18"/>
              </w:rPr>
              <w:t>&lt;0.001</w:t>
            </w:r>
          </w:p>
        </w:tc>
      </w:tr>
      <w:tr w14:paraId="3787B6C7">
        <w:trPr>
          <w:jc w:val="center"/>
        </w:trPr>
        <w:tc>
          <w:tcPr>
            <w:tcW w:w="2088" w:type="dxa"/>
            <w:tcBorders>
              <w:top w:val="nil"/>
              <w:left w:val="nil"/>
              <w:bottom w:val="nil"/>
              <w:right w:val="nil"/>
            </w:tcBorders>
            <w:tcMar>
              <w:top w:w="40" w:type="dxa"/>
              <w:left w:w="50" w:type="dxa"/>
              <w:bottom w:w="40" w:type="dxa"/>
              <w:right w:w="50" w:type="dxa"/>
            </w:tcMar>
            <w:vAlign w:val="center"/>
          </w:tcPr>
          <w:p w14:paraId="7CD5FC7B">
            <w:pPr>
              <w:spacing w:after="0" w:line="240" w:lineRule="auto"/>
              <w:rPr>
                <w:color w:val="auto"/>
                <w:sz w:val="18"/>
                <w:szCs w:val="18"/>
              </w:rPr>
            </w:pPr>
          </w:p>
        </w:tc>
        <w:tc>
          <w:tcPr>
            <w:tcW w:w="3384" w:type="dxa"/>
            <w:tcBorders>
              <w:top w:val="nil"/>
              <w:left w:val="nil"/>
              <w:bottom w:val="nil"/>
              <w:right w:val="nil"/>
            </w:tcBorders>
            <w:tcMar>
              <w:top w:w="40" w:type="dxa"/>
              <w:left w:w="50" w:type="dxa"/>
              <w:bottom w:w="40" w:type="dxa"/>
              <w:right w:w="50" w:type="dxa"/>
            </w:tcMar>
            <w:vAlign w:val="center"/>
          </w:tcPr>
          <w:p w14:paraId="3843F724">
            <w:pPr>
              <w:spacing w:after="0" w:line="240" w:lineRule="auto"/>
              <w:rPr>
                <w:color w:val="auto"/>
                <w:sz w:val="18"/>
                <w:szCs w:val="18"/>
              </w:rPr>
            </w:pPr>
            <w:r>
              <w:rPr>
                <w:rFonts w:cs="Times New Roman"/>
                <w:color w:val="auto"/>
                <w:sz w:val="18"/>
                <w:szCs w:val="18"/>
              </w:rPr>
              <w:t>log₂(CAR), median-centered</w:t>
            </w:r>
          </w:p>
        </w:tc>
        <w:tc>
          <w:tcPr>
            <w:tcW w:w="1080" w:type="dxa"/>
            <w:tcBorders>
              <w:top w:val="nil"/>
              <w:left w:val="nil"/>
              <w:bottom w:val="nil"/>
              <w:right w:val="nil"/>
            </w:tcBorders>
            <w:tcMar>
              <w:top w:w="40" w:type="dxa"/>
              <w:left w:w="50" w:type="dxa"/>
              <w:bottom w:w="40" w:type="dxa"/>
              <w:right w:w="50" w:type="dxa"/>
            </w:tcMar>
            <w:vAlign w:val="center"/>
          </w:tcPr>
          <w:p w14:paraId="226CEEAE">
            <w:pPr>
              <w:spacing w:after="0" w:line="240" w:lineRule="auto"/>
              <w:jc w:val="center"/>
              <w:rPr>
                <w:color w:val="auto"/>
                <w:sz w:val="18"/>
                <w:szCs w:val="18"/>
              </w:rPr>
            </w:pPr>
            <w:r>
              <w:rPr>
                <w:rFonts w:cs="Times New Roman"/>
                <w:color w:val="auto"/>
                <w:sz w:val="18"/>
                <w:szCs w:val="18"/>
              </w:rPr>
              <w:t>488/64</w:t>
            </w:r>
          </w:p>
        </w:tc>
        <w:tc>
          <w:tcPr>
            <w:tcW w:w="2232" w:type="dxa"/>
            <w:tcBorders>
              <w:top w:val="nil"/>
              <w:left w:val="nil"/>
              <w:bottom w:val="nil"/>
              <w:right w:val="nil"/>
            </w:tcBorders>
            <w:tcMar>
              <w:top w:w="40" w:type="dxa"/>
              <w:left w:w="50" w:type="dxa"/>
              <w:bottom w:w="40" w:type="dxa"/>
              <w:right w:w="50" w:type="dxa"/>
            </w:tcMar>
            <w:vAlign w:val="center"/>
          </w:tcPr>
          <w:p w14:paraId="480D5171">
            <w:pPr>
              <w:spacing w:after="0" w:line="240" w:lineRule="auto"/>
              <w:jc w:val="center"/>
              <w:rPr>
                <w:color w:val="auto"/>
                <w:sz w:val="18"/>
                <w:szCs w:val="18"/>
              </w:rPr>
            </w:pPr>
            <w:r>
              <w:rPr>
                <w:rFonts w:cs="Times New Roman"/>
                <w:color w:val="auto"/>
                <w:sz w:val="18"/>
                <w:szCs w:val="18"/>
              </w:rPr>
              <w:t>1.49 (1.27–1.74)</w:t>
            </w:r>
          </w:p>
        </w:tc>
        <w:tc>
          <w:tcPr>
            <w:tcW w:w="936" w:type="dxa"/>
            <w:tcBorders>
              <w:top w:val="nil"/>
              <w:left w:val="nil"/>
              <w:bottom w:val="nil"/>
              <w:right w:val="nil"/>
            </w:tcBorders>
            <w:tcMar>
              <w:top w:w="40" w:type="dxa"/>
              <w:left w:w="50" w:type="dxa"/>
              <w:bottom w:w="40" w:type="dxa"/>
              <w:right w:w="50" w:type="dxa"/>
            </w:tcMar>
            <w:vAlign w:val="center"/>
          </w:tcPr>
          <w:p w14:paraId="41FA39C9">
            <w:pPr>
              <w:spacing w:after="0" w:line="240" w:lineRule="auto"/>
              <w:jc w:val="center"/>
              <w:rPr>
                <w:color w:val="auto"/>
                <w:sz w:val="18"/>
                <w:szCs w:val="18"/>
              </w:rPr>
            </w:pPr>
            <w:r>
              <w:rPr>
                <w:rFonts w:cs="Times New Roman"/>
                <w:color w:val="auto"/>
                <w:sz w:val="18"/>
                <w:szCs w:val="18"/>
              </w:rPr>
              <w:t>&lt;0.001</w:t>
            </w:r>
          </w:p>
        </w:tc>
      </w:tr>
      <w:tr w14:paraId="2F471530">
        <w:trPr>
          <w:jc w:val="center"/>
        </w:trPr>
        <w:tc>
          <w:tcPr>
            <w:tcW w:w="2088" w:type="dxa"/>
            <w:tcBorders>
              <w:top w:val="nil"/>
              <w:left w:val="nil"/>
              <w:bottom w:val="single" w:color="000000" w:sz="12" w:space="0"/>
              <w:right w:val="nil"/>
            </w:tcBorders>
            <w:tcMar>
              <w:top w:w="40" w:type="dxa"/>
              <w:left w:w="50" w:type="dxa"/>
              <w:bottom w:w="40" w:type="dxa"/>
              <w:right w:w="50" w:type="dxa"/>
            </w:tcMar>
            <w:vAlign w:val="center"/>
          </w:tcPr>
          <w:p w14:paraId="6C7BB334">
            <w:pPr>
              <w:spacing w:after="0" w:line="240" w:lineRule="auto"/>
              <w:rPr>
                <w:color w:val="auto"/>
                <w:sz w:val="18"/>
                <w:szCs w:val="18"/>
              </w:rPr>
            </w:pPr>
          </w:p>
        </w:tc>
        <w:tc>
          <w:tcPr>
            <w:tcW w:w="3384" w:type="dxa"/>
            <w:tcBorders>
              <w:top w:val="nil"/>
              <w:left w:val="nil"/>
              <w:bottom w:val="single" w:color="000000" w:sz="12" w:space="0"/>
              <w:right w:val="nil"/>
            </w:tcBorders>
            <w:tcMar>
              <w:top w:w="40" w:type="dxa"/>
              <w:left w:w="50" w:type="dxa"/>
              <w:bottom w:w="40" w:type="dxa"/>
              <w:right w:w="50" w:type="dxa"/>
            </w:tcMar>
            <w:vAlign w:val="center"/>
          </w:tcPr>
          <w:p w14:paraId="6096B398">
            <w:pPr>
              <w:spacing w:after="0" w:line="240" w:lineRule="auto"/>
              <w:rPr>
                <w:color w:val="auto"/>
                <w:sz w:val="18"/>
                <w:szCs w:val="18"/>
              </w:rPr>
            </w:pPr>
            <w:r>
              <w:rPr>
                <w:rFonts w:cs="Times New Roman"/>
                <w:color w:val="auto"/>
                <w:sz w:val="18"/>
                <w:szCs w:val="18"/>
              </w:rPr>
              <w:t>NLR × CAR interaction</w:t>
            </w:r>
          </w:p>
        </w:tc>
        <w:tc>
          <w:tcPr>
            <w:tcW w:w="1080" w:type="dxa"/>
            <w:tcBorders>
              <w:top w:val="nil"/>
              <w:left w:val="nil"/>
              <w:bottom w:val="single" w:color="000000" w:sz="12" w:space="0"/>
              <w:right w:val="nil"/>
            </w:tcBorders>
            <w:tcMar>
              <w:top w:w="40" w:type="dxa"/>
              <w:left w:w="50" w:type="dxa"/>
              <w:bottom w:w="40" w:type="dxa"/>
              <w:right w:w="50" w:type="dxa"/>
            </w:tcMar>
            <w:vAlign w:val="center"/>
          </w:tcPr>
          <w:p w14:paraId="1074C908">
            <w:pPr>
              <w:spacing w:after="0" w:line="240" w:lineRule="auto"/>
              <w:jc w:val="center"/>
              <w:rPr>
                <w:color w:val="auto"/>
                <w:sz w:val="18"/>
                <w:szCs w:val="18"/>
              </w:rPr>
            </w:pPr>
            <w:r>
              <w:rPr>
                <w:rFonts w:cs="Times New Roman"/>
                <w:color w:val="auto"/>
                <w:sz w:val="18"/>
                <w:szCs w:val="18"/>
              </w:rPr>
              <w:t>488/64</w:t>
            </w:r>
          </w:p>
        </w:tc>
        <w:tc>
          <w:tcPr>
            <w:tcW w:w="2232" w:type="dxa"/>
            <w:tcBorders>
              <w:top w:val="nil"/>
              <w:left w:val="nil"/>
              <w:bottom w:val="single" w:color="000000" w:sz="12" w:space="0"/>
              <w:right w:val="nil"/>
            </w:tcBorders>
            <w:tcMar>
              <w:top w:w="40" w:type="dxa"/>
              <w:left w:w="50" w:type="dxa"/>
              <w:bottom w:w="40" w:type="dxa"/>
              <w:right w:w="50" w:type="dxa"/>
            </w:tcMar>
            <w:vAlign w:val="center"/>
          </w:tcPr>
          <w:p w14:paraId="6B50E037">
            <w:pPr>
              <w:spacing w:after="0" w:line="240" w:lineRule="auto"/>
              <w:jc w:val="center"/>
              <w:rPr>
                <w:color w:val="auto"/>
                <w:sz w:val="18"/>
                <w:szCs w:val="18"/>
              </w:rPr>
            </w:pPr>
            <w:r>
              <w:rPr>
                <w:rFonts w:cs="Times New Roman"/>
                <w:color w:val="auto"/>
                <w:sz w:val="18"/>
                <w:szCs w:val="18"/>
              </w:rPr>
              <w:t>0.88 (0.80–0.98)</w:t>
            </w:r>
          </w:p>
        </w:tc>
        <w:tc>
          <w:tcPr>
            <w:tcW w:w="936" w:type="dxa"/>
            <w:tcBorders>
              <w:top w:val="nil"/>
              <w:left w:val="nil"/>
              <w:bottom w:val="single" w:color="000000" w:sz="12" w:space="0"/>
              <w:right w:val="nil"/>
            </w:tcBorders>
            <w:tcMar>
              <w:top w:w="40" w:type="dxa"/>
              <w:left w:w="50" w:type="dxa"/>
              <w:bottom w:w="40" w:type="dxa"/>
              <w:right w:w="50" w:type="dxa"/>
            </w:tcMar>
            <w:vAlign w:val="center"/>
          </w:tcPr>
          <w:p w14:paraId="18B6938C">
            <w:pPr>
              <w:spacing w:after="0" w:line="240" w:lineRule="auto"/>
              <w:jc w:val="center"/>
              <w:rPr>
                <w:color w:val="auto"/>
                <w:sz w:val="18"/>
                <w:szCs w:val="18"/>
              </w:rPr>
            </w:pPr>
            <w:r>
              <w:rPr>
                <w:rFonts w:cs="Times New Roman"/>
                <w:color w:val="auto"/>
                <w:sz w:val="18"/>
                <w:szCs w:val="18"/>
              </w:rPr>
              <w:t>0.018</w:t>
            </w:r>
          </w:p>
        </w:tc>
      </w:tr>
    </w:tbl>
    <w:p w14:paraId="5504962C">
      <w:pPr>
        <w:spacing w:before="80" w:after="40"/>
        <w:rPr>
          <w:b/>
          <w:color w:val="auto"/>
          <w:sz w:val="21"/>
          <w:szCs w:val="21"/>
        </w:rPr>
      </w:pPr>
      <w:r>
        <w:rPr>
          <w:b/>
          <w:color w:val="auto"/>
          <w:sz w:val="21"/>
          <w:szCs w:val="21"/>
        </w:rPr>
        <w:t>Panel B. Robustness analyses for the 90-day readmission interaction</w:t>
      </w:r>
    </w:p>
    <w:tbl>
      <w:tblPr>
        <w:tblStyle w:val="32"/>
        <w:tblW w:w="0" w:type="auto"/>
        <w:jc w:val="center"/>
        <w:tblBorders>
          <w:top w:val="single" w:color="000000" w:sz="8" w:space="0"/>
          <w:left w:val="none" w:color="auto" w:sz="0" w:space="0"/>
          <w:bottom w:val="single" w:color="00000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25"/>
        <w:gridCol w:w="1237"/>
        <w:gridCol w:w="2358"/>
        <w:gridCol w:w="1086"/>
      </w:tblGrid>
      <w:tr w14:paraId="329E7D56">
        <w:trPr>
          <w:jc w:val="center"/>
        </w:trPr>
        <w:tc>
          <w:tcPr>
            <w:tcW w:w="4032"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2C01F79E">
            <w:pPr>
              <w:spacing w:after="0" w:line="240" w:lineRule="auto"/>
              <w:jc w:val="center"/>
              <w:rPr>
                <w:color w:val="auto"/>
                <w:sz w:val="18"/>
                <w:szCs w:val="18"/>
              </w:rPr>
            </w:pPr>
            <w:r>
              <w:rPr>
                <w:rFonts w:cs="Times New Roman"/>
                <w:b/>
                <w:color w:val="auto"/>
                <w:sz w:val="18"/>
                <w:szCs w:val="18"/>
              </w:rPr>
              <w:t>Inference method</w:t>
            </w:r>
          </w:p>
        </w:tc>
        <w:tc>
          <w:tcPr>
            <w:tcW w:w="1296"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628535DF">
            <w:pPr>
              <w:spacing w:after="0" w:line="240" w:lineRule="auto"/>
              <w:jc w:val="center"/>
              <w:rPr>
                <w:color w:val="auto"/>
                <w:sz w:val="18"/>
                <w:szCs w:val="18"/>
              </w:rPr>
            </w:pPr>
            <w:r>
              <w:rPr>
                <w:rFonts w:cs="Times New Roman"/>
                <w:b/>
                <w:color w:val="auto"/>
                <w:sz w:val="18"/>
                <w:szCs w:val="18"/>
              </w:rPr>
              <w:t>n/events</w:t>
            </w:r>
          </w:p>
        </w:tc>
        <w:tc>
          <w:tcPr>
            <w:tcW w:w="2520"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2B70A52C">
            <w:pPr>
              <w:spacing w:after="0" w:line="240" w:lineRule="auto"/>
              <w:jc w:val="center"/>
              <w:rPr>
                <w:color w:val="auto"/>
                <w:sz w:val="18"/>
                <w:szCs w:val="18"/>
              </w:rPr>
            </w:pPr>
            <w:r>
              <w:rPr>
                <w:rFonts w:cs="Times New Roman"/>
                <w:b/>
                <w:color w:val="auto"/>
                <w:sz w:val="18"/>
                <w:szCs w:val="18"/>
              </w:rPr>
              <w:t>Interaction HR (95% CI)</w:t>
            </w:r>
          </w:p>
        </w:tc>
        <w:tc>
          <w:tcPr>
            <w:tcW w:w="1152"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1B7D57D0">
            <w:pPr>
              <w:spacing w:after="0" w:line="240" w:lineRule="auto"/>
              <w:jc w:val="center"/>
              <w:rPr>
                <w:color w:val="auto"/>
                <w:sz w:val="18"/>
                <w:szCs w:val="18"/>
              </w:rPr>
            </w:pPr>
            <w:r>
              <w:rPr>
                <w:rFonts w:cs="Times New Roman"/>
                <w:b/>
                <w:color w:val="auto"/>
                <w:sz w:val="18"/>
                <w:szCs w:val="18"/>
              </w:rPr>
              <w:t>P value</w:t>
            </w:r>
          </w:p>
        </w:tc>
      </w:tr>
      <w:tr w14:paraId="0A11C826">
        <w:trPr>
          <w:jc w:val="center"/>
        </w:trPr>
        <w:tc>
          <w:tcPr>
            <w:tcW w:w="4032" w:type="dxa"/>
            <w:tcBorders>
              <w:top w:val="nil"/>
              <w:left w:val="nil"/>
              <w:bottom w:val="nil"/>
              <w:right w:val="nil"/>
            </w:tcBorders>
            <w:tcMar>
              <w:top w:w="40" w:type="dxa"/>
              <w:left w:w="50" w:type="dxa"/>
              <w:bottom w:w="40" w:type="dxa"/>
              <w:right w:w="50" w:type="dxa"/>
            </w:tcMar>
            <w:vAlign w:val="center"/>
          </w:tcPr>
          <w:p w14:paraId="053B1D9E">
            <w:pPr>
              <w:spacing w:after="0" w:line="240" w:lineRule="auto"/>
              <w:rPr>
                <w:color w:val="auto"/>
                <w:sz w:val="18"/>
                <w:szCs w:val="18"/>
              </w:rPr>
            </w:pPr>
            <w:r>
              <w:rPr>
                <w:rFonts w:cs="Times New Roman"/>
                <w:color w:val="auto"/>
                <w:sz w:val="18"/>
                <w:szCs w:val="18"/>
              </w:rPr>
              <w:t>Conventional Cox inference</w:t>
            </w:r>
          </w:p>
        </w:tc>
        <w:tc>
          <w:tcPr>
            <w:tcW w:w="1296" w:type="dxa"/>
            <w:tcBorders>
              <w:top w:val="nil"/>
              <w:left w:val="nil"/>
              <w:bottom w:val="nil"/>
              <w:right w:val="nil"/>
            </w:tcBorders>
            <w:tcMar>
              <w:top w:w="40" w:type="dxa"/>
              <w:left w:w="50" w:type="dxa"/>
              <w:bottom w:w="40" w:type="dxa"/>
              <w:right w:w="50" w:type="dxa"/>
            </w:tcMar>
            <w:vAlign w:val="center"/>
          </w:tcPr>
          <w:p w14:paraId="47EBF3EA">
            <w:pPr>
              <w:spacing w:after="0" w:line="240" w:lineRule="auto"/>
              <w:rPr>
                <w:color w:val="auto"/>
                <w:sz w:val="18"/>
                <w:szCs w:val="18"/>
              </w:rPr>
            </w:pPr>
            <w:r>
              <w:rPr>
                <w:rFonts w:cs="Times New Roman"/>
                <w:color w:val="auto"/>
                <w:sz w:val="18"/>
                <w:szCs w:val="18"/>
              </w:rPr>
              <w:t>488/64</w:t>
            </w:r>
          </w:p>
        </w:tc>
        <w:tc>
          <w:tcPr>
            <w:tcW w:w="2520" w:type="dxa"/>
            <w:tcBorders>
              <w:top w:val="nil"/>
              <w:left w:val="nil"/>
              <w:bottom w:val="nil"/>
              <w:right w:val="nil"/>
            </w:tcBorders>
            <w:tcMar>
              <w:top w:w="40" w:type="dxa"/>
              <w:left w:w="50" w:type="dxa"/>
              <w:bottom w:w="40" w:type="dxa"/>
              <w:right w:w="50" w:type="dxa"/>
            </w:tcMar>
            <w:vAlign w:val="center"/>
          </w:tcPr>
          <w:p w14:paraId="41F936B8">
            <w:pPr>
              <w:spacing w:after="0" w:line="240" w:lineRule="auto"/>
              <w:jc w:val="center"/>
              <w:rPr>
                <w:color w:val="auto"/>
                <w:sz w:val="18"/>
                <w:szCs w:val="18"/>
              </w:rPr>
            </w:pPr>
            <w:r>
              <w:rPr>
                <w:rFonts w:cs="Times New Roman"/>
                <w:color w:val="auto"/>
                <w:sz w:val="18"/>
                <w:szCs w:val="18"/>
              </w:rPr>
              <w:t>0.88 (0.80–0.98)</w:t>
            </w:r>
          </w:p>
        </w:tc>
        <w:tc>
          <w:tcPr>
            <w:tcW w:w="1152" w:type="dxa"/>
            <w:tcBorders>
              <w:top w:val="nil"/>
              <w:left w:val="nil"/>
              <w:bottom w:val="nil"/>
              <w:right w:val="nil"/>
            </w:tcBorders>
            <w:tcMar>
              <w:top w:w="40" w:type="dxa"/>
              <w:left w:w="50" w:type="dxa"/>
              <w:bottom w:w="40" w:type="dxa"/>
              <w:right w:w="50" w:type="dxa"/>
            </w:tcMar>
            <w:vAlign w:val="center"/>
          </w:tcPr>
          <w:p w14:paraId="10B4FB1A">
            <w:pPr>
              <w:spacing w:after="0" w:line="240" w:lineRule="auto"/>
              <w:jc w:val="center"/>
              <w:rPr>
                <w:color w:val="auto"/>
                <w:sz w:val="18"/>
                <w:szCs w:val="18"/>
              </w:rPr>
            </w:pPr>
            <w:r>
              <w:rPr>
                <w:rFonts w:cs="Times New Roman"/>
                <w:color w:val="auto"/>
                <w:sz w:val="18"/>
                <w:szCs w:val="18"/>
              </w:rPr>
              <w:t>0.018</w:t>
            </w:r>
          </w:p>
        </w:tc>
      </w:tr>
      <w:tr w14:paraId="66410314">
        <w:trPr>
          <w:jc w:val="center"/>
        </w:trPr>
        <w:tc>
          <w:tcPr>
            <w:tcW w:w="4032" w:type="dxa"/>
            <w:tcBorders>
              <w:top w:val="nil"/>
              <w:left w:val="nil"/>
              <w:bottom w:val="nil"/>
              <w:right w:val="nil"/>
            </w:tcBorders>
            <w:tcMar>
              <w:top w:w="40" w:type="dxa"/>
              <w:left w:w="50" w:type="dxa"/>
              <w:bottom w:w="40" w:type="dxa"/>
              <w:right w:w="50" w:type="dxa"/>
            </w:tcMar>
            <w:vAlign w:val="center"/>
          </w:tcPr>
          <w:p w14:paraId="67381A04">
            <w:pPr>
              <w:spacing w:after="0" w:line="240" w:lineRule="auto"/>
              <w:rPr>
                <w:color w:val="auto"/>
                <w:sz w:val="18"/>
                <w:szCs w:val="18"/>
              </w:rPr>
            </w:pPr>
            <w:r>
              <w:rPr>
                <w:rFonts w:cs="Times New Roman"/>
                <w:color w:val="auto"/>
                <w:sz w:val="18"/>
                <w:szCs w:val="18"/>
              </w:rPr>
              <w:t>Jackknife robust inference</w:t>
            </w:r>
          </w:p>
        </w:tc>
        <w:tc>
          <w:tcPr>
            <w:tcW w:w="1296" w:type="dxa"/>
            <w:tcBorders>
              <w:top w:val="nil"/>
              <w:left w:val="nil"/>
              <w:bottom w:val="nil"/>
              <w:right w:val="nil"/>
            </w:tcBorders>
            <w:tcMar>
              <w:top w:w="40" w:type="dxa"/>
              <w:left w:w="50" w:type="dxa"/>
              <w:bottom w:w="40" w:type="dxa"/>
              <w:right w:w="50" w:type="dxa"/>
            </w:tcMar>
            <w:vAlign w:val="center"/>
          </w:tcPr>
          <w:p w14:paraId="6E4AFED7">
            <w:pPr>
              <w:spacing w:after="0" w:line="240" w:lineRule="auto"/>
              <w:rPr>
                <w:color w:val="auto"/>
                <w:sz w:val="18"/>
                <w:szCs w:val="18"/>
              </w:rPr>
            </w:pPr>
            <w:r>
              <w:rPr>
                <w:rFonts w:cs="Times New Roman"/>
                <w:color w:val="auto"/>
                <w:sz w:val="18"/>
                <w:szCs w:val="18"/>
              </w:rPr>
              <w:t>488/64</w:t>
            </w:r>
          </w:p>
        </w:tc>
        <w:tc>
          <w:tcPr>
            <w:tcW w:w="2520" w:type="dxa"/>
            <w:tcBorders>
              <w:top w:val="nil"/>
              <w:left w:val="nil"/>
              <w:bottom w:val="nil"/>
              <w:right w:val="nil"/>
            </w:tcBorders>
            <w:tcMar>
              <w:top w:w="40" w:type="dxa"/>
              <w:left w:w="50" w:type="dxa"/>
              <w:bottom w:w="40" w:type="dxa"/>
              <w:right w:w="50" w:type="dxa"/>
            </w:tcMar>
            <w:vAlign w:val="center"/>
          </w:tcPr>
          <w:p w14:paraId="4E1F73D1">
            <w:pPr>
              <w:spacing w:after="0" w:line="240" w:lineRule="auto"/>
              <w:jc w:val="center"/>
              <w:rPr>
                <w:color w:val="auto"/>
                <w:sz w:val="18"/>
                <w:szCs w:val="18"/>
              </w:rPr>
            </w:pPr>
            <w:r>
              <w:rPr>
                <w:rFonts w:cs="Times New Roman"/>
                <w:color w:val="auto"/>
                <w:sz w:val="18"/>
                <w:szCs w:val="18"/>
              </w:rPr>
              <w:t>0.88 (0.78–1.00)</w:t>
            </w:r>
          </w:p>
        </w:tc>
        <w:tc>
          <w:tcPr>
            <w:tcW w:w="1152" w:type="dxa"/>
            <w:tcBorders>
              <w:top w:val="nil"/>
              <w:left w:val="nil"/>
              <w:bottom w:val="nil"/>
              <w:right w:val="nil"/>
            </w:tcBorders>
            <w:tcMar>
              <w:top w:w="40" w:type="dxa"/>
              <w:left w:w="50" w:type="dxa"/>
              <w:bottom w:w="40" w:type="dxa"/>
              <w:right w:w="50" w:type="dxa"/>
            </w:tcMar>
            <w:vAlign w:val="center"/>
          </w:tcPr>
          <w:p w14:paraId="27AB008E">
            <w:pPr>
              <w:spacing w:after="0" w:line="240" w:lineRule="auto"/>
              <w:jc w:val="center"/>
              <w:rPr>
                <w:color w:val="auto"/>
                <w:sz w:val="18"/>
                <w:szCs w:val="18"/>
              </w:rPr>
            </w:pPr>
            <w:r>
              <w:rPr>
                <w:rFonts w:cs="Times New Roman"/>
                <w:color w:val="auto"/>
                <w:sz w:val="18"/>
                <w:szCs w:val="18"/>
              </w:rPr>
              <w:t>0.055</w:t>
            </w:r>
          </w:p>
        </w:tc>
      </w:tr>
      <w:tr w14:paraId="378219CF">
        <w:trPr>
          <w:jc w:val="center"/>
        </w:trPr>
        <w:tc>
          <w:tcPr>
            <w:tcW w:w="4032" w:type="dxa"/>
            <w:tcBorders>
              <w:top w:val="nil"/>
              <w:left w:val="nil"/>
              <w:bottom w:val="single" w:color="000000" w:sz="12" w:space="0"/>
              <w:right w:val="nil"/>
            </w:tcBorders>
            <w:tcMar>
              <w:top w:w="40" w:type="dxa"/>
              <w:left w:w="50" w:type="dxa"/>
              <w:bottom w:w="40" w:type="dxa"/>
              <w:right w:w="50" w:type="dxa"/>
            </w:tcMar>
            <w:vAlign w:val="center"/>
          </w:tcPr>
          <w:p w14:paraId="671FF8A5">
            <w:pPr>
              <w:spacing w:after="0" w:line="240" w:lineRule="auto"/>
              <w:rPr>
                <w:color w:val="auto"/>
                <w:sz w:val="18"/>
                <w:szCs w:val="18"/>
              </w:rPr>
            </w:pPr>
            <w:r>
              <w:rPr>
                <w:rFonts w:cs="Times New Roman"/>
                <w:color w:val="auto"/>
                <w:sz w:val="18"/>
                <w:szCs w:val="18"/>
              </w:rPr>
              <w:t>Patient-level bootstrap inference</w:t>
            </w:r>
          </w:p>
        </w:tc>
        <w:tc>
          <w:tcPr>
            <w:tcW w:w="1296" w:type="dxa"/>
            <w:tcBorders>
              <w:top w:val="nil"/>
              <w:left w:val="nil"/>
              <w:bottom w:val="single" w:color="000000" w:sz="12" w:space="0"/>
              <w:right w:val="nil"/>
            </w:tcBorders>
            <w:tcMar>
              <w:top w:w="40" w:type="dxa"/>
              <w:left w:w="50" w:type="dxa"/>
              <w:bottom w:w="40" w:type="dxa"/>
              <w:right w:w="50" w:type="dxa"/>
            </w:tcMar>
            <w:vAlign w:val="center"/>
          </w:tcPr>
          <w:p w14:paraId="5092BEBD">
            <w:pPr>
              <w:spacing w:after="0" w:line="240" w:lineRule="auto"/>
              <w:rPr>
                <w:color w:val="auto"/>
                <w:sz w:val="18"/>
                <w:szCs w:val="18"/>
              </w:rPr>
            </w:pPr>
            <w:r>
              <w:rPr>
                <w:rFonts w:cs="Times New Roman"/>
                <w:color w:val="auto"/>
                <w:sz w:val="18"/>
                <w:szCs w:val="18"/>
              </w:rPr>
              <w:t>488/64</w:t>
            </w:r>
          </w:p>
        </w:tc>
        <w:tc>
          <w:tcPr>
            <w:tcW w:w="2520" w:type="dxa"/>
            <w:tcBorders>
              <w:top w:val="nil"/>
              <w:left w:val="nil"/>
              <w:bottom w:val="single" w:color="000000" w:sz="12" w:space="0"/>
              <w:right w:val="nil"/>
            </w:tcBorders>
            <w:tcMar>
              <w:top w:w="40" w:type="dxa"/>
              <w:left w:w="50" w:type="dxa"/>
              <w:bottom w:w="40" w:type="dxa"/>
              <w:right w:w="50" w:type="dxa"/>
            </w:tcMar>
            <w:vAlign w:val="center"/>
          </w:tcPr>
          <w:p w14:paraId="28AC289C">
            <w:pPr>
              <w:spacing w:after="0" w:line="240" w:lineRule="auto"/>
              <w:jc w:val="center"/>
              <w:rPr>
                <w:color w:val="auto"/>
                <w:sz w:val="18"/>
                <w:szCs w:val="18"/>
              </w:rPr>
            </w:pPr>
            <w:r>
              <w:rPr>
                <w:rFonts w:cs="Times New Roman"/>
                <w:color w:val="auto"/>
                <w:sz w:val="18"/>
                <w:szCs w:val="18"/>
              </w:rPr>
              <w:t>0.88 (0.78–1.00)</w:t>
            </w:r>
          </w:p>
        </w:tc>
        <w:tc>
          <w:tcPr>
            <w:tcW w:w="1152" w:type="dxa"/>
            <w:tcBorders>
              <w:top w:val="nil"/>
              <w:left w:val="nil"/>
              <w:bottom w:val="single" w:color="000000" w:sz="12" w:space="0"/>
              <w:right w:val="nil"/>
            </w:tcBorders>
            <w:tcMar>
              <w:top w:w="40" w:type="dxa"/>
              <w:left w:w="50" w:type="dxa"/>
              <w:bottom w:w="40" w:type="dxa"/>
              <w:right w:w="50" w:type="dxa"/>
            </w:tcMar>
            <w:vAlign w:val="center"/>
          </w:tcPr>
          <w:p w14:paraId="6F9EBB3E">
            <w:pPr>
              <w:spacing w:after="0" w:line="240" w:lineRule="auto"/>
              <w:jc w:val="center"/>
              <w:rPr>
                <w:color w:val="auto"/>
                <w:sz w:val="18"/>
                <w:szCs w:val="18"/>
              </w:rPr>
            </w:pPr>
            <w:r>
              <w:rPr>
                <w:rFonts w:cs="Times New Roman"/>
                <w:color w:val="auto"/>
                <w:sz w:val="18"/>
                <w:szCs w:val="18"/>
              </w:rPr>
              <w:t>0.056</w:t>
            </w:r>
          </w:p>
        </w:tc>
      </w:tr>
    </w:tbl>
    <w:p w14:paraId="1524DD6A">
      <w:pPr>
        <w:jc w:val="both"/>
        <w:rPr>
          <w:color w:val="auto"/>
        </w:rPr>
      </w:pPr>
      <w:r>
        <w:rPr>
          <w:rFonts w:hint="eastAsia" w:cs="Times New Roman"/>
          <w:color w:val="auto"/>
          <w:sz w:val="18"/>
          <w:szCs w:val="18"/>
        </w:rPr>
        <w:t>Notes: NLR and CAR were log₂-transformed and median-centered before construction of the multiplicative interaction term. In Panel A, the main-effect HRs represent the effect per doubling of each biomarker when the other biomarker is at its median level. All models were adjusted for age, sex, New York Heart Association functional class, Charlson Comorbidity Index, hemoglobin, and body mass index and used complete-case analysis</w:t>
      </w:r>
      <w:r>
        <w:rPr>
          <w:rFonts w:hint="default" w:eastAsia="宋体" w:cs="Times New Roman"/>
          <w:color w:val="auto"/>
          <w:sz w:val="18"/>
          <w:szCs w:val="18"/>
          <w:lang w:val="en-US" w:eastAsia="zh-CN"/>
        </w:rPr>
        <w:t>.</w:t>
      </w:r>
      <w:r>
        <w:rPr>
          <w:rFonts w:hint="eastAsia" w:cs="Times New Roman"/>
          <w:color w:val="auto"/>
          <w:sz w:val="18"/>
          <w:szCs w:val="18"/>
        </w:rPr>
        <w:t xml:space="preserve"> </w:t>
      </w:r>
      <w:r>
        <w:rPr>
          <w:rFonts w:hint="default" w:cs="Times New Roman"/>
          <w:color w:val="auto"/>
          <w:sz w:val="18"/>
          <w:szCs w:val="18"/>
          <w:lang w:val="en-US"/>
        </w:rPr>
        <w:t>T</w:t>
      </w:r>
      <w:r>
        <w:rPr>
          <w:rFonts w:hint="eastAsia" w:cs="Times New Roman"/>
          <w:color w:val="auto"/>
          <w:sz w:val="18"/>
          <w:szCs w:val="18"/>
        </w:rPr>
        <w:t>ied event times were handled using the Breslow method. Panel B evaluated the 90-day readmission interaction using conventional Cox inference, delete-one jackknife inference, and 2,000 patient-level bootstrap resamples. For the jackknife and bootstrap analyses, confidence intervals and P values were based on normal-approximation standard errors. CAR, C-reactive protein-to-albumin ratio; CI, confidence interval; HR, hazard ratio; NLR, neutrophil-to-lymphocyte ratio.</w:t>
      </w:r>
      <w:r>
        <w:rPr>
          <w:rFonts w:cs="Times New Roman"/>
          <w:color w:val="auto"/>
          <w:sz w:val="24"/>
        </w:rPr>
        <w:br w:type="page"/>
      </w:r>
    </w:p>
    <w:p w14:paraId="424EDC5C">
      <w:pPr>
        <w:widowControl w:val="0"/>
        <w:spacing w:before="100" w:after="200"/>
        <w:jc w:val="both"/>
        <w:rPr>
          <w:color w:val="auto"/>
        </w:rPr>
      </w:pPr>
      <w:r>
        <w:rPr>
          <w:rFonts w:cs="Times New Roman"/>
          <w:b/>
          <w:color w:val="auto"/>
          <w:sz w:val="24"/>
        </w:rPr>
        <w:t>Supplementary Table S3. Competing-risk analyses for 90-day unplanned readmission</w:t>
      </w:r>
    </w:p>
    <w:p w14:paraId="66689FBE">
      <w:pPr>
        <w:spacing w:after="40"/>
        <w:rPr>
          <w:b/>
          <w:color w:val="auto"/>
          <w:sz w:val="21"/>
          <w:szCs w:val="21"/>
        </w:rPr>
      </w:pPr>
      <w:r>
        <w:rPr>
          <w:b/>
          <w:color w:val="auto"/>
          <w:sz w:val="21"/>
          <w:szCs w:val="21"/>
        </w:rPr>
        <w:t>Panel A. Continuous NLR and CAR</w:t>
      </w:r>
    </w:p>
    <w:tbl>
      <w:tblPr>
        <w:tblStyle w:val="32"/>
        <w:tblW w:w="0" w:type="auto"/>
        <w:jc w:val="center"/>
        <w:tblLayout w:type="autofit"/>
        <w:tblCellMar>
          <w:top w:w="0" w:type="dxa"/>
          <w:left w:w="108" w:type="dxa"/>
          <w:bottom w:w="0" w:type="dxa"/>
          <w:right w:w="108" w:type="dxa"/>
        </w:tblCellMar>
      </w:tblPr>
      <w:tblGrid>
        <w:gridCol w:w="1829"/>
        <w:gridCol w:w="1251"/>
        <w:gridCol w:w="1858"/>
        <w:gridCol w:w="757"/>
        <w:gridCol w:w="1953"/>
        <w:gridCol w:w="758"/>
      </w:tblGrid>
      <w:tr w14:paraId="62B235FC">
        <w:trPr>
          <w:tblHeader/>
          <w:jc w:val="center"/>
        </w:trPr>
        <w:tc>
          <w:tcPr>
            <w:tcW w:w="2300" w:type="dxa"/>
            <w:tcBorders>
              <w:top w:val="single" w:color="000000" w:sz="12" w:space="0"/>
              <w:bottom w:val="single" w:color="000000" w:sz="8" w:space="0"/>
            </w:tcBorders>
            <w:tcMar>
              <w:top w:w="40" w:type="dxa"/>
              <w:left w:w="50" w:type="dxa"/>
              <w:bottom w:w="40" w:type="dxa"/>
              <w:right w:w="50" w:type="dxa"/>
            </w:tcMar>
            <w:vAlign w:val="center"/>
          </w:tcPr>
          <w:p w14:paraId="56C5328F">
            <w:pPr>
              <w:spacing w:after="0" w:line="240" w:lineRule="auto"/>
              <w:jc w:val="center"/>
              <w:rPr>
                <w:color w:val="auto"/>
                <w:sz w:val="18"/>
                <w:szCs w:val="18"/>
              </w:rPr>
            </w:pPr>
            <w:r>
              <w:rPr>
                <w:rFonts w:cs="Times New Roman"/>
                <w:b/>
                <w:color w:val="auto"/>
                <w:sz w:val="18"/>
                <w:szCs w:val="18"/>
              </w:rPr>
              <w:t>Model / biomarker</w:t>
            </w:r>
          </w:p>
        </w:tc>
        <w:tc>
          <w:tcPr>
            <w:tcW w:w="1181" w:type="dxa"/>
            <w:tcBorders>
              <w:top w:val="single" w:color="000000" w:sz="12" w:space="0"/>
              <w:bottom w:val="single" w:color="000000" w:sz="8" w:space="0"/>
            </w:tcBorders>
            <w:tcMar>
              <w:top w:w="40" w:type="dxa"/>
              <w:left w:w="50" w:type="dxa"/>
              <w:bottom w:w="40" w:type="dxa"/>
              <w:right w:w="50" w:type="dxa"/>
            </w:tcMar>
            <w:vAlign w:val="center"/>
          </w:tcPr>
          <w:p w14:paraId="66317F6C">
            <w:pPr>
              <w:spacing w:after="0" w:line="240" w:lineRule="auto"/>
              <w:jc w:val="center"/>
              <w:rPr>
                <w:color w:val="auto"/>
                <w:sz w:val="18"/>
                <w:szCs w:val="18"/>
              </w:rPr>
            </w:pPr>
            <w:r>
              <w:rPr>
                <w:rFonts w:cs="Times New Roman"/>
                <w:b/>
                <w:color w:val="auto"/>
                <w:sz w:val="18"/>
                <w:szCs w:val="18"/>
              </w:rPr>
              <w:t>n/readmissions</w:t>
            </w:r>
          </w:p>
        </w:tc>
        <w:tc>
          <w:tcPr>
            <w:tcW w:w="2333" w:type="dxa"/>
            <w:tcBorders>
              <w:top w:val="single" w:color="000000" w:sz="12" w:space="0"/>
              <w:bottom w:val="single" w:color="000000" w:sz="8" w:space="0"/>
            </w:tcBorders>
            <w:tcMar>
              <w:top w:w="40" w:type="dxa"/>
              <w:left w:w="50" w:type="dxa"/>
              <w:bottom w:w="40" w:type="dxa"/>
              <w:right w:w="50" w:type="dxa"/>
            </w:tcMar>
            <w:vAlign w:val="center"/>
          </w:tcPr>
          <w:p w14:paraId="13F24C85">
            <w:pPr>
              <w:spacing w:after="0" w:line="240" w:lineRule="auto"/>
              <w:jc w:val="center"/>
              <w:rPr>
                <w:color w:val="auto"/>
                <w:sz w:val="18"/>
                <w:szCs w:val="18"/>
              </w:rPr>
            </w:pPr>
            <w:r>
              <w:rPr>
                <w:rFonts w:cs="Times New Roman"/>
                <w:b/>
                <w:color w:val="auto"/>
                <w:sz w:val="18"/>
                <w:szCs w:val="18"/>
              </w:rPr>
              <w:t>Fine–Gray adjusted sHR (95% CI)</w:t>
            </w:r>
          </w:p>
        </w:tc>
        <w:tc>
          <w:tcPr>
            <w:tcW w:w="835" w:type="dxa"/>
            <w:tcBorders>
              <w:top w:val="single" w:color="000000" w:sz="12" w:space="0"/>
              <w:bottom w:val="single" w:color="000000" w:sz="8" w:space="0"/>
            </w:tcBorders>
            <w:tcMar>
              <w:top w:w="40" w:type="dxa"/>
              <w:left w:w="50" w:type="dxa"/>
              <w:bottom w:w="40" w:type="dxa"/>
              <w:right w:w="50" w:type="dxa"/>
            </w:tcMar>
            <w:vAlign w:val="center"/>
          </w:tcPr>
          <w:p w14:paraId="516E4E93">
            <w:pPr>
              <w:spacing w:after="0" w:line="240" w:lineRule="auto"/>
              <w:jc w:val="center"/>
              <w:rPr>
                <w:color w:val="auto"/>
                <w:sz w:val="18"/>
                <w:szCs w:val="18"/>
              </w:rPr>
            </w:pPr>
            <w:r>
              <w:rPr>
                <w:rFonts w:cs="Times New Roman"/>
                <w:b/>
                <w:color w:val="auto"/>
                <w:sz w:val="18"/>
                <w:szCs w:val="18"/>
              </w:rPr>
              <w:t>P value</w:t>
            </w:r>
          </w:p>
        </w:tc>
        <w:tc>
          <w:tcPr>
            <w:tcW w:w="2477" w:type="dxa"/>
            <w:tcBorders>
              <w:top w:val="single" w:color="000000" w:sz="12" w:space="0"/>
              <w:bottom w:val="single" w:color="000000" w:sz="8" w:space="0"/>
            </w:tcBorders>
            <w:tcMar>
              <w:top w:w="40" w:type="dxa"/>
              <w:left w:w="50" w:type="dxa"/>
              <w:bottom w:w="40" w:type="dxa"/>
              <w:right w:w="50" w:type="dxa"/>
            </w:tcMar>
            <w:vAlign w:val="center"/>
          </w:tcPr>
          <w:p w14:paraId="0FC94974">
            <w:pPr>
              <w:spacing w:after="0" w:line="240" w:lineRule="auto"/>
              <w:jc w:val="center"/>
              <w:rPr>
                <w:color w:val="auto"/>
                <w:sz w:val="18"/>
                <w:szCs w:val="18"/>
              </w:rPr>
            </w:pPr>
            <w:r>
              <w:rPr>
                <w:rFonts w:cs="Times New Roman"/>
                <w:b/>
                <w:color w:val="auto"/>
                <w:sz w:val="18"/>
                <w:szCs w:val="18"/>
              </w:rPr>
              <w:t>Cause-specific adjusted HR (95% CI)</w:t>
            </w:r>
          </w:p>
        </w:tc>
        <w:tc>
          <w:tcPr>
            <w:tcW w:w="835" w:type="dxa"/>
            <w:tcBorders>
              <w:top w:val="single" w:color="000000" w:sz="12" w:space="0"/>
              <w:bottom w:val="single" w:color="000000" w:sz="8" w:space="0"/>
            </w:tcBorders>
            <w:tcMar>
              <w:top w:w="40" w:type="dxa"/>
              <w:left w:w="50" w:type="dxa"/>
              <w:bottom w:w="40" w:type="dxa"/>
              <w:right w:w="50" w:type="dxa"/>
            </w:tcMar>
            <w:vAlign w:val="center"/>
          </w:tcPr>
          <w:p w14:paraId="381397C5">
            <w:pPr>
              <w:spacing w:after="0" w:line="240" w:lineRule="auto"/>
              <w:jc w:val="center"/>
              <w:rPr>
                <w:color w:val="auto"/>
                <w:sz w:val="18"/>
                <w:szCs w:val="18"/>
              </w:rPr>
            </w:pPr>
            <w:r>
              <w:rPr>
                <w:rFonts w:cs="Times New Roman"/>
                <w:b/>
                <w:color w:val="auto"/>
                <w:sz w:val="18"/>
                <w:szCs w:val="18"/>
              </w:rPr>
              <w:t>P value</w:t>
            </w:r>
          </w:p>
        </w:tc>
      </w:tr>
      <w:tr w14:paraId="01F8357A">
        <w:trPr>
          <w:jc w:val="center"/>
        </w:trPr>
        <w:tc>
          <w:tcPr>
            <w:tcW w:w="2300" w:type="dxa"/>
            <w:tcMar>
              <w:top w:w="40" w:type="dxa"/>
              <w:left w:w="50" w:type="dxa"/>
              <w:bottom w:w="40" w:type="dxa"/>
              <w:right w:w="50" w:type="dxa"/>
            </w:tcMar>
            <w:vAlign w:val="center"/>
          </w:tcPr>
          <w:p w14:paraId="69CDE115">
            <w:pPr>
              <w:spacing w:after="0" w:line="240" w:lineRule="auto"/>
              <w:rPr>
                <w:color w:val="auto"/>
                <w:sz w:val="18"/>
                <w:szCs w:val="18"/>
              </w:rPr>
            </w:pPr>
            <w:r>
              <w:rPr>
                <w:rFonts w:cs="Times New Roman"/>
                <w:color w:val="auto"/>
                <w:sz w:val="18"/>
                <w:szCs w:val="18"/>
              </w:rPr>
              <w:t>NLR-only model / NLR</w:t>
            </w:r>
          </w:p>
        </w:tc>
        <w:tc>
          <w:tcPr>
            <w:tcW w:w="1181" w:type="dxa"/>
            <w:tcMar>
              <w:top w:w="40" w:type="dxa"/>
              <w:left w:w="50" w:type="dxa"/>
              <w:bottom w:w="40" w:type="dxa"/>
              <w:right w:w="50" w:type="dxa"/>
            </w:tcMar>
            <w:vAlign w:val="center"/>
          </w:tcPr>
          <w:p w14:paraId="1A40C8FC">
            <w:pPr>
              <w:spacing w:after="0" w:line="240" w:lineRule="auto"/>
              <w:jc w:val="center"/>
              <w:rPr>
                <w:color w:val="auto"/>
                <w:sz w:val="18"/>
                <w:szCs w:val="18"/>
              </w:rPr>
            </w:pPr>
            <w:r>
              <w:rPr>
                <w:rFonts w:cs="Times New Roman"/>
                <w:color w:val="auto"/>
                <w:sz w:val="18"/>
                <w:szCs w:val="18"/>
              </w:rPr>
              <w:t>489/64</w:t>
            </w:r>
          </w:p>
        </w:tc>
        <w:tc>
          <w:tcPr>
            <w:tcW w:w="2333" w:type="dxa"/>
            <w:tcMar>
              <w:top w:w="40" w:type="dxa"/>
              <w:left w:w="50" w:type="dxa"/>
              <w:bottom w:w="40" w:type="dxa"/>
              <w:right w:w="50" w:type="dxa"/>
            </w:tcMar>
            <w:vAlign w:val="center"/>
          </w:tcPr>
          <w:p w14:paraId="426B23AB">
            <w:pPr>
              <w:spacing w:after="0" w:line="240" w:lineRule="auto"/>
              <w:jc w:val="center"/>
              <w:rPr>
                <w:color w:val="auto"/>
                <w:sz w:val="18"/>
                <w:szCs w:val="18"/>
              </w:rPr>
            </w:pPr>
            <w:r>
              <w:rPr>
                <w:rFonts w:cs="Times New Roman"/>
                <w:color w:val="auto"/>
                <w:sz w:val="18"/>
                <w:szCs w:val="18"/>
              </w:rPr>
              <w:t>1.68 (1.35–2.09)</w:t>
            </w:r>
          </w:p>
        </w:tc>
        <w:tc>
          <w:tcPr>
            <w:tcW w:w="835" w:type="dxa"/>
            <w:tcMar>
              <w:top w:w="40" w:type="dxa"/>
              <w:left w:w="50" w:type="dxa"/>
              <w:bottom w:w="40" w:type="dxa"/>
              <w:right w:w="50" w:type="dxa"/>
            </w:tcMar>
            <w:vAlign w:val="center"/>
          </w:tcPr>
          <w:p w14:paraId="234432D6">
            <w:pPr>
              <w:spacing w:after="0" w:line="240" w:lineRule="auto"/>
              <w:jc w:val="center"/>
              <w:rPr>
                <w:color w:val="auto"/>
                <w:sz w:val="18"/>
                <w:szCs w:val="18"/>
              </w:rPr>
            </w:pPr>
            <w:r>
              <w:rPr>
                <w:rFonts w:cs="Times New Roman"/>
                <w:color w:val="auto"/>
                <w:sz w:val="18"/>
                <w:szCs w:val="18"/>
              </w:rPr>
              <w:t>&lt;0.001</w:t>
            </w:r>
          </w:p>
        </w:tc>
        <w:tc>
          <w:tcPr>
            <w:tcW w:w="2477" w:type="dxa"/>
            <w:tcMar>
              <w:top w:w="40" w:type="dxa"/>
              <w:left w:w="50" w:type="dxa"/>
              <w:bottom w:w="40" w:type="dxa"/>
              <w:right w:w="50" w:type="dxa"/>
            </w:tcMar>
            <w:vAlign w:val="center"/>
          </w:tcPr>
          <w:p w14:paraId="0A5EFBCF">
            <w:pPr>
              <w:spacing w:after="0" w:line="240" w:lineRule="auto"/>
              <w:jc w:val="center"/>
              <w:rPr>
                <w:color w:val="auto"/>
                <w:sz w:val="18"/>
                <w:szCs w:val="18"/>
              </w:rPr>
            </w:pPr>
            <w:r>
              <w:rPr>
                <w:rFonts w:cs="Times New Roman"/>
                <w:color w:val="auto"/>
                <w:sz w:val="18"/>
                <w:szCs w:val="18"/>
              </w:rPr>
              <w:t>1.62 (1.32–1.99)</w:t>
            </w:r>
          </w:p>
        </w:tc>
        <w:tc>
          <w:tcPr>
            <w:tcW w:w="835" w:type="dxa"/>
            <w:tcMar>
              <w:top w:w="40" w:type="dxa"/>
              <w:left w:w="50" w:type="dxa"/>
              <w:bottom w:w="40" w:type="dxa"/>
              <w:right w:w="50" w:type="dxa"/>
            </w:tcMar>
            <w:vAlign w:val="center"/>
          </w:tcPr>
          <w:p w14:paraId="78EEF349">
            <w:pPr>
              <w:spacing w:after="0" w:line="240" w:lineRule="auto"/>
              <w:jc w:val="center"/>
              <w:rPr>
                <w:color w:val="auto"/>
                <w:sz w:val="18"/>
                <w:szCs w:val="18"/>
              </w:rPr>
            </w:pPr>
            <w:r>
              <w:rPr>
                <w:rFonts w:cs="Times New Roman"/>
                <w:color w:val="auto"/>
                <w:sz w:val="18"/>
                <w:szCs w:val="18"/>
              </w:rPr>
              <w:t>&lt;0.001</w:t>
            </w:r>
          </w:p>
        </w:tc>
      </w:tr>
      <w:tr w14:paraId="2A660338">
        <w:trPr>
          <w:jc w:val="center"/>
        </w:trPr>
        <w:tc>
          <w:tcPr>
            <w:tcW w:w="2300" w:type="dxa"/>
            <w:tcMar>
              <w:top w:w="40" w:type="dxa"/>
              <w:left w:w="50" w:type="dxa"/>
              <w:bottom w:w="40" w:type="dxa"/>
              <w:right w:w="50" w:type="dxa"/>
            </w:tcMar>
            <w:vAlign w:val="center"/>
          </w:tcPr>
          <w:p w14:paraId="2A2849D6">
            <w:pPr>
              <w:spacing w:after="0" w:line="240" w:lineRule="auto"/>
              <w:rPr>
                <w:color w:val="auto"/>
                <w:sz w:val="18"/>
                <w:szCs w:val="18"/>
              </w:rPr>
            </w:pPr>
            <w:r>
              <w:rPr>
                <w:rFonts w:cs="Times New Roman"/>
                <w:color w:val="auto"/>
                <w:sz w:val="18"/>
                <w:szCs w:val="18"/>
              </w:rPr>
              <w:t>CAR-only model / CAR</w:t>
            </w:r>
          </w:p>
        </w:tc>
        <w:tc>
          <w:tcPr>
            <w:tcW w:w="1181" w:type="dxa"/>
            <w:tcMar>
              <w:top w:w="40" w:type="dxa"/>
              <w:left w:w="50" w:type="dxa"/>
              <w:bottom w:w="40" w:type="dxa"/>
              <w:right w:w="50" w:type="dxa"/>
            </w:tcMar>
            <w:vAlign w:val="center"/>
          </w:tcPr>
          <w:p w14:paraId="66A55947">
            <w:pPr>
              <w:spacing w:after="0" w:line="240" w:lineRule="auto"/>
              <w:jc w:val="center"/>
              <w:rPr>
                <w:color w:val="auto"/>
                <w:sz w:val="18"/>
                <w:szCs w:val="18"/>
              </w:rPr>
            </w:pPr>
            <w:r>
              <w:rPr>
                <w:rFonts w:cs="Times New Roman"/>
                <w:color w:val="auto"/>
                <w:sz w:val="18"/>
                <w:szCs w:val="18"/>
              </w:rPr>
              <w:t>490/64</w:t>
            </w:r>
          </w:p>
        </w:tc>
        <w:tc>
          <w:tcPr>
            <w:tcW w:w="2333" w:type="dxa"/>
            <w:tcMar>
              <w:top w:w="40" w:type="dxa"/>
              <w:left w:w="50" w:type="dxa"/>
              <w:bottom w:w="40" w:type="dxa"/>
              <w:right w:w="50" w:type="dxa"/>
            </w:tcMar>
            <w:vAlign w:val="center"/>
          </w:tcPr>
          <w:p w14:paraId="705EF505">
            <w:pPr>
              <w:spacing w:after="0" w:line="240" w:lineRule="auto"/>
              <w:jc w:val="center"/>
              <w:rPr>
                <w:color w:val="auto"/>
                <w:sz w:val="18"/>
                <w:szCs w:val="18"/>
              </w:rPr>
            </w:pPr>
            <w:r>
              <w:rPr>
                <w:rFonts w:cs="Times New Roman"/>
                <w:color w:val="auto"/>
                <w:sz w:val="18"/>
                <w:szCs w:val="18"/>
              </w:rPr>
              <w:t>1.38 (1.23–1.56)</w:t>
            </w:r>
          </w:p>
        </w:tc>
        <w:tc>
          <w:tcPr>
            <w:tcW w:w="835" w:type="dxa"/>
            <w:tcMar>
              <w:top w:w="40" w:type="dxa"/>
              <w:left w:w="50" w:type="dxa"/>
              <w:bottom w:w="40" w:type="dxa"/>
              <w:right w:w="50" w:type="dxa"/>
            </w:tcMar>
            <w:vAlign w:val="center"/>
          </w:tcPr>
          <w:p w14:paraId="05EAC72B">
            <w:pPr>
              <w:spacing w:after="0" w:line="240" w:lineRule="auto"/>
              <w:jc w:val="center"/>
              <w:rPr>
                <w:color w:val="auto"/>
                <w:sz w:val="18"/>
                <w:szCs w:val="18"/>
              </w:rPr>
            </w:pPr>
            <w:r>
              <w:rPr>
                <w:rFonts w:cs="Times New Roman"/>
                <w:color w:val="auto"/>
                <w:sz w:val="18"/>
                <w:szCs w:val="18"/>
              </w:rPr>
              <w:t>&lt;0.001</w:t>
            </w:r>
          </w:p>
        </w:tc>
        <w:tc>
          <w:tcPr>
            <w:tcW w:w="2477" w:type="dxa"/>
            <w:tcMar>
              <w:top w:w="40" w:type="dxa"/>
              <w:left w:w="50" w:type="dxa"/>
              <w:bottom w:w="40" w:type="dxa"/>
              <w:right w:w="50" w:type="dxa"/>
            </w:tcMar>
            <w:vAlign w:val="center"/>
          </w:tcPr>
          <w:p w14:paraId="1AE763F6">
            <w:pPr>
              <w:spacing w:after="0" w:line="240" w:lineRule="auto"/>
              <w:jc w:val="center"/>
              <w:rPr>
                <w:color w:val="auto"/>
                <w:sz w:val="18"/>
                <w:szCs w:val="18"/>
              </w:rPr>
            </w:pPr>
            <w:r>
              <w:rPr>
                <w:rFonts w:cs="Times New Roman"/>
                <w:color w:val="auto"/>
                <w:sz w:val="18"/>
                <w:szCs w:val="18"/>
              </w:rPr>
              <w:t>1.42 (1.26–1.60)</w:t>
            </w:r>
          </w:p>
        </w:tc>
        <w:tc>
          <w:tcPr>
            <w:tcW w:w="835" w:type="dxa"/>
            <w:tcMar>
              <w:top w:w="40" w:type="dxa"/>
              <w:left w:w="50" w:type="dxa"/>
              <w:bottom w:w="40" w:type="dxa"/>
              <w:right w:w="50" w:type="dxa"/>
            </w:tcMar>
            <w:vAlign w:val="center"/>
          </w:tcPr>
          <w:p w14:paraId="39F295B5">
            <w:pPr>
              <w:spacing w:after="0" w:line="240" w:lineRule="auto"/>
              <w:jc w:val="center"/>
              <w:rPr>
                <w:color w:val="auto"/>
                <w:sz w:val="18"/>
                <w:szCs w:val="18"/>
              </w:rPr>
            </w:pPr>
            <w:r>
              <w:rPr>
                <w:rFonts w:cs="Times New Roman"/>
                <w:color w:val="auto"/>
                <w:sz w:val="18"/>
                <w:szCs w:val="18"/>
              </w:rPr>
              <w:t>&lt;0.001</w:t>
            </w:r>
          </w:p>
        </w:tc>
      </w:tr>
      <w:tr w14:paraId="6DB0EDC1">
        <w:trPr>
          <w:jc w:val="center"/>
        </w:trPr>
        <w:tc>
          <w:tcPr>
            <w:tcW w:w="2300" w:type="dxa"/>
            <w:tcMar>
              <w:top w:w="40" w:type="dxa"/>
              <w:left w:w="50" w:type="dxa"/>
              <w:bottom w:w="40" w:type="dxa"/>
              <w:right w:w="50" w:type="dxa"/>
            </w:tcMar>
            <w:vAlign w:val="center"/>
          </w:tcPr>
          <w:p w14:paraId="2696333E">
            <w:pPr>
              <w:spacing w:after="0" w:line="240" w:lineRule="auto"/>
              <w:rPr>
                <w:color w:val="auto"/>
                <w:sz w:val="18"/>
                <w:szCs w:val="18"/>
              </w:rPr>
            </w:pPr>
            <w:r>
              <w:rPr>
                <w:rFonts w:cs="Times New Roman"/>
                <w:color w:val="auto"/>
                <w:sz w:val="18"/>
                <w:szCs w:val="18"/>
              </w:rPr>
              <w:t>NLR + CAR model / NLR</w:t>
            </w:r>
          </w:p>
        </w:tc>
        <w:tc>
          <w:tcPr>
            <w:tcW w:w="1181" w:type="dxa"/>
            <w:tcMar>
              <w:top w:w="40" w:type="dxa"/>
              <w:left w:w="50" w:type="dxa"/>
              <w:bottom w:w="40" w:type="dxa"/>
              <w:right w:w="50" w:type="dxa"/>
            </w:tcMar>
            <w:vAlign w:val="center"/>
          </w:tcPr>
          <w:p w14:paraId="6B389854">
            <w:pPr>
              <w:spacing w:after="0" w:line="240" w:lineRule="auto"/>
              <w:jc w:val="center"/>
              <w:rPr>
                <w:color w:val="auto"/>
                <w:sz w:val="18"/>
                <w:szCs w:val="18"/>
              </w:rPr>
            </w:pPr>
            <w:r>
              <w:rPr>
                <w:rFonts w:cs="Times New Roman"/>
                <w:color w:val="auto"/>
                <w:sz w:val="18"/>
                <w:szCs w:val="18"/>
              </w:rPr>
              <w:t>488/64</w:t>
            </w:r>
          </w:p>
        </w:tc>
        <w:tc>
          <w:tcPr>
            <w:tcW w:w="2333" w:type="dxa"/>
            <w:tcMar>
              <w:top w:w="40" w:type="dxa"/>
              <w:left w:w="50" w:type="dxa"/>
              <w:bottom w:w="40" w:type="dxa"/>
              <w:right w:w="50" w:type="dxa"/>
            </w:tcMar>
            <w:vAlign w:val="center"/>
          </w:tcPr>
          <w:p w14:paraId="7538C14E">
            <w:pPr>
              <w:spacing w:after="0" w:line="240" w:lineRule="auto"/>
              <w:jc w:val="center"/>
              <w:rPr>
                <w:color w:val="auto"/>
                <w:sz w:val="18"/>
                <w:szCs w:val="18"/>
              </w:rPr>
            </w:pPr>
            <w:r>
              <w:rPr>
                <w:rFonts w:cs="Times New Roman"/>
                <w:color w:val="auto"/>
                <w:sz w:val="18"/>
                <w:szCs w:val="18"/>
              </w:rPr>
              <w:t>1.57 (1.23–1.99)</w:t>
            </w:r>
          </w:p>
        </w:tc>
        <w:tc>
          <w:tcPr>
            <w:tcW w:w="835" w:type="dxa"/>
            <w:tcMar>
              <w:top w:w="40" w:type="dxa"/>
              <w:left w:w="50" w:type="dxa"/>
              <w:bottom w:w="40" w:type="dxa"/>
              <w:right w:w="50" w:type="dxa"/>
            </w:tcMar>
            <w:vAlign w:val="center"/>
          </w:tcPr>
          <w:p w14:paraId="1D5CB1AB">
            <w:pPr>
              <w:spacing w:after="0" w:line="240" w:lineRule="auto"/>
              <w:jc w:val="center"/>
              <w:rPr>
                <w:color w:val="auto"/>
                <w:sz w:val="18"/>
                <w:szCs w:val="18"/>
              </w:rPr>
            </w:pPr>
            <w:r>
              <w:rPr>
                <w:rFonts w:cs="Times New Roman"/>
                <w:color w:val="auto"/>
                <w:sz w:val="18"/>
                <w:szCs w:val="18"/>
              </w:rPr>
              <w:t>&lt;0.001</w:t>
            </w:r>
          </w:p>
        </w:tc>
        <w:tc>
          <w:tcPr>
            <w:tcW w:w="2477" w:type="dxa"/>
            <w:tcMar>
              <w:top w:w="40" w:type="dxa"/>
              <w:left w:w="50" w:type="dxa"/>
              <w:bottom w:w="40" w:type="dxa"/>
              <w:right w:w="50" w:type="dxa"/>
            </w:tcMar>
            <w:vAlign w:val="center"/>
          </w:tcPr>
          <w:p w14:paraId="0818A8FE">
            <w:pPr>
              <w:spacing w:after="0" w:line="240" w:lineRule="auto"/>
              <w:jc w:val="center"/>
              <w:rPr>
                <w:color w:val="auto"/>
                <w:sz w:val="18"/>
                <w:szCs w:val="18"/>
              </w:rPr>
            </w:pPr>
            <w:r>
              <w:rPr>
                <w:rFonts w:cs="Times New Roman"/>
                <w:color w:val="auto"/>
                <w:sz w:val="18"/>
                <w:szCs w:val="18"/>
              </w:rPr>
              <w:t>1.49 (1.20–1.85)</w:t>
            </w:r>
          </w:p>
        </w:tc>
        <w:tc>
          <w:tcPr>
            <w:tcW w:w="835" w:type="dxa"/>
            <w:tcMar>
              <w:top w:w="40" w:type="dxa"/>
              <w:left w:w="50" w:type="dxa"/>
              <w:bottom w:w="40" w:type="dxa"/>
              <w:right w:w="50" w:type="dxa"/>
            </w:tcMar>
            <w:vAlign w:val="center"/>
          </w:tcPr>
          <w:p w14:paraId="3517D0C5">
            <w:pPr>
              <w:spacing w:after="0" w:line="240" w:lineRule="auto"/>
              <w:jc w:val="center"/>
              <w:rPr>
                <w:color w:val="auto"/>
                <w:sz w:val="18"/>
                <w:szCs w:val="18"/>
              </w:rPr>
            </w:pPr>
            <w:r>
              <w:rPr>
                <w:rFonts w:cs="Times New Roman"/>
                <w:color w:val="auto"/>
                <w:sz w:val="18"/>
                <w:szCs w:val="18"/>
              </w:rPr>
              <w:t>&lt;0.001</w:t>
            </w:r>
          </w:p>
        </w:tc>
      </w:tr>
      <w:tr w14:paraId="5BFC0CA1">
        <w:trPr>
          <w:jc w:val="center"/>
        </w:trPr>
        <w:tc>
          <w:tcPr>
            <w:tcW w:w="2300" w:type="dxa"/>
            <w:tcBorders>
              <w:bottom w:val="single" w:color="000000" w:sz="12" w:space="0"/>
            </w:tcBorders>
            <w:tcMar>
              <w:top w:w="40" w:type="dxa"/>
              <w:left w:w="50" w:type="dxa"/>
              <w:bottom w:w="40" w:type="dxa"/>
              <w:right w:w="50" w:type="dxa"/>
            </w:tcMar>
            <w:vAlign w:val="center"/>
          </w:tcPr>
          <w:p w14:paraId="379DFD4D">
            <w:pPr>
              <w:spacing w:after="0" w:line="240" w:lineRule="auto"/>
              <w:rPr>
                <w:color w:val="auto"/>
                <w:sz w:val="18"/>
                <w:szCs w:val="18"/>
              </w:rPr>
            </w:pPr>
            <w:r>
              <w:rPr>
                <w:rFonts w:cs="Times New Roman"/>
                <w:color w:val="auto"/>
                <w:sz w:val="18"/>
                <w:szCs w:val="18"/>
              </w:rPr>
              <w:t>NLR + CAR model / CAR</w:t>
            </w:r>
          </w:p>
        </w:tc>
        <w:tc>
          <w:tcPr>
            <w:tcW w:w="1181" w:type="dxa"/>
            <w:tcBorders>
              <w:bottom w:val="single" w:color="000000" w:sz="12" w:space="0"/>
            </w:tcBorders>
            <w:tcMar>
              <w:top w:w="40" w:type="dxa"/>
              <w:left w:w="50" w:type="dxa"/>
              <w:bottom w:w="40" w:type="dxa"/>
              <w:right w:w="50" w:type="dxa"/>
            </w:tcMar>
            <w:vAlign w:val="center"/>
          </w:tcPr>
          <w:p w14:paraId="430B33F0">
            <w:pPr>
              <w:spacing w:after="0" w:line="240" w:lineRule="auto"/>
              <w:jc w:val="center"/>
              <w:rPr>
                <w:color w:val="auto"/>
                <w:sz w:val="18"/>
                <w:szCs w:val="18"/>
              </w:rPr>
            </w:pPr>
            <w:r>
              <w:rPr>
                <w:rFonts w:cs="Times New Roman"/>
                <w:color w:val="auto"/>
                <w:sz w:val="18"/>
                <w:szCs w:val="18"/>
              </w:rPr>
              <w:t>488/64</w:t>
            </w:r>
          </w:p>
        </w:tc>
        <w:tc>
          <w:tcPr>
            <w:tcW w:w="2333" w:type="dxa"/>
            <w:tcBorders>
              <w:bottom w:val="single" w:color="000000" w:sz="12" w:space="0"/>
            </w:tcBorders>
            <w:tcMar>
              <w:top w:w="40" w:type="dxa"/>
              <w:left w:w="50" w:type="dxa"/>
              <w:bottom w:w="40" w:type="dxa"/>
              <w:right w:w="50" w:type="dxa"/>
            </w:tcMar>
            <w:vAlign w:val="center"/>
          </w:tcPr>
          <w:p w14:paraId="1FD4442C">
            <w:pPr>
              <w:spacing w:after="0" w:line="240" w:lineRule="auto"/>
              <w:jc w:val="center"/>
              <w:rPr>
                <w:color w:val="auto"/>
                <w:sz w:val="18"/>
                <w:szCs w:val="18"/>
              </w:rPr>
            </w:pPr>
            <w:r>
              <w:rPr>
                <w:rFonts w:cs="Times New Roman"/>
                <w:color w:val="auto"/>
                <w:sz w:val="18"/>
                <w:szCs w:val="18"/>
              </w:rPr>
              <w:t>1.34 (1.18–1.52)</w:t>
            </w:r>
          </w:p>
        </w:tc>
        <w:tc>
          <w:tcPr>
            <w:tcW w:w="835" w:type="dxa"/>
            <w:tcBorders>
              <w:bottom w:val="single" w:color="000000" w:sz="12" w:space="0"/>
            </w:tcBorders>
            <w:tcMar>
              <w:top w:w="40" w:type="dxa"/>
              <w:left w:w="50" w:type="dxa"/>
              <w:bottom w:w="40" w:type="dxa"/>
              <w:right w:w="50" w:type="dxa"/>
            </w:tcMar>
            <w:vAlign w:val="center"/>
          </w:tcPr>
          <w:p w14:paraId="2D48187D">
            <w:pPr>
              <w:spacing w:after="0" w:line="240" w:lineRule="auto"/>
              <w:jc w:val="center"/>
              <w:rPr>
                <w:color w:val="auto"/>
                <w:sz w:val="18"/>
                <w:szCs w:val="18"/>
              </w:rPr>
            </w:pPr>
            <w:r>
              <w:rPr>
                <w:rFonts w:cs="Times New Roman"/>
                <w:color w:val="auto"/>
                <w:sz w:val="18"/>
                <w:szCs w:val="18"/>
              </w:rPr>
              <w:t>&lt;0.001</w:t>
            </w:r>
          </w:p>
        </w:tc>
        <w:tc>
          <w:tcPr>
            <w:tcW w:w="2477" w:type="dxa"/>
            <w:tcBorders>
              <w:bottom w:val="single" w:color="000000" w:sz="12" w:space="0"/>
            </w:tcBorders>
            <w:tcMar>
              <w:top w:w="40" w:type="dxa"/>
              <w:left w:w="50" w:type="dxa"/>
              <w:bottom w:w="40" w:type="dxa"/>
              <w:right w:w="50" w:type="dxa"/>
            </w:tcMar>
            <w:vAlign w:val="center"/>
          </w:tcPr>
          <w:p w14:paraId="41E03858">
            <w:pPr>
              <w:spacing w:after="0" w:line="240" w:lineRule="auto"/>
              <w:jc w:val="center"/>
              <w:rPr>
                <w:color w:val="auto"/>
                <w:sz w:val="18"/>
                <w:szCs w:val="18"/>
              </w:rPr>
            </w:pPr>
            <w:r>
              <w:rPr>
                <w:rFonts w:cs="Times New Roman"/>
                <w:color w:val="auto"/>
                <w:sz w:val="18"/>
                <w:szCs w:val="18"/>
              </w:rPr>
              <w:t>1.37 (1.21–1.55)</w:t>
            </w:r>
          </w:p>
        </w:tc>
        <w:tc>
          <w:tcPr>
            <w:tcW w:w="835" w:type="dxa"/>
            <w:tcBorders>
              <w:bottom w:val="single" w:color="000000" w:sz="12" w:space="0"/>
            </w:tcBorders>
            <w:tcMar>
              <w:top w:w="40" w:type="dxa"/>
              <w:left w:w="50" w:type="dxa"/>
              <w:bottom w:w="40" w:type="dxa"/>
              <w:right w:w="50" w:type="dxa"/>
            </w:tcMar>
            <w:vAlign w:val="center"/>
          </w:tcPr>
          <w:p w14:paraId="51DE6601">
            <w:pPr>
              <w:spacing w:after="0" w:line="240" w:lineRule="auto"/>
              <w:jc w:val="center"/>
              <w:rPr>
                <w:color w:val="auto"/>
                <w:sz w:val="18"/>
                <w:szCs w:val="18"/>
              </w:rPr>
            </w:pPr>
            <w:r>
              <w:rPr>
                <w:rFonts w:cs="Times New Roman"/>
                <w:color w:val="auto"/>
                <w:sz w:val="18"/>
                <w:szCs w:val="18"/>
              </w:rPr>
              <w:t>&lt;0.001</w:t>
            </w:r>
          </w:p>
        </w:tc>
      </w:tr>
    </w:tbl>
    <w:p w14:paraId="6F7D5547">
      <w:pPr>
        <w:spacing w:before="80" w:after="40"/>
        <w:rPr>
          <w:b/>
          <w:color w:val="auto"/>
          <w:sz w:val="21"/>
          <w:szCs w:val="21"/>
        </w:rPr>
      </w:pPr>
      <w:r>
        <w:rPr>
          <w:b/>
          <w:color w:val="auto"/>
          <w:sz w:val="21"/>
          <w:szCs w:val="21"/>
        </w:rPr>
        <w:t>Panel B. Combined NLR-CAR categories</w:t>
      </w:r>
    </w:p>
    <w:tbl>
      <w:tblPr>
        <w:tblStyle w:val="32"/>
        <w:tblW w:w="0" w:type="auto"/>
        <w:jc w:val="center"/>
        <w:tblLayout w:type="autofit"/>
        <w:tblCellMar>
          <w:top w:w="0" w:type="dxa"/>
          <w:left w:w="108" w:type="dxa"/>
          <w:bottom w:w="0" w:type="dxa"/>
          <w:right w:w="108" w:type="dxa"/>
        </w:tblCellMar>
      </w:tblPr>
      <w:tblGrid>
        <w:gridCol w:w="1508"/>
        <w:gridCol w:w="1469"/>
        <w:gridCol w:w="1585"/>
        <w:gridCol w:w="1099"/>
        <w:gridCol w:w="1646"/>
        <w:gridCol w:w="1099"/>
      </w:tblGrid>
      <w:tr w14:paraId="369959C8">
        <w:trPr>
          <w:tblHeader/>
          <w:jc w:val="center"/>
        </w:trPr>
        <w:tc>
          <w:tcPr>
            <w:tcW w:w="1762" w:type="dxa"/>
            <w:tcBorders>
              <w:top w:val="single" w:color="000000" w:sz="12" w:space="0"/>
              <w:bottom w:val="single" w:color="000000" w:sz="8" w:space="0"/>
            </w:tcBorders>
            <w:tcMar>
              <w:top w:w="40" w:type="dxa"/>
              <w:left w:w="50" w:type="dxa"/>
              <w:bottom w:w="40" w:type="dxa"/>
              <w:right w:w="50" w:type="dxa"/>
            </w:tcMar>
            <w:vAlign w:val="center"/>
          </w:tcPr>
          <w:p w14:paraId="363D6800">
            <w:pPr>
              <w:spacing w:after="0" w:line="240" w:lineRule="auto"/>
              <w:jc w:val="center"/>
              <w:rPr>
                <w:color w:val="auto"/>
                <w:sz w:val="18"/>
                <w:szCs w:val="18"/>
              </w:rPr>
            </w:pPr>
            <w:r>
              <w:rPr>
                <w:rFonts w:cs="Times New Roman"/>
                <w:b/>
                <w:color w:val="auto"/>
                <w:sz w:val="18"/>
                <w:szCs w:val="18"/>
              </w:rPr>
              <w:t>NLR-CAR category</w:t>
            </w:r>
          </w:p>
        </w:tc>
        <w:tc>
          <w:tcPr>
            <w:tcW w:w="1762" w:type="dxa"/>
            <w:tcBorders>
              <w:top w:val="single" w:color="000000" w:sz="12" w:space="0"/>
              <w:bottom w:val="single" w:color="000000" w:sz="8" w:space="0"/>
            </w:tcBorders>
            <w:tcMar>
              <w:top w:w="40" w:type="dxa"/>
              <w:left w:w="50" w:type="dxa"/>
              <w:bottom w:w="40" w:type="dxa"/>
              <w:right w:w="50" w:type="dxa"/>
            </w:tcMar>
            <w:vAlign w:val="center"/>
          </w:tcPr>
          <w:p w14:paraId="6CCB8E5B">
            <w:pPr>
              <w:spacing w:after="0" w:line="240" w:lineRule="auto"/>
              <w:jc w:val="center"/>
              <w:rPr>
                <w:color w:val="auto"/>
                <w:sz w:val="18"/>
                <w:szCs w:val="18"/>
              </w:rPr>
            </w:pPr>
            <w:r>
              <w:rPr>
                <w:rFonts w:cs="Times New Roman"/>
                <w:b/>
                <w:color w:val="auto"/>
                <w:sz w:val="18"/>
                <w:szCs w:val="18"/>
              </w:rPr>
              <w:t>n/readmissions</w:t>
            </w:r>
          </w:p>
        </w:tc>
        <w:tc>
          <w:tcPr>
            <w:tcW w:w="1762" w:type="dxa"/>
            <w:tcBorders>
              <w:top w:val="single" w:color="000000" w:sz="12" w:space="0"/>
              <w:bottom w:val="single" w:color="000000" w:sz="8" w:space="0"/>
            </w:tcBorders>
            <w:tcMar>
              <w:top w:w="40" w:type="dxa"/>
              <w:left w:w="50" w:type="dxa"/>
              <w:bottom w:w="40" w:type="dxa"/>
              <w:right w:w="50" w:type="dxa"/>
            </w:tcMar>
            <w:vAlign w:val="center"/>
          </w:tcPr>
          <w:p w14:paraId="58212867">
            <w:pPr>
              <w:spacing w:after="0" w:line="240" w:lineRule="auto"/>
              <w:jc w:val="center"/>
              <w:rPr>
                <w:color w:val="auto"/>
                <w:sz w:val="18"/>
                <w:szCs w:val="18"/>
              </w:rPr>
            </w:pPr>
            <w:r>
              <w:rPr>
                <w:rFonts w:cs="Times New Roman"/>
                <w:b/>
                <w:color w:val="auto"/>
                <w:sz w:val="18"/>
                <w:szCs w:val="18"/>
              </w:rPr>
              <w:t>Fine–Gray adjusted sHR (95% CI)</w:t>
            </w:r>
          </w:p>
        </w:tc>
        <w:tc>
          <w:tcPr>
            <w:tcW w:w="1762" w:type="dxa"/>
            <w:tcBorders>
              <w:top w:val="single" w:color="000000" w:sz="12" w:space="0"/>
              <w:bottom w:val="single" w:color="000000" w:sz="8" w:space="0"/>
            </w:tcBorders>
            <w:tcMar>
              <w:top w:w="40" w:type="dxa"/>
              <w:left w:w="50" w:type="dxa"/>
              <w:bottom w:w="40" w:type="dxa"/>
              <w:right w:w="50" w:type="dxa"/>
            </w:tcMar>
            <w:vAlign w:val="center"/>
          </w:tcPr>
          <w:p w14:paraId="0B17CE43">
            <w:pPr>
              <w:spacing w:after="0" w:line="240" w:lineRule="auto"/>
              <w:jc w:val="center"/>
              <w:rPr>
                <w:color w:val="auto"/>
                <w:sz w:val="18"/>
                <w:szCs w:val="18"/>
              </w:rPr>
            </w:pPr>
            <w:r>
              <w:rPr>
                <w:rFonts w:cs="Times New Roman"/>
                <w:b/>
                <w:color w:val="auto"/>
                <w:sz w:val="18"/>
                <w:szCs w:val="18"/>
              </w:rPr>
              <w:t>P value</w:t>
            </w:r>
          </w:p>
        </w:tc>
        <w:tc>
          <w:tcPr>
            <w:tcW w:w="1762" w:type="dxa"/>
            <w:tcBorders>
              <w:top w:val="single" w:color="000000" w:sz="12" w:space="0"/>
              <w:bottom w:val="single" w:color="000000" w:sz="8" w:space="0"/>
            </w:tcBorders>
            <w:tcMar>
              <w:top w:w="40" w:type="dxa"/>
              <w:left w:w="50" w:type="dxa"/>
              <w:bottom w:w="40" w:type="dxa"/>
              <w:right w:w="50" w:type="dxa"/>
            </w:tcMar>
            <w:vAlign w:val="center"/>
          </w:tcPr>
          <w:p w14:paraId="2B50A7D3">
            <w:pPr>
              <w:spacing w:after="0" w:line="240" w:lineRule="auto"/>
              <w:jc w:val="center"/>
              <w:rPr>
                <w:color w:val="auto"/>
                <w:sz w:val="18"/>
                <w:szCs w:val="18"/>
              </w:rPr>
            </w:pPr>
            <w:r>
              <w:rPr>
                <w:rFonts w:cs="Times New Roman"/>
                <w:b/>
                <w:color w:val="auto"/>
                <w:sz w:val="18"/>
                <w:szCs w:val="18"/>
              </w:rPr>
              <w:t>Cause-specific adjusted HR (95% CI)</w:t>
            </w:r>
          </w:p>
        </w:tc>
        <w:tc>
          <w:tcPr>
            <w:tcW w:w="1762" w:type="dxa"/>
            <w:tcBorders>
              <w:top w:val="single" w:color="000000" w:sz="12" w:space="0"/>
              <w:bottom w:val="single" w:color="000000" w:sz="8" w:space="0"/>
            </w:tcBorders>
            <w:tcMar>
              <w:top w:w="40" w:type="dxa"/>
              <w:left w:w="50" w:type="dxa"/>
              <w:bottom w:w="40" w:type="dxa"/>
              <w:right w:w="50" w:type="dxa"/>
            </w:tcMar>
            <w:vAlign w:val="center"/>
          </w:tcPr>
          <w:p w14:paraId="50430811">
            <w:pPr>
              <w:spacing w:after="0" w:line="240" w:lineRule="auto"/>
              <w:jc w:val="center"/>
              <w:rPr>
                <w:color w:val="auto"/>
                <w:sz w:val="18"/>
                <w:szCs w:val="18"/>
              </w:rPr>
            </w:pPr>
            <w:r>
              <w:rPr>
                <w:rFonts w:cs="Times New Roman"/>
                <w:b/>
                <w:color w:val="auto"/>
                <w:sz w:val="18"/>
                <w:szCs w:val="18"/>
              </w:rPr>
              <w:t>P value</w:t>
            </w:r>
          </w:p>
        </w:tc>
      </w:tr>
      <w:tr w14:paraId="5233DCCF">
        <w:trPr>
          <w:jc w:val="center"/>
        </w:trPr>
        <w:tc>
          <w:tcPr>
            <w:tcW w:w="2520" w:type="dxa"/>
            <w:tcMar>
              <w:top w:w="40" w:type="dxa"/>
              <w:left w:w="50" w:type="dxa"/>
              <w:bottom w:w="40" w:type="dxa"/>
              <w:right w:w="50" w:type="dxa"/>
            </w:tcMar>
            <w:vAlign w:val="center"/>
          </w:tcPr>
          <w:p w14:paraId="34160CD2">
            <w:pPr>
              <w:spacing w:after="0" w:line="240" w:lineRule="auto"/>
              <w:rPr>
                <w:color w:val="auto"/>
                <w:sz w:val="18"/>
                <w:szCs w:val="18"/>
              </w:rPr>
            </w:pPr>
            <w:r>
              <w:rPr>
                <w:rFonts w:cs="Times New Roman"/>
                <w:color w:val="auto"/>
                <w:sz w:val="18"/>
                <w:szCs w:val="18"/>
              </w:rPr>
              <w:t>Low NLR and low CAR</w:t>
            </w:r>
          </w:p>
        </w:tc>
        <w:tc>
          <w:tcPr>
            <w:tcW w:w="1181" w:type="dxa"/>
            <w:tcMar>
              <w:top w:w="40" w:type="dxa"/>
              <w:left w:w="50" w:type="dxa"/>
              <w:bottom w:w="40" w:type="dxa"/>
              <w:right w:w="50" w:type="dxa"/>
            </w:tcMar>
            <w:vAlign w:val="center"/>
          </w:tcPr>
          <w:p w14:paraId="4CF6B2D9">
            <w:pPr>
              <w:spacing w:after="0" w:line="240" w:lineRule="auto"/>
              <w:jc w:val="center"/>
              <w:rPr>
                <w:color w:val="auto"/>
                <w:sz w:val="18"/>
                <w:szCs w:val="18"/>
              </w:rPr>
            </w:pPr>
            <w:r>
              <w:rPr>
                <w:rFonts w:cs="Times New Roman"/>
                <w:color w:val="auto"/>
                <w:sz w:val="18"/>
                <w:szCs w:val="18"/>
              </w:rPr>
              <w:t>348/17</w:t>
            </w:r>
          </w:p>
        </w:tc>
        <w:tc>
          <w:tcPr>
            <w:tcW w:w="2333" w:type="dxa"/>
            <w:tcMar>
              <w:top w:w="40" w:type="dxa"/>
              <w:left w:w="50" w:type="dxa"/>
              <w:bottom w:w="40" w:type="dxa"/>
              <w:right w:w="50" w:type="dxa"/>
            </w:tcMar>
            <w:vAlign w:val="center"/>
          </w:tcPr>
          <w:p w14:paraId="2F381184">
            <w:pPr>
              <w:spacing w:after="0" w:line="240" w:lineRule="auto"/>
              <w:jc w:val="center"/>
              <w:rPr>
                <w:color w:val="auto"/>
                <w:sz w:val="18"/>
                <w:szCs w:val="18"/>
              </w:rPr>
            </w:pPr>
            <w:r>
              <w:rPr>
                <w:rFonts w:cs="Times New Roman"/>
                <w:color w:val="auto"/>
                <w:sz w:val="18"/>
                <w:szCs w:val="18"/>
              </w:rPr>
              <w:t>1.00 (Reference)</w:t>
            </w:r>
          </w:p>
        </w:tc>
        <w:tc>
          <w:tcPr>
            <w:tcW w:w="835" w:type="dxa"/>
            <w:tcMar>
              <w:top w:w="40" w:type="dxa"/>
              <w:left w:w="50" w:type="dxa"/>
              <w:bottom w:w="40" w:type="dxa"/>
              <w:right w:w="50" w:type="dxa"/>
            </w:tcMar>
            <w:vAlign w:val="center"/>
          </w:tcPr>
          <w:p w14:paraId="1504B0E6">
            <w:pPr>
              <w:spacing w:after="0" w:line="240" w:lineRule="auto"/>
              <w:jc w:val="center"/>
              <w:rPr>
                <w:color w:val="auto"/>
                <w:sz w:val="18"/>
                <w:szCs w:val="18"/>
              </w:rPr>
            </w:pPr>
            <w:r>
              <w:rPr>
                <w:rFonts w:cs="Times New Roman"/>
                <w:color w:val="auto"/>
                <w:sz w:val="18"/>
                <w:szCs w:val="18"/>
              </w:rPr>
              <w:t>—</w:t>
            </w:r>
          </w:p>
        </w:tc>
        <w:tc>
          <w:tcPr>
            <w:tcW w:w="2477" w:type="dxa"/>
            <w:tcMar>
              <w:top w:w="40" w:type="dxa"/>
              <w:left w:w="50" w:type="dxa"/>
              <w:bottom w:w="40" w:type="dxa"/>
              <w:right w:w="50" w:type="dxa"/>
            </w:tcMar>
            <w:vAlign w:val="center"/>
          </w:tcPr>
          <w:p w14:paraId="70032704">
            <w:pPr>
              <w:spacing w:after="0" w:line="240" w:lineRule="auto"/>
              <w:jc w:val="center"/>
              <w:rPr>
                <w:color w:val="auto"/>
                <w:sz w:val="18"/>
                <w:szCs w:val="18"/>
              </w:rPr>
            </w:pPr>
            <w:r>
              <w:rPr>
                <w:rFonts w:cs="Times New Roman"/>
                <w:color w:val="auto"/>
                <w:sz w:val="18"/>
                <w:szCs w:val="18"/>
              </w:rPr>
              <w:t>1.00 (Reference)</w:t>
            </w:r>
          </w:p>
        </w:tc>
        <w:tc>
          <w:tcPr>
            <w:tcW w:w="835" w:type="dxa"/>
            <w:tcMar>
              <w:top w:w="40" w:type="dxa"/>
              <w:left w:w="50" w:type="dxa"/>
              <w:bottom w:w="40" w:type="dxa"/>
              <w:right w:w="50" w:type="dxa"/>
            </w:tcMar>
            <w:vAlign w:val="center"/>
          </w:tcPr>
          <w:p w14:paraId="43FCBEE3">
            <w:pPr>
              <w:spacing w:after="0" w:line="240" w:lineRule="auto"/>
              <w:jc w:val="center"/>
              <w:rPr>
                <w:color w:val="auto"/>
                <w:sz w:val="18"/>
                <w:szCs w:val="18"/>
              </w:rPr>
            </w:pPr>
            <w:r>
              <w:rPr>
                <w:rFonts w:cs="Times New Roman"/>
                <w:color w:val="auto"/>
                <w:sz w:val="18"/>
                <w:szCs w:val="18"/>
              </w:rPr>
              <w:t>—</w:t>
            </w:r>
          </w:p>
        </w:tc>
      </w:tr>
      <w:tr w14:paraId="6E866D7E">
        <w:trPr>
          <w:jc w:val="center"/>
        </w:trPr>
        <w:tc>
          <w:tcPr>
            <w:tcW w:w="2520" w:type="dxa"/>
            <w:tcMar>
              <w:top w:w="40" w:type="dxa"/>
              <w:left w:w="50" w:type="dxa"/>
              <w:bottom w:w="40" w:type="dxa"/>
              <w:right w:w="50" w:type="dxa"/>
            </w:tcMar>
            <w:vAlign w:val="center"/>
          </w:tcPr>
          <w:p w14:paraId="2AAAE2F1">
            <w:pPr>
              <w:spacing w:after="0" w:line="240" w:lineRule="auto"/>
              <w:rPr>
                <w:color w:val="auto"/>
                <w:sz w:val="18"/>
                <w:szCs w:val="18"/>
              </w:rPr>
            </w:pPr>
            <w:r>
              <w:rPr>
                <w:rFonts w:cs="Times New Roman"/>
                <w:color w:val="auto"/>
                <w:sz w:val="18"/>
                <w:szCs w:val="18"/>
              </w:rPr>
              <w:t>NLR-high only</w:t>
            </w:r>
          </w:p>
        </w:tc>
        <w:tc>
          <w:tcPr>
            <w:tcW w:w="1181" w:type="dxa"/>
            <w:tcMar>
              <w:top w:w="40" w:type="dxa"/>
              <w:left w:w="50" w:type="dxa"/>
              <w:bottom w:w="40" w:type="dxa"/>
              <w:right w:w="50" w:type="dxa"/>
            </w:tcMar>
            <w:vAlign w:val="center"/>
          </w:tcPr>
          <w:p w14:paraId="78D1070C">
            <w:pPr>
              <w:spacing w:after="0" w:line="240" w:lineRule="auto"/>
              <w:jc w:val="center"/>
              <w:rPr>
                <w:color w:val="auto"/>
                <w:sz w:val="18"/>
                <w:szCs w:val="18"/>
              </w:rPr>
            </w:pPr>
            <w:r>
              <w:rPr>
                <w:rFonts w:cs="Times New Roman"/>
                <w:color w:val="auto"/>
                <w:sz w:val="18"/>
                <w:szCs w:val="18"/>
              </w:rPr>
              <w:t>41/10</w:t>
            </w:r>
          </w:p>
        </w:tc>
        <w:tc>
          <w:tcPr>
            <w:tcW w:w="2333" w:type="dxa"/>
            <w:tcMar>
              <w:top w:w="40" w:type="dxa"/>
              <w:left w:w="50" w:type="dxa"/>
              <w:bottom w:w="40" w:type="dxa"/>
              <w:right w:w="50" w:type="dxa"/>
            </w:tcMar>
            <w:vAlign w:val="center"/>
          </w:tcPr>
          <w:p w14:paraId="06084CDA">
            <w:pPr>
              <w:spacing w:after="0" w:line="240" w:lineRule="auto"/>
              <w:jc w:val="center"/>
              <w:rPr>
                <w:color w:val="auto"/>
                <w:sz w:val="18"/>
                <w:szCs w:val="18"/>
              </w:rPr>
            </w:pPr>
            <w:r>
              <w:rPr>
                <w:rFonts w:cs="Times New Roman"/>
                <w:color w:val="auto"/>
                <w:sz w:val="18"/>
                <w:szCs w:val="18"/>
              </w:rPr>
              <w:t>5.30 (2.28–12.33)</w:t>
            </w:r>
          </w:p>
        </w:tc>
        <w:tc>
          <w:tcPr>
            <w:tcW w:w="835" w:type="dxa"/>
            <w:tcMar>
              <w:top w:w="40" w:type="dxa"/>
              <w:left w:w="50" w:type="dxa"/>
              <w:bottom w:w="40" w:type="dxa"/>
              <w:right w:w="50" w:type="dxa"/>
            </w:tcMar>
            <w:vAlign w:val="center"/>
          </w:tcPr>
          <w:p w14:paraId="0778F37B">
            <w:pPr>
              <w:spacing w:after="0" w:line="240" w:lineRule="auto"/>
              <w:jc w:val="center"/>
              <w:rPr>
                <w:color w:val="auto"/>
                <w:sz w:val="18"/>
                <w:szCs w:val="18"/>
              </w:rPr>
            </w:pPr>
            <w:r>
              <w:rPr>
                <w:rFonts w:cs="Times New Roman"/>
                <w:color w:val="auto"/>
                <w:sz w:val="18"/>
                <w:szCs w:val="18"/>
              </w:rPr>
              <w:t>&lt;0.001</w:t>
            </w:r>
          </w:p>
        </w:tc>
        <w:tc>
          <w:tcPr>
            <w:tcW w:w="2477" w:type="dxa"/>
            <w:tcMar>
              <w:top w:w="40" w:type="dxa"/>
              <w:left w:w="50" w:type="dxa"/>
              <w:bottom w:w="40" w:type="dxa"/>
              <w:right w:w="50" w:type="dxa"/>
            </w:tcMar>
            <w:vAlign w:val="center"/>
          </w:tcPr>
          <w:p w14:paraId="46217692">
            <w:pPr>
              <w:spacing w:after="0" w:line="240" w:lineRule="auto"/>
              <w:jc w:val="center"/>
              <w:rPr>
                <w:color w:val="auto"/>
                <w:sz w:val="18"/>
                <w:szCs w:val="18"/>
              </w:rPr>
            </w:pPr>
            <w:r>
              <w:rPr>
                <w:rFonts w:cs="Times New Roman"/>
                <w:color w:val="auto"/>
                <w:sz w:val="18"/>
                <w:szCs w:val="18"/>
              </w:rPr>
              <w:t>4.65 (2.08–10.41)</w:t>
            </w:r>
          </w:p>
        </w:tc>
        <w:tc>
          <w:tcPr>
            <w:tcW w:w="835" w:type="dxa"/>
            <w:tcMar>
              <w:top w:w="40" w:type="dxa"/>
              <w:left w:w="50" w:type="dxa"/>
              <w:bottom w:w="40" w:type="dxa"/>
              <w:right w:w="50" w:type="dxa"/>
            </w:tcMar>
            <w:vAlign w:val="center"/>
          </w:tcPr>
          <w:p w14:paraId="0CCEA46C">
            <w:pPr>
              <w:spacing w:after="0" w:line="240" w:lineRule="auto"/>
              <w:jc w:val="center"/>
              <w:rPr>
                <w:color w:val="auto"/>
                <w:sz w:val="18"/>
                <w:szCs w:val="18"/>
              </w:rPr>
            </w:pPr>
            <w:r>
              <w:rPr>
                <w:rFonts w:cs="Times New Roman"/>
                <w:color w:val="auto"/>
                <w:sz w:val="18"/>
                <w:szCs w:val="18"/>
              </w:rPr>
              <w:t>&lt;0.001</w:t>
            </w:r>
          </w:p>
        </w:tc>
      </w:tr>
      <w:tr w14:paraId="227841B4">
        <w:trPr>
          <w:jc w:val="center"/>
        </w:trPr>
        <w:tc>
          <w:tcPr>
            <w:tcW w:w="2520" w:type="dxa"/>
            <w:tcMar>
              <w:top w:w="40" w:type="dxa"/>
              <w:left w:w="50" w:type="dxa"/>
              <w:bottom w:w="40" w:type="dxa"/>
              <w:right w:w="50" w:type="dxa"/>
            </w:tcMar>
            <w:vAlign w:val="center"/>
          </w:tcPr>
          <w:p w14:paraId="362365B2">
            <w:pPr>
              <w:spacing w:after="0" w:line="240" w:lineRule="auto"/>
              <w:rPr>
                <w:color w:val="auto"/>
                <w:sz w:val="18"/>
                <w:szCs w:val="18"/>
              </w:rPr>
            </w:pPr>
            <w:r>
              <w:rPr>
                <w:rFonts w:cs="Times New Roman"/>
                <w:color w:val="auto"/>
                <w:sz w:val="18"/>
                <w:szCs w:val="18"/>
              </w:rPr>
              <w:t>CAR-high only</w:t>
            </w:r>
          </w:p>
        </w:tc>
        <w:tc>
          <w:tcPr>
            <w:tcW w:w="1181" w:type="dxa"/>
            <w:tcMar>
              <w:top w:w="40" w:type="dxa"/>
              <w:left w:w="50" w:type="dxa"/>
              <w:bottom w:w="40" w:type="dxa"/>
              <w:right w:w="50" w:type="dxa"/>
            </w:tcMar>
            <w:vAlign w:val="center"/>
          </w:tcPr>
          <w:p w14:paraId="07013F4D">
            <w:pPr>
              <w:spacing w:after="0" w:line="240" w:lineRule="auto"/>
              <w:jc w:val="center"/>
              <w:rPr>
                <w:color w:val="auto"/>
                <w:sz w:val="18"/>
                <w:szCs w:val="18"/>
              </w:rPr>
            </w:pPr>
            <w:r>
              <w:rPr>
                <w:rFonts w:cs="Times New Roman"/>
                <w:color w:val="auto"/>
                <w:sz w:val="18"/>
                <w:szCs w:val="18"/>
              </w:rPr>
              <w:t>73/21</w:t>
            </w:r>
          </w:p>
        </w:tc>
        <w:tc>
          <w:tcPr>
            <w:tcW w:w="2333" w:type="dxa"/>
            <w:tcMar>
              <w:top w:w="40" w:type="dxa"/>
              <w:left w:w="50" w:type="dxa"/>
              <w:bottom w:w="40" w:type="dxa"/>
              <w:right w:w="50" w:type="dxa"/>
            </w:tcMar>
            <w:vAlign w:val="center"/>
          </w:tcPr>
          <w:p w14:paraId="55E61416">
            <w:pPr>
              <w:spacing w:after="0" w:line="240" w:lineRule="auto"/>
              <w:jc w:val="center"/>
              <w:rPr>
                <w:color w:val="auto"/>
                <w:sz w:val="18"/>
                <w:szCs w:val="18"/>
              </w:rPr>
            </w:pPr>
            <w:r>
              <w:rPr>
                <w:rFonts w:cs="Times New Roman"/>
                <w:color w:val="auto"/>
                <w:sz w:val="18"/>
                <w:szCs w:val="18"/>
              </w:rPr>
              <w:t>5.65 (2.83–11.29)</w:t>
            </w:r>
          </w:p>
        </w:tc>
        <w:tc>
          <w:tcPr>
            <w:tcW w:w="835" w:type="dxa"/>
            <w:tcMar>
              <w:top w:w="40" w:type="dxa"/>
              <w:left w:w="50" w:type="dxa"/>
              <w:bottom w:w="40" w:type="dxa"/>
              <w:right w:w="50" w:type="dxa"/>
            </w:tcMar>
            <w:vAlign w:val="center"/>
          </w:tcPr>
          <w:p w14:paraId="769D62C9">
            <w:pPr>
              <w:spacing w:after="0" w:line="240" w:lineRule="auto"/>
              <w:jc w:val="center"/>
              <w:rPr>
                <w:color w:val="auto"/>
                <w:sz w:val="18"/>
                <w:szCs w:val="18"/>
              </w:rPr>
            </w:pPr>
            <w:r>
              <w:rPr>
                <w:rFonts w:cs="Times New Roman"/>
                <w:color w:val="auto"/>
                <w:sz w:val="18"/>
                <w:szCs w:val="18"/>
              </w:rPr>
              <w:t>&lt;0.001</w:t>
            </w:r>
          </w:p>
        </w:tc>
        <w:tc>
          <w:tcPr>
            <w:tcW w:w="2477" w:type="dxa"/>
            <w:tcMar>
              <w:top w:w="40" w:type="dxa"/>
              <w:left w:w="50" w:type="dxa"/>
              <w:bottom w:w="40" w:type="dxa"/>
              <w:right w:w="50" w:type="dxa"/>
            </w:tcMar>
            <w:vAlign w:val="center"/>
          </w:tcPr>
          <w:p w14:paraId="0EE3AE36">
            <w:pPr>
              <w:spacing w:after="0" w:line="240" w:lineRule="auto"/>
              <w:jc w:val="center"/>
              <w:rPr>
                <w:color w:val="auto"/>
                <w:sz w:val="18"/>
                <w:szCs w:val="18"/>
              </w:rPr>
            </w:pPr>
            <w:r>
              <w:rPr>
                <w:rFonts w:cs="Times New Roman"/>
                <w:color w:val="auto"/>
                <w:sz w:val="18"/>
                <w:szCs w:val="18"/>
              </w:rPr>
              <w:t>5.64 (2.91–10.95)</w:t>
            </w:r>
          </w:p>
        </w:tc>
        <w:tc>
          <w:tcPr>
            <w:tcW w:w="835" w:type="dxa"/>
            <w:tcMar>
              <w:top w:w="40" w:type="dxa"/>
              <w:left w:w="50" w:type="dxa"/>
              <w:bottom w:w="40" w:type="dxa"/>
              <w:right w:w="50" w:type="dxa"/>
            </w:tcMar>
            <w:vAlign w:val="center"/>
          </w:tcPr>
          <w:p w14:paraId="4F9F0464">
            <w:pPr>
              <w:spacing w:after="0" w:line="240" w:lineRule="auto"/>
              <w:jc w:val="center"/>
              <w:rPr>
                <w:color w:val="auto"/>
                <w:sz w:val="18"/>
                <w:szCs w:val="18"/>
              </w:rPr>
            </w:pPr>
            <w:r>
              <w:rPr>
                <w:rFonts w:cs="Times New Roman"/>
                <w:color w:val="auto"/>
                <w:sz w:val="18"/>
                <w:szCs w:val="18"/>
              </w:rPr>
              <w:t>&lt;0.001</w:t>
            </w:r>
          </w:p>
        </w:tc>
      </w:tr>
      <w:tr w14:paraId="234633A0">
        <w:trPr>
          <w:jc w:val="center"/>
        </w:trPr>
        <w:tc>
          <w:tcPr>
            <w:tcW w:w="2520" w:type="dxa"/>
            <w:tcBorders>
              <w:bottom w:val="single" w:color="000000" w:sz="12" w:space="0"/>
            </w:tcBorders>
            <w:tcMar>
              <w:top w:w="40" w:type="dxa"/>
              <w:left w:w="50" w:type="dxa"/>
              <w:bottom w:w="40" w:type="dxa"/>
              <w:right w:w="50" w:type="dxa"/>
            </w:tcMar>
            <w:vAlign w:val="center"/>
          </w:tcPr>
          <w:p w14:paraId="7A7D53E7">
            <w:pPr>
              <w:spacing w:after="0" w:line="240" w:lineRule="auto"/>
              <w:rPr>
                <w:color w:val="auto"/>
                <w:sz w:val="18"/>
                <w:szCs w:val="18"/>
              </w:rPr>
            </w:pPr>
            <w:r>
              <w:rPr>
                <w:rFonts w:cs="Times New Roman"/>
                <w:color w:val="auto"/>
                <w:sz w:val="18"/>
                <w:szCs w:val="18"/>
              </w:rPr>
              <w:t>Both-high</w:t>
            </w:r>
          </w:p>
        </w:tc>
        <w:tc>
          <w:tcPr>
            <w:tcW w:w="1181" w:type="dxa"/>
            <w:tcBorders>
              <w:bottom w:val="single" w:color="000000" w:sz="12" w:space="0"/>
            </w:tcBorders>
            <w:tcMar>
              <w:top w:w="40" w:type="dxa"/>
              <w:left w:w="50" w:type="dxa"/>
              <w:bottom w:w="40" w:type="dxa"/>
              <w:right w:w="50" w:type="dxa"/>
            </w:tcMar>
            <w:vAlign w:val="center"/>
          </w:tcPr>
          <w:p w14:paraId="3508C9FE">
            <w:pPr>
              <w:spacing w:after="0" w:line="240" w:lineRule="auto"/>
              <w:jc w:val="center"/>
              <w:rPr>
                <w:color w:val="auto"/>
                <w:sz w:val="18"/>
                <w:szCs w:val="18"/>
              </w:rPr>
            </w:pPr>
            <w:r>
              <w:rPr>
                <w:rFonts w:cs="Times New Roman"/>
                <w:color w:val="auto"/>
                <w:sz w:val="18"/>
                <w:szCs w:val="18"/>
              </w:rPr>
              <w:t>26/16</w:t>
            </w:r>
          </w:p>
        </w:tc>
        <w:tc>
          <w:tcPr>
            <w:tcW w:w="2333" w:type="dxa"/>
            <w:tcBorders>
              <w:bottom w:val="single" w:color="000000" w:sz="12" w:space="0"/>
            </w:tcBorders>
            <w:tcMar>
              <w:top w:w="40" w:type="dxa"/>
              <w:left w:w="50" w:type="dxa"/>
              <w:bottom w:w="40" w:type="dxa"/>
              <w:right w:w="50" w:type="dxa"/>
            </w:tcMar>
            <w:vAlign w:val="center"/>
          </w:tcPr>
          <w:p w14:paraId="2D39DF87">
            <w:pPr>
              <w:spacing w:after="0" w:line="240" w:lineRule="auto"/>
              <w:jc w:val="center"/>
              <w:rPr>
                <w:color w:val="auto"/>
                <w:sz w:val="18"/>
                <w:szCs w:val="18"/>
              </w:rPr>
            </w:pPr>
            <w:r>
              <w:rPr>
                <w:rFonts w:cs="Times New Roman"/>
                <w:color w:val="auto"/>
                <w:sz w:val="18"/>
                <w:szCs w:val="18"/>
              </w:rPr>
              <w:t>11.85 (5.39–26.08)</w:t>
            </w:r>
          </w:p>
        </w:tc>
        <w:tc>
          <w:tcPr>
            <w:tcW w:w="835" w:type="dxa"/>
            <w:tcBorders>
              <w:bottom w:val="single" w:color="000000" w:sz="12" w:space="0"/>
            </w:tcBorders>
            <w:tcMar>
              <w:top w:w="40" w:type="dxa"/>
              <w:left w:w="50" w:type="dxa"/>
              <w:bottom w:w="40" w:type="dxa"/>
              <w:right w:w="50" w:type="dxa"/>
            </w:tcMar>
            <w:vAlign w:val="center"/>
          </w:tcPr>
          <w:p w14:paraId="2041181C">
            <w:pPr>
              <w:spacing w:after="0" w:line="240" w:lineRule="auto"/>
              <w:jc w:val="center"/>
              <w:rPr>
                <w:color w:val="auto"/>
                <w:sz w:val="18"/>
                <w:szCs w:val="18"/>
              </w:rPr>
            </w:pPr>
            <w:r>
              <w:rPr>
                <w:rFonts w:cs="Times New Roman"/>
                <w:color w:val="auto"/>
                <w:sz w:val="18"/>
                <w:szCs w:val="18"/>
              </w:rPr>
              <w:t>&lt;0.001</w:t>
            </w:r>
          </w:p>
        </w:tc>
        <w:tc>
          <w:tcPr>
            <w:tcW w:w="2477" w:type="dxa"/>
            <w:tcBorders>
              <w:bottom w:val="single" w:color="000000" w:sz="12" w:space="0"/>
            </w:tcBorders>
            <w:tcMar>
              <w:top w:w="40" w:type="dxa"/>
              <w:left w:w="50" w:type="dxa"/>
              <w:bottom w:w="40" w:type="dxa"/>
              <w:right w:w="50" w:type="dxa"/>
            </w:tcMar>
            <w:vAlign w:val="center"/>
          </w:tcPr>
          <w:p w14:paraId="7C46AA62">
            <w:pPr>
              <w:spacing w:after="0" w:line="240" w:lineRule="auto"/>
              <w:jc w:val="center"/>
              <w:rPr>
                <w:color w:val="auto"/>
                <w:sz w:val="18"/>
                <w:szCs w:val="18"/>
              </w:rPr>
            </w:pPr>
            <w:r>
              <w:rPr>
                <w:rFonts w:cs="Times New Roman"/>
                <w:color w:val="auto"/>
                <w:sz w:val="18"/>
                <w:szCs w:val="18"/>
              </w:rPr>
              <w:t>11.51 (5.41–24.50)</w:t>
            </w:r>
          </w:p>
        </w:tc>
        <w:tc>
          <w:tcPr>
            <w:tcW w:w="835" w:type="dxa"/>
            <w:tcBorders>
              <w:bottom w:val="single" w:color="000000" w:sz="12" w:space="0"/>
            </w:tcBorders>
            <w:tcMar>
              <w:top w:w="40" w:type="dxa"/>
              <w:left w:w="50" w:type="dxa"/>
              <w:bottom w:w="40" w:type="dxa"/>
              <w:right w:w="50" w:type="dxa"/>
            </w:tcMar>
            <w:vAlign w:val="center"/>
          </w:tcPr>
          <w:p w14:paraId="3E0364FE">
            <w:pPr>
              <w:spacing w:after="0" w:line="240" w:lineRule="auto"/>
              <w:jc w:val="center"/>
              <w:rPr>
                <w:color w:val="auto"/>
                <w:sz w:val="18"/>
                <w:szCs w:val="18"/>
              </w:rPr>
            </w:pPr>
            <w:r>
              <w:rPr>
                <w:rFonts w:cs="Times New Roman"/>
                <w:color w:val="auto"/>
                <w:sz w:val="18"/>
                <w:szCs w:val="18"/>
              </w:rPr>
              <w:t>&lt;0.001</w:t>
            </w:r>
          </w:p>
        </w:tc>
      </w:tr>
    </w:tbl>
    <w:p w14:paraId="57374250">
      <w:pPr>
        <w:jc w:val="both"/>
        <w:rPr>
          <w:color w:val="auto"/>
        </w:rPr>
      </w:pPr>
      <w:r>
        <w:rPr>
          <w:rFonts w:hint="eastAsia" w:cs="Times New Roman"/>
          <w:color w:val="auto"/>
          <w:sz w:val="18"/>
          <w:szCs w:val="18"/>
        </w:rPr>
        <w:t>Notes: Death before the first unplanned readmission was treated as a competing event. Fine–Gray subdistribution hazard models were used for the primary competing-risk analysis, with cause-specific Cox models as sensitivity analyses. All models were adjusted for age, sex, New York Heart Association functional class, Charlson Comorbidity Index, hemoglobin, and body mass index and used complete-case analysis. In Panel A, NLR and CAR were log₂-transformed and analyzed as continuous variables. In Panel B, exploratory cut-offs of NLR &gt;8.97 and CAR &gt;0.49 were used, with the low NLR and low CAR group serving as the reference. There were 64 readmissions and 17 competing deaths within 90 days. Tied event times in the cause-specific Cox models were handled using the Breslow method. CAR, C-reactive protein-to-albumin ratio; CI, confidence interval; HR, hazard ratio; NLR, neutrophil-to-lymphocyte ratio; sHR, subdistribution hazard ratio.</w:t>
      </w:r>
      <w:r>
        <w:rPr>
          <w:rFonts w:cs="Times New Roman"/>
          <w:color w:val="auto"/>
          <w:sz w:val="24"/>
        </w:rPr>
        <w:br w:type="page"/>
      </w:r>
    </w:p>
    <w:p w14:paraId="7DF7D1F2">
      <w:pPr>
        <w:spacing w:after="200"/>
        <w:jc w:val="both"/>
        <w:rPr>
          <w:color w:val="auto"/>
          <w:sz w:val="21"/>
          <w:szCs w:val="21"/>
        </w:rPr>
      </w:pPr>
      <w:r>
        <w:rPr>
          <w:rFonts w:cs="Times New Roman"/>
          <w:b/>
          <w:color w:val="auto"/>
          <w:sz w:val="21"/>
          <w:szCs w:val="21"/>
        </w:rPr>
        <w:t>Supplementary Table S4. Comparison of CAR with its component biomarkers, CRP and albumin</w:t>
      </w:r>
    </w:p>
    <w:p w14:paraId="273E3DC8">
      <w:pPr>
        <w:spacing w:after="40"/>
        <w:rPr>
          <w:b/>
          <w:color w:val="auto"/>
          <w:sz w:val="21"/>
          <w:szCs w:val="21"/>
        </w:rPr>
      </w:pPr>
      <w:r>
        <w:rPr>
          <w:b/>
          <w:color w:val="auto"/>
          <w:sz w:val="21"/>
          <w:szCs w:val="21"/>
        </w:rPr>
        <w:t>Panel A. Component-level associations and model performance</w:t>
      </w:r>
    </w:p>
    <w:tbl>
      <w:tblPr>
        <w:tblStyle w:val="32"/>
        <w:tblW w:w="8689" w:type="dxa"/>
        <w:jc w:val="center"/>
        <w:tblLayout w:type="fixed"/>
        <w:tblCellMar>
          <w:top w:w="0" w:type="dxa"/>
          <w:left w:w="108" w:type="dxa"/>
          <w:bottom w:w="0" w:type="dxa"/>
          <w:right w:w="108" w:type="dxa"/>
        </w:tblCellMar>
      </w:tblPr>
      <w:tblGrid>
        <w:gridCol w:w="960"/>
        <w:gridCol w:w="1382"/>
        <w:gridCol w:w="1050"/>
        <w:gridCol w:w="1068"/>
        <w:gridCol w:w="1321"/>
        <w:gridCol w:w="1082"/>
        <w:gridCol w:w="1000"/>
        <w:gridCol w:w="826"/>
      </w:tblGrid>
      <w:tr w14:paraId="118A1CAC">
        <w:trPr>
          <w:jc w:val="center"/>
        </w:trPr>
        <w:tc>
          <w:tcPr>
            <w:tcW w:w="960"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19D4E7B8">
            <w:pPr>
              <w:spacing w:after="0" w:line="240" w:lineRule="auto"/>
              <w:jc w:val="center"/>
              <w:rPr>
                <w:color w:val="auto"/>
              </w:rPr>
            </w:pPr>
            <w:r>
              <w:rPr>
                <w:b/>
                <w:color w:val="auto"/>
                <w:sz w:val="17"/>
              </w:rPr>
              <w:t>Outcome</w:t>
            </w:r>
          </w:p>
        </w:tc>
        <w:tc>
          <w:tcPr>
            <w:tcW w:w="1382"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17CA2AF4">
            <w:pPr>
              <w:spacing w:after="0" w:line="240" w:lineRule="auto"/>
              <w:jc w:val="center"/>
              <w:rPr>
                <w:color w:val="auto"/>
              </w:rPr>
            </w:pPr>
            <w:r>
              <w:rPr>
                <w:b/>
                <w:color w:val="auto"/>
                <w:sz w:val="17"/>
              </w:rPr>
              <w:t>Model</w:t>
            </w:r>
          </w:p>
        </w:tc>
        <w:tc>
          <w:tcPr>
            <w:tcW w:w="1050"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41DE9374">
            <w:pPr>
              <w:spacing w:after="0" w:line="240" w:lineRule="auto"/>
              <w:jc w:val="center"/>
              <w:rPr>
                <w:color w:val="auto"/>
              </w:rPr>
            </w:pPr>
            <w:r>
              <w:rPr>
                <w:b/>
                <w:color w:val="auto"/>
                <w:sz w:val="17"/>
              </w:rPr>
              <w:t>Biomarker</w:t>
            </w:r>
          </w:p>
        </w:tc>
        <w:tc>
          <w:tcPr>
            <w:tcW w:w="1068"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12CBA78E">
            <w:pPr>
              <w:spacing w:after="0" w:line="240" w:lineRule="auto"/>
              <w:jc w:val="center"/>
              <w:rPr>
                <w:color w:val="auto"/>
              </w:rPr>
            </w:pPr>
            <w:r>
              <w:rPr>
                <w:b/>
                <w:color w:val="auto"/>
                <w:sz w:val="17"/>
              </w:rPr>
              <w:t>n/events</w:t>
            </w:r>
          </w:p>
        </w:tc>
        <w:tc>
          <w:tcPr>
            <w:tcW w:w="1321"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29E7A0F8">
            <w:pPr>
              <w:spacing w:after="0" w:line="240" w:lineRule="auto"/>
              <w:jc w:val="center"/>
              <w:rPr>
                <w:color w:val="auto"/>
              </w:rPr>
            </w:pPr>
            <w:r>
              <w:rPr>
                <w:b/>
                <w:color w:val="auto"/>
                <w:sz w:val="17"/>
              </w:rPr>
              <w:t>Adjusted HR (95% CI)</w:t>
            </w:r>
          </w:p>
        </w:tc>
        <w:tc>
          <w:tcPr>
            <w:tcW w:w="1082"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36170E48">
            <w:pPr>
              <w:spacing w:after="0" w:line="240" w:lineRule="auto"/>
              <w:jc w:val="center"/>
              <w:rPr>
                <w:color w:val="auto"/>
              </w:rPr>
            </w:pPr>
            <w:r>
              <w:rPr>
                <w:b/>
                <w:color w:val="auto"/>
                <w:sz w:val="17"/>
              </w:rPr>
              <w:t>P value</w:t>
            </w:r>
          </w:p>
        </w:tc>
        <w:tc>
          <w:tcPr>
            <w:tcW w:w="1000"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2D8B9EDF">
            <w:pPr>
              <w:spacing w:after="0" w:line="240" w:lineRule="auto"/>
              <w:jc w:val="center"/>
              <w:rPr>
                <w:color w:val="auto"/>
              </w:rPr>
            </w:pPr>
            <w:r>
              <w:rPr>
                <w:b/>
                <w:color w:val="auto"/>
                <w:sz w:val="17"/>
              </w:rPr>
              <w:t>C-index</w:t>
            </w:r>
          </w:p>
        </w:tc>
        <w:tc>
          <w:tcPr>
            <w:tcW w:w="826"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605AAC1F">
            <w:pPr>
              <w:spacing w:after="0" w:line="240" w:lineRule="auto"/>
              <w:jc w:val="center"/>
              <w:rPr>
                <w:color w:val="auto"/>
              </w:rPr>
            </w:pPr>
            <w:r>
              <w:rPr>
                <w:b/>
                <w:color w:val="auto"/>
                <w:sz w:val="17"/>
              </w:rPr>
              <w:t>AIC</w:t>
            </w:r>
          </w:p>
        </w:tc>
      </w:tr>
      <w:tr w14:paraId="523A45C9">
        <w:trPr>
          <w:jc w:val="center"/>
        </w:trPr>
        <w:tc>
          <w:tcPr>
            <w:tcW w:w="960" w:type="dxa"/>
            <w:tcBorders>
              <w:top w:val="nil"/>
              <w:left w:val="nil"/>
              <w:bottom w:val="nil"/>
              <w:right w:val="nil"/>
            </w:tcBorders>
            <w:tcMar>
              <w:top w:w="35" w:type="dxa"/>
              <w:left w:w="45" w:type="dxa"/>
              <w:bottom w:w="35" w:type="dxa"/>
              <w:right w:w="45" w:type="dxa"/>
            </w:tcMar>
            <w:vAlign w:val="center"/>
          </w:tcPr>
          <w:p w14:paraId="7A7AAC2D">
            <w:pPr>
              <w:spacing w:after="0" w:line="240" w:lineRule="auto"/>
              <w:rPr>
                <w:color w:val="auto"/>
              </w:rPr>
            </w:pPr>
            <w:r>
              <w:rPr>
                <w:color w:val="auto"/>
                <w:sz w:val="18"/>
              </w:rPr>
              <w:t>12-month mortality</w:t>
            </w:r>
          </w:p>
        </w:tc>
        <w:tc>
          <w:tcPr>
            <w:tcW w:w="1382" w:type="dxa"/>
            <w:tcBorders>
              <w:top w:val="nil"/>
              <w:left w:val="nil"/>
              <w:bottom w:val="nil"/>
              <w:right w:val="nil"/>
            </w:tcBorders>
            <w:tcMar>
              <w:top w:w="35" w:type="dxa"/>
              <w:left w:w="45" w:type="dxa"/>
              <w:bottom w:w="35" w:type="dxa"/>
              <w:right w:w="45" w:type="dxa"/>
            </w:tcMar>
            <w:vAlign w:val="center"/>
          </w:tcPr>
          <w:p w14:paraId="4F2C354E">
            <w:pPr>
              <w:spacing w:after="0" w:line="240" w:lineRule="auto"/>
              <w:rPr>
                <w:color w:val="auto"/>
              </w:rPr>
            </w:pPr>
            <w:r>
              <w:rPr>
                <w:color w:val="auto"/>
                <w:sz w:val="18"/>
              </w:rPr>
              <w:t>Base model</w:t>
            </w:r>
          </w:p>
        </w:tc>
        <w:tc>
          <w:tcPr>
            <w:tcW w:w="1050" w:type="dxa"/>
            <w:tcBorders>
              <w:top w:val="nil"/>
              <w:left w:val="nil"/>
              <w:bottom w:val="nil"/>
              <w:right w:val="nil"/>
            </w:tcBorders>
            <w:tcMar>
              <w:top w:w="35" w:type="dxa"/>
              <w:left w:w="45" w:type="dxa"/>
              <w:bottom w:w="35" w:type="dxa"/>
              <w:right w:w="45" w:type="dxa"/>
            </w:tcMar>
            <w:vAlign w:val="center"/>
          </w:tcPr>
          <w:p w14:paraId="6E05CE05">
            <w:pPr>
              <w:spacing w:after="0" w:line="240" w:lineRule="auto"/>
              <w:jc w:val="center"/>
              <w:rPr>
                <w:color w:val="auto"/>
              </w:rPr>
            </w:pPr>
            <w:r>
              <w:rPr>
                <w:color w:val="auto"/>
                <w:sz w:val="18"/>
              </w:rPr>
              <w:t>—</w:t>
            </w:r>
          </w:p>
        </w:tc>
        <w:tc>
          <w:tcPr>
            <w:tcW w:w="1068" w:type="dxa"/>
            <w:tcBorders>
              <w:top w:val="nil"/>
              <w:left w:val="nil"/>
              <w:bottom w:val="nil"/>
              <w:right w:val="nil"/>
            </w:tcBorders>
            <w:tcMar>
              <w:top w:w="35" w:type="dxa"/>
              <w:left w:w="45" w:type="dxa"/>
              <w:bottom w:w="35" w:type="dxa"/>
              <w:right w:w="45" w:type="dxa"/>
            </w:tcMar>
            <w:vAlign w:val="center"/>
          </w:tcPr>
          <w:p w14:paraId="6FBD8A1A">
            <w:pPr>
              <w:spacing w:after="0" w:line="240" w:lineRule="auto"/>
              <w:jc w:val="center"/>
              <w:rPr>
                <w:color w:val="auto"/>
              </w:rPr>
            </w:pPr>
            <w:r>
              <w:rPr>
                <w:color w:val="auto"/>
                <w:sz w:val="18"/>
              </w:rPr>
              <w:t>490/69</w:t>
            </w:r>
          </w:p>
        </w:tc>
        <w:tc>
          <w:tcPr>
            <w:tcW w:w="1321" w:type="dxa"/>
            <w:tcBorders>
              <w:top w:val="nil"/>
              <w:left w:val="nil"/>
              <w:bottom w:val="nil"/>
              <w:right w:val="nil"/>
            </w:tcBorders>
            <w:tcMar>
              <w:top w:w="35" w:type="dxa"/>
              <w:left w:w="45" w:type="dxa"/>
              <w:bottom w:w="35" w:type="dxa"/>
              <w:right w:w="45" w:type="dxa"/>
            </w:tcMar>
            <w:vAlign w:val="center"/>
          </w:tcPr>
          <w:p w14:paraId="5568040D">
            <w:pPr>
              <w:spacing w:after="0" w:line="240" w:lineRule="auto"/>
              <w:jc w:val="center"/>
              <w:rPr>
                <w:color w:val="auto"/>
              </w:rPr>
            </w:pPr>
            <w:r>
              <w:rPr>
                <w:color w:val="auto"/>
                <w:sz w:val="18"/>
              </w:rPr>
              <w:t>—</w:t>
            </w:r>
          </w:p>
        </w:tc>
        <w:tc>
          <w:tcPr>
            <w:tcW w:w="1082" w:type="dxa"/>
            <w:tcBorders>
              <w:top w:val="nil"/>
              <w:left w:val="nil"/>
              <w:bottom w:val="nil"/>
              <w:right w:val="nil"/>
            </w:tcBorders>
            <w:tcMar>
              <w:top w:w="35" w:type="dxa"/>
              <w:left w:w="45" w:type="dxa"/>
              <w:bottom w:w="35" w:type="dxa"/>
              <w:right w:w="45" w:type="dxa"/>
            </w:tcMar>
            <w:vAlign w:val="center"/>
          </w:tcPr>
          <w:p w14:paraId="12704343">
            <w:pPr>
              <w:spacing w:after="0" w:line="240" w:lineRule="auto"/>
              <w:jc w:val="center"/>
              <w:rPr>
                <w:color w:val="auto"/>
              </w:rPr>
            </w:pPr>
            <w:r>
              <w:rPr>
                <w:color w:val="auto"/>
                <w:sz w:val="18"/>
              </w:rPr>
              <w:t>—</w:t>
            </w:r>
          </w:p>
        </w:tc>
        <w:tc>
          <w:tcPr>
            <w:tcW w:w="1000" w:type="dxa"/>
            <w:tcBorders>
              <w:top w:val="nil"/>
              <w:left w:val="nil"/>
              <w:bottom w:val="nil"/>
              <w:right w:val="nil"/>
            </w:tcBorders>
            <w:tcMar>
              <w:top w:w="35" w:type="dxa"/>
              <w:left w:w="45" w:type="dxa"/>
              <w:bottom w:w="35" w:type="dxa"/>
              <w:right w:w="45" w:type="dxa"/>
            </w:tcMar>
            <w:vAlign w:val="center"/>
          </w:tcPr>
          <w:p w14:paraId="77D12153">
            <w:pPr>
              <w:spacing w:after="0" w:line="240" w:lineRule="auto"/>
              <w:jc w:val="center"/>
              <w:rPr>
                <w:color w:val="auto"/>
              </w:rPr>
            </w:pPr>
            <w:r>
              <w:rPr>
                <w:color w:val="auto"/>
                <w:sz w:val="18"/>
              </w:rPr>
              <w:t>0.847</w:t>
            </w:r>
          </w:p>
        </w:tc>
        <w:tc>
          <w:tcPr>
            <w:tcW w:w="826" w:type="dxa"/>
            <w:tcBorders>
              <w:top w:val="nil"/>
              <w:left w:val="nil"/>
              <w:bottom w:val="nil"/>
              <w:right w:val="nil"/>
            </w:tcBorders>
            <w:tcMar>
              <w:top w:w="35" w:type="dxa"/>
              <w:left w:w="45" w:type="dxa"/>
              <w:bottom w:w="35" w:type="dxa"/>
              <w:right w:w="45" w:type="dxa"/>
            </w:tcMar>
            <w:vAlign w:val="center"/>
          </w:tcPr>
          <w:p w14:paraId="2CF87200">
            <w:pPr>
              <w:spacing w:after="0" w:line="240" w:lineRule="auto"/>
              <w:jc w:val="center"/>
              <w:rPr>
                <w:color w:val="auto"/>
              </w:rPr>
            </w:pPr>
            <w:r>
              <w:rPr>
                <w:color w:val="auto"/>
                <w:sz w:val="18"/>
              </w:rPr>
              <w:t>716.5</w:t>
            </w:r>
          </w:p>
        </w:tc>
      </w:tr>
      <w:tr w14:paraId="5313C6FA">
        <w:trPr>
          <w:jc w:val="center"/>
        </w:trPr>
        <w:tc>
          <w:tcPr>
            <w:tcW w:w="960" w:type="dxa"/>
            <w:tcBorders>
              <w:top w:val="nil"/>
              <w:left w:val="nil"/>
              <w:bottom w:val="nil"/>
              <w:right w:val="nil"/>
            </w:tcBorders>
            <w:tcMar>
              <w:top w:w="35" w:type="dxa"/>
              <w:left w:w="45" w:type="dxa"/>
              <w:bottom w:w="35" w:type="dxa"/>
              <w:right w:w="45" w:type="dxa"/>
            </w:tcMar>
            <w:vAlign w:val="center"/>
          </w:tcPr>
          <w:p w14:paraId="20941D6B">
            <w:pPr>
              <w:spacing w:after="0" w:line="240" w:lineRule="auto"/>
              <w:rPr>
                <w:color w:val="auto"/>
              </w:rPr>
            </w:pPr>
          </w:p>
        </w:tc>
        <w:tc>
          <w:tcPr>
            <w:tcW w:w="1382" w:type="dxa"/>
            <w:tcBorders>
              <w:top w:val="nil"/>
              <w:left w:val="nil"/>
              <w:bottom w:val="nil"/>
              <w:right w:val="nil"/>
            </w:tcBorders>
            <w:tcMar>
              <w:top w:w="35" w:type="dxa"/>
              <w:left w:w="45" w:type="dxa"/>
              <w:bottom w:w="35" w:type="dxa"/>
              <w:right w:w="45" w:type="dxa"/>
            </w:tcMar>
            <w:vAlign w:val="center"/>
          </w:tcPr>
          <w:p w14:paraId="6D394CD6">
            <w:pPr>
              <w:spacing w:after="0" w:line="240" w:lineRule="auto"/>
              <w:rPr>
                <w:color w:val="auto"/>
              </w:rPr>
            </w:pPr>
            <w:r>
              <w:rPr>
                <w:color w:val="auto"/>
                <w:sz w:val="18"/>
              </w:rPr>
              <w:t>+ CRP</w:t>
            </w:r>
          </w:p>
        </w:tc>
        <w:tc>
          <w:tcPr>
            <w:tcW w:w="1050" w:type="dxa"/>
            <w:tcBorders>
              <w:top w:val="nil"/>
              <w:left w:val="nil"/>
              <w:bottom w:val="nil"/>
              <w:right w:val="nil"/>
            </w:tcBorders>
            <w:tcMar>
              <w:top w:w="35" w:type="dxa"/>
              <w:left w:w="45" w:type="dxa"/>
              <w:bottom w:w="35" w:type="dxa"/>
              <w:right w:w="45" w:type="dxa"/>
            </w:tcMar>
            <w:vAlign w:val="center"/>
          </w:tcPr>
          <w:p w14:paraId="4A45AC12">
            <w:pPr>
              <w:spacing w:after="0" w:line="240" w:lineRule="auto"/>
              <w:jc w:val="center"/>
              <w:rPr>
                <w:color w:val="auto"/>
              </w:rPr>
            </w:pPr>
            <w:r>
              <w:rPr>
                <w:color w:val="auto"/>
                <w:sz w:val="18"/>
              </w:rPr>
              <w:t>CRP</w:t>
            </w:r>
          </w:p>
        </w:tc>
        <w:tc>
          <w:tcPr>
            <w:tcW w:w="1068" w:type="dxa"/>
            <w:tcBorders>
              <w:top w:val="nil"/>
              <w:left w:val="nil"/>
              <w:bottom w:val="nil"/>
              <w:right w:val="nil"/>
            </w:tcBorders>
            <w:tcMar>
              <w:top w:w="35" w:type="dxa"/>
              <w:left w:w="45" w:type="dxa"/>
              <w:bottom w:w="35" w:type="dxa"/>
              <w:right w:w="45" w:type="dxa"/>
            </w:tcMar>
            <w:vAlign w:val="center"/>
          </w:tcPr>
          <w:p w14:paraId="6DE711F7">
            <w:pPr>
              <w:spacing w:after="0" w:line="240" w:lineRule="auto"/>
              <w:jc w:val="center"/>
              <w:rPr>
                <w:color w:val="auto"/>
              </w:rPr>
            </w:pPr>
            <w:r>
              <w:rPr>
                <w:color w:val="auto"/>
                <w:sz w:val="18"/>
              </w:rPr>
              <w:t>490/69</w:t>
            </w:r>
          </w:p>
        </w:tc>
        <w:tc>
          <w:tcPr>
            <w:tcW w:w="1321" w:type="dxa"/>
            <w:tcBorders>
              <w:top w:val="nil"/>
              <w:left w:val="nil"/>
              <w:bottom w:val="nil"/>
              <w:right w:val="nil"/>
            </w:tcBorders>
            <w:tcMar>
              <w:top w:w="35" w:type="dxa"/>
              <w:left w:w="45" w:type="dxa"/>
              <w:bottom w:w="35" w:type="dxa"/>
              <w:right w:w="45" w:type="dxa"/>
            </w:tcMar>
            <w:vAlign w:val="center"/>
          </w:tcPr>
          <w:p w14:paraId="54A9325B">
            <w:pPr>
              <w:spacing w:after="0" w:line="240" w:lineRule="auto"/>
              <w:jc w:val="center"/>
              <w:rPr>
                <w:color w:val="auto"/>
              </w:rPr>
            </w:pPr>
            <w:r>
              <w:rPr>
                <w:color w:val="auto"/>
                <w:sz w:val="18"/>
              </w:rPr>
              <w:t>1.25 (1.12–1.41)</w:t>
            </w:r>
          </w:p>
        </w:tc>
        <w:tc>
          <w:tcPr>
            <w:tcW w:w="1082" w:type="dxa"/>
            <w:tcBorders>
              <w:top w:val="nil"/>
              <w:left w:val="nil"/>
              <w:bottom w:val="nil"/>
              <w:right w:val="nil"/>
            </w:tcBorders>
            <w:tcMar>
              <w:top w:w="35" w:type="dxa"/>
              <w:left w:w="45" w:type="dxa"/>
              <w:bottom w:w="35" w:type="dxa"/>
              <w:right w:w="45" w:type="dxa"/>
            </w:tcMar>
            <w:vAlign w:val="center"/>
          </w:tcPr>
          <w:p w14:paraId="79FDB02F">
            <w:pPr>
              <w:spacing w:after="0" w:line="240" w:lineRule="auto"/>
              <w:jc w:val="center"/>
              <w:rPr>
                <w:color w:val="auto"/>
              </w:rPr>
            </w:pPr>
            <w:r>
              <w:rPr>
                <w:color w:val="auto"/>
                <w:sz w:val="18"/>
              </w:rPr>
              <w:t>&lt;0.001</w:t>
            </w:r>
          </w:p>
        </w:tc>
        <w:tc>
          <w:tcPr>
            <w:tcW w:w="1000" w:type="dxa"/>
            <w:tcBorders>
              <w:top w:val="nil"/>
              <w:left w:val="nil"/>
              <w:bottom w:val="nil"/>
              <w:right w:val="nil"/>
            </w:tcBorders>
            <w:tcMar>
              <w:top w:w="35" w:type="dxa"/>
              <w:left w:w="45" w:type="dxa"/>
              <w:bottom w:w="35" w:type="dxa"/>
              <w:right w:w="45" w:type="dxa"/>
            </w:tcMar>
            <w:vAlign w:val="center"/>
          </w:tcPr>
          <w:p w14:paraId="145D0731">
            <w:pPr>
              <w:spacing w:after="0" w:line="240" w:lineRule="auto"/>
              <w:jc w:val="center"/>
              <w:rPr>
                <w:color w:val="auto"/>
              </w:rPr>
            </w:pPr>
            <w:r>
              <w:rPr>
                <w:color w:val="auto"/>
                <w:sz w:val="18"/>
              </w:rPr>
              <w:t>0.855</w:t>
            </w:r>
          </w:p>
        </w:tc>
        <w:tc>
          <w:tcPr>
            <w:tcW w:w="826" w:type="dxa"/>
            <w:tcBorders>
              <w:top w:val="nil"/>
              <w:left w:val="nil"/>
              <w:bottom w:val="nil"/>
              <w:right w:val="nil"/>
            </w:tcBorders>
            <w:tcMar>
              <w:top w:w="35" w:type="dxa"/>
              <w:left w:w="45" w:type="dxa"/>
              <w:bottom w:w="35" w:type="dxa"/>
              <w:right w:w="45" w:type="dxa"/>
            </w:tcMar>
            <w:vAlign w:val="center"/>
          </w:tcPr>
          <w:p w14:paraId="4FE9B00D">
            <w:pPr>
              <w:spacing w:after="0" w:line="240" w:lineRule="auto"/>
              <w:jc w:val="center"/>
              <w:rPr>
                <w:color w:val="auto"/>
              </w:rPr>
            </w:pPr>
            <w:r>
              <w:rPr>
                <w:color w:val="auto"/>
                <w:sz w:val="18"/>
              </w:rPr>
              <w:t>703.6</w:t>
            </w:r>
          </w:p>
        </w:tc>
      </w:tr>
      <w:tr w14:paraId="78213359">
        <w:trPr>
          <w:jc w:val="center"/>
        </w:trPr>
        <w:tc>
          <w:tcPr>
            <w:tcW w:w="960" w:type="dxa"/>
            <w:tcBorders>
              <w:top w:val="nil"/>
              <w:left w:val="nil"/>
              <w:bottom w:val="nil"/>
              <w:right w:val="nil"/>
            </w:tcBorders>
            <w:tcMar>
              <w:top w:w="35" w:type="dxa"/>
              <w:left w:w="45" w:type="dxa"/>
              <w:bottom w:w="35" w:type="dxa"/>
              <w:right w:w="45" w:type="dxa"/>
            </w:tcMar>
            <w:vAlign w:val="center"/>
          </w:tcPr>
          <w:p w14:paraId="38C54002">
            <w:pPr>
              <w:spacing w:after="0" w:line="240" w:lineRule="auto"/>
              <w:rPr>
                <w:color w:val="auto"/>
              </w:rPr>
            </w:pPr>
          </w:p>
        </w:tc>
        <w:tc>
          <w:tcPr>
            <w:tcW w:w="1382" w:type="dxa"/>
            <w:tcBorders>
              <w:top w:val="nil"/>
              <w:left w:val="nil"/>
              <w:bottom w:val="nil"/>
              <w:right w:val="nil"/>
            </w:tcBorders>
            <w:tcMar>
              <w:top w:w="35" w:type="dxa"/>
              <w:left w:w="45" w:type="dxa"/>
              <w:bottom w:w="35" w:type="dxa"/>
              <w:right w:w="45" w:type="dxa"/>
            </w:tcMar>
            <w:vAlign w:val="center"/>
          </w:tcPr>
          <w:p w14:paraId="023568BE">
            <w:pPr>
              <w:spacing w:after="0" w:line="240" w:lineRule="auto"/>
              <w:rPr>
                <w:color w:val="auto"/>
              </w:rPr>
            </w:pPr>
            <w:r>
              <w:rPr>
                <w:color w:val="auto"/>
                <w:sz w:val="18"/>
              </w:rPr>
              <w:t>+ albumin</w:t>
            </w:r>
          </w:p>
        </w:tc>
        <w:tc>
          <w:tcPr>
            <w:tcW w:w="1050" w:type="dxa"/>
            <w:tcBorders>
              <w:top w:val="nil"/>
              <w:left w:val="nil"/>
              <w:bottom w:val="nil"/>
              <w:right w:val="nil"/>
            </w:tcBorders>
            <w:tcMar>
              <w:top w:w="35" w:type="dxa"/>
              <w:left w:w="45" w:type="dxa"/>
              <w:bottom w:w="35" w:type="dxa"/>
              <w:right w:w="45" w:type="dxa"/>
            </w:tcMar>
            <w:vAlign w:val="center"/>
          </w:tcPr>
          <w:p w14:paraId="55FFF699">
            <w:pPr>
              <w:spacing w:after="0" w:line="240" w:lineRule="auto"/>
              <w:jc w:val="center"/>
              <w:rPr>
                <w:color w:val="auto"/>
              </w:rPr>
            </w:pPr>
            <w:r>
              <w:rPr>
                <w:color w:val="auto"/>
                <w:sz w:val="18"/>
              </w:rPr>
              <w:t>Albumin</w:t>
            </w:r>
          </w:p>
        </w:tc>
        <w:tc>
          <w:tcPr>
            <w:tcW w:w="1068" w:type="dxa"/>
            <w:tcBorders>
              <w:top w:val="nil"/>
              <w:left w:val="nil"/>
              <w:bottom w:val="nil"/>
              <w:right w:val="nil"/>
            </w:tcBorders>
            <w:tcMar>
              <w:top w:w="35" w:type="dxa"/>
              <w:left w:w="45" w:type="dxa"/>
              <w:bottom w:w="35" w:type="dxa"/>
              <w:right w:w="45" w:type="dxa"/>
            </w:tcMar>
            <w:vAlign w:val="center"/>
          </w:tcPr>
          <w:p w14:paraId="57A4208D">
            <w:pPr>
              <w:spacing w:after="0" w:line="240" w:lineRule="auto"/>
              <w:jc w:val="center"/>
              <w:rPr>
                <w:color w:val="auto"/>
              </w:rPr>
            </w:pPr>
            <w:r>
              <w:rPr>
                <w:color w:val="auto"/>
                <w:sz w:val="18"/>
              </w:rPr>
              <w:t>490/69</w:t>
            </w:r>
          </w:p>
        </w:tc>
        <w:tc>
          <w:tcPr>
            <w:tcW w:w="1321" w:type="dxa"/>
            <w:tcBorders>
              <w:top w:val="nil"/>
              <w:left w:val="nil"/>
              <w:bottom w:val="nil"/>
              <w:right w:val="nil"/>
            </w:tcBorders>
            <w:tcMar>
              <w:top w:w="35" w:type="dxa"/>
              <w:left w:w="45" w:type="dxa"/>
              <w:bottom w:w="35" w:type="dxa"/>
              <w:right w:w="45" w:type="dxa"/>
            </w:tcMar>
            <w:vAlign w:val="center"/>
          </w:tcPr>
          <w:p w14:paraId="4E81B151">
            <w:pPr>
              <w:spacing w:after="0" w:line="240" w:lineRule="auto"/>
              <w:jc w:val="center"/>
              <w:rPr>
                <w:color w:val="auto"/>
              </w:rPr>
            </w:pPr>
            <w:r>
              <w:rPr>
                <w:color w:val="auto"/>
                <w:sz w:val="18"/>
              </w:rPr>
              <w:t>1.14 (0.89–1.45)</w:t>
            </w:r>
          </w:p>
        </w:tc>
        <w:tc>
          <w:tcPr>
            <w:tcW w:w="1082" w:type="dxa"/>
            <w:tcBorders>
              <w:top w:val="nil"/>
              <w:left w:val="nil"/>
              <w:bottom w:val="nil"/>
              <w:right w:val="nil"/>
            </w:tcBorders>
            <w:tcMar>
              <w:top w:w="35" w:type="dxa"/>
              <w:left w:w="45" w:type="dxa"/>
              <w:bottom w:w="35" w:type="dxa"/>
              <w:right w:w="45" w:type="dxa"/>
            </w:tcMar>
            <w:vAlign w:val="center"/>
          </w:tcPr>
          <w:p w14:paraId="607C4013">
            <w:pPr>
              <w:spacing w:after="0" w:line="240" w:lineRule="auto"/>
              <w:jc w:val="center"/>
              <w:rPr>
                <w:color w:val="auto"/>
              </w:rPr>
            </w:pPr>
            <w:r>
              <w:rPr>
                <w:color w:val="auto"/>
                <w:sz w:val="18"/>
              </w:rPr>
              <w:t>0.313</w:t>
            </w:r>
          </w:p>
        </w:tc>
        <w:tc>
          <w:tcPr>
            <w:tcW w:w="1000" w:type="dxa"/>
            <w:tcBorders>
              <w:top w:val="nil"/>
              <w:left w:val="nil"/>
              <w:bottom w:val="nil"/>
              <w:right w:val="nil"/>
            </w:tcBorders>
            <w:tcMar>
              <w:top w:w="35" w:type="dxa"/>
              <w:left w:w="45" w:type="dxa"/>
              <w:bottom w:w="35" w:type="dxa"/>
              <w:right w:w="45" w:type="dxa"/>
            </w:tcMar>
            <w:vAlign w:val="center"/>
          </w:tcPr>
          <w:p w14:paraId="19B2F5F7">
            <w:pPr>
              <w:spacing w:after="0" w:line="240" w:lineRule="auto"/>
              <w:jc w:val="center"/>
              <w:rPr>
                <w:color w:val="auto"/>
              </w:rPr>
            </w:pPr>
            <w:r>
              <w:rPr>
                <w:color w:val="auto"/>
                <w:sz w:val="18"/>
              </w:rPr>
              <w:t>0.852</w:t>
            </w:r>
          </w:p>
        </w:tc>
        <w:tc>
          <w:tcPr>
            <w:tcW w:w="826" w:type="dxa"/>
            <w:tcBorders>
              <w:top w:val="nil"/>
              <w:left w:val="nil"/>
              <w:bottom w:val="nil"/>
              <w:right w:val="nil"/>
            </w:tcBorders>
            <w:tcMar>
              <w:top w:w="35" w:type="dxa"/>
              <w:left w:w="45" w:type="dxa"/>
              <w:bottom w:w="35" w:type="dxa"/>
              <w:right w:w="45" w:type="dxa"/>
            </w:tcMar>
            <w:vAlign w:val="center"/>
          </w:tcPr>
          <w:p w14:paraId="0192CF23">
            <w:pPr>
              <w:spacing w:after="0" w:line="240" w:lineRule="auto"/>
              <w:jc w:val="center"/>
              <w:rPr>
                <w:color w:val="auto"/>
              </w:rPr>
            </w:pPr>
            <w:r>
              <w:rPr>
                <w:color w:val="auto"/>
                <w:sz w:val="18"/>
              </w:rPr>
              <w:t>717.5</w:t>
            </w:r>
          </w:p>
        </w:tc>
      </w:tr>
      <w:tr w14:paraId="5DA215E7">
        <w:trPr>
          <w:jc w:val="center"/>
        </w:trPr>
        <w:tc>
          <w:tcPr>
            <w:tcW w:w="960" w:type="dxa"/>
            <w:tcBorders>
              <w:top w:val="nil"/>
              <w:left w:val="nil"/>
              <w:bottom w:val="nil"/>
              <w:right w:val="nil"/>
            </w:tcBorders>
            <w:tcMar>
              <w:top w:w="35" w:type="dxa"/>
              <w:left w:w="45" w:type="dxa"/>
              <w:bottom w:w="35" w:type="dxa"/>
              <w:right w:w="45" w:type="dxa"/>
            </w:tcMar>
            <w:vAlign w:val="center"/>
          </w:tcPr>
          <w:p w14:paraId="2CBBE208">
            <w:pPr>
              <w:spacing w:after="0" w:line="240" w:lineRule="auto"/>
              <w:rPr>
                <w:color w:val="auto"/>
              </w:rPr>
            </w:pPr>
          </w:p>
        </w:tc>
        <w:tc>
          <w:tcPr>
            <w:tcW w:w="1382" w:type="dxa"/>
            <w:tcBorders>
              <w:top w:val="nil"/>
              <w:left w:val="nil"/>
              <w:bottom w:val="nil"/>
              <w:right w:val="nil"/>
            </w:tcBorders>
            <w:tcMar>
              <w:top w:w="35" w:type="dxa"/>
              <w:left w:w="45" w:type="dxa"/>
              <w:bottom w:w="35" w:type="dxa"/>
              <w:right w:w="45" w:type="dxa"/>
            </w:tcMar>
            <w:vAlign w:val="center"/>
          </w:tcPr>
          <w:p w14:paraId="3EDB264C">
            <w:pPr>
              <w:spacing w:after="0" w:line="240" w:lineRule="auto"/>
              <w:rPr>
                <w:color w:val="auto"/>
              </w:rPr>
            </w:pPr>
            <w:r>
              <w:rPr>
                <w:color w:val="auto"/>
                <w:sz w:val="18"/>
              </w:rPr>
              <w:t>+ CAR</w:t>
            </w:r>
          </w:p>
        </w:tc>
        <w:tc>
          <w:tcPr>
            <w:tcW w:w="1050" w:type="dxa"/>
            <w:tcBorders>
              <w:top w:val="nil"/>
              <w:left w:val="nil"/>
              <w:bottom w:val="nil"/>
              <w:right w:val="nil"/>
            </w:tcBorders>
            <w:tcMar>
              <w:top w:w="35" w:type="dxa"/>
              <w:left w:w="45" w:type="dxa"/>
              <w:bottom w:w="35" w:type="dxa"/>
              <w:right w:w="45" w:type="dxa"/>
            </w:tcMar>
            <w:vAlign w:val="center"/>
          </w:tcPr>
          <w:p w14:paraId="7858FFD5">
            <w:pPr>
              <w:spacing w:after="0" w:line="240" w:lineRule="auto"/>
              <w:jc w:val="center"/>
              <w:rPr>
                <w:color w:val="auto"/>
              </w:rPr>
            </w:pPr>
            <w:r>
              <w:rPr>
                <w:color w:val="auto"/>
                <w:sz w:val="18"/>
              </w:rPr>
              <w:t>CAR</w:t>
            </w:r>
          </w:p>
        </w:tc>
        <w:tc>
          <w:tcPr>
            <w:tcW w:w="1068" w:type="dxa"/>
            <w:tcBorders>
              <w:top w:val="nil"/>
              <w:left w:val="nil"/>
              <w:bottom w:val="nil"/>
              <w:right w:val="nil"/>
            </w:tcBorders>
            <w:tcMar>
              <w:top w:w="35" w:type="dxa"/>
              <w:left w:w="45" w:type="dxa"/>
              <w:bottom w:w="35" w:type="dxa"/>
              <w:right w:w="45" w:type="dxa"/>
            </w:tcMar>
            <w:vAlign w:val="center"/>
          </w:tcPr>
          <w:p w14:paraId="095B8080">
            <w:pPr>
              <w:spacing w:after="0" w:line="240" w:lineRule="auto"/>
              <w:jc w:val="center"/>
              <w:rPr>
                <w:color w:val="auto"/>
              </w:rPr>
            </w:pPr>
            <w:r>
              <w:rPr>
                <w:color w:val="auto"/>
                <w:sz w:val="18"/>
              </w:rPr>
              <w:t>490/69</w:t>
            </w:r>
          </w:p>
        </w:tc>
        <w:tc>
          <w:tcPr>
            <w:tcW w:w="1321" w:type="dxa"/>
            <w:tcBorders>
              <w:top w:val="nil"/>
              <w:left w:val="nil"/>
              <w:bottom w:val="nil"/>
              <w:right w:val="nil"/>
            </w:tcBorders>
            <w:tcMar>
              <w:top w:w="35" w:type="dxa"/>
              <w:left w:w="45" w:type="dxa"/>
              <w:bottom w:w="35" w:type="dxa"/>
              <w:right w:w="45" w:type="dxa"/>
            </w:tcMar>
            <w:vAlign w:val="center"/>
          </w:tcPr>
          <w:p w14:paraId="165D5431">
            <w:pPr>
              <w:spacing w:after="0" w:line="240" w:lineRule="auto"/>
              <w:jc w:val="center"/>
              <w:rPr>
                <w:color w:val="auto"/>
              </w:rPr>
            </w:pPr>
            <w:r>
              <w:rPr>
                <w:color w:val="auto"/>
                <w:sz w:val="18"/>
              </w:rPr>
              <w:t>1.27 (1.13–1.43)</w:t>
            </w:r>
          </w:p>
        </w:tc>
        <w:tc>
          <w:tcPr>
            <w:tcW w:w="1082" w:type="dxa"/>
            <w:tcBorders>
              <w:top w:val="nil"/>
              <w:left w:val="nil"/>
              <w:bottom w:val="nil"/>
              <w:right w:val="nil"/>
            </w:tcBorders>
            <w:tcMar>
              <w:top w:w="35" w:type="dxa"/>
              <w:left w:w="45" w:type="dxa"/>
              <w:bottom w:w="35" w:type="dxa"/>
              <w:right w:w="45" w:type="dxa"/>
            </w:tcMar>
            <w:vAlign w:val="center"/>
          </w:tcPr>
          <w:p w14:paraId="15739D4B">
            <w:pPr>
              <w:spacing w:after="0" w:line="240" w:lineRule="auto"/>
              <w:jc w:val="center"/>
              <w:rPr>
                <w:color w:val="auto"/>
              </w:rPr>
            </w:pPr>
            <w:r>
              <w:rPr>
                <w:color w:val="auto"/>
                <w:sz w:val="18"/>
              </w:rPr>
              <w:t>&lt;0.001</w:t>
            </w:r>
          </w:p>
        </w:tc>
        <w:tc>
          <w:tcPr>
            <w:tcW w:w="1000" w:type="dxa"/>
            <w:tcBorders>
              <w:top w:val="nil"/>
              <w:left w:val="nil"/>
              <w:bottom w:val="nil"/>
              <w:right w:val="nil"/>
            </w:tcBorders>
            <w:tcMar>
              <w:top w:w="35" w:type="dxa"/>
              <w:left w:w="45" w:type="dxa"/>
              <w:bottom w:w="35" w:type="dxa"/>
              <w:right w:w="45" w:type="dxa"/>
            </w:tcMar>
            <w:vAlign w:val="center"/>
          </w:tcPr>
          <w:p w14:paraId="0F65F049">
            <w:pPr>
              <w:spacing w:after="0" w:line="240" w:lineRule="auto"/>
              <w:jc w:val="center"/>
              <w:rPr>
                <w:color w:val="auto"/>
              </w:rPr>
            </w:pPr>
            <w:r>
              <w:rPr>
                <w:color w:val="auto"/>
                <w:sz w:val="18"/>
              </w:rPr>
              <w:t>0.857</w:t>
            </w:r>
          </w:p>
        </w:tc>
        <w:tc>
          <w:tcPr>
            <w:tcW w:w="826" w:type="dxa"/>
            <w:tcBorders>
              <w:top w:val="nil"/>
              <w:left w:val="nil"/>
              <w:bottom w:val="nil"/>
              <w:right w:val="nil"/>
            </w:tcBorders>
            <w:tcMar>
              <w:top w:w="35" w:type="dxa"/>
              <w:left w:w="45" w:type="dxa"/>
              <w:bottom w:w="35" w:type="dxa"/>
              <w:right w:w="45" w:type="dxa"/>
            </w:tcMar>
            <w:vAlign w:val="center"/>
          </w:tcPr>
          <w:p w14:paraId="54BFD02C">
            <w:pPr>
              <w:spacing w:after="0" w:line="240" w:lineRule="auto"/>
              <w:jc w:val="center"/>
              <w:rPr>
                <w:color w:val="auto"/>
              </w:rPr>
            </w:pPr>
            <w:r>
              <w:rPr>
                <w:color w:val="auto"/>
                <w:sz w:val="18"/>
              </w:rPr>
              <w:t>702.5</w:t>
            </w:r>
          </w:p>
        </w:tc>
      </w:tr>
      <w:tr w14:paraId="0EB9901E">
        <w:trPr>
          <w:jc w:val="center"/>
        </w:trPr>
        <w:tc>
          <w:tcPr>
            <w:tcW w:w="960" w:type="dxa"/>
            <w:tcBorders>
              <w:top w:val="nil"/>
              <w:left w:val="nil"/>
              <w:bottom w:val="nil"/>
              <w:right w:val="nil"/>
            </w:tcBorders>
            <w:tcMar>
              <w:top w:w="35" w:type="dxa"/>
              <w:left w:w="45" w:type="dxa"/>
              <w:bottom w:w="35" w:type="dxa"/>
              <w:right w:w="45" w:type="dxa"/>
            </w:tcMar>
            <w:vAlign w:val="center"/>
          </w:tcPr>
          <w:p w14:paraId="2E2F2AAB">
            <w:pPr>
              <w:spacing w:after="0" w:line="240" w:lineRule="auto"/>
              <w:rPr>
                <w:color w:val="auto"/>
              </w:rPr>
            </w:pPr>
          </w:p>
        </w:tc>
        <w:tc>
          <w:tcPr>
            <w:tcW w:w="1382" w:type="dxa"/>
            <w:tcBorders>
              <w:top w:val="nil"/>
              <w:left w:val="nil"/>
              <w:bottom w:val="nil"/>
              <w:right w:val="nil"/>
            </w:tcBorders>
            <w:tcMar>
              <w:top w:w="35" w:type="dxa"/>
              <w:left w:w="45" w:type="dxa"/>
              <w:bottom w:w="35" w:type="dxa"/>
              <w:right w:w="45" w:type="dxa"/>
            </w:tcMar>
            <w:vAlign w:val="center"/>
          </w:tcPr>
          <w:p w14:paraId="62849D3D">
            <w:pPr>
              <w:spacing w:after="0" w:line="240" w:lineRule="auto"/>
              <w:rPr>
                <w:color w:val="auto"/>
              </w:rPr>
            </w:pPr>
            <w:r>
              <w:rPr>
                <w:color w:val="auto"/>
                <w:sz w:val="18"/>
              </w:rPr>
              <w:t>+ CRP + albumin</w:t>
            </w:r>
          </w:p>
        </w:tc>
        <w:tc>
          <w:tcPr>
            <w:tcW w:w="1050" w:type="dxa"/>
            <w:tcBorders>
              <w:top w:val="nil"/>
              <w:left w:val="nil"/>
              <w:bottom w:val="nil"/>
              <w:right w:val="nil"/>
            </w:tcBorders>
            <w:tcMar>
              <w:top w:w="35" w:type="dxa"/>
              <w:left w:w="45" w:type="dxa"/>
              <w:bottom w:w="35" w:type="dxa"/>
              <w:right w:w="45" w:type="dxa"/>
            </w:tcMar>
            <w:vAlign w:val="center"/>
          </w:tcPr>
          <w:p w14:paraId="14911311">
            <w:pPr>
              <w:spacing w:after="0" w:line="240" w:lineRule="auto"/>
              <w:jc w:val="center"/>
              <w:rPr>
                <w:color w:val="auto"/>
              </w:rPr>
            </w:pPr>
            <w:r>
              <w:rPr>
                <w:color w:val="auto"/>
                <w:sz w:val="18"/>
              </w:rPr>
              <w:t>CRP</w:t>
            </w:r>
          </w:p>
        </w:tc>
        <w:tc>
          <w:tcPr>
            <w:tcW w:w="1068" w:type="dxa"/>
            <w:tcBorders>
              <w:top w:val="nil"/>
              <w:left w:val="nil"/>
              <w:bottom w:val="nil"/>
              <w:right w:val="nil"/>
            </w:tcBorders>
            <w:tcMar>
              <w:top w:w="35" w:type="dxa"/>
              <w:left w:w="45" w:type="dxa"/>
              <w:bottom w:w="35" w:type="dxa"/>
              <w:right w:w="45" w:type="dxa"/>
            </w:tcMar>
            <w:vAlign w:val="center"/>
          </w:tcPr>
          <w:p w14:paraId="1C9527DA">
            <w:pPr>
              <w:spacing w:after="0" w:line="240" w:lineRule="auto"/>
              <w:jc w:val="center"/>
              <w:rPr>
                <w:color w:val="auto"/>
              </w:rPr>
            </w:pPr>
            <w:r>
              <w:rPr>
                <w:color w:val="auto"/>
                <w:sz w:val="18"/>
              </w:rPr>
              <w:t>490/69</w:t>
            </w:r>
          </w:p>
        </w:tc>
        <w:tc>
          <w:tcPr>
            <w:tcW w:w="1321" w:type="dxa"/>
            <w:tcBorders>
              <w:top w:val="nil"/>
              <w:left w:val="nil"/>
              <w:bottom w:val="nil"/>
              <w:right w:val="nil"/>
            </w:tcBorders>
            <w:tcMar>
              <w:top w:w="35" w:type="dxa"/>
              <w:left w:w="45" w:type="dxa"/>
              <w:bottom w:w="35" w:type="dxa"/>
              <w:right w:w="45" w:type="dxa"/>
            </w:tcMar>
            <w:vAlign w:val="center"/>
          </w:tcPr>
          <w:p w14:paraId="2126A446">
            <w:pPr>
              <w:spacing w:after="0" w:line="240" w:lineRule="auto"/>
              <w:jc w:val="center"/>
              <w:rPr>
                <w:color w:val="auto"/>
              </w:rPr>
            </w:pPr>
            <w:r>
              <w:rPr>
                <w:color w:val="auto"/>
                <w:sz w:val="18"/>
              </w:rPr>
              <w:t>1.27 (1.13–1.43)</w:t>
            </w:r>
          </w:p>
        </w:tc>
        <w:tc>
          <w:tcPr>
            <w:tcW w:w="1082" w:type="dxa"/>
            <w:tcBorders>
              <w:top w:val="nil"/>
              <w:left w:val="nil"/>
              <w:bottom w:val="nil"/>
              <w:right w:val="nil"/>
            </w:tcBorders>
            <w:tcMar>
              <w:top w:w="35" w:type="dxa"/>
              <w:left w:w="45" w:type="dxa"/>
              <w:bottom w:w="35" w:type="dxa"/>
              <w:right w:w="45" w:type="dxa"/>
            </w:tcMar>
            <w:vAlign w:val="center"/>
          </w:tcPr>
          <w:p w14:paraId="6278CF3E">
            <w:pPr>
              <w:spacing w:after="0" w:line="240" w:lineRule="auto"/>
              <w:jc w:val="center"/>
              <w:rPr>
                <w:color w:val="auto"/>
              </w:rPr>
            </w:pPr>
            <w:r>
              <w:rPr>
                <w:color w:val="auto"/>
                <w:sz w:val="18"/>
              </w:rPr>
              <w:t>&lt;0.001</w:t>
            </w:r>
          </w:p>
        </w:tc>
        <w:tc>
          <w:tcPr>
            <w:tcW w:w="1000" w:type="dxa"/>
            <w:tcBorders>
              <w:top w:val="nil"/>
              <w:left w:val="nil"/>
              <w:bottom w:val="nil"/>
              <w:right w:val="nil"/>
            </w:tcBorders>
            <w:tcMar>
              <w:top w:w="35" w:type="dxa"/>
              <w:left w:w="45" w:type="dxa"/>
              <w:bottom w:w="35" w:type="dxa"/>
              <w:right w:w="45" w:type="dxa"/>
            </w:tcMar>
            <w:vAlign w:val="center"/>
          </w:tcPr>
          <w:p w14:paraId="4FB3781B">
            <w:pPr>
              <w:spacing w:after="0" w:line="240" w:lineRule="auto"/>
              <w:jc w:val="center"/>
              <w:rPr>
                <w:color w:val="auto"/>
              </w:rPr>
            </w:pPr>
            <w:r>
              <w:rPr>
                <w:color w:val="auto"/>
                <w:sz w:val="18"/>
              </w:rPr>
              <w:t>0.862</w:t>
            </w:r>
          </w:p>
        </w:tc>
        <w:tc>
          <w:tcPr>
            <w:tcW w:w="826" w:type="dxa"/>
            <w:tcBorders>
              <w:top w:val="nil"/>
              <w:left w:val="nil"/>
              <w:bottom w:val="nil"/>
              <w:right w:val="nil"/>
            </w:tcBorders>
            <w:tcMar>
              <w:top w:w="35" w:type="dxa"/>
              <w:left w:w="45" w:type="dxa"/>
              <w:bottom w:w="35" w:type="dxa"/>
              <w:right w:w="45" w:type="dxa"/>
            </w:tcMar>
            <w:vAlign w:val="center"/>
          </w:tcPr>
          <w:p w14:paraId="331383F1">
            <w:pPr>
              <w:spacing w:after="0" w:line="240" w:lineRule="auto"/>
              <w:jc w:val="center"/>
              <w:rPr>
                <w:color w:val="auto"/>
              </w:rPr>
            </w:pPr>
            <w:r>
              <w:rPr>
                <w:color w:val="auto"/>
                <w:sz w:val="18"/>
              </w:rPr>
              <w:t>703.1</w:t>
            </w:r>
          </w:p>
        </w:tc>
      </w:tr>
      <w:tr w14:paraId="1CE3887F">
        <w:trPr>
          <w:jc w:val="center"/>
        </w:trPr>
        <w:tc>
          <w:tcPr>
            <w:tcW w:w="960" w:type="dxa"/>
            <w:tcBorders>
              <w:top w:val="nil"/>
              <w:left w:val="nil"/>
              <w:bottom w:val="nil"/>
              <w:right w:val="nil"/>
            </w:tcBorders>
            <w:tcMar>
              <w:top w:w="35" w:type="dxa"/>
              <w:left w:w="45" w:type="dxa"/>
              <w:bottom w:w="35" w:type="dxa"/>
              <w:right w:w="45" w:type="dxa"/>
            </w:tcMar>
            <w:vAlign w:val="center"/>
          </w:tcPr>
          <w:p w14:paraId="7FDA8106">
            <w:pPr>
              <w:spacing w:after="0" w:line="240" w:lineRule="auto"/>
              <w:rPr>
                <w:color w:val="auto"/>
              </w:rPr>
            </w:pPr>
          </w:p>
        </w:tc>
        <w:tc>
          <w:tcPr>
            <w:tcW w:w="1382" w:type="dxa"/>
            <w:tcBorders>
              <w:top w:val="nil"/>
              <w:left w:val="nil"/>
              <w:bottom w:val="nil"/>
              <w:right w:val="nil"/>
            </w:tcBorders>
            <w:tcMar>
              <w:top w:w="35" w:type="dxa"/>
              <w:left w:w="45" w:type="dxa"/>
              <w:bottom w:w="35" w:type="dxa"/>
              <w:right w:w="45" w:type="dxa"/>
            </w:tcMar>
            <w:vAlign w:val="center"/>
          </w:tcPr>
          <w:p w14:paraId="7C94B0DF">
            <w:pPr>
              <w:spacing w:after="0" w:line="240" w:lineRule="auto"/>
              <w:rPr>
                <w:color w:val="auto"/>
              </w:rPr>
            </w:pPr>
            <w:r>
              <w:rPr>
                <w:color w:val="auto"/>
                <w:sz w:val="18"/>
              </w:rPr>
              <w:t>+ CRP + albumin</w:t>
            </w:r>
          </w:p>
        </w:tc>
        <w:tc>
          <w:tcPr>
            <w:tcW w:w="1050" w:type="dxa"/>
            <w:tcBorders>
              <w:top w:val="nil"/>
              <w:left w:val="nil"/>
              <w:bottom w:val="nil"/>
              <w:right w:val="nil"/>
            </w:tcBorders>
            <w:tcMar>
              <w:top w:w="35" w:type="dxa"/>
              <w:left w:w="45" w:type="dxa"/>
              <w:bottom w:w="35" w:type="dxa"/>
              <w:right w:w="45" w:type="dxa"/>
            </w:tcMar>
            <w:vAlign w:val="center"/>
          </w:tcPr>
          <w:p w14:paraId="6F525837">
            <w:pPr>
              <w:spacing w:after="0" w:line="240" w:lineRule="auto"/>
              <w:jc w:val="center"/>
              <w:rPr>
                <w:color w:val="auto"/>
              </w:rPr>
            </w:pPr>
            <w:r>
              <w:rPr>
                <w:color w:val="auto"/>
                <w:sz w:val="18"/>
              </w:rPr>
              <w:t>Albumin</w:t>
            </w:r>
          </w:p>
        </w:tc>
        <w:tc>
          <w:tcPr>
            <w:tcW w:w="1068" w:type="dxa"/>
            <w:tcBorders>
              <w:top w:val="nil"/>
              <w:left w:val="nil"/>
              <w:bottom w:val="nil"/>
              <w:right w:val="nil"/>
            </w:tcBorders>
            <w:tcMar>
              <w:top w:w="35" w:type="dxa"/>
              <w:left w:w="45" w:type="dxa"/>
              <w:bottom w:w="35" w:type="dxa"/>
              <w:right w:w="45" w:type="dxa"/>
            </w:tcMar>
            <w:vAlign w:val="center"/>
          </w:tcPr>
          <w:p w14:paraId="450F23E6">
            <w:pPr>
              <w:spacing w:after="0" w:line="240" w:lineRule="auto"/>
              <w:jc w:val="center"/>
              <w:rPr>
                <w:color w:val="auto"/>
              </w:rPr>
            </w:pPr>
            <w:r>
              <w:rPr>
                <w:color w:val="auto"/>
                <w:sz w:val="18"/>
              </w:rPr>
              <w:t>490/69</w:t>
            </w:r>
          </w:p>
        </w:tc>
        <w:tc>
          <w:tcPr>
            <w:tcW w:w="1321" w:type="dxa"/>
            <w:tcBorders>
              <w:top w:val="nil"/>
              <w:left w:val="nil"/>
              <w:bottom w:val="nil"/>
              <w:right w:val="nil"/>
            </w:tcBorders>
            <w:tcMar>
              <w:top w:w="35" w:type="dxa"/>
              <w:left w:w="45" w:type="dxa"/>
              <w:bottom w:w="35" w:type="dxa"/>
              <w:right w:w="45" w:type="dxa"/>
            </w:tcMar>
            <w:vAlign w:val="center"/>
          </w:tcPr>
          <w:p w14:paraId="70E11A60">
            <w:pPr>
              <w:spacing w:after="0" w:line="240" w:lineRule="auto"/>
              <w:jc w:val="center"/>
              <w:rPr>
                <w:color w:val="auto"/>
              </w:rPr>
            </w:pPr>
            <w:r>
              <w:rPr>
                <w:color w:val="auto"/>
                <w:sz w:val="18"/>
              </w:rPr>
              <w:t>1.21 (0.95–1.55)</w:t>
            </w:r>
          </w:p>
        </w:tc>
        <w:tc>
          <w:tcPr>
            <w:tcW w:w="1082" w:type="dxa"/>
            <w:tcBorders>
              <w:top w:val="nil"/>
              <w:left w:val="nil"/>
              <w:bottom w:val="nil"/>
              <w:right w:val="nil"/>
            </w:tcBorders>
            <w:tcMar>
              <w:top w:w="35" w:type="dxa"/>
              <w:left w:w="45" w:type="dxa"/>
              <w:bottom w:w="35" w:type="dxa"/>
              <w:right w:w="45" w:type="dxa"/>
            </w:tcMar>
            <w:vAlign w:val="center"/>
          </w:tcPr>
          <w:p w14:paraId="06BDBD54">
            <w:pPr>
              <w:spacing w:after="0" w:line="240" w:lineRule="auto"/>
              <w:jc w:val="center"/>
              <w:rPr>
                <w:color w:val="auto"/>
              </w:rPr>
            </w:pPr>
            <w:r>
              <w:rPr>
                <w:color w:val="auto"/>
                <w:sz w:val="18"/>
              </w:rPr>
              <w:t>0.115</w:t>
            </w:r>
          </w:p>
        </w:tc>
        <w:tc>
          <w:tcPr>
            <w:tcW w:w="1000" w:type="dxa"/>
            <w:tcBorders>
              <w:top w:val="nil"/>
              <w:left w:val="nil"/>
              <w:bottom w:val="nil"/>
              <w:right w:val="nil"/>
            </w:tcBorders>
            <w:tcMar>
              <w:top w:w="35" w:type="dxa"/>
              <w:left w:w="45" w:type="dxa"/>
              <w:bottom w:w="35" w:type="dxa"/>
              <w:right w:w="45" w:type="dxa"/>
            </w:tcMar>
            <w:vAlign w:val="center"/>
          </w:tcPr>
          <w:p w14:paraId="3814FB16">
            <w:pPr>
              <w:spacing w:after="0" w:line="240" w:lineRule="auto"/>
              <w:jc w:val="center"/>
              <w:rPr>
                <w:color w:val="auto"/>
              </w:rPr>
            </w:pPr>
            <w:r>
              <w:rPr>
                <w:color w:val="auto"/>
                <w:sz w:val="18"/>
              </w:rPr>
              <w:t>0.862</w:t>
            </w:r>
          </w:p>
        </w:tc>
        <w:tc>
          <w:tcPr>
            <w:tcW w:w="826" w:type="dxa"/>
            <w:tcBorders>
              <w:top w:val="nil"/>
              <w:left w:val="nil"/>
              <w:bottom w:val="nil"/>
              <w:right w:val="nil"/>
            </w:tcBorders>
            <w:tcMar>
              <w:top w:w="35" w:type="dxa"/>
              <w:left w:w="45" w:type="dxa"/>
              <w:bottom w:w="35" w:type="dxa"/>
              <w:right w:w="45" w:type="dxa"/>
            </w:tcMar>
            <w:vAlign w:val="center"/>
          </w:tcPr>
          <w:p w14:paraId="17F13DFB">
            <w:pPr>
              <w:spacing w:after="0" w:line="240" w:lineRule="auto"/>
              <w:jc w:val="center"/>
              <w:rPr>
                <w:color w:val="auto"/>
              </w:rPr>
            </w:pPr>
            <w:r>
              <w:rPr>
                <w:color w:val="auto"/>
                <w:sz w:val="18"/>
              </w:rPr>
              <w:t>703.1</w:t>
            </w:r>
          </w:p>
        </w:tc>
      </w:tr>
      <w:tr w14:paraId="2F703A54">
        <w:trPr>
          <w:jc w:val="center"/>
        </w:trPr>
        <w:tc>
          <w:tcPr>
            <w:tcW w:w="960" w:type="dxa"/>
            <w:tcBorders>
              <w:top w:val="nil"/>
              <w:left w:val="nil"/>
              <w:bottom w:val="nil"/>
              <w:right w:val="nil"/>
            </w:tcBorders>
            <w:tcMar>
              <w:top w:w="35" w:type="dxa"/>
              <w:left w:w="45" w:type="dxa"/>
              <w:bottom w:w="35" w:type="dxa"/>
              <w:right w:w="45" w:type="dxa"/>
            </w:tcMar>
            <w:vAlign w:val="center"/>
          </w:tcPr>
          <w:p w14:paraId="5FF84075">
            <w:pPr>
              <w:spacing w:after="0" w:line="240" w:lineRule="auto"/>
              <w:rPr>
                <w:color w:val="auto"/>
              </w:rPr>
            </w:pPr>
            <w:r>
              <w:rPr>
                <w:color w:val="auto"/>
                <w:sz w:val="18"/>
              </w:rPr>
              <w:t>90-day readmission</w:t>
            </w:r>
          </w:p>
        </w:tc>
        <w:tc>
          <w:tcPr>
            <w:tcW w:w="1382" w:type="dxa"/>
            <w:tcBorders>
              <w:top w:val="nil"/>
              <w:left w:val="nil"/>
              <w:bottom w:val="nil"/>
              <w:right w:val="nil"/>
            </w:tcBorders>
            <w:tcMar>
              <w:top w:w="35" w:type="dxa"/>
              <w:left w:w="45" w:type="dxa"/>
              <w:bottom w:w="35" w:type="dxa"/>
              <w:right w:w="45" w:type="dxa"/>
            </w:tcMar>
            <w:vAlign w:val="center"/>
          </w:tcPr>
          <w:p w14:paraId="51CDBDEA">
            <w:pPr>
              <w:spacing w:after="0" w:line="240" w:lineRule="auto"/>
              <w:rPr>
                <w:color w:val="auto"/>
              </w:rPr>
            </w:pPr>
            <w:r>
              <w:rPr>
                <w:color w:val="auto"/>
                <w:sz w:val="18"/>
              </w:rPr>
              <w:t>Base model</w:t>
            </w:r>
          </w:p>
        </w:tc>
        <w:tc>
          <w:tcPr>
            <w:tcW w:w="1050" w:type="dxa"/>
            <w:tcBorders>
              <w:top w:val="nil"/>
              <w:left w:val="nil"/>
              <w:bottom w:val="nil"/>
              <w:right w:val="nil"/>
            </w:tcBorders>
            <w:tcMar>
              <w:top w:w="35" w:type="dxa"/>
              <w:left w:w="45" w:type="dxa"/>
              <w:bottom w:w="35" w:type="dxa"/>
              <w:right w:w="45" w:type="dxa"/>
            </w:tcMar>
            <w:vAlign w:val="center"/>
          </w:tcPr>
          <w:p w14:paraId="5CFBAC0C">
            <w:pPr>
              <w:spacing w:after="0" w:line="240" w:lineRule="auto"/>
              <w:jc w:val="center"/>
              <w:rPr>
                <w:color w:val="auto"/>
              </w:rPr>
            </w:pPr>
            <w:r>
              <w:rPr>
                <w:color w:val="auto"/>
                <w:sz w:val="18"/>
              </w:rPr>
              <w:t>—</w:t>
            </w:r>
          </w:p>
        </w:tc>
        <w:tc>
          <w:tcPr>
            <w:tcW w:w="1068" w:type="dxa"/>
            <w:tcBorders>
              <w:top w:val="nil"/>
              <w:left w:val="nil"/>
              <w:bottom w:val="nil"/>
              <w:right w:val="nil"/>
            </w:tcBorders>
            <w:tcMar>
              <w:top w:w="35" w:type="dxa"/>
              <w:left w:w="45" w:type="dxa"/>
              <w:bottom w:w="35" w:type="dxa"/>
              <w:right w:w="45" w:type="dxa"/>
            </w:tcMar>
            <w:vAlign w:val="center"/>
          </w:tcPr>
          <w:p w14:paraId="3E0433BB">
            <w:pPr>
              <w:spacing w:after="0" w:line="240" w:lineRule="auto"/>
              <w:jc w:val="center"/>
              <w:rPr>
                <w:color w:val="auto"/>
              </w:rPr>
            </w:pPr>
            <w:r>
              <w:rPr>
                <w:color w:val="auto"/>
                <w:sz w:val="18"/>
              </w:rPr>
              <w:t>490/64</w:t>
            </w:r>
          </w:p>
        </w:tc>
        <w:tc>
          <w:tcPr>
            <w:tcW w:w="1321" w:type="dxa"/>
            <w:tcBorders>
              <w:top w:val="nil"/>
              <w:left w:val="nil"/>
              <w:bottom w:val="nil"/>
              <w:right w:val="nil"/>
            </w:tcBorders>
            <w:tcMar>
              <w:top w:w="35" w:type="dxa"/>
              <w:left w:w="45" w:type="dxa"/>
              <w:bottom w:w="35" w:type="dxa"/>
              <w:right w:w="45" w:type="dxa"/>
            </w:tcMar>
            <w:vAlign w:val="center"/>
          </w:tcPr>
          <w:p w14:paraId="424171F0">
            <w:pPr>
              <w:spacing w:after="0" w:line="240" w:lineRule="auto"/>
              <w:jc w:val="center"/>
              <w:rPr>
                <w:color w:val="auto"/>
              </w:rPr>
            </w:pPr>
            <w:r>
              <w:rPr>
                <w:color w:val="auto"/>
                <w:sz w:val="18"/>
              </w:rPr>
              <w:t>—</w:t>
            </w:r>
          </w:p>
        </w:tc>
        <w:tc>
          <w:tcPr>
            <w:tcW w:w="1082" w:type="dxa"/>
            <w:tcBorders>
              <w:top w:val="nil"/>
              <w:left w:val="nil"/>
              <w:bottom w:val="nil"/>
              <w:right w:val="nil"/>
            </w:tcBorders>
            <w:tcMar>
              <w:top w:w="35" w:type="dxa"/>
              <w:left w:w="45" w:type="dxa"/>
              <w:bottom w:w="35" w:type="dxa"/>
              <w:right w:w="45" w:type="dxa"/>
            </w:tcMar>
            <w:vAlign w:val="center"/>
          </w:tcPr>
          <w:p w14:paraId="63BCD855">
            <w:pPr>
              <w:spacing w:after="0" w:line="240" w:lineRule="auto"/>
              <w:jc w:val="center"/>
              <w:rPr>
                <w:color w:val="auto"/>
              </w:rPr>
            </w:pPr>
            <w:r>
              <w:rPr>
                <w:color w:val="auto"/>
                <w:sz w:val="18"/>
              </w:rPr>
              <w:t>—</w:t>
            </w:r>
          </w:p>
        </w:tc>
        <w:tc>
          <w:tcPr>
            <w:tcW w:w="1000" w:type="dxa"/>
            <w:tcBorders>
              <w:top w:val="nil"/>
              <w:left w:val="nil"/>
              <w:bottom w:val="nil"/>
              <w:right w:val="nil"/>
            </w:tcBorders>
            <w:tcMar>
              <w:top w:w="35" w:type="dxa"/>
              <w:left w:w="45" w:type="dxa"/>
              <w:bottom w:w="35" w:type="dxa"/>
              <w:right w:w="45" w:type="dxa"/>
            </w:tcMar>
            <w:vAlign w:val="center"/>
          </w:tcPr>
          <w:p w14:paraId="5EC40E0B">
            <w:pPr>
              <w:spacing w:after="0" w:line="240" w:lineRule="auto"/>
              <w:jc w:val="center"/>
              <w:rPr>
                <w:color w:val="auto"/>
              </w:rPr>
            </w:pPr>
            <w:r>
              <w:rPr>
                <w:color w:val="auto"/>
                <w:sz w:val="18"/>
              </w:rPr>
              <w:t>0.744</w:t>
            </w:r>
          </w:p>
        </w:tc>
        <w:tc>
          <w:tcPr>
            <w:tcW w:w="826" w:type="dxa"/>
            <w:tcBorders>
              <w:top w:val="nil"/>
              <w:left w:val="nil"/>
              <w:bottom w:val="nil"/>
              <w:right w:val="nil"/>
            </w:tcBorders>
            <w:tcMar>
              <w:top w:w="35" w:type="dxa"/>
              <w:left w:w="45" w:type="dxa"/>
              <w:bottom w:w="35" w:type="dxa"/>
              <w:right w:w="45" w:type="dxa"/>
            </w:tcMar>
            <w:vAlign w:val="center"/>
          </w:tcPr>
          <w:p w14:paraId="225B9BAF">
            <w:pPr>
              <w:spacing w:after="0" w:line="240" w:lineRule="auto"/>
              <w:jc w:val="center"/>
              <w:rPr>
                <w:color w:val="auto"/>
              </w:rPr>
            </w:pPr>
            <w:r>
              <w:rPr>
                <w:color w:val="auto"/>
                <w:sz w:val="18"/>
              </w:rPr>
              <w:t>746.8</w:t>
            </w:r>
          </w:p>
        </w:tc>
      </w:tr>
      <w:tr w14:paraId="3C4C8066">
        <w:trPr>
          <w:jc w:val="center"/>
        </w:trPr>
        <w:tc>
          <w:tcPr>
            <w:tcW w:w="960" w:type="dxa"/>
            <w:tcBorders>
              <w:top w:val="nil"/>
              <w:left w:val="nil"/>
              <w:bottom w:val="nil"/>
              <w:right w:val="nil"/>
            </w:tcBorders>
            <w:tcMar>
              <w:top w:w="35" w:type="dxa"/>
              <w:left w:w="45" w:type="dxa"/>
              <w:bottom w:w="35" w:type="dxa"/>
              <w:right w:w="45" w:type="dxa"/>
            </w:tcMar>
            <w:vAlign w:val="center"/>
          </w:tcPr>
          <w:p w14:paraId="7F7A735E">
            <w:pPr>
              <w:spacing w:after="0" w:line="240" w:lineRule="auto"/>
              <w:rPr>
                <w:color w:val="auto"/>
              </w:rPr>
            </w:pPr>
          </w:p>
        </w:tc>
        <w:tc>
          <w:tcPr>
            <w:tcW w:w="1382" w:type="dxa"/>
            <w:tcBorders>
              <w:top w:val="nil"/>
              <w:left w:val="nil"/>
              <w:bottom w:val="nil"/>
              <w:right w:val="nil"/>
            </w:tcBorders>
            <w:tcMar>
              <w:top w:w="35" w:type="dxa"/>
              <w:left w:w="45" w:type="dxa"/>
              <w:bottom w:w="35" w:type="dxa"/>
              <w:right w:w="45" w:type="dxa"/>
            </w:tcMar>
            <w:vAlign w:val="center"/>
          </w:tcPr>
          <w:p w14:paraId="17A8C899">
            <w:pPr>
              <w:spacing w:after="0" w:line="240" w:lineRule="auto"/>
              <w:rPr>
                <w:color w:val="auto"/>
              </w:rPr>
            </w:pPr>
            <w:r>
              <w:rPr>
                <w:color w:val="auto"/>
                <w:sz w:val="18"/>
              </w:rPr>
              <w:t>+ CRP</w:t>
            </w:r>
          </w:p>
        </w:tc>
        <w:tc>
          <w:tcPr>
            <w:tcW w:w="1050" w:type="dxa"/>
            <w:tcBorders>
              <w:top w:val="nil"/>
              <w:left w:val="nil"/>
              <w:bottom w:val="nil"/>
              <w:right w:val="nil"/>
            </w:tcBorders>
            <w:tcMar>
              <w:top w:w="35" w:type="dxa"/>
              <w:left w:w="45" w:type="dxa"/>
              <w:bottom w:w="35" w:type="dxa"/>
              <w:right w:w="45" w:type="dxa"/>
            </w:tcMar>
            <w:vAlign w:val="center"/>
          </w:tcPr>
          <w:p w14:paraId="41245B57">
            <w:pPr>
              <w:spacing w:after="0" w:line="240" w:lineRule="auto"/>
              <w:jc w:val="center"/>
              <w:rPr>
                <w:color w:val="auto"/>
              </w:rPr>
            </w:pPr>
            <w:r>
              <w:rPr>
                <w:color w:val="auto"/>
                <w:sz w:val="18"/>
              </w:rPr>
              <w:t>CRP</w:t>
            </w:r>
          </w:p>
        </w:tc>
        <w:tc>
          <w:tcPr>
            <w:tcW w:w="1068" w:type="dxa"/>
            <w:tcBorders>
              <w:top w:val="nil"/>
              <w:left w:val="nil"/>
              <w:bottom w:val="nil"/>
              <w:right w:val="nil"/>
            </w:tcBorders>
            <w:tcMar>
              <w:top w:w="35" w:type="dxa"/>
              <w:left w:w="45" w:type="dxa"/>
              <w:bottom w:w="35" w:type="dxa"/>
              <w:right w:w="45" w:type="dxa"/>
            </w:tcMar>
            <w:vAlign w:val="center"/>
          </w:tcPr>
          <w:p w14:paraId="2AD0F691">
            <w:pPr>
              <w:spacing w:after="0" w:line="240" w:lineRule="auto"/>
              <w:jc w:val="center"/>
              <w:rPr>
                <w:color w:val="auto"/>
              </w:rPr>
            </w:pPr>
            <w:r>
              <w:rPr>
                <w:color w:val="auto"/>
                <w:sz w:val="18"/>
              </w:rPr>
              <w:t>490/64</w:t>
            </w:r>
          </w:p>
        </w:tc>
        <w:tc>
          <w:tcPr>
            <w:tcW w:w="1321" w:type="dxa"/>
            <w:tcBorders>
              <w:top w:val="nil"/>
              <w:left w:val="nil"/>
              <w:bottom w:val="nil"/>
              <w:right w:val="nil"/>
            </w:tcBorders>
            <w:tcMar>
              <w:top w:w="35" w:type="dxa"/>
              <w:left w:w="45" w:type="dxa"/>
              <w:bottom w:w="35" w:type="dxa"/>
              <w:right w:w="45" w:type="dxa"/>
            </w:tcMar>
            <w:vAlign w:val="center"/>
          </w:tcPr>
          <w:p w14:paraId="2D8FE9F9">
            <w:pPr>
              <w:spacing w:after="0" w:line="240" w:lineRule="auto"/>
              <w:jc w:val="center"/>
              <w:rPr>
                <w:color w:val="auto"/>
              </w:rPr>
            </w:pPr>
            <w:r>
              <w:rPr>
                <w:color w:val="auto"/>
                <w:sz w:val="18"/>
              </w:rPr>
              <w:t>1.37 (1.21–1.54)</w:t>
            </w:r>
          </w:p>
        </w:tc>
        <w:tc>
          <w:tcPr>
            <w:tcW w:w="1082" w:type="dxa"/>
            <w:tcBorders>
              <w:top w:val="nil"/>
              <w:left w:val="nil"/>
              <w:bottom w:val="nil"/>
              <w:right w:val="nil"/>
            </w:tcBorders>
            <w:tcMar>
              <w:top w:w="35" w:type="dxa"/>
              <w:left w:w="45" w:type="dxa"/>
              <w:bottom w:w="35" w:type="dxa"/>
              <w:right w:w="45" w:type="dxa"/>
            </w:tcMar>
            <w:vAlign w:val="center"/>
          </w:tcPr>
          <w:p w14:paraId="050FD25F">
            <w:pPr>
              <w:spacing w:after="0" w:line="240" w:lineRule="auto"/>
              <w:jc w:val="center"/>
              <w:rPr>
                <w:color w:val="auto"/>
              </w:rPr>
            </w:pPr>
            <w:r>
              <w:rPr>
                <w:color w:val="auto"/>
                <w:sz w:val="18"/>
              </w:rPr>
              <w:t>&lt;0.001</w:t>
            </w:r>
          </w:p>
        </w:tc>
        <w:tc>
          <w:tcPr>
            <w:tcW w:w="1000" w:type="dxa"/>
            <w:tcBorders>
              <w:top w:val="nil"/>
              <w:left w:val="nil"/>
              <w:bottom w:val="nil"/>
              <w:right w:val="nil"/>
            </w:tcBorders>
            <w:tcMar>
              <w:top w:w="35" w:type="dxa"/>
              <w:left w:w="45" w:type="dxa"/>
              <w:bottom w:w="35" w:type="dxa"/>
              <w:right w:w="45" w:type="dxa"/>
            </w:tcMar>
            <w:vAlign w:val="center"/>
          </w:tcPr>
          <w:p w14:paraId="4B0642FA">
            <w:pPr>
              <w:spacing w:after="0" w:line="240" w:lineRule="auto"/>
              <w:jc w:val="center"/>
              <w:rPr>
                <w:color w:val="auto"/>
              </w:rPr>
            </w:pPr>
            <w:r>
              <w:rPr>
                <w:color w:val="auto"/>
                <w:sz w:val="18"/>
              </w:rPr>
              <w:t>0.801</w:t>
            </w:r>
          </w:p>
        </w:tc>
        <w:tc>
          <w:tcPr>
            <w:tcW w:w="826" w:type="dxa"/>
            <w:tcBorders>
              <w:top w:val="nil"/>
              <w:left w:val="nil"/>
              <w:bottom w:val="nil"/>
              <w:right w:val="nil"/>
            </w:tcBorders>
            <w:tcMar>
              <w:top w:w="35" w:type="dxa"/>
              <w:left w:w="45" w:type="dxa"/>
              <w:bottom w:w="35" w:type="dxa"/>
              <w:right w:w="45" w:type="dxa"/>
            </w:tcMar>
            <w:vAlign w:val="center"/>
          </w:tcPr>
          <w:p w14:paraId="4A446110">
            <w:pPr>
              <w:spacing w:after="0" w:line="240" w:lineRule="auto"/>
              <w:jc w:val="center"/>
              <w:rPr>
                <w:color w:val="auto"/>
              </w:rPr>
            </w:pPr>
            <w:r>
              <w:rPr>
                <w:color w:val="auto"/>
                <w:sz w:val="18"/>
              </w:rPr>
              <w:t>721.5</w:t>
            </w:r>
          </w:p>
        </w:tc>
      </w:tr>
      <w:tr w14:paraId="2C94B71E">
        <w:trPr>
          <w:jc w:val="center"/>
        </w:trPr>
        <w:tc>
          <w:tcPr>
            <w:tcW w:w="960" w:type="dxa"/>
            <w:tcBorders>
              <w:top w:val="nil"/>
              <w:left w:val="nil"/>
              <w:bottom w:val="nil"/>
              <w:right w:val="nil"/>
            </w:tcBorders>
            <w:tcMar>
              <w:top w:w="35" w:type="dxa"/>
              <w:left w:w="45" w:type="dxa"/>
              <w:bottom w:w="35" w:type="dxa"/>
              <w:right w:w="45" w:type="dxa"/>
            </w:tcMar>
            <w:vAlign w:val="center"/>
          </w:tcPr>
          <w:p w14:paraId="5DE69DDF">
            <w:pPr>
              <w:spacing w:after="0" w:line="240" w:lineRule="auto"/>
              <w:rPr>
                <w:color w:val="auto"/>
              </w:rPr>
            </w:pPr>
          </w:p>
        </w:tc>
        <w:tc>
          <w:tcPr>
            <w:tcW w:w="1382" w:type="dxa"/>
            <w:tcBorders>
              <w:top w:val="nil"/>
              <w:left w:val="nil"/>
              <w:bottom w:val="nil"/>
              <w:right w:val="nil"/>
            </w:tcBorders>
            <w:tcMar>
              <w:top w:w="35" w:type="dxa"/>
              <w:left w:w="45" w:type="dxa"/>
              <w:bottom w:w="35" w:type="dxa"/>
              <w:right w:w="45" w:type="dxa"/>
            </w:tcMar>
            <w:vAlign w:val="center"/>
          </w:tcPr>
          <w:p w14:paraId="73436586">
            <w:pPr>
              <w:spacing w:after="0" w:line="240" w:lineRule="auto"/>
              <w:rPr>
                <w:color w:val="auto"/>
              </w:rPr>
            </w:pPr>
            <w:r>
              <w:rPr>
                <w:color w:val="auto"/>
                <w:sz w:val="18"/>
              </w:rPr>
              <w:t>+ albumin</w:t>
            </w:r>
          </w:p>
        </w:tc>
        <w:tc>
          <w:tcPr>
            <w:tcW w:w="1050" w:type="dxa"/>
            <w:tcBorders>
              <w:top w:val="nil"/>
              <w:left w:val="nil"/>
              <w:bottom w:val="nil"/>
              <w:right w:val="nil"/>
            </w:tcBorders>
            <w:tcMar>
              <w:top w:w="35" w:type="dxa"/>
              <w:left w:w="45" w:type="dxa"/>
              <w:bottom w:w="35" w:type="dxa"/>
              <w:right w:w="45" w:type="dxa"/>
            </w:tcMar>
            <w:vAlign w:val="center"/>
          </w:tcPr>
          <w:p w14:paraId="7B9ACCFF">
            <w:pPr>
              <w:spacing w:after="0" w:line="240" w:lineRule="auto"/>
              <w:jc w:val="center"/>
              <w:rPr>
                <w:color w:val="auto"/>
              </w:rPr>
            </w:pPr>
            <w:r>
              <w:rPr>
                <w:color w:val="auto"/>
                <w:sz w:val="18"/>
              </w:rPr>
              <w:t>Albumin</w:t>
            </w:r>
          </w:p>
        </w:tc>
        <w:tc>
          <w:tcPr>
            <w:tcW w:w="1068" w:type="dxa"/>
            <w:tcBorders>
              <w:top w:val="nil"/>
              <w:left w:val="nil"/>
              <w:bottom w:val="nil"/>
              <w:right w:val="nil"/>
            </w:tcBorders>
            <w:tcMar>
              <w:top w:w="35" w:type="dxa"/>
              <w:left w:w="45" w:type="dxa"/>
              <w:bottom w:w="35" w:type="dxa"/>
              <w:right w:w="45" w:type="dxa"/>
            </w:tcMar>
            <w:vAlign w:val="center"/>
          </w:tcPr>
          <w:p w14:paraId="7CB754A2">
            <w:pPr>
              <w:spacing w:after="0" w:line="240" w:lineRule="auto"/>
              <w:jc w:val="center"/>
              <w:rPr>
                <w:color w:val="auto"/>
              </w:rPr>
            </w:pPr>
            <w:r>
              <w:rPr>
                <w:color w:val="auto"/>
                <w:sz w:val="18"/>
              </w:rPr>
              <w:t>490/64</w:t>
            </w:r>
          </w:p>
        </w:tc>
        <w:tc>
          <w:tcPr>
            <w:tcW w:w="1321" w:type="dxa"/>
            <w:tcBorders>
              <w:top w:val="nil"/>
              <w:left w:val="nil"/>
              <w:bottom w:val="nil"/>
              <w:right w:val="nil"/>
            </w:tcBorders>
            <w:tcMar>
              <w:top w:w="35" w:type="dxa"/>
              <w:left w:w="45" w:type="dxa"/>
              <w:bottom w:w="35" w:type="dxa"/>
              <w:right w:w="45" w:type="dxa"/>
            </w:tcMar>
            <w:vAlign w:val="center"/>
          </w:tcPr>
          <w:p w14:paraId="2036D0C0">
            <w:pPr>
              <w:spacing w:after="0" w:line="240" w:lineRule="auto"/>
              <w:jc w:val="center"/>
              <w:rPr>
                <w:color w:val="auto"/>
              </w:rPr>
            </w:pPr>
            <w:r>
              <w:rPr>
                <w:color w:val="auto"/>
                <w:sz w:val="18"/>
              </w:rPr>
              <w:t>1.22 (0.94–1.60)</w:t>
            </w:r>
          </w:p>
        </w:tc>
        <w:tc>
          <w:tcPr>
            <w:tcW w:w="1082" w:type="dxa"/>
            <w:tcBorders>
              <w:top w:val="nil"/>
              <w:left w:val="nil"/>
              <w:bottom w:val="nil"/>
              <w:right w:val="nil"/>
            </w:tcBorders>
            <w:tcMar>
              <w:top w:w="35" w:type="dxa"/>
              <w:left w:w="45" w:type="dxa"/>
              <w:bottom w:w="35" w:type="dxa"/>
              <w:right w:w="45" w:type="dxa"/>
            </w:tcMar>
            <w:vAlign w:val="center"/>
          </w:tcPr>
          <w:p w14:paraId="71F32000">
            <w:pPr>
              <w:spacing w:after="0" w:line="240" w:lineRule="auto"/>
              <w:jc w:val="center"/>
              <w:rPr>
                <w:color w:val="auto"/>
              </w:rPr>
            </w:pPr>
            <w:r>
              <w:rPr>
                <w:color w:val="auto"/>
                <w:sz w:val="18"/>
              </w:rPr>
              <w:t>0.136</w:t>
            </w:r>
          </w:p>
        </w:tc>
        <w:tc>
          <w:tcPr>
            <w:tcW w:w="1000" w:type="dxa"/>
            <w:tcBorders>
              <w:top w:val="nil"/>
              <w:left w:val="nil"/>
              <w:bottom w:val="nil"/>
              <w:right w:val="nil"/>
            </w:tcBorders>
            <w:tcMar>
              <w:top w:w="35" w:type="dxa"/>
              <w:left w:w="45" w:type="dxa"/>
              <w:bottom w:w="35" w:type="dxa"/>
              <w:right w:w="45" w:type="dxa"/>
            </w:tcMar>
            <w:vAlign w:val="center"/>
          </w:tcPr>
          <w:p w14:paraId="171FA06E">
            <w:pPr>
              <w:spacing w:after="0" w:line="240" w:lineRule="auto"/>
              <w:jc w:val="center"/>
              <w:rPr>
                <w:color w:val="auto"/>
              </w:rPr>
            </w:pPr>
            <w:r>
              <w:rPr>
                <w:color w:val="auto"/>
                <w:sz w:val="18"/>
              </w:rPr>
              <w:t>0.758</w:t>
            </w:r>
          </w:p>
        </w:tc>
        <w:tc>
          <w:tcPr>
            <w:tcW w:w="826" w:type="dxa"/>
            <w:tcBorders>
              <w:top w:val="nil"/>
              <w:left w:val="nil"/>
              <w:bottom w:val="nil"/>
              <w:right w:val="nil"/>
            </w:tcBorders>
            <w:tcMar>
              <w:top w:w="35" w:type="dxa"/>
              <w:left w:w="45" w:type="dxa"/>
              <w:bottom w:w="35" w:type="dxa"/>
              <w:right w:w="45" w:type="dxa"/>
            </w:tcMar>
            <w:vAlign w:val="center"/>
          </w:tcPr>
          <w:p w14:paraId="335A5C53">
            <w:pPr>
              <w:spacing w:after="0" w:line="240" w:lineRule="auto"/>
              <w:jc w:val="center"/>
              <w:rPr>
                <w:color w:val="auto"/>
              </w:rPr>
            </w:pPr>
            <w:r>
              <w:rPr>
                <w:color w:val="auto"/>
                <w:sz w:val="18"/>
              </w:rPr>
              <w:t>746.6</w:t>
            </w:r>
          </w:p>
        </w:tc>
      </w:tr>
      <w:tr w14:paraId="4456AB92">
        <w:trPr>
          <w:jc w:val="center"/>
        </w:trPr>
        <w:tc>
          <w:tcPr>
            <w:tcW w:w="960" w:type="dxa"/>
            <w:tcBorders>
              <w:top w:val="nil"/>
              <w:left w:val="nil"/>
              <w:bottom w:val="nil"/>
              <w:right w:val="nil"/>
            </w:tcBorders>
            <w:tcMar>
              <w:top w:w="35" w:type="dxa"/>
              <w:left w:w="45" w:type="dxa"/>
              <w:bottom w:w="35" w:type="dxa"/>
              <w:right w:w="45" w:type="dxa"/>
            </w:tcMar>
            <w:vAlign w:val="center"/>
          </w:tcPr>
          <w:p w14:paraId="6041C101">
            <w:pPr>
              <w:spacing w:after="0" w:line="240" w:lineRule="auto"/>
              <w:rPr>
                <w:color w:val="auto"/>
              </w:rPr>
            </w:pPr>
          </w:p>
        </w:tc>
        <w:tc>
          <w:tcPr>
            <w:tcW w:w="1382" w:type="dxa"/>
            <w:tcBorders>
              <w:top w:val="nil"/>
              <w:left w:val="nil"/>
              <w:bottom w:val="nil"/>
              <w:right w:val="nil"/>
            </w:tcBorders>
            <w:tcMar>
              <w:top w:w="35" w:type="dxa"/>
              <w:left w:w="45" w:type="dxa"/>
              <w:bottom w:w="35" w:type="dxa"/>
              <w:right w:w="45" w:type="dxa"/>
            </w:tcMar>
            <w:vAlign w:val="center"/>
          </w:tcPr>
          <w:p w14:paraId="55962BAA">
            <w:pPr>
              <w:spacing w:after="0" w:line="240" w:lineRule="auto"/>
              <w:rPr>
                <w:color w:val="auto"/>
              </w:rPr>
            </w:pPr>
            <w:r>
              <w:rPr>
                <w:color w:val="auto"/>
                <w:sz w:val="18"/>
              </w:rPr>
              <w:t>+ CAR</w:t>
            </w:r>
          </w:p>
        </w:tc>
        <w:tc>
          <w:tcPr>
            <w:tcW w:w="1050" w:type="dxa"/>
            <w:tcBorders>
              <w:top w:val="nil"/>
              <w:left w:val="nil"/>
              <w:bottom w:val="nil"/>
              <w:right w:val="nil"/>
            </w:tcBorders>
            <w:tcMar>
              <w:top w:w="35" w:type="dxa"/>
              <w:left w:w="45" w:type="dxa"/>
              <w:bottom w:w="35" w:type="dxa"/>
              <w:right w:w="45" w:type="dxa"/>
            </w:tcMar>
            <w:vAlign w:val="center"/>
          </w:tcPr>
          <w:p w14:paraId="7D15EC99">
            <w:pPr>
              <w:spacing w:after="0" w:line="240" w:lineRule="auto"/>
              <w:jc w:val="center"/>
              <w:rPr>
                <w:color w:val="auto"/>
              </w:rPr>
            </w:pPr>
            <w:r>
              <w:rPr>
                <w:color w:val="auto"/>
                <w:sz w:val="18"/>
              </w:rPr>
              <w:t>CAR</w:t>
            </w:r>
          </w:p>
        </w:tc>
        <w:tc>
          <w:tcPr>
            <w:tcW w:w="1068" w:type="dxa"/>
            <w:tcBorders>
              <w:top w:val="nil"/>
              <w:left w:val="nil"/>
              <w:bottom w:val="nil"/>
              <w:right w:val="nil"/>
            </w:tcBorders>
            <w:tcMar>
              <w:top w:w="35" w:type="dxa"/>
              <w:left w:w="45" w:type="dxa"/>
              <w:bottom w:w="35" w:type="dxa"/>
              <w:right w:w="45" w:type="dxa"/>
            </w:tcMar>
            <w:vAlign w:val="center"/>
          </w:tcPr>
          <w:p w14:paraId="4D22B399">
            <w:pPr>
              <w:spacing w:after="0" w:line="240" w:lineRule="auto"/>
              <w:jc w:val="center"/>
              <w:rPr>
                <w:color w:val="auto"/>
              </w:rPr>
            </w:pPr>
            <w:r>
              <w:rPr>
                <w:color w:val="auto"/>
                <w:sz w:val="18"/>
              </w:rPr>
              <w:t>490/64</w:t>
            </w:r>
          </w:p>
        </w:tc>
        <w:tc>
          <w:tcPr>
            <w:tcW w:w="1321" w:type="dxa"/>
            <w:tcBorders>
              <w:top w:val="nil"/>
              <w:left w:val="nil"/>
              <w:bottom w:val="nil"/>
              <w:right w:val="nil"/>
            </w:tcBorders>
            <w:tcMar>
              <w:top w:w="35" w:type="dxa"/>
              <w:left w:w="45" w:type="dxa"/>
              <w:bottom w:w="35" w:type="dxa"/>
              <w:right w:w="45" w:type="dxa"/>
            </w:tcMar>
            <w:vAlign w:val="center"/>
          </w:tcPr>
          <w:p w14:paraId="4750E4E6">
            <w:pPr>
              <w:spacing w:after="0" w:line="240" w:lineRule="auto"/>
              <w:jc w:val="center"/>
              <w:rPr>
                <w:color w:val="auto"/>
              </w:rPr>
            </w:pPr>
            <w:r>
              <w:rPr>
                <w:color w:val="auto"/>
                <w:sz w:val="18"/>
              </w:rPr>
              <w:t>1.38 (1.23–1.56)</w:t>
            </w:r>
          </w:p>
        </w:tc>
        <w:tc>
          <w:tcPr>
            <w:tcW w:w="1082" w:type="dxa"/>
            <w:tcBorders>
              <w:top w:val="nil"/>
              <w:left w:val="nil"/>
              <w:bottom w:val="nil"/>
              <w:right w:val="nil"/>
            </w:tcBorders>
            <w:tcMar>
              <w:top w:w="35" w:type="dxa"/>
              <w:left w:w="45" w:type="dxa"/>
              <w:bottom w:w="35" w:type="dxa"/>
              <w:right w:w="45" w:type="dxa"/>
            </w:tcMar>
            <w:vAlign w:val="center"/>
          </w:tcPr>
          <w:p w14:paraId="056A301D">
            <w:pPr>
              <w:spacing w:after="0" w:line="240" w:lineRule="auto"/>
              <w:jc w:val="center"/>
              <w:rPr>
                <w:color w:val="auto"/>
              </w:rPr>
            </w:pPr>
            <w:r>
              <w:rPr>
                <w:color w:val="auto"/>
                <w:sz w:val="18"/>
              </w:rPr>
              <w:t>&lt;0.001</w:t>
            </w:r>
          </w:p>
        </w:tc>
        <w:tc>
          <w:tcPr>
            <w:tcW w:w="1000" w:type="dxa"/>
            <w:tcBorders>
              <w:top w:val="nil"/>
              <w:left w:val="nil"/>
              <w:bottom w:val="nil"/>
              <w:right w:val="nil"/>
            </w:tcBorders>
            <w:tcMar>
              <w:top w:w="35" w:type="dxa"/>
              <w:left w:w="45" w:type="dxa"/>
              <w:bottom w:w="35" w:type="dxa"/>
              <w:right w:w="45" w:type="dxa"/>
            </w:tcMar>
            <w:vAlign w:val="center"/>
          </w:tcPr>
          <w:p w14:paraId="55C472DE">
            <w:pPr>
              <w:spacing w:after="0" w:line="240" w:lineRule="auto"/>
              <w:jc w:val="center"/>
              <w:rPr>
                <w:color w:val="auto"/>
              </w:rPr>
            </w:pPr>
            <w:r>
              <w:rPr>
                <w:color w:val="auto"/>
                <w:sz w:val="18"/>
              </w:rPr>
              <w:t>0.804</w:t>
            </w:r>
          </w:p>
        </w:tc>
        <w:tc>
          <w:tcPr>
            <w:tcW w:w="826" w:type="dxa"/>
            <w:tcBorders>
              <w:top w:val="nil"/>
              <w:left w:val="nil"/>
              <w:bottom w:val="nil"/>
              <w:right w:val="nil"/>
            </w:tcBorders>
            <w:tcMar>
              <w:top w:w="35" w:type="dxa"/>
              <w:left w:w="45" w:type="dxa"/>
              <w:bottom w:w="35" w:type="dxa"/>
              <w:right w:w="45" w:type="dxa"/>
            </w:tcMar>
            <w:vAlign w:val="center"/>
          </w:tcPr>
          <w:p w14:paraId="6C77A089">
            <w:pPr>
              <w:spacing w:after="0" w:line="240" w:lineRule="auto"/>
              <w:jc w:val="center"/>
              <w:rPr>
                <w:color w:val="auto"/>
              </w:rPr>
            </w:pPr>
            <w:r>
              <w:rPr>
                <w:color w:val="auto"/>
                <w:sz w:val="18"/>
              </w:rPr>
              <w:t>719.6</w:t>
            </w:r>
          </w:p>
        </w:tc>
      </w:tr>
      <w:tr w14:paraId="75306DDF">
        <w:trPr>
          <w:jc w:val="center"/>
        </w:trPr>
        <w:tc>
          <w:tcPr>
            <w:tcW w:w="960" w:type="dxa"/>
            <w:tcBorders>
              <w:top w:val="nil"/>
              <w:left w:val="nil"/>
              <w:bottom w:val="nil"/>
              <w:right w:val="nil"/>
            </w:tcBorders>
            <w:tcMar>
              <w:top w:w="35" w:type="dxa"/>
              <w:left w:w="45" w:type="dxa"/>
              <w:bottom w:w="35" w:type="dxa"/>
              <w:right w:w="45" w:type="dxa"/>
            </w:tcMar>
            <w:vAlign w:val="center"/>
          </w:tcPr>
          <w:p w14:paraId="4C00C6FF">
            <w:pPr>
              <w:spacing w:after="0" w:line="240" w:lineRule="auto"/>
              <w:rPr>
                <w:color w:val="auto"/>
              </w:rPr>
            </w:pPr>
          </w:p>
        </w:tc>
        <w:tc>
          <w:tcPr>
            <w:tcW w:w="1382" w:type="dxa"/>
            <w:tcBorders>
              <w:top w:val="nil"/>
              <w:left w:val="nil"/>
              <w:bottom w:val="nil"/>
              <w:right w:val="nil"/>
            </w:tcBorders>
            <w:tcMar>
              <w:top w:w="35" w:type="dxa"/>
              <w:left w:w="45" w:type="dxa"/>
              <w:bottom w:w="35" w:type="dxa"/>
              <w:right w:w="45" w:type="dxa"/>
            </w:tcMar>
            <w:vAlign w:val="center"/>
          </w:tcPr>
          <w:p w14:paraId="54DEFF00">
            <w:pPr>
              <w:spacing w:after="0" w:line="240" w:lineRule="auto"/>
              <w:rPr>
                <w:color w:val="auto"/>
              </w:rPr>
            </w:pPr>
            <w:r>
              <w:rPr>
                <w:color w:val="auto"/>
                <w:sz w:val="18"/>
              </w:rPr>
              <w:t>+ CRP + albumin</w:t>
            </w:r>
          </w:p>
        </w:tc>
        <w:tc>
          <w:tcPr>
            <w:tcW w:w="1050" w:type="dxa"/>
            <w:tcBorders>
              <w:top w:val="nil"/>
              <w:left w:val="nil"/>
              <w:bottom w:val="nil"/>
              <w:right w:val="nil"/>
            </w:tcBorders>
            <w:tcMar>
              <w:top w:w="35" w:type="dxa"/>
              <w:left w:w="45" w:type="dxa"/>
              <w:bottom w:w="35" w:type="dxa"/>
              <w:right w:w="45" w:type="dxa"/>
            </w:tcMar>
            <w:vAlign w:val="center"/>
          </w:tcPr>
          <w:p w14:paraId="09E97F17">
            <w:pPr>
              <w:spacing w:after="0" w:line="240" w:lineRule="auto"/>
              <w:jc w:val="center"/>
              <w:rPr>
                <w:color w:val="auto"/>
              </w:rPr>
            </w:pPr>
            <w:r>
              <w:rPr>
                <w:color w:val="auto"/>
                <w:sz w:val="18"/>
              </w:rPr>
              <w:t>CRP</w:t>
            </w:r>
          </w:p>
        </w:tc>
        <w:tc>
          <w:tcPr>
            <w:tcW w:w="1068" w:type="dxa"/>
            <w:tcBorders>
              <w:top w:val="nil"/>
              <w:left w:val="nil"/>
              <w:bottom w:val="nil"/>
              <w:right w:val="nil"/>
            </w:tcBorders>
            <w:tcMar>
              <w:top w:w="35" w:type="dxa"/>
              <w:left w:w="45" w:type="dxa"/>
              <w:bottom w:w="35" w:type="dxa"/>
              <w:right w:w="45" w:type="dxa"/>
            </w:tcMar>
            <w:vAlign w:val="center"/>
          </w:tcPr>
          <w:p w14:paraId="5DBD51E5">
            <w:pPr>
              <w:spacing w:after="0" w:line="240" w:lineRule="auto"/>
              <w:jc w:val="center"/>
              <w:rPr>
                <w:color w:val="auto"/>
              </w:rPr>
            </w:pPr>
            <w:r>
              <w:rPr>
                <w:color w:val="auto"/>
                <w:sz w:val="18"/>
              </w:rPr>
              <w:t>490/64</w:t>
            </w:r>
          </w:p>
        </w:tc>
        <w:tc>
          <w:tcPr>
            <w:tcW w:w="1321" w:type="dxa"/>
            <w:tcBorders>
              <w:top w:val="nil"/>
              <w:left w:val="nil"/>
              <w:bottom w:val="nil"/>
              <w:right w:val="nil"/>
            </w:tcBorders>
            <w:tcMar>
              <w:top w:w="35" w:type="dxa"/>
              <w:left w:w="45" w:type="dxa"/>
              <w:bottom w:w="35" w:type="dxa"/>
              <w:right w:w="45" w:type="dxa"/>
            </w:tcMar>
            <w:vAlign w:val="center"/>
          </w:tcPr>
          <w:p w14:paraId="42FBB567">
            <w:pPr>
              <w:spacing w:after="0" w:line="240" w:lineRule="auto"/>
              <w:jc w:val="center"/>
              <w:rPr>
                <w:color w:val="auto"/>
              </w:rPr>
            </w:pPr>
            <w:r>
              <w:rPr>
                <w:color w:val="auto"/>
                <w:sz w:val="18"/>
              </w:rPr>
              <w:t>1.39 (1.23–1.56)</w:t>
            </w:r>
          </w:p>
        </w:tc>
        <w:tc>
          <w:tcPr>
            <w:tcW w:w="1082" w:type="dxa"/>
            <w:tcBorders>
              <w:top w:val="nil"/>
              <w:left w:val="nil"/>
              <w:bottom w:val="nil"/>
              <w:right w:val="nil"/>
            </w:tcBorders>
            <w:tcMar>
              <w:top w:w="35" w:type="dxa"/>
              <w:left w:w="45" w:type="dxa"/>
              <w:bottom w:w="35" w:type="dxa"/>
              <w:right w:w="45" w:type="dxa"/>
            </w:tcMar>
            <w:vAlign w:val="center"/>
          </w:tcPr>
          <w:p w14:paraId="4D6B09E2">
            <w:pPr>
              <w:spacing w:after="0" w:line="240" w:lineRule="auto"/>
              <w:jc w:val="center"/>
              <w:rPr>
                <w:color w:val="auto"/>
              </w:rPr>
            </w:pPr>
            <w:r>
              <w:rPr>
                <w:color w:val="auto"/>
                <w:sz w:val="18"/>
              </w:rPr>
              <w:t>&lt;0.001</w:t>
            </w:r>
          </w:p>
        </w:tc>
        <w:tc>
          <w:tcPr>
            <w:tcW w:w="1000" w:type="dxa"/>
            <w:tcBorders>
              <w:top w:val="nil"/>
              <w:left w:val="nil"/>
              <w:bottom w:val="nil"/>
              <w:right w:val="nil"/>
            </w:tcBorders>
            <w:tcMar>
              <w:top w:w="35" w:type="dxa"/>
              <w:left w:w="45" w:type="dxa"/>
              <w:bottom w:w="35" w:type="dxa"/>
              <w:right w:w="45" w:type="dxa"/>
            </w:tcMar>
            <w:vAlign w:val="center"/>
          </w:tcPr>
          <w:p w14:paraId="1E66F84C">
            <w:pPr>
              <w:spacing w:after="0" w:line="240" w:lineRule="auto"/>
              <w:jc w:val="center"/>
              <w:rPr>
                <w:color w:val="auto"/>
              </w:rPr>
            </w:pPr>
            <w:r>
              <w:rPr>
                <w:color w:val="auto"/>
                <w:sz w:val="18"/>
              </w:rPr>
              <w:t>0.805</w:t>
            </w:r>
          </w:p>
        </w:tc>
        <w:tc>
          <w:tcPr>
            <w:tcW w:w="826" w:type="dxa"/>
            <w:tcBorders>
              <w:top w:val="nil"/>
              <w:left w:val="nil"/>
              <w:bottom w:val="nil"/>
              <w:right w:val="nil"/>
            </w:tcBorders>
            <w:tcMar>
              <w:top w:w="35" w:type="dxa"/>
              <w:left w:w="45" w:type="dxa"/>
              <w:bottom w:w="35" w:type="dxa"/>
              <w:right w:w="45" w:type="dxa"/>
            </w:tcMar>
            <w:vAlign w:val="center"/>
          </w:tcPr>
          <w:p w14:paraId="6F50433D">
            <w:pPr>
              <w:spacing w:after="0" w:line="240" w:lineRule="auto"/>
              <w:jc w:val="center"/>
              <w:rPr>
                <w:color w:val="auto"/>
              </w:rPr>
            </w:pPr>
            <w:r>
              <w:rPr>
                <w:color w:val="auto"/>
                <w:sz w:val="18"/>
              </w:rPr>
              <w:t>719.5</w:t>
            </w:r>
          </w:p>
        </w:tc>
      </w:tr>
      <w:tr w14:paraId="75761C0B">
        <w:trPr>
          <w:jc w:val="center"/>
        </w:trPr>
        <w:tc>
          <w:tcPr>
            <w:tcW w:w="960" w:type="dxa"/>
            <w:tcBorders>
              <w:top w:val="nil"/>
              <w:left w:val="nil"/>
              <w:bottom w:val="single" w:color="000000" w:sz="12" w:space="0"/>
              <w:right w:val="nil"/>
            </w:tcBorders>
            <w:tcMar>
              <w:top w:w="35" w:type="dxa"/>
              <w:left w:w="45" w:type="dxa"/>
              <w:bottom w:w="35" w:type="dxa"/>
              <w:right w:w="45" w:type="dxa"/>
            </w:tcMar>
            <w:vAlign w:val="center"/>
          </w:tcPr>
          <w:p w14:paraId="5DF407CF">
            <w:pPr>
              <w:spacing w:after="0" w:line="240" w:lineRule="auto"/>
              <w:rPr>
                <w:color w:val="auto"/>
              </w:rPr>
            </w:pPr>
          </w:p>
        </w:tc>
        <w:tc>
          <w:tcPr>
            <w:tcW w:w="1382" w:type="dxa"/>
            <w:tcBorders>
              <w:top w:val="nil"/>
              <w:left w:val="nil"/>
              <w:bottom w:val="single" w:color="000000" w:sz="12" w:space="0"/>
              <w:right w:val="nil"/>
            </w:tcBorders>
            <w:tcMar>
              <w:top w:w="35" w:type="dxa"/>
              <w:left w:w="45" w:type="dxa"/>
              <w:bottom w:w="35" w:type="dxa"/>
              <w:right w:w="45" w:type="dxa"/>
            </w:tcMar>
            <w:vAlign w:val="center"/>
          </w:tcPr>
          <w:p w14:paraId="75DC7D84">
            <w:pPr>
              <w:spacing w:after="0" w:line="240" w:lineRule="auto"/>
              <w:rPr>
                <w:color w:val="auto"/>
              </w:rPr>
            </w:pPr>
            <w:r>
              <w:rPr>
                <w:color w:val="auto"/>
                <w:sz w:val="18"/>
              </w:rPr>
              <w:t>+ CRP + albumin</w:t>
            </w:r>
          </w:p>
        </w:tc>
        <w:tc>
          <w:tcPr>
            <w:tcW w:w="1050" w:type="dxa"/>
            <w:tcBorders>
              <w:top w:val="nil"/>
              <w:left w:val="nil"/>
              <w:bottom w:val="single" w:color="000000" w:sz="12" w:space="0"/>
              <w:right w:val="nil"/>
            </w:tcBorders>
            <w:tcMar>
              <w:top w:w="35" w:type="dxa"/>
              <w:left w:w="45" w:type="dxa"/>
              <w:bottom w:w="35" w:type="dxa"/>
              <w:right w:w="45" w:type="dxa"/>
            </w:tcMar>
            <w:vAlign w:val="center"/>
          </w:tcPr>
          <w:p w14:paraId="26C831AF">
            <w:pPr>
              <w:spacing w:after="0" w:line="240" w:lineRule="auto"/>
              <w:jc w:val="center"/>
              <w:rPr>
                <w:color w:val="auto"/>
              </w:rPr>
            </w:pPr>
            <w:r>
              <w:rPr>
                <w:color w:val="auto"/>
                <w:sz w:val="18"/>
              </w:rPr>
              <w:t>Albumin</w:t>
            </w:r>
          </w:p>
        </w:tc>
        <w:tc>
          <w:tcPr>
            <w:tcW w:w="1068" w:type="dxa"/>
            <w:tcBorders>
              <w:top w:val="nil"/>
              <w:left w:val="nil"/>
              <w:bottom w:val="single" w:color="000000" w:sz="12" w:space="0"/>
              <w:right w:val="nil"/>
            </w:tcBorders>
            <w:tcMar>
              <w:top w:w="35" w:type="dxa"/>
              <w:left w:w="45" w:type="dxa"/>
              <w:bottom w:w="35" w:type="dxa"/>
              <w:right w:w="45" w:type="dxa"/>
            </w:tcMar>
            <w:vAlign w:val="center"/>
          </w:tcPr>
          <w:p w14:paraId="6926BC72">
            <w:pPr>
              <w:spacing w:after="0" w:line="240" w:lineRule="auto"/>
              <w:jc w:val="center"/>
              <w:rPr>
                <w:color w:val="auto"/>
              </w:rPr>
            </w:pPr>
            <w:r>
              <w:rPr>
                <w:color w:val="auto"/>
                <w:sz w:val="18"/>
              </w:rPr>
              <w:t>490/64</w:t>
            </w:r>
          </w:p>
        </w:tc>
        <w:tc>
          <w:tcPr>
            <w:tcW w:w="1321" w:type="dxa"/>
            <w:tcBorders>
              <w:top w:val="nil"/>
              <w:left w:val="nil"/>
              <w:bottom w:val="single" w:color="000000" w:sz="12" w:space="0"/>
              <w:right w:val="nil"/>
            </w:tcBorders>
            <w:tcMar>
              <w:top w:w="35" w:type="dxa"/>
              <w:left w:w="45" w:type="dxa"/>
              <w:bottom w:w="35" w:type="dxa"/>
              <w:right w:w="45" w:type="dxa"/>
            </w:tcMar>
            <w:vAlign w:val="center"/>
          </w:tcPr>
          <w:p w14:paraId="0E185242">
            <w:pPr>
              <w:spacing w:after="0" w:line="240" w:lineRule="auto"/>
              <w:jc w:val="center"/>
              <w:rPr>
                <w:color w:val="auto"/>
              </w:rPr>
            </w:pPr>
            <w:r>
              <w:rPr>
                <w:color w:val="auto"/>
                <w:sz w:val="18"/>
              </w:rPr>
              <w:t>1.31 (1.01–1.71)</w:t>
            </w:r>
          </w:p>
        </w:tc>
        <w:tc>
          <w:tcPr>
            <w:tcW w:w="1082" w:type="dxa"/>
            <w:tcBorders>
              <w:top w:val="nil"/>
              <w:left w:val="nil"/>
              <w:bottom w:val="single" w:color="000000" w:sz="12" w:space="0"/>
              <w:right w:val="nil"/>
            </w:tcBorders>
            <w:tcMar>
              <w:top w:w="35" w:type="dxa"/>
              <w:left w:w="45" w:type="dxa"/>
              <w:bottom w:w="35" w:type="dxa"/>
              <w:right w:w="45" w:type="dxa"/>
            </w:tcMar>
            <w:vAlign w:val="center"/>
          </w:tcPr>
          <w:p w14:paraId="56187695">
            <w:pPr>
              <w:spacing w:after="0" w:line="240" w:lineRule="auto"/>
              <w:jc w:val="center"/>
              <w:rPr>
                <w:color w:val="auto"/>
              </w:rPr>
            </w:pPr>
            <w:r>
              <w:rPr>
                <w:color w:val="auto"/>
                <w:sz w:val="18"/>
              </w:rPr>
              <w:t>0.045</w:t>
            </w:r>
          </w:p>
        </w:tc>
        <w:tc>
          <w:tcPr>
            <w:tcW w:w="1000" w:type="dxa"/>
            <w:tcBorders>
              <w:top w:val="nil"/>
              <w:left w:val="nil"/>
              <w:bottom w:val="single" w:color="000000" w:sz="12" w:space="0"/>
              <w:right w:val="nil"/>
            </w:tcBorders>
            <w:tcMar>
              <w:top w:w="35" w:type="dxa"/>
              <w:left w:w="45" w:type="dxa"/>
              <w:bottom w:w="35" w:type="dxa"/>
              <w:right w:w="45" w:type="dxa"/>
            </w:tcMar>
            <w:vAlign w:val="center"/>
          </w:tcPr>
          <w:p w14:paraId="038A0C59">
            <w:pPr>
              <w:spacing w:after="0" w:line="240" w:lineRule="auto"/>
              <w:jc w:val="center"/>
              <w:rPr>
                <w:color w:val="auto"/>
              </w:rPr>
            </w:pPr>
            <w:r>
              <w:rPr>
                <w:color w:val="auto"/>
                <w:sz w:val="18"/>
              </w:rPr>
              <w:t>0.805</w:t>
            </w:r>
          </w:p>
        </w:tc>
        <w:tc>
          <w:tcPr>
            <w:tcW w:w="826" w:type="dxa"/>
            <w:tcBorders>
              <w:top w:val="nil"/>
              <w:left w:val="nil"/>
              <w:bottom w:val="single" w:color="000000" w:sz="12" w:space="0"/>
              <w:right w:val="nil"/>
            </w:tcBorders>
            <w:tcMar>
              <w:top w:w="35" w:type="dxa"/>
              <w:left w:w="45" w:type="dxa"/>
              <w:bottom w:w="35" w:type="dxa"/>
              <w:right w:w="45" w:type="dxa"/>
            </w:tcMar>
            <w:vAlign w:val="center"/>
          </w:tcPr>
          <w:p w14:paraId="62085A1E">
            <w:pPr>
              <w:spacing w:after="0" w:line="240" w:lineRule="auto"/>
              <w:jc w:val="center"/>
              <w:rPr>
                <w:color w:val="auto"/>
              </w:rPr>
            </w:pPr>
            <w:r>
              <w:rPr>
                <w:color w:val="auto"/>
                <w:sz w:val="18"/>
              </w:rPr>
              <w:t>719.5</w:t>
            </w:r>
          </w:p>
        </w:tc>
      </w:tr>
    </w:tbl>
    <w:p w14:paraId="4F1EC875">
      <w:pPr>
        <w:spacing w:before="80" w:after="40"/>
        <w:rPr>
          <w:b/>
          <w:color w:val="auto"/>
          <w:sz w:val="21"/>
          <w:szCs w:val="21"/>
        </w:rPr>
      </w:pPr>
      <w:r>
        <w:rPr>
          <w:b/>
          <w:color w:val="auto"/>
          <w:sz w:val="21"/>
          <w:szCs w:val="21"/>
        </w:rPr>
        <w:t>Panel B. Direct comparison of model performance between CAR and component-based models</w:t>
      </w:r>
    </w:p>
    <w:tbl>
      <w:tblPr>
        <w:tblStyle w:val="32"/>
        <w:tblW w:w="8706" w:type="dxa"/>
        <w:jc w:val="center"/>
        <w:tblLayout w:type="fixed"/>
        <w:tblCellMar>
          <w:top w:w="0" w:type="dxa"/>
          <w:left w:w="108" w:type="dxa"/>
          <w:bottom w:w="0" w:type="dxa"/>
          <w:right w:w="108" w:type="dxa"/>
        </w:tblCellMar>
      </w:tblPr>
      <w:tblGrid>
        <w:gridCol w:w="1527"/>
        <w:gridCol w:w="1887"/>
        <w:gridCol w:w="1313"/>
        <w:gridCol w:w="900"/>
        <w:gridCol w:w="1537"/>
        <w:gridCol w:w="1542"/>
      </w:tblGrid>
      <w:tr w14:paraId="7BF6F89C">
        <w:trPr>
          <w:jc w:val="center"/>
        </w:trPr>
        <w:tc>
          <w:tcPr>
            <w:tcW w:w="1527"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6AFD1116">
            <w:pPr>
              <w:spacing w:after="0" w:line="240" w:lineRule="auto"/>
              <w:jc w:val="center"/>
              <w:rPr>
                <w:color w:val="auto"/>
              </w:rPr>
            </w:pPr>
            <w:r>
              <w:rPr>
                <w:b/>
                <w:color w:val="auto"/>
                <w:sz w:val="17"/>
              </w:rPr>
              <w:t>Outcome</w:t>
            </w:r>
          </w:p>
        </w:tc>
        <w:tc>
          <w:tcPr>
            <w:tcW w:w="1887"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09855801">
            <w:pPr>
              <w:spacing w:after="0" w:line="240" w:lineRule="auto"/>
              <w:jc w:val="center"/>
              <w:rPr>
                <w:color w:val="auto"/>
              </w:rPr>
            </w:pPr>
            <w:r>
              <w:rPr>
                <w:b/>
                <w:color w:val="auto"/>
                <w:sz w:val="17"/>
              </w:rPr>
              <w:t>Comparison</w:t>
            </w:r>
          </w:p>
        </w:tc>
        <w:tc>
          <w:tcPr>
            <w:tcW w:w="1313"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5B8DDE20">
            <w:pPr>
              <w:spacing w:after="0" w:line="240" w:lineRule="auto"/>
              <w:jc w:val="center"/>
              <w:rPr>
                <w:color w:val="auto"/>
              </w:rPr>
            </w:pPr>
            <w:r>
              <w:rPr>
                <w:b/>
                <w:color w:val="auto"/>
                <w:sz w:val="17"/>
              </w:rPr>
              <w:t>Comparator C-index</w:t>
            </w:r>
          </w:p>
        </w:tc>
        <w:tc>
          <w:tcPr>
            <w:tcW w:w="900"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6C8F6191">
            <w:pPr>
              <w:spacing w:after="0" w:line="240" w:lineRule="auto"/>
              <w:jc w:val="center"/>
              <w:rPr>
                <w:color w:val="auto"/>
              </w:rPr>
            </w:pPr>
            <w:r>
              <w:rPr>
                <w:b/>
                <w:color w:val="auto"/>
                <w:sz w:val="17"/>
              </w:rPr>
              <w:t>CAR C-index</w:t>
            </w:r>
          </w:p>
        </w:tc>
        <w:tc>
          <w:tcPr>
            <w:tcW w:w="1537"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539EDFC0">
            <w:pPr>
              <w:spacing w:after="0" w:line="240" w:lineRule="auto"/>
              <w:jc w:val="center"/>
              <w:rPr>
                <w:color w:val="auto"/>
              </w:rPr>
            </w:pPr>
            <w:r>
              <w:rPr>
                <w:b/>
                <w:color w:val="auto"/>
                <w:sz w:val="17"/>
              </w:rPr>
              <w:t>ΔC-index (CAR − comparator)</w:t>
            </w:r>
          </w:p>
        </w:tc>
        <w:tc>
          <w:tcPr>
            <w:tcW w:w="1542" w:type="dxa"/>
            <w:tcBorders>
              <w:top w:val="single" w:color="000000" w:sz="12" w:space="0"/>
              <w:left w:val="nil"/>
              <w:bottom w:val="single" w:color="000000" w:sz="12" w:space="0"/>
              <w:right w:val="nil"/>
            </w:tcBorders>
            <w:tcMar>
              <w:top w:w="35" w:type="dxa"/>
              <w:left w:w="45" w:type="dxa"/>
              <w:bottom w:w="35" w:type="dxa"/>
              <w:right w:w="45" w:type="dxa"/>
            </w:tcMar>
            <w:vAlign w:val="center"/>
          </w:tcPr>
          <w:p w14:paraId="10FAAE22">
            <w:pPr>
              <w:spacing w:after="0" w:line="240" w:lineRule="auto"/>
              <w:jc w:val="center"/>
              <w:rPr>
                <w:color w:val="auto"/>
              </w:rPr>
            </w:pPr>
            <w:r>
              <w:rPr>
                <w:b/>
                <w:color w:val="auto"/>
                <w:sz w:val="17"/>
              </w:rPr>
              <w:t>ΔAIC (CAR − comparator)</w:t>
            </w:r>
          </w:p>
        </w:tc>
      </w:tr>
      <w:tr w14:paraId="54A1ED29">
        <w:trPr>
          <w:jc w:val="center"/>
        </w:trPr>
        <w:tc>
          <w:tcPr>
            <w:tcW w:w="1527" w:type="dxa"/>
            <w:tcBorders>
              <w:top w:val="nil"/>
              <w:left w:val="nil"/>
              <w:bottom w:val="nil"/>
              <w:right w:val="nil"/>
            </w:tcBorders>
            <w:tcMar>
              <w:top w:w="35" w:type="dxa"/>
              <w:left w:w="45" w:type="dxa"/>
              <w:bottom w:w="35" w:type="dxa"/>
              <w:right w:w="45" w:type="dxa"/>
            </w:tcMar>
            <w:vAlign w:val="center"/>
          </w:tcPr>
          <w:p w14:paraId="4CAC6398">
            <w:pPr>
              <w:spacing w:after="0" w:line="240" w:lineRule="auto"/>
              <w:rPr>
                <w:color w:val="auto"/>
              </w:rPr>
            </w:pPr>
            <w:r>
              <w:rPr>
                <w:color w:val="auto"/>
                <w:sz w:val="18"/>
              </w:rPr>
              <w:t>12-month mortality</w:t>
            </w:r>
          </w:p>
        </w:tc>
        <w:tc>
          <w:tcPr>
            <w:tcW w:w="1887" w:type="dxa"/>
            <w:tcBorders>
              <w:top w:val="nil"/>
              <w:left w:val="nil"/>
              <w:bottom w:val="nil"/>
              <w:right w:val="nil"/>
            </w:tcBorders>
            <w:tcMar>
              <w:top w:w="35" w:type="dxa"/>
              <w:left w:w="45" w:type="dxa"/>
              <w:bottom w:w="35" w:type="dxa"/>
              <w:right w:w="45" w:type="dxa"/>
            </w:tcMar>
            <w:vAlign w:val="center"/>
          </w:tcPr>
          <w:p w14:paraId="0C759FDB">
            <w:pPr>
              <w:spacing w:after="0" w:line="240" w:lineRule="auto"/>
              <w:rPr>
                <w:color w:val="auto"/>
              </w:rPr>
            </w:pPr>
            <w:r>
              <w:rPr>
                <w:color w:val="auto"/>
                <w:sz w:val="18"/>
              </w:rPr>
              <w:t>CAR vs CRP</w:t>
            </w:r>
          </w:p>
        </w:tc>
        <w:tc>
          <w:tcPr>
            <w:tcW w:w="1313" w:type="dxa"/>
            <w:tcBorders>
              <w:top w:val="nil"/>
              <w:left w:val="nil"/>
              <w:bottom w:val="nil"/>
              <w:right w:val="nil"/>
            </w:tcBorders>
            <w:tcMar>
              <w:top w:w="35" w:type="dxa"/>
              <w:left w:w="45" w:type="dxa"/>
              <w:bottom w:w="35" w:type="dxa"/>
              <w:right w:w="45" w:type="dxa"/>
            </w:tcMar>
            <w:vAlign w:val="center"/>
          </w:tcPr>
          <w:p w14:paraId="17823BAD">
            <w:pPr>
              <w:spacing w:after="0" w:line="240" w:lineRule="auto"/>
              <w:jc w:val="center"/>
              <w:rPr>
                <w:color w:val="auto"/>
              </w:rPr>
            </w:pPr>
            <w:r>
              <w:rPr>
                <w:color w:val="auto"/>
                <w:sz w:val="18"/>
              </w:rPr>
              <w:t>0.8552</w:t>
            </w:r>
          </w:p>
        </w:tc>
        <w:tc>
          <w:tcPr>
            <w:tcW w:w="900" w:type="dxa"/>
            <w:tcBorders>
              <w:top w:val="nil"/>
              <w:left w:val="nil"/>
              <w:bottom w:val="nil"/>
              <w:right w:val="nil"/>
            </w:tcBorders>
            <w:tcMar>
              <w:top w:w="35" w:type="dxa"/>
              <w:left w:w="45" w:type="dxa"/>
              <w:bottom w:w="35" w:type="dxa"/>
              <w:right w:w="45" w:type="dxa"/>
            </w:tcMar>
            <w:vAlign w:val="center"/>
          </w:tcPr>
          <w:p w14:paraId="7A380847">
            <w:pPr>
              <w:spacing w:after="0" w:line="240" w:lineRule="auto"/>
              <w:jc w:val="center"/>
              <w:rPr>
                <w:color w:val="auto"/>
              </w:rPr>
            </w:pPr>
            <w:r>
              <w:rPr>
                <w:color w:val="auto"/>
                <w:sz w:val="18"/>
              </w:rPr>
              <w:t>0.8572</w:t>
            </w:r>
          </w:p>
        </w:tc>
        <w:tc>
          <w:tcPr>
            <w:tcW w:w="1537" w:type="dxa"/>
            <w:tcBorders>
              <w:top w:val="nil"/>
              <w:left w:val="nil"/>
              <w:bottom w:val="nil"/>
              <w:right w:val="nil"/>
            </w:tcBorders>
            <w:tcMar>
              <w:top w:w="35" w:type="dxa"/>
              <w:left w:w="45" w:type="dxa"/>
              <w:bottom w:w="35" w:type="dxa"/>
              <w:right w:w="45" w:type="dxa"/>
            </w:tcMar>
            <w:vAlign w:val="center"/>
          </w:tcPr>
          <w:p w14:paraId="52A280FB">
            <w:pPr>
              <w:spacing w:after="0" w:line="240" w:lineRule="auto"/>
              <w:jc w:val="center"/>
              <w:rPr>
                <w:color w:val="auto"/>
              </w:rPr>
            </w:pPr>
            <w:r>
              <w:rPr>
                <w:color w:val="auto"/>
                <w:sz w:val="18"/>
              </w:rPr>
              <w:t>+0.0020</w:t>
            </w:r>
          </w:p>
        </w:tc>
        <w:tc>
          <w:tcPr>
            <w:tcW w:w="1542" w:type="dxa"/>
            <w:tcBorders>
              <w:top w:val="nil"/>
              <w:left w:val="nil"/>
              <w:bottom w:val="nil"/>
              <w:right w:val="nil"/>
            </w:tcBorders>
            <w:tcMar>
              <w:top w:w="35" w:type="dxa"/>
              <w:left w:w="45" w:type="dxa"/>
              <w:bottom w:w="35" w:type="dxa"/>
              <w:right w:w="45" w:type="dxa"/>
            </w:tcMar>
            <w:vAlign w:val="center"/>
          </w:tcPr>
          <w:p w14:paraId="3F3AFA52">
            <w:pPr>
              <w:spacing w:after="0" w:line="240" w:lineRule="auto"/>
              <w:jc w:val="center"/>
              <w:rPr>
                <w:color w:val="auto"/>
              </w:rPr>
            </w:pPr>
            <w:r>
              <w:rPr>
                <w:color w:val="auto"/>
                <w:sz w:val="18"/>
              </w:rPr>
              <w:t>−1.10</w:t>
            </w:r>
          </w:p>
        </w:tc>
      </w:tr>
      <w:tr w14:paraId="3D9AAE4D">
        <w:trPr>
          <w:jc w:val="center"/>
        </w:trPr>
        <w:tc>
          <w:tcPr>
            <w:tcW w:w="1527" w:type="dxa"/>
            <w:tcBorders>
              <w:top w:val="nil"/>
              <w:left w:val="nil"/>
              <w:bottom w:val="nil"/>
              <w:right w:val="nil"/>
            </w:tcBorders>
            <w:tcMar>
              <w:top w:w="35" w:type="dxa"/>
              <w:left w:w="45" w:type="dxa"/>
              <w:bottom w:w="35" w:type="dxa"/>
              <w:right w:w="45" w:type="dxa"/>
            </w:tcMar>
            <w:vAlign w:val="center"/>
          </w:tcPr>
          <w:p w14:paraId="631421C6">
            <w:pPr>
              <w:spacing w:after="0" w:line="240" w:lineRule="auto"/>
              <w:rPr>
                <w:color w:val="auto"/>
              </w:rPr>
            </w:pPr>
          </w:p>
        </w:tc>
        <w:tc>
          <w:tcPr>
            <w:tcW w:w="1887" w:type="dxa"/>
            <w:tcBorders>
              <w:top w:val="nil"/>
              <w:left w:val="nil"/>
              <w:bottom w:val="nil"/>
              <w:right w:val="nil"/>
            </w:tcBorders>
            <w:tcMar>
              <w:top w:w="35" w:type="dxa"/>
              <w:left w:w="45" w:type="dxa"/>
              <w:bottom w:w="35" w:type="dxa"/>
              <w:right w:w="45" w:type="dxa"/>
            </w:tcMar>
            <w:vAlign w:val="center"/>
          </w:tcPr>
          <w:p w14:paraId="166087A4">
            <w:pPr>
              <w:spacing w:after="0" w:line="240" w:lineRule="auto"/>
              <w:rPr>
                <w:color w:val="auto"/>
              </w:rPr>
            </w:pPr>
            <w:r>
              <w:rPr>
                <w:color w:val="auto"/>
                <w:sz w:val="18"/>
              </w:rPr>
              <w:t>CAR vs albumin</w:t>
            </w:r>
          </w:p>
        </w:tc>
        <w:tc>
          <w:tcPr>
            <w:tcW w:w="1313" w:type="dxa"/>
            <w:tcBorders>
              <w:top w:val="nil"/>
              <w:left w:val="nil"/>
              <w:bottom w:val="nil"/>
              <w:right w:val="nil"/>
            </w:tcBorders>
            <w:tcMar>
              <w:top w:w="35" w:type="dxa"/>
              <w:left w:w="45" w:type="dxa"/>
              <w:bottom w:w="35" w:type="dxa"/>
              <w:right w:w="45" w:type="dxa"/>
            </w:tcMar>
            <w:vAlign w:val="center"/>
          </w:tcPr>
          <w:p w14:paraId="104068D6">
            <w:pPr>
              <w:spacing w:after="0" w:line="240" w:lineRule="auto"/>
              <w:jc w:val="center"/>
              <w:rPr>
                <w:color w:val="auto"/>
              </w:rPr>
            </w:pPr>
            <w:r>
              <w:rPr>
                <w:color w:val="auto"/>
                <w:sz w:val="18"/>
              </w:rPr>
              <w:t>0.8517</w:t>
            </w:r>
          </w:p>
        </w:tc>
        <w:tc>
          <w:tcPr>
            <w:tcW w:w="900" w:type="dxa"/>
            <w:tcBorders>
              <w:top w:val="nil"/>
              <w:left w:val="nil"/>
              <w:bottom w:val="nil"/>
              <w:right w:val="nil"/>
            </w:tcBorders>
            <w:tcMar>
              <w:top w:w="35" w:type="dxa"/>
              <w:left w:w="45" w:type="dxa"/>
              <w:bottom w:w="35" w:type="dxa"/>
              <w:right w:w="45" w:type="dxa"/>
            </w:tcMar>
            <w:vAlign w:val="center"/>
          </w:tcPr>
          <w:p w14:paraId="12028D72">
            <w:pPr>
              <w:spacing w:after="0" w:line="240" w:lineRule="auto"/>
              <w:jc w:val="center"/>
              <w:rPr>
                <w:color w:val="auto"/>
              </w:rPr>
            </w:pPr>
            <w:r>
              <w:rPr>
                <w:color w:val="auto"/>
                <w:sz w:val="18"/>
              </w:rPr>
              <w:t>0.8572</w:t>
            </w:r>
          </w:p>
        </w:tc>
        <w:tc>
          <w:tcPr>
            <w:tcW w:w="1537" w:type="dxa"/>
            <w:tcBorders>
              <w:top w:val="nil"/>
              <w:left w:val="nil"/>
              <w:bottom w:val="nil"/>
              <w:right w:val="nil"/>
            </w:tcBorders>
            <w:tcMar>
              <w:top w:w="35" w:type="dxa"/>
              <w:left w:w="45" w:type="dxa"/>
              <w:bottom w:w="35" w:type="dxa"/>
              <w:right w:w="45" w:type="dxa"/>
            </w:tcMar>
            <w:vAlign w:val="center"/>
          </w:tcPr>
          <w:p w14:paraId="06F90EA2">
            <w:pPr>
              <w:spacing w:after="0" w:line="240" w:lineRule="auto"/>
              <w:jc w:val="center"/>
              <w:rPr>
                <w:color w:val="auto"/>
              </w:rPr>
            </w:pPr>
            <w:r>
              <w:rPr>
                <w:color w:val="auto"/>
                <w:sz w:val="18"/>
              </w:rPr>
              <w:t>+0.0055</w:t>
            </w:r>
          </w:p>
        </w:tc>
        <w:tc>
          <w:tcPr>
            <w:tcW w:w="1542" w:type="dxa"/>
            <w:tcBorders>
              <w:top w:val="nil"/>
              <w:left w:val="nil"/>
              <w:bottom w:val="nil"/>
              <w:right w:val="nil"/>
            </w:tcBorders>
            <w:tcMar>
              <w:top w:w="35" w:type="dxa"/>
              <w:left w:w="45" w:type="dxa"/>
              <w:bottom w:w="35" w:type="dxa"/>
              <w:right w:w="45" w:type="dxa"/>
            </w:tcMar>
            <w:vAlign w:val="center"/>
          </w:tcPr>
          <w:p w14:paraId="1BB30384">
            <w:pPr>
              <w:spacing w:after="0" w:line="240" w:lineRule="auto"/>
              <w:jc w:val="center"/>
              <w:rPr>
                <w:color w:val="auto"/>
              </w:rPr>
            </w:pPr>
            <w:r>
              <w:rPr>
                <w:color w:val="auto"/>
                <w:sz w:val="18"/>
              </w:rPr>
              <w:t>−15.00</w:t>
            </w:r>
          </w:p>
        </w:tc>
      </w:tr>
      <w:tr w14:paraId="7AC8FB49">
        <w:trPr>
          <w:jc w:val="center"/>
        </w:trPr>
        <w:tc>
          <w:tcPr>
            <w:tcW w:w="1527" w:type="dxa"/>
            <w:tcBorders>
              <w:top w:val="nil"/>
              <w:left w:val="nil"/>
              <w:bottom w:val="nil"/>
              <w:right w:val="nil"/>
            </w:tcBorders>
            <w:tcMar>
              <w:top w:w="35" w:type="dxa"/>
              <w:left w:w="45" w:type="dxa"/>
              <w:bottom w:w="35" w:type="dxa"/>
              <w:right w:w="45" w:type="dxa"/>
            </w:tcMar>
            <w:vAlign w:val="center"/>
          </w:tcPr>
          <w:p w14:paraId="721DA785">
            <w:pPr>
              <w:spacing w:after="0" w:line="240" w:lineRule="auto"/>
              <w:rPr>
                <w:color w:val="auto"/>
              </w:rPr>
            </w:pPr>
          </w:p>
        </w:tc>
        <w:tc>
          <w:tcPr>
            <w:tcW w:w="1887" w:type="dxa"/>
            <w:tcBorders>
              <w:top w:val="nil"/>
              <w:left w:val="nil"/>
              <w:bottom w:val="nil"/>
              <w:right w:val="nil"/>
            </w:tcBorders>
            <w:tcMar>
              <w:top w:w="35" w:type="dxa"/>
              <w:left w:w="45" w:type="dxa"/>
              <w:bottom w:w="35" w:type="dxa"/>
              <w:right w:w="45" w:type="dxa"/>
            </w:tcMar>
            <w:vAlign w:val="center"/>
          </w:tcPr>
          <w:p w14:paraId="76B09A91">
            <w:pPr>
              <w:spacing w:after="0" w:line="240" w:lineRule="auto"/>
              <w:rPr>
                <w:color w:val="auto"/>
              </w:rPr>
            </w:pPr>
            <w:r>
              <w:rPr>
                <w:color w:val="auto"/>
                <w:sz w:val="18"/>
              </w:rPr>
              <w:t>CAR vs CRP + albumin</w:t>
            </w:r>
          </w:p>
        </w:tc>
        <w:tc>
          <w:tcPr>
            <w:tcW w:w="1313" w:type="dxa"/>
            <w:tcBorders>
              <w:top w:val="nil"/>
              <w:left w:val="nil"/>
              <w:bottom w:val="nil"/>
              <w:right w:val="nil"/>
            </w:tcBorders>
            <w:tcMar>
              <w:top w:w="35" w:type="dxa"/>
              <w:left w:w="45" w:type="dxa"/>
              <w:bottom w:w="35" w:type="dxa"/>
              <w:right w:w="45" w:type="dxa"/>
            </w:tcMar>
            <w:vAlign w:val="center"/>
          </w:tcPr>
          <w:p w14:paraId="70269340">
            <w:pPr>
              <w:spacing w:after="0" w:line="240" w:lineRule="auto"/>
              <w:jc w:val="center"/>
              <w:rPr>
                <w:color w:val="auto"/>
              </w:rPr>
            </w:pPr>
            <w:r>
              <w:rPr>
                <w:color w:val="auto"/>
                <w:sz w:val="18"/>
              </w:rPr>
              <w:t>0.8622</w:t>
            </w:r>
          </w:p>
        </w:tc>
        <w:tc>
          <w:tcPr>
            <w:tcW w:w="900" w:type="dxa"/>
            <w:tcBorders>
              <w:top w:val="nil"/>
              <w:left w:val="nil"/>
              <w:bottom w:val="nil"/>
              <w:right w:val="nil"/>
            </w:tcBorders>
            <w:tcMar>
              <w:top w:w="35" w:type="dxa"/>
              <w:left w:w="45" w:type="dxa"/>
              <w:bottom w:w="35" w:type="dxa"/>
              <w:right w:w="45" w:type="dxa"/>
            </w:tcMar>
            <w:vAlign w:val="center"/>
          </w:tcPr>
          <w:p w14:paraId="12EBF1B8">
            <w:pPr>
              <w:spacing w:after="0" w:line="240" w:lineRule="auto"/>
              <w:jc w:val="center"/>
              <w:rPr>
                <w:color w:val="auto"/>
              </w:rPr>
            </w:pPr>
            <w:r>
              <w:rPr>
                <w:color w:val="auto"/>
                <w:sz w:val="18"/>
              </w:rPr>
              <w:t>0.8572</w:t>
            </w:r>
          </w:p>
        </w:tc>
        <w:tc>
          <w:tcPr>
            <w:tcW w:w="1537" w:type="dxa"/>
            <w:tcBorders>
              <w:top w:val="nil"/>
              <w:left w:val="nil"/>
              <w:bottom w:val="nil"/>
              <w:right w:val="nil"/>
            </w:tcBorders>
            <w:tcMar>
              <w:top w:w="35" w:type="dxa"/>
              <w:left w:w="45" w:type="dxa"/>
              <w:bottom w:w="35" w:type="dxa"/>
              <w:right w:w="45" w:type="dxa"/>
            </w:tcMar>
            <w:vAlign w:val="center"/>
          </w:tcPr>
          <w:p w14:paraId="00A4CFE1">
            <w:pPr>
              <w:spacing w:after="0" w:line="240" w:lineRule="auto"/>
              <w:jc w:val="center"/>
              <w:rPr>
                <w:color w:val="auto"/>
              </w:rPr>
            </w:pPr>
            <w:r>
              <w:rPr>
                <w:color w:val="auto"/>
                <w:sz w:val="18"/>
              </w:rPr>
              <w:t>−0.0050</w:t>
            </w:r>
          </w:p>
        </w:tc>
        <w:tc>
          <w:tcPr>
            <w:tcW w:w="1542" w:type="dxa"/>
            <w:tcBorders>
              <w:top w:val="nil"/>
              <w:left w:val="nil"/>
              <w:bottom w:val="nil"/>
              <w:right w:val="nil"/>
            </w:tcBorders>
            <w:tcMar>
              <w:top w:w="35" w:type="dxa"/>
              <w:left w:w="45" w:type="dxa"/>
              <w:bottom w:w="35" w:type="dxa"/>
              <w:right w:w="45" w:type="dxa"/>
            </w:tcMar>
            <w:vAlign w:val="center"/>
          </w:tcPr>
          <w:p w14:paraId="4DC78869">
            <w:pPr>
              <w:spacing w:after="0" w:line="240" w:lineRule="auto"/>
              <w:jc w:val="center"/>
              <w:rPr>
                <w:color w:val="auto"/>
              </w:rPr>
            </w:pPr>
            <w:r>
              <w:rPr>
                <w:color w:val="auto"/>
                <w:sz w:val="18"/>
              </w:rPr>
              <w:t>−0.62</w:t>
            </w:r>
          </w:p>
        </w:tc>
      </w:tr>
      <w:tr w14:paraId="16669063">
        <w:trPr>
          <w:jc w:val="center"/>
        </w:trPr>
        <w:tc>
          <w:tcPr>
            <w:tcW w:w="1527" w:type="dxa"/>
            <w:tcBorders>
              <w:top w:val="nil"/>
              <w:left w:val="nil"/>
              <w:bottom w:val="nil"/>
              <w:right w:val="nil"/>
            </w:tcBorders>
            <w:tcMar>
              <w:top w:w="35" w:type="dxa"/>
              <w:left w:w="45" w:type="dxa"/>
              <w:bottom w:w="35" w:type="dxa"/>
              <w:right w:w="45" w:type="dxa"/>
            </w:tcMar>
            <w:vAlign w:val="center"/>
          </w:tcPr>
          <w:p w14:paraId="0B5D0E58">
            <w:pPr>
              <w:spacing w:after="0" w:line="240" w:lineRule="auto"/>
              <w:rPr>
                <w:color w:val="auto"/>
              </w:rPr>
            </w:pPr>
            <w:r>
              <w:rPr>
                <w:color w:val="auto"/>
                <w:sz w:val="18"/>
              </w:rPr>
              <w:t>90-day readmission</w:t>
            </w:r>
          </w:p>
        </w:tc>
        <w:tc>
          <w:tcPr>
            <w:tcW w:w="1887" w:type="dxa"/>
            <w:tcBorders>
              <w:top w:val="nil"/>
              <w:left w:val="nil"/>
              <w:bottom w:val="nil"/>
              <w:right w:val="nil"/>
            </w:tcBorders>
            <w:tcMar>
              <w:top w:w="35" w:type="dxa"/>
              <w:left w:w="45" w:type="dxa"/>
              <w:bottom w:w="35" w:type="dxa"/>
              <w:right w:w="45" w:type="dxa"/>
            </w:tcMar>
            <w:vAlign w:val="center"/>
          </w:tcPr>
          <w:p w14:paraId="0BFBEBF6">
            <w:pPr>
              <w:spacing w:after="0" w:line="240" w:lineRule="auto"/>
              <w:rPr>
                <w:color w:val="auto"/>
              </w:rPr>
            </w:pPr>
            <w:r>
              <w:rPr>
                <w:color w:val="auto"/>
                <w:sz w:val="18"/>
              </w:rPr>
              <w:t>CAR vs CRP</w:t>
            </w:r>
          </w:p>
        </w:tc>
        <w:tc>
          <w:tcPr>
            <w:tcW w:w="1313" w:type="dxa"/>
            <w:tcBorders>
              <w:top w:val="nil"/>
              <w:left w:val="nil"/>
              <w:bottom w:val="nil"/>
              <w:right w:val="nil"/>
            </w:tcBorders>
            <w:tcMar>
              <w:top w:w="35" w:type="dxa"/>
              <w:left w:w="45" w:type="dxa"/>
              <w:bottom w:w="35" w:type="dxa"/>
              <w:right w:w="45" w:type="dxa"/>
            </w:tcMar>
            <w:vAlign w:val="center"/>
          </w:tcPr>
          <w:p w14:paraId="5A97F35D">
            <w:pPr>
              <w:spacing w:after="0" w:line="240" w:lineRule="auto"/>
              <w:jc w:val="center"/>
              <w:rPr>
                <w:color w:val="auto"/>
              </w:rPr>
            </w:pPr>
            <w:r>
              <w:rPr>
                <w:color w:val="auto"/>
                <w:sz w:val="18"/>
              </w:rPr>
              <w:t>0.8011</w:t>
            </w:r>
          </w:p>
        </w:tc>
        <w:tc>
          <w:tcPr>
            <w:tcW w:w="900" w:type="dxa"/>
            <w:tcBorders>
              <w:top w:val="nil"/>
              <w:left w:val="nil"/>
              <w:bottom w:val="nil"/>
              <w:right w:val="nil"/>
            </w:tcBorders>
            <w:tcMar>
              <w:top w:w="35" w:type="dxa"/>
              <w:left w:w="45" w:type="dxa"/>
              <w:bottom w:w="35" w:type="dxa"/>
              <w:right w:w="45" w:type="dxa"/>
            </w:tcMar>
            <w:vAlign w:val="center"/>
          </w:tcPr>
          <w:p w14:paraId="12601D11">
            <w:pPr>
              <w:spacing w:after="0" w:line="240" w:lineRule="auto"/>
              <w:jc w:val="center"/>
              <w:rPr>
                <w:color w:val="auto"/>
              </w:rPr>
            </w:pPr>
            <w:r>
              <w:rPr>
                <w:color w:val="auto"/>
                <w:sz w:val="18"/>
              </w:rPr>
              <w:t>0.8041</w:t>
            </w:r>
          </w:p>
        </w:tc>
        <w:tc>
          <w:tcPr>
            <w:tcW w:w="1537" w:type="dxa"/>
            <w:tcBorders>
              <w:top w:val="nil"/>
              <w:left w:val="nil"/>
              <w:bottom w:val="nil"/>
              <w:right w:val="nil"/>
            </w:tcBorders>
            <w:tcMar>
              <w:top w:w="35" w:type="dxa"/>
              <w:left w:w="45" w:type="dxa"/>
              <w:bottom w:w="35" w:type="dxa"/>
              <w:right w:w="45" w:type="dxa"/>
            </w:tcMar>
            <w:vAlign w:val="center"/>
          </w:tcPr>
          <w:p w14:paraId="0C47C655">
            <w:pPr>
              <w:spacing w:after="0" w:line="240" w:lineRule="auto"/>
              <w:jc w:val="center"/>
              <w:rPr>
                <w:color w:val="auto"/>
              </w:rPr>
            </w:pPr>
            <w:r>
              <w:rPr>
                <w:color w:val="auto"/>
                <w:sz w:val="18"/>
              </w:rPr>
              <w:t>+0.0030</w:t>
            </w:r>
          </w:p>
        </w:tc>
        <w:tc>
          <w:tcPr>
            <w:tcW w:w="1542" w:type="dxa"/>
            <w:tcBorders>
              <w:top w:val="nil"/>
              <w:left w:val="nil"/>
              <w:bottom w:val="nil"/>
              <w:right w:val="nil"/>
            </w:tcBorders>
            <w:tcMar>
              <w:top w:w="35" w:type="dxa"/>
              <w:left w:w="45" w:type="dxa"/>
              <w:bottom w:w="35" w:type="dxa"/>
              <w:right w:w="45" w:type="dxa"/>
            </w:tcMar>
            <w:vAlign w:val="center"/>
          </w:tcPr>
          <w:p w14:paraId="3890645A">
            <w:pPr>
              <w:spacing w:after="0" w:line="240" w:lineRule="auto"/>
              <w:jc w:val="center"/>
              <w:rPr>
                <w:color w:val="auto"/>
              </w:rPr>
            </w:pPr>
            <w:r>
              <w:rPr>
                <w:color w:val="auto"/>
                <w:sz w:val="18"/>
              </w:rPr>
              <w:t>−1.90</w:t>
            </w:r>
          </w:p>
        </w:tc>
      </w:tr>
      <w:tr w14:paraId="1CAA876A">
        <w:trPr>
          <w:jc w:val="center"/>
        </w:trPr>
        <w:tc>
          <w:tcPr>
            <w:tcW w:w="1527" w:type="dxa"/>
            <w:tcBorders>
              <w:top w:val="nil"/>
              <w:left w:val="nil"/>
              <w:bottom w:val="nil"/>
              <w:right w:val="nil"/>
            </w:tcBorders>
            <w:tcMar>
              <w:top w:w="35" w:type="dxa"/>
              <w:left w:w="45" w:type="dxa"/>
              <w:bottom w:w="35" w:type="dxa"/>
              <w:right w:w="45" w:type="dxa"/>
            </w:tcMar>
            <w:vAlign w:val="center"/>
          </w:tcPr>
          <w:p w14:paraId="77BDE893">
            <w:pPr>
              <w:spacing w:after="0" w:line="240" w:lineRule="auto"/>
              <w:rPr>
                <w:color w:val="auto"/>
              </w:rPr>
            </w:pPr>
          </w:p>
        </w:tc>
        <w:tc>
          <w:tcPr>
            <w:tcW w:w="1887" w:type="dxa"/>
            <w:tcBorders>
              <w:top w:val="nil"/>
              <w:left w:val="nil"/>
              <w:bottom w:val="nil"/>
              <w:right w:val="nil"/>
            </w:tcBorders>
            <w:tcMar>
              <w:top w:w="35" w:type="dxa"/>
              <w:left w:w="45" w:type="dxa"/>
              <w:bottom w:w="35" w:type="dxa"/>
              <w:right w:w="45" w:type="dxa"/>
            </w:tcMar>
            <w:vAlign w:val="center"/>
          </w:tcPr>
          <w:p w14:paraId="4B903B99">
            <w:pPr>
              <w:spacing w:after="0" w:line="240" w:lineRule="auto"/>
              <w:rPr>
                <w:color w:val="auto"/>
              </w:rPr>
            </w:pPr>
            <w:r>
              <w:rPr>
                <w:color w:val="auto"/>
                <w:sz w:val="18"/>
              </w:rPr>
              <w:t>CAR vs albumin</w:t>
            </w:r>
          </w:p>
        </w:tc>
        <w:tc>
          <w:tcPr>
            <w:tcW w:w="1313" w:type="dxa"/>
            <w:tcBorders>
              <w:top w:val="nil"/>
              <w:left w:val="nil"/>
              <w:bottom w:val="nil"/>
              <w:right w:val="nil"/>
            </w:tcBorders>
            <w:tcMar>
              <w:top w:w="35" w:type="dxa"/>
              <w:left w:w="45" w:type="dxa"/>
              <w:bottom w:w="35" w:type="dxa"/>
              <w:right w:w="45" w:type="dxa"/>
            </w:tcMar>
            <w:vAlign w:val="center"/>
          </w:tcPr>
          <w:p w14:paraId="774B4182">
            <w:pPr>
              <w:spacing w:after="0" w:line="240" w:lineRule="auto"/>
              <w:jc w:val="center"/>
              <w:rPr>
                <w:color w:val="auto"/>
              </w:rPr>
            </w:pPr>
            <w:r>
              <w:rPr>
                <w:color w:val="auto"/>
                <w:sz w:val="18"/>
              </w:rPr>
              <w:t>0.7580</w:t>
            </w:r>
          </w:p>
        </w:tc>
        <w:tc>
          <w:tcPr>
            <w:tcW w:w="900" w:type="dxa"/>
            <w:tcBorders>
              <w:top w:val="nil"/>
              <w:left w:val="nil"/>
              <w:bottom w:val="nil"/>
              <w:right w:val="nil"/>
            </w:tcBorders>
            <w:tcMar>
              <w:top w:w="35" w:type="dxa"/>
              <w:left w:w="45" w:type="dxa"/>
              <w:bottom w:w="35" w:type="dxa"/>
              <w:right w:w="45" w:type="dxa"/>
            </w:tcMar>
            <w:vAlign w:val="center"/>
          </w:tcPr>
          <w:p w14:paraId="1D1D0BC5">
            <w:pPr>
              <w:spacing w:after="0" w:line="240" w:lineRule="auto"/>
              <w:jc w:val="center"/>
              <w:rPr>
                <w:color w:val="auto"/>
              </w:rPr>
            </w:pPr>
            <w:r>
              <w:rPr>
                <w:color w:val="auto"/>
                <w:sz w:val="18"/>
              </w:rPr>
              <w:t>0.8041</w:t>
            </w:r>
          </w:p>
        </w:tc>
        <w:tc>
          <w:tcPr>
            <w:tcW w:w="1537" w:type="dxa"/>
            <w:tcBorders>
              <w:top w:val="nil"/>
              <w:left w:val="nil"/>
              <w:bottom w:val="nil"/>
              <w:right w:val="nil"/>
            </w:tcBorders>
            <w:tcMar>
              <w:top w:w="35" w:type="dxa"/>
              <w:left w:w="45" w:type="dxa"/>
              <w:bottom w:w="35" w:type="dxa"/>
              <w:right w:w="45" w:type="dxa"/>
            </w:tcMar>
            <w:vAlign w:val="center"/>
          </w:tcPr>
          <w:p w14:paraId="7E593BA3">
            <w:pPr>
              <w:spacing w:after="0" w:line="240" w:lineRule="auto"/>
              <w:jc w:val="center"/>
              <w:rPr>
                <w:color w:val="auto"/>
              </w:rPr>
            </w:pPr>
            <w:r>
              <w:rPr>
                <w:color w:val="auto"/>
                <w:sz w:val="18"/>
              </w:rPr>
              <w:t>+0.0461</w:t>
            </w:r>
          </w:p>
        </w:tc>
        <w:tc>
          <w:tcPr>
            <w:tcW w:w="1542" w:type="dxa"/>
            <w:tcBorders>
              <w:top w:val="nil"/>
              <w:left w:val="nil"/>
              <w:bottom w:val="nil"/>
              <w:right w:val="nil"/>
            </w:tcBorders>
            <w:tcMar>
              <w:top w:w="35" w:type="dxa"/>
              <w:left w:w="45" w:type="dxa"/>
              <w:bottom w:w="35" w:type="dxa"/>
              <w:right w:w="45" w:type="dxa"/>
            </w:tcMar>
            <w:vAlign w:val="center"/>
          </w:tcPr>
          <w:p w14:paraId="4051C976">
            <w:pPr>
              <w:spacing w:after="0" w:line="240" w:lineRule="auto"/>
              <w:jc w:val="center"/>
              <w:rPr>
                <w:color w:val="auto"/>
              </w:rPr>
            </w:pPr>
            <w:r>
              <w:rPr>
                <w:color w:val="auto"/>
                <w:sz w:val="18"/>
              </w:rPr>
              <w:t>−27.01</w:t>
            </w:r>
          </w:p>
        </w:tc>
      </w:tr>
      <w:tr w14:paraId="0C0401B8">
        <w:trPr>
          <w:jc w:val="center"/>
        </w:trPr>
        <w:tc>
          <w:tcPr>
            <w:tcW w:w="1527" w:type="dxa"/>
            <w:tcBorders>
              <w:top w:val="nil"/>
              <w:left w:val="nil"/>
              <w:bottom w:val="single" w:color="000000" w:sz="12" w:space="0"/>
              <w:right w:val="nil"/>
            </w:tcBorders>
            <w:tcMar>
              <w:top w:w="35" w:type="dxa"/>
              <w:left w:w="45" w:type="dxa"/>
              <w:bottom w:w="35" w:type="dxa"/>
              <w:right w:w="45" w:type="dxa"/>
            </w:tcMar>
            <w:vAlign w:val="center"/>
          </w:tcPr>
          <w:p w14:paraId="5519B54A">
            <w:pPr>
              <w:spacing w:after="0" w:line="240" w:lineRule="auto"/>
              <w:rPr>
                <w:color w:val="auto"/>
              </w:rPr>
            </w:pPr>
          </w:p>
        </w:tc>
        <w:tc>
          <w:tcPr>
            <w:tcW w:w="1887" w:type="dxa"/>
            <w:tcBorders>
              <w:top w:val="nil"/>
              <w:left w:val="nil"/>
              <w:bottom w:val="single" w:color="000000" w:sz="12" w:space="0"/>
              <w:right w:val="nil"/>
            </w:tcBorders>
            <w:tcMar>
              <w:top w:w="35" w:type="dxa"/>
              <w:left w:w="45" w:type="dxa"/>
              <w:bottom w:w="35" w:type="dxa"/>
              <w:right w:w="45" w:type="dxa"/>
            </w:tcMar>
            <w:vAlign w:val="center"/>
          </w:tcPr>
          <w:p w14:paraId="564CB22C">
            <w:pPr>
              <w:spacing w:after="0" w:line="240" w:lineRule="auto"/>
              <w:rPr>
                <w:color w:val="auto"/>
              </w:rPr>
            </w:pPr>
            <w:r>
              <w:rPr>
                <w:color w:val="auto"/>
                <w:sz w:val="18"/>
              </w:rPr>
              <w:t>CAR vs CRP + albumin</w:t>
            </w:r>
          </w:p>
        </w:tc>
        <w:tc>
          <w:tcPr>
            <w:tcW w:w="1313" w:type="dxa"/>
            <w:tcBorders>
              <w:top w:val="nil"/>
              <w:left w:val="nil"/>
              <w:bottom w:val="single" w:color="000000" w:sz="12" w:space="0"/>
              <w:right w:val="nil"/>
            </w:tcBorders>
            <w:tcMar>
              <w:top w:w="35" w:type="dxa"/>
              <w:left w:w="45" w:type="dxa"/>
              <w:bottom w:w="35" w:type="dxa"/>
              <w:right w:w="45" w:type="dxa"/>
            </w:tcMar>
            <w:vAlign w:val="center"/>
          </w:tcPr>
          <w:p w14:paraId="575C171A">
            <w:pPr>
              <w:spacing w:after="0" w:line="240" w:lineRule="auto"/>
              <w:jc w:val="center"/>
              <w:rPr>
                <w:color w:val="auto"/>
              </w:rPr>
            </w:pPr>
            <w:r>
              <w:rPr>
                <w:color w:val="auto"/>
                <w:sz w:val="18"/>
              </w:rPr>
              <w:t>0.8051</w:t>
            </w:r>
          </w:p>
        </w:tc>
        <w:tc>
          <w:tcPr>
            <w:tcW w:w="900" w:type="dxa"/>
            <w:tcBorders>
              <w:top w:val="nil"/>
              <w:left w:val="nil"/>
              <w:bottom w:val="single" w:color="000000" w:sz="12" w:space="0"/>
              <w:right w:val="nil"/>
            </w:tcBorders>
            <w:tcMar>
              <w:top w:w="35" w:type="dxa"/>
              <w:left w:w="45" w:type="dxa"/>
              <w:bottom w:w="35" w:type="dxa"/>
              <w:right w:w="45" w:type="dxa"/>
            </w:tcMar>
            <w:vAlign w:val="center"/>
          </w:tcPr>
          <w:p w14:paraId="02EF277A">
            <w:pPr>
              <w:spacing w:after="0" w:line="240" w:lineRule="auto"/>
              <w:jc w:val="center"/>
              <w:rPr>
                <w:color w:val="auto"/>
              </w:rPr>
            </w:pPr>
            <w:r>
              <w:rPr>
                <w:color w:val="auto"/>
                <w:sz w:val="18"/>
              </w:rPr>
              <w:t>0.8041</w:t>
            </w:r>
          </w:p>
        </w:tc>
        <w:tc>
          <w:tcPr>
            <w:tcW w:w="1537" w:type="dxa"/>
            <w:tcBorders>
              <w:top w:val="nil"/>
              <w:left w:val="nil"/>
              <w:bottom w:val="single" w:color="000000" w:sz="12" w:space="0"/>
              <w:right w:val="nil"/>
            </w:tcBorders>
            <w:tcMar>
              <w:top w:w="35" w:type="dxa"/>
              <w:left w:w="45" w:type="dxa"/>
              <w:bottom w:w="35" w:type="dxa"/>
              <w:right w:w="45" w:type="dxa"/>
            </w:tcMar>
            <w:vAlign w:val="center"/>
          </w:tcPr>
          <w:p w14:paraId="2BCA1D6E">
            <w:pPr>
              <w:spacing w:after="0" w:line="240" w:lineRule="auto"/>
              <w:jc w:val="center"/>
              <w:rPr>
                <w:color w:val="auto"/>
              </w:rPr>
            </w:pPr>
            <w:r>
              <w:rPr>
                <w:color w:val="auto"/>
                <w:sz w:val="18"/>
              </w:rPr>
              <w:t>−0.0010</w:t>
            </w:r>
          </w:p>
        </w:tc>
        <w:tc>
          <w:tcPr>
            <w:tcW w:w="1542" w:type="dxa"/>
            <w:tcBorders>
              <w:top w:val="nil"/>
              <w:left w:val="nil"/>
              <w:bottom w:val="single" w:color="000000" w:sz="12" w:space="0"/>
              <w:right w:val="nil"/>
            </w:tcBorders>
            <w:tcMar>
              <w:top w:w="35" w:type="dxa"/>
              <w:left w:w="45" w:type="dxa"/>
              <w:bottom w:w="35" w:type="dxa"/>
              <w:right w:w="45" w:type="dxa"/>
            </w:tcMar>
            <w:vAlign w:val="center"/>
          </w:tcPr>
          <w:p w14:paraId="03D7E1F4">
            <w:pPr>
              <w:spacing w:after="0" w:line="240" w:lineRule="auto"/>
              <w:jc w:val="center"/>
              <w:rPr>
                <w:color w:val="auto"/>
              </w:rPr>
            </w:pPr>
            <w:r>
              <w:rPr>
                <w:color w:val="auto"/>
                <w:sz w:val="18"/>
              </w:rPr>
              <w:t>+0.15</w:t>
            </w:r>
          </w:p>
        </w:tc>
      </w:tr>
    </w:tbl>
    <w:p w14:paraId="10C2AC8A">
      <w:pPr>
        <w:jc w:val="both"/>
        <w:rPr>
          <w:rFonts w:hint="eastAsia"/>
          <w:color w:val="auto"/>
          <w:sz w:val="17"/>
        </w:rPr>
      </w:pPr>
      <w:r>
        <w:rPr>
          <w:rFonts w:hint="eastAsia"/>
          <w:color w:val="auto"/>
          <w:sz w:val="17"/>
        </w:rPr>
        <w:t>Notes: All models were evaluated in the same 490 complete cases to allow direct comparison of model performance. The base model included age, sex, New York Heart Association functional class, Charlson Comorbidity Index, hemoglobin, and body mass index. CRP and CAR were log₂-transformed, with HRs expressed per doubling</w:t>
      </w:r>
      <w:r>
        <w:rPr>
          <w:rFonts w:hint="default"/>
          <w:color w:val="auto"/>
          <w:sz w:val="17"/>
          <w:lang w:val="en-US"/>
        </w:rPr>
        <w:t>.</w:t>
      </w:r>
      <w:r>
        <w:rPr>
          <w:rFonts w:hint="eastAsia"/>
          <w:color w:val="auto"/>
          <w:sz w:val="17"/>
        </w:rPr>
        <w:t xml:space="preserve"> </w:t>
      </w:r>
      <w:r>
        <w:rPr>
          <w:rFonts w:hint="default"/>
          <w:color w:val="auto"/>
          <w:sz w:val="17"/>
          <w:lang w:val="en-US"/>
        </w:rPr>
        <w:t>A</w:t>
      </w:r>
      <w:r>
        <w:rPr>
          <w:rFonts w:hint="eastAsia"/>
          <w:color w:val="auto"/>
          <w:sz w:val="17"/>
        </w:rPr>
        <w:t>lbumin HRs were expressed per 5-g/L decrease. Tied event times in the Cox models were handled using the Breslow method. C-index values are Harrell’s concordance indices, and lower AIC values indicate better relative model fit within the common sample. In Panel B, ΔC-index was calculated as the CAR C-index minus the comparator C-index, such that positive values favor CAR</w:t>
      </w:r>
      <w:r>
        <w:rPr>
          <w:rFonts w:hint="default"/>
          <w:color w:val="auto"/>
          <w:sz w:val="17"/>
          <w:lang w:val="en-US"/>
        </w:rPr>
        <w:t>.</w:t>
      </w:r>
      <w:r>
        <w:rPr>
          <w:rFonts w:hint="eastAsia"/>
          <w:color w:val="auto"/>
          <w:sz w:val="17"/>
        </w:rPr>
        <w:t xml:space="preserve"> ΔAIC was calculated as the CAR AIC minus the comparator AIC, such that negative values favor CAR. Because CAR is mathematically derived from CRP and albumin, the primary component assessment used head-to-head common-sample model comparisons rather than a saturated model containing CAR, CRP, and albumin simultaneously. These comparisons were intended to assess relative model performance and parsimony rather than to imply that CAR provides information independent of its mathematical components. AIC, Akaike information criterion; CAR, C-reactive protein-to-albumin ratio; CI, confidence interval; CRP, C-reactive protein; HR, hazard ratio; NYHA, New York Heart Association.</w:t>
      </w:r>
    </w:p>
    <w:p w14:paraId="0D22F0BA">
      <w:pPr>
        <w:jc w:val="both"/>
        <w:rPr>
          <w:rFonts w:hint="eastAsia"/>
          <w:color w:val="auto"/>
          <w:sz w:val="17"/>
        </w:rPr>
      </w:pPr>
    </w:p>
    <w:p w14:paraId="5FF4C75C">
      <w:pPr>
        <w:jc w:val="both"/>
        <w:rPr>
          <w:rFonts w:hint="eastAsia"/>
          <w:color w:val="auto"/>
          <w:sz w:val="17"/>
        </w:rPr>
      </w:pPr>
    </w:p>
    <w:p w14:paraId="6E15540D">
      <w:pPr>
        <w:jc w:val="both"/>
        <w:rPr>
          <w:rFonts w:hint="eastAsia"/>
          <w:color w:val="auto"/>
          <w:sz w:val="17"/>
        </w:rPr>
      </w:pPr>
    </w:p>
    <w:p w14:paraId="6B3D47E7">
      <w:pPr>
        <w:jc w:val="both"/>
        <w:rPr>
          <w:rFonts w:hint="eastAsia"/>
          <w:color w:val="auto"/>
          <w:sz w:val="17"/>
        </w:rPr>
      </w:pPr>
    </w:p>
    <w:p w14:paraId="1761E28E">
      <w:pPr>
        <w:jc w:val="both"/>
        <w:rPr>
          <w:rFonts w:cs="Times New Roman"/>
          <w:color w:val="auto"/>
          <w:sz w:val="24"/>
        </w:rPr>
      </w:pPr>
    </w:p>
    <w:p w14:paraId="213D32CF">
      <w:pPr>
        <w:widowControl w:val="0"/>
        <w:spacing w:before="100" w:after="200"/>
        <w:rPr>
          <w:color w:val="auto"/>
          <w:sz w:val="18"/>
          <w:szCs w:val="18"/>
        </w:rPr>
      </w:pPr>
      <w:r>
        <w:rPr>
          <w:rFonts w:cs="Times New Roman"/>
          <w:b/>
          <w:color w:val="auto"/>
          <w:sz w:val="24"/>
        </w:rPr>
        <w:t>Supplementary Table S5. Extended covariate-adjustment sensitivity analyses of admission NLR and CAR with clinical outcomes</w:t>
      </w:r>
    </w:p>
    <w:tbl>
      <w:tblPr>
        <w:tblStyle w:val="32"/>
        <w:tblW w:w="9208" w:type="dxa"/>
        <w:jc w:val="center"/>
        <w:tblLayout w:type="autofit"/>
        <w:tblCellMar>
          <w:top w:w="0" w:type="dxa"/>
          <w:left w:w="108" w:type="dxa"/>
          <w:bottom w:w="0" w:type="dxa"/>
          <w:right w:w="108" w:type="dxa"/>
        </w:tblCellMar>
      </w:tblPr>
      <w:tblGrid>
        <w:gridCol w:w="1504"/>
        <w:gridCol w:w="2062"/>
        <w:gridCol w:w="942"/>
        <w:gridCol w:w="1470"/>
        <w:gridCol w:w="825"/>
        <w:gridCol w:w="1550"/>
        <w:gridCol w:w="855"/>
      </w:tblGrid>
      <w:tr w14:paraId="69DAE139">
        <w:trPr>
          <w:cantSplit/>
          <w:jc w:val="center"/>
        </w:trPr>
        <w:tc>
          <w:tcPr>
            <w:tcW w:w="1504"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43D30524">
            <w:pPr>
              <w:spacing w:after="0" w:line="240" w:lineRule="auto"/>
              <w:jc w:val="center"/>
              <w:rPr>
                <w:color w:val="auto"/>
                <w:sz w:val="18"/>
                <w:szCs w:val="18"/>
              </w:rPr>
            </w:pPr>
            <w:r>
              <w:rPr>
                <w:rFonts w:cs="Times New Roman"/>
                <w:b/>
                <w:color w:val="auto"/>
                <w:sz w:val="18"/>
                <w:szCs w:val="18"/>
              </w:rPr>
              <w:t>Outcome</w:t>
            </w:r>
          </w:p>
        </w:tc>
        <w:tc>
          <w:tcPr>
            <w:tcW w:w="2062"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11791D08">
            <w:pPr>
              <w:spacing w:after="0" w:line="240" w:lineRule="auto"/>
              <w:jc w:val="center"/>
              <w:rPr>
                <w:color w:val="auto"/>
                <w:sz w:val="18"/>
                <w:szCs w:val="18"/>
              </w:rPr>
            </w:pPr>
            <w:r>
              <w:rPr>
                <w:rFonts w:cs="Times New Roman"/>
                <w:b/>
                <w:color w:val="auto"/>
                <w:sz w:val="18"/>
                <w:szCs w:val="18"/>
              </w:rPr>
              <w:t>Additional adjustment</w:t>
            </w:r>
          </w:p>
        </w:tc>
        <w:tc>
          <w:tcPr>
            <w:tcW w:w="942"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6E5B8569">
            <w:pPr>
              <w:spacing w:after="0" w:line="240" w:lineRule="auto"/>
              <w:jc w:val="center"/>
              <w:rPr>
                <w:color w:val="auto"/>
                <w:sz w:val="18"/>
                <w:szCs w:val="18"/>
              </w:rPr>
            </w:pPr>
            <w:r>
              <w:rPr>
                <w:rFonts w:cs="Times New Roman"/>
                <w:b/>
                <w:color w:val="auto"/>
                <w:sz w:val="18"/>
                <w:szCs w:val="18"/>
              </w:rPr>
              <w:t>n/events</w:t>
            </w:r>
          </w:p>
        </w:tc>
        <w:tc>
          <w:tcPr>
            <w:tcW w:w="1470"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4819EE40">
            <w:pPr>
              <w:spacing w:after="0" w:line="240" w:lineRule="auto"/>
              <w:jc w:val="center"/>
              <w:rPr>
                <w:color w:val="auto"/>
                <w:sz w:val="18"/>
                <w:szCs w:val="18"/>
              </w:rPr>
            </w:pPr>
            <w:r>
              <w:rPr>
                <w:rFonts w:cs="Times New Roman"/>
                <w:b/>
                <w:color w:val="auto"/>
                <w:sz w:val="18"/>
                <w:szCs w:val="18"/>
              </w:rPr>
              <w:t>NLR adjusted HR (95% CI)</w:t>
            </w:r>
          </w:p>
        </w:tc>
        <w:tc>
          <w:tcPr>
            <w:tcW w:w="825"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25D5F6AD">
            <w:pPr>
              <w:spacing w:after="0" w:line="240" w:lineRule="auto"/>
              <w:jc w:val="center"/>
              <w:rPr>
                <w:color w:val="auto"/>
                <w:sz w:val="18"/>
                <w:szCs w:val="18"/>
              </w:rPr>
            </w:pPr>
            <w:r>
              <w:rPr>
                <w:rFonts w:cs="Times New Roman"/>
                <w:b/>
                <w:color w:val="auto"/>
                <w:sz w:val="18"/>
                <w:szCs w:val="18"/>
              </w:rPr>
              <w:t>P value</w:t>
            </w:r>
          </w:p>
        </w:tc>
        <w:tc>
          <w:tcPr>
            <w:tcW w:w="1550"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1C651421">
            <w:pPr>
              <w:spacing w:after="0" w:line="240" w:lineRule="auto"/>
              <w:jc w:val="center"/>
              <w:rPr>
                <w:color w:val="auto"/>
                <w:sz w:val="18"/>
                <w:szCs w:val="18"/>
              </w:rPr>
            </w:pPr>
            <w:r>
              <w:rPr>
                <w:rFonts w:cs="Times New Roman"/>
                <w:b/>
                <w:color w:val="auto"/>
                <w:sz w:val="18"/>
                <w:szCs w:val="18"/>
              </w:rPr>
              <w:t>CAR adjusted HR (95% CI)</w:t>
            </w:r>
          </w:p>
        </w:tc>
        <w:tc>
          <w:tcPr>
            <w:tcW w:w="855" w:type="dxa"/>
            <w:tcBorders>
              <w:top w:val="single" w:color="000000" w:sz="12" w:space="0"/>
              <w:left w:val="nil"/>
              <w:bottom w:val="single" w:color="000000" w:sz="8" w:space="0"/>
              <w:right w:val="nil"/>
            </w:tcBorders>
            <w:tcMar>
              <w:top w:w="40" w:type="dxa"/>
              <w:left w:w="50" w:type="dxa"/>
              <w:bottom w:w="40" w:type="dxa"/>
              <w:right w:w="50" w:type="dxa"/>
            </w:tcMar>
            <w:vAlign w:val="center"/>
          </w:tcPr>
          <w:p w14:paraId="6CC20230">
            <w:pPr>
              <w:spacing w:after="0" w:line="240" w:lineRule="auto"/>
              <w:jc w:val="center"/>
              <w:rPr>
                <w:color w:val="auto"/>
                <w:sz w:val="18"/>
                <w:szCs w:val="18"/>
              </w:rPr>
            </w:pPr>
            <w:r>
              <w:rPr>
                <w:rFonts w:cs="Times New Roman"/>
                <w:b/>
                <w:color w:val="auto"/>
                <w:sz w:val="18"/>
                <w:szCs w:val="18"/>
              </w:rPr>
              <w:t>P value</w:t>
            </w:r>
          </w:p>
        </w:tc>
      </w:tr>
      <w:tr w14:paraId="451E90AB">
        <w:trPr>
          <w:cantSplit/>
          <w:jc w:val="center"/>
        </w:trPr>
        <w:tc>
          <w:tcPr>
            <w:tcW w:w="1504" w:type="dxa"/>
            <w:vMerge w:val="restart"/>
            <w:tcBorders>
              <w:top w:val="nil"/>
              <w:left w:val="nil"/>
              <w:bottom w:val="nil"/>
              <w:right w:val="nil"/>
            </w:tcBorders>
            <w:tcMar>
              <w:top w:w="40" w:type="dxa"/>
              <w:left w:w="50" w:type="dxa"/>
              <w:bottom w:w="40" w:type="dxa"/>
              <w:right w:w="50" w:type="dxa"/>
            </w:tcMar>
            <w:vAlign w:val="center"/>
          </w:tcPr>
          <w:p w14:paraId="0CFF363B">
            <w:pPr>
              <w:spacing w:after="0" w:line="240" w:lineRule="auto"/>
              <w:rPr>
                <w:color w:val="auto"/>
                <w:sz w:val="18"/>
                <w:szCs w:val="18"/>
              </w:rPr>
            </w:pPr>
            <w:r>
              <w:rPr>
                <w:rFonts w:cs="Times New Roman"/>
                <w:color w:val="auto"/>
                <w:sz w:val="18"/>
                <w:szCs w:val="18"/>
              </w:rPr>
              <w:t>12-month all-cause</w:t>
            </w:r>
            <w:r>
              <w:rPr>
                <w:rFonts w:cs="Times New Roman"/>
                <w:color w:val="auto"/>
                <w:sz w:val="18"/>
                <w:szCs w:val="18"/>
              </w:rPr>
              <w:br w:type="textWrapping"/>
            </w:r>
            <w:r>
              <w:rPr>
                <w:rFonts w:cs="Times New Roman"/>
                <w:color w:val="auto"/>
                <w:sz w:val="18"/>
                <w:szCs w:val="18"/>
              </w:rPr>
              <w:t>mortality</w:t>
            </w:r>
          </w:p>
        </w:tc>
        <w:tc>
          <w:tcPr>
            <w:tcW w:w="2062" w:type="dxa"/>
            <w:tcBorders>
              <w:top w:val="nil"/>
              <w:left w:val="nil"/>
              <w:bottom w:val="nil"/>
              <w:right w:val="nil"/>
            </w:tcBorders>
            <w:tcMar>
              <w:top w:w="40" w:type="dxa"/>
              <w:left w:w="50" w:type="dxa"/>
              <w:bottom w:w="40" w:type="dxa"/>
              <w:right w:w="50" w:type="dxa"/>
            </w:tcMar>
            <w:vAlign w:val="center"/>
          </w:tcPr>
          <w:p w14:paraId="35D025D7">
            <w:pPr>
              <w:spacing w:after="0" w:line="240" w:lineRule="auto"/>
              <w:rPr>
                <w:color w:val="auto"/>
                <w:sz w:val="18"/>
                <w:szCs w:val="18"/>
              </w:rPr>
            </w:pPr>
            <w:r>
              <w:rPr>
                <w:rFonts w:cs="Times New Roman"/>
                <w:color w:val="auto"/>
                <w:sz w:val="18"/>
                <w:szCs w:val="18"/>
              </w:rPr>
              <w:t>Joint NLR+CAR model</w:t>
            </w:r>
          </w:p>
        </w:tc>
        <w:tc>
          <w:tcPr>
            <w:tcW w:w="942" w:type="dxa"/>
            <w:tcBorders>
              <w:top w:val="nil"/>
              <w:left w:val="nil"/>
              <w:bottom w:val="nil"/>
              <w:right w:val="nil"/>
            </w:tcBorders>
            <w:tcMar>
              <w:top w:w="40" w:type="dxa"/>
              <w:left w:w="50" w:type="dxa"/>
              <w:bottom w:w="40" w:type="dxa"/>
              <w:right w:w="50" w:type="dxa"/>
            </w:tcMar>
            <w:vAlign w:val="center"/>
          </w:tcPr>
          <w:p w14:paraId="0D48699F">
            <w:pPr>
              <w:spacing w:after="0" w:line="240" w:lineRule="auto"/>
              <w:jc w:val="center"/>
              <w:rPr>
                <w:color w:val="auto"/>
                <w:sz w:val="18"/>
                <w:szCs w:val="18"/>
              </w:rPr>
            </w:pPr>
            <w:r>
              <w:rPr>
                <w:rFonts w:cs="Times New Roman"/>
                <w:color w:val="auto"/>
                <w:sz w:val="18"/>
                <w:szCs w:val="18"/>
              </w:rPr>
              <w:t>488/69</w:t>
            </w:r>
          </w:p>
        </w:tc>
        <w:tc>
          <w:tcPr>
            <w:tcW w:w="1470" w:type="dxa"/>
            <w:tcBorders>
              <w:top w:val="nil"/>
              <w:left w:val="nil"/>
              <w:bottom w:val="nil"/>
              <w:right w:val="nil"/>
            </w:tcBorders>
            <w:tcMar>
              <w:top w:w="40" w:type="dxa"/>
              <w:left w:w="50" w:type="dxa"/>
              <w:bottom w:w="40" w:type="dxa"/>
              <w:right w:w="50" w:type="dxa"/>
            </w:tcMar>
            <w:vAlign w:val="center"/>
          </w:tcPr>
          <w:p w14:paraId="2E08BB4D">
            <w:pPr>
              <w:spacing w:after="0" w:line="240" w:lineRule="auto"/>
              <w:jc w:val="center"/>
              <w:rPr>
                <w:color w:val="auto"/>
                <w:sz w:val="18"/>
                <w:szCs w:val="18"/>
              </w:rPr>
            </w:pPr>
            <w:r>
              <w:rPr>
                <w:rFonts w:cs="Times New Roman"/>
                <w:color w:val="auto"/>
                <w:sz w:val="18"/>
                <w:szCs w:val="18"/>
              </w:rPr>
              <w:t>1.05 (0.84–1.31)</w:t>
            </w:r>
          </w:p>
        </w:tc>
        <w:tc>
          <w:tcPr>
            <w:tcW w:w="825" w:type="dxa"/>
            <w:tcBorders>
              <w:top w:val="nil"/>
              <w:left w:val="nil"/>
              <w:bottom w:val="nil"/>
              <w:right w:val="nil"/>
            </w:tcBorders>
            <w:tcMar>
              <w:top w:w="40" w:type="dxa"/>
              <w:left w:w="50" w:type="dxa"/>
              <w:bottom w:w="40" w:type="dxa"/>
              <w:right w:w="50" w:type="dxa"/>
            </w:tcMar>
            <w:vAlign w:val="center"/>
          </w:tcPr>
          <w:p w14:paraId="200637D7">
            <w:pPr>
              <w:spacing w:after="0" w:line="240" w:lineRule="auto"/>
              <w:jc w:val="center"/>
              <w:rPr>
                <w:color w:val="auto"/>
                <w:sz w:val="18"/>
                <w:szCs w:val="18"/>
              </w:rPr>
            </w:pPr>
            <w:r>
              <w:rPr>
                <w:rFonts w:cs="Times New Roman"/>
                <w:color w:val="auto"/>
                <w:sz w:val="18"/>
                <w:szCs w:val="18"/>
              </w:rPr>
              <w:t>0.673</w:t>
            </w:r>
          </w:p>
        </w:tc>
        <w:tc>
          <w:tcPr>
            <w:tcW w:w="1550" w:type="dxa"/>
            <w:tcBorders>
              <w:top w:val="nil"/>
              <w:left w:val="nil"/>
              <w:bottom w:val="nil"/>
              <w:right w:val="nil"/>
            </w:tcBorders>
            <w:tcMar>
              <w:top w:w="40" w:type="dxa"/>
              <w:left w:w="50" w:type="dxa"/>
              <w:bottom w:w="40" w:type="dxa"/>
              <w:right w:w="50" w:type="dxa"/>
            </w:tcMar>
            <w:vAlign w:val="center"/>
          </w:tcPr>
          <w:p w14:paraId="2998F5CB">
            <w:pPr>
              <w:spacing w:after="0" w:line="240" w:lineRule="auto"/>
              <w:jc w:val="center"/>
              <w:rPr>
                <w:color w:val="auto"/>
                <w:sz w:val="18"/>
                <w:szCs w:val="18"/>
              </w:rPr>
            </w:pPr>
            <w:r>
              <w:rPr>
                <w:rFonts w:cs="Times New Roman"/>
                <w:color w:val="auto"/>
                <w:sz w:val="18"/>
                <w:szCs w:val="18"/>
              </w:rPr>
              <w:t>1.26 (1.12–1.42)</w:t>
            </w:r>
          </w:p>
        </w:tc>
        <w:tc>
          <w:tcPr>
            <w:tcW w:w="855" w:type="dxa"/>
            <w:tcBorders>
              <w:top w:val="nil"/>
              <w:left w:val="nil"/>
              <w:bottom w:val="nil"/>
              <w:right w:val="nil"/>
            </w:tcBorders>
            <w:tcMar>
              <w:top w:w="40" w:type="dxa"/>
              <w:left w:w="50" w:type="dxa"/>
              <w:bottom w:w="40" w:type="dxa"/>
              <w:right w:w="50" w:type="dxa"/>
            </w:tcMar>
            <w:vAlign w:val="center"/>
          </w:tcPr>
          <w:p w14:paraId="6C1A398C">
            <w:pPr>
              <w:spacing w:after="0" w:line="240" w:lineRule="auto"/>
              <w:jc w:val="center"/>
              <w:rPr>
                <w:color w:val="auto"/>
                <w:sz w:val="18"/>
                <w:szCs w:val="18"/>
              </w:rPr>
            </w:pPr>
            <w:r>
              <w:rPr>
                <w:rFonts w:cs="Times New Roman"/>
                <w:color w:val="auto"/>
                <w:sz w:val="18"/>
                <w:szCs w:val="18"/>
              </w:rPr>
              <w:t>&lt;0.001</w:t>
            </w:r>
          </w:p>
        </w:tc>
      </w:tr>
      <w:tr w14:paraId="1709B892">
        <w:trPr>
          <w:cantSplit/>
          <w:jc w:val="center"/>
        </w:trPr>
        <w:tc>
          <w:tcPr>
            <w:tcW w:w="1504" w:type="dxa"/>
            <w:vMerge w:val="continue"/>
            <w:tcBorders>
              <w:top w:val="nil"/>
              <w:left w:val="nil"/>
              <w:bottom w:val="nil"/>
              <w:right w:val="nil"/>
            </w:tcBorders>
            <w:tcMar>
              <w:top w:w="60" w:type="dxa"/>
              <w:left w:w="70" w:type="dxa"/>
              <w:bottom w:w="60" w:type="dxa"/>
              <w:right w:w="70" w:type="dxa"/>
            </w:tcMar>
            <w:vAlign w:val="center"/>
          </w:tcPr>
          <w:p w14:paraId="40A0BDAC">
            <w:pPr>
              <w:rPr>
                <w:color w:val="auto"/>
                <w:sz w:val="18"/>
                <w:szCs w:val="18"/>
              </w:rPr>
            </w:pPr>
          </w:p>
        </w:tc>
        <w:tc>
          <w:tcPr>
            <w:tcW w:w="2062" w:type="dxa"/>
            <w:tcBorders>
              <w:top w:val="nil"/>
              <w:left w:val="nil"/>
              <w:bottom w:val="nil"/>
              <w:right w:val="nil"/>
            </w:tcBorders>
            <w:tcMar>
              <w:top w:w="40" w:type="dxa"/>
              <w:left w:w="50" w:type="dxa"/>
              <w:bottom w:w="40" w:type="dxa"/>
              <w:right w:w="50" w:type="dxa"/>
            </w:tcMar>
            <w:vAlign w:val="center"/>
          </w:tcPr>
          <w:p w14:paraId="7199493F">
            <w:pPr>
              <w:spacing w:after="0" w:line="240" w:lineRule="auto"/>
              <w:rPr>
                <w:color w:val="auto"/>
                <w:sz w:val="18"/>
                <w:szCs w:val="18"/>
              </w:rPr>
            </w:pPr>
            <w:r>
              <w:rPr>
                <w:rFonts w:cs="Times New Roman"/>
                <w:color w:val="auto"/>
                <w:sz w:val="18"/>
                <w:szCs w:val="18"/>
              </w:rPr>
              <w:t>+ eGFR and serum sodium</w:t>
            </w:r>
          </w:p>
        </w:tc>
        <w:tc>
          <w:tcPr>
            <w:tcW w:w="942" w:type="dxa"/>
            <w:tcBorders>
              <w:top w:val="nil"/>
              <w:left w:val="nil"/>
              <w:bottom w:val="nil"/>
              <w:right w:val="nil"/>
            </w:tcBorders>
            <w:tcMar>
              <w:top w:w="40" w:type="dxa"/>
              <w:left w:w="50" w:type="dxa"/>
              <w:bottom w:w="40" w:type="dxa"/>
              <w:right w:w="50" w:type="dxa"/>
            </w:tcMar>
            <w:vAlign w:val="center"/>
          </w:tcPr>
          <w:p w14:paraId="209BE6F5">
            <w:pPr>
              <w:spacing w:after="0" w:line="240" w:lineRule="auto"/>
              <w:jc w:val="center"/>
              <w:rPr>
                <w:color w:val="auto"/>
                <w:sz w:val="18"/>
                <w:szCs w:val="18"/>
              </w:rPr>
            </w:pPr>
            <w:r>
              <w:rPr>
                <w:rFonts w:cs="Times New Roman"/>
                <w:color w:val="auto"/>
                <w:sz w:val="18"/>
                <w:szCs w:val="18"/>
              </w:rPr>
              <w:t>478/68</w:t>
            </w:r>
          </w:p>
        </w:tc>
        <w:tc>
          <w:tcPr>
            <w:tcW w:w="1470" w:type="dxa"/>
            <w:tcBorders>
              <w:top w:val="nil"/>
              <w:left w:val="nil"/>
              <w:bottom w:val="nil"/>
              <w:right w:val="nil"/>
            </w:tcBorders>
            <w:tcMar>
              <w:top w:w="40" w:type="dxa"/>
              <w:left w:w="50" w:type="dxa"/>
              <w:bottom w:w="40" w:type="dxa"/>
              <w:right w:w="50" w:type="dxa"/>
            </w:tcMar>
            <w:vAlign w:val="center"/>
          </w:tcPr>
          <w:p w14:paraId="17F7FC3B">
            <w:pPr>
              <w:spacing w:after="0" w:line="240" w:lineRule="auto"/>
              <w:jc w:val="center"/>
              <w:rPr>
                <w:color w:val="auto"/>
                <w:sz w:val="18"/>
                <w:szCs w:val="18"/>
              </w:rPr>
            </w:pPr>
            <w:r>
              <w:rPr>
                <w:rFonts w:cs="Times New Roman"/>
                <w:color w:val="auto"/>
                <w:sz w:val="18"/>
                <w:szCs w:val="18"/>
              </w:rPr>
              <w:t>1.03 (0.81–1.29)</w:t>
            </w:r>
          </w:p>
        </w:tc>
        <w:tc>
          <w:tcPr>
            <w:tcW w:w="825" w:type="dxa"/>
            <w:tcBorders>
              <w:top w:val="nil"/>
              <w:left w:val="nil"/>
              <w:bottom w:val="nil"/>
              <w:right w:val="nil"/>
            </w:tcBorders>
            <w:tcMar>
              <w:top w:w="40" w:type="dxa"/>
              <w:left w:w="50" w:type="dxa"/>
              <w:bottom w:w="40" w:type="dxa"/>
              <w:right w:w="50" w:type="dxa"/>
            </w:tcMar>
            <w:vAlign w:val="center"/>
          </w:tcPr>
          <w:p w14:paraId="1F9411E4">
            <w:pPr>
              <w:spacing w:after="0" w:line="240" w:lineRule="auto"/>
              <w:jc w:val="center"/>
              <w:rPr>
                <w:color w:val="auto"/>
                <w:sz w:val="18"/>
                <w:szCs w:val="18"/>
              </w:rPr>
            </w:pPr>
            <w:r>
              <w:rPr>
                <w:rFonts w:cs="Times New Roman"/>
                <w:color w:val="auto"/>
                <w:sz w:val="18"/>
                <w:szCs w:val="18"/>
              </w:rPr>
              <w:t>0.834</w:t>
            </w:r>
          </w:p>
        </w:tc>
        <w:tc>
          <w:tcPr>
            <w:tcW w:w="1550" w:type="dxa"/>
            <w:tcBorders>
              <w:top w:val="nil"/>
              <w:left w:val="nil"/>
              <w:bottom w:val="nil"/>
              <w:right w:val="nil"/>
            </w:tcBorders>
            <w:tcMar>
              <w:top w:w="40" w:type="dxa"/>
              <w:left w:w="50" w:type="dxa"/>
              <w:bottom w:w="40" w:type="dxa"/>
              <w:right w:w="50" w:type="dxa"/>
            </w:tcMar>
            <w:vAlign w:val="center"/>
          </w:tcPr>
          <w:p w14:paraId="0E7F22FC">
            <w:pPr>
              <w:spacing w:after="0" w:line="240" w:lineRule="auto"/>
              <w:jc w:val="center"/>
              <w:rPr>
                <w:color w:val="auto"/>
                <w:sz w:val="18"/>
                <w:szCs w:val="18"/>
              </w:rPr>
            </w:pPr>
            <w:r>
              <w:rPr>
                <w:rFonts w:cs="Times New Roman"/>
                <w:color w:val="auto"/>
                <w:sz w:val="18"/>
                <w:szCs w:val="18"/>
              </w:rPr>
              <w:t>1.26 (1.12–1.42)</w:t>
            </w:r>
          </w:p>
        </w:tc>
        <w:tc>
          <w:tcPr>
            <w:tcW w:w="855" w:type="dxa"/>
            <w:tcBorders>
              <w:top w:val="nil"/>
              <w:left w:val="nil"/>
              <w:bottom w:val="nil"/>
              <w:right w:val="nil"/>
            </w:tcBorders>
            <w:tcMar>
              <w:top w:w="40" w:type="dxa"/>
              <w:left w:w="50" w:type="dxa"/>
              <w:bottom w:w="40" w:type="dxa"/>
              <w:right w:w="50" w:type="dxa"/>
            </w:tcMar>
            <w:vAlign w:val="center"/>
          </w:tcPr>
          <w:p w14:paraId="3E6DD824">
            <w:pPr>
              <w:spacing w:after="0" w:line="240" w:lineRule="auto"/>
              <w:jc w:val="center"/>
              <w:rPr>
                <w:color w:val="auto"/>
                <w:sz w:val="18"/>
                <w:szCs w:val="18"/>
              </w:rPr>
            </w:pPr>
            <w:r>
              <w:rPr>
                <w:rFonts w:cs="Times New Roman"/>
                <w:color w:val="auto"/>
                <w:sz w:val="18"/>
                <w:szCs w:val="18"/>
              </w:rPr>
              <w:t>&lt;0.001</w:t>
            </w:r>
          </w:p>
        </w:tc>
      </w:tr>
      <w:tr w14:paraId="113078D3">
        <w:trPr>
          <w:cantSplit/>
          <w:jc w:val="center"/>
        </w:trPr>
        <w:tc>
          <w:tcPr>
            <w:tcW w:w="1504" w:type="dxa"/>
            <w:vMerge w:val="continue"/>
            <w:tcBorders>
              <w:top w:val="nil"/>
              <w:left w:val="nil"/>
              <w:bottom w:val="nil"/>
              <w:right w:val="nil"/>
            </w:tcBorders>
            <w:tcMar>
              <w:top w:w="60" w:type="dxa"/>
              <w:left w:w="70" w:type="dxa"/>
              <w:bottom w:w="60" w:type="dxa"/>
              <w:right w:w="70" w:type="dxa"/>
            </w:tcMar>
            <w:vAlign w:val="center"/>
          </w:tcPr>
          <w:p w14:paraId="6AFA6432">
            <w:pPr>
              <w:rPr>
                <w:color w:val="auto"/>
                <w:sz w:val="18"/>
                <w:szCs w:val="18"/>
              </w:rPr>
            </w:pPr>
          </w:p>
        </w:tc>
        <w:tc>
          <w:tcPr>
            <w:tcW w:w="2062" w:type="dxa"/>
            <w:tcBorders>
              <w:top w:val="nil"/>
              <w:left w:val="nil"/>
              <w:bottom w:val="nil"/>
              <w:right w:val="nil"/>
            </w:tcBorders>
            <w:tcMar>
              <w:top w:w="40" w:type="dxa"/>
              <w:left w:w="50" w:type="dxa"/>
              <w:bottom w:w="40" w:type="dxa"/>
              <w:right w:w="50" w:type="dxa"/>
            </w:tcMar>
            <w:vAlign w:val="center"/>
          </w:tcPr>
          <w:p w14:paraId="22E2C3FB">
            <w:pPr>
              <w:spacing w:after="0" w:line="240" w:lineRule="auto"/>
              <w:rPr>
                <w:color w:val="auto"/>
                <w:sz w:val="18"/>
                <w:szCs w:val="18"/>
              </w:rPr>
            </w:pPr>
            <w:r>
              <w:rPr>
                <w:rFonts w:cs="Times New Roman"/>
                <w:color w:val="auto"/>
                <w:sz w:val="18"/>
                <w:szCs w:val="18"/>
              </w:rPr>
              <w:t>+ LVEF phenotype</w:t>
            </w:r>
          </w:p>
        </w:tc>
        <w:tc>
          <w:tcPr>
            <w:tcW w:w="942" w:type="dxa"/>
            <w:tcBorders>
              <w:top w:val="nil"/>
              <w:left w:val="nil"/>
              <w:bottom w:val="nil"/>
              <w:right w:val="nil"/>
            </w:tcBorders>
            <w:tcMar>
              <w:top w:w="40" w:type="dxa"/>
              <w:left w:w="50" w:type="dxa"/>
              <w:bottom w:w="40" w:type="dxa"/>
              <w:right w:w="50" w:type="dxa"/>
            </w:tcMar>
            <w:vAlign w:val="center"/>
          </w:tcPr>
          <w:p w14:paraId="70854AB9">
            <w:pPr>
              <w:spacing w:after="0" w:line="240" w:lineRule="auto"/>
              <w:jc w:val="center"/>
              <w:rPr>
                <w:color w:val="auto"/>
                <w:sz w:val="18"/>
                <w:szCs w:val="18"/>
              </w:rPr>
            </w:pPr>
            <w:r>
              <w:rPr>
                <w:rFonts w:cs="Times New Roman"/>
                <w:color w:val="auto"/>
                <w:sz w:val="18"/>
                <w:szCs w:val="18"/>
              </w:rPr>
              <w:t>488/69</w:t>
            </w:r>
          </w:p>
        </w:tc>
        <w:tc>
          <w:tcPr>
            <w:tcW w:w="1470" w:type="dxa"/>
            <w:tcBorders>
              <w:top w:val="nil"/>
              <w:left w:val="nil"/>
              <w:bottom w:val="nil"/>
              <w:right w:val="nil"/>
            </w:tcBorders>
            <w:tcMar>
              <w:top w:w="40" w:type="dxa"/>
              <w:left w:w="50" w:type="dxa"/>
              <w:bottom w:w="40" w:type="dxa"/>
              <w:right w:w="50" w:type="dxa"/>
            </w:tcMar>
            <w:vAlign w:val="center"/>
          </w:tcPr>
          <w:p w14:paraId="4490938B">
            <w:pPr>
              <w:spacing w:after="0" w:line="240" w:lineRule="auto"/>
              <w:jc w:val="center"/>
              <w:rPr>
                <w:color w:val="auto"/>
                <w:sz w:val="18"/>
                <w:szCs w:val="18"/>
              </w:rPr>
            </w:pPr>
            <w:r>
              <w:rPr>
                <w:rFonts w:cs="Times New Roman"/>
                <w:color w:val="auto"/>
                <w:sz w:val="18"/>
                <w:szCs w:val="18"/>
              </w:rPr>
              <w:t>1.03 (0.83–1.28)</w:t>
            </w:r>
          </w:p>
        </w:tc>
        <w:tc>
          <w:tcPr>
            <w:tcW w:w="825" w:type="dxa"/>
            <w:tcBorders>
              <w:top w:val="nil"/>
              <w:left w:val="nil"/>
              <w:bottom w:val="nil"/>
              <w:right w:val="nil"/>
            </w:tcBorders>
            <w:tcMar>
              <w:top w:w="40" w:type="dxa"/>
              <w:left w:w="50" w:type="dxa"/>
              <w:bottom w:w="40" w:type="dxa"/>
              <w:right w:w="50" w:type="dxa"/>
            </w:tcMar>
            <w:vAlign w:val="center"/>
          </w:tcPr>
          <w:p w14:paraId="79790A8B">
            <w:pPr>
              <w:spacing w:after="0" w:line="240" w:lineRule="auto"/>
              <w:jc w:val="center"/>
              <w:rPr>
                <w:color w:val="auto"/>
                <w:sz w:val="18"/>
                <w:szCs w:val="18"/>
              </w:rPr>
            </w:pPr>
            <w:r>
              <w:rPr>
                <w:rFonts w:cs="Times New Roman"/>
                <w:color w:val="auto"/>
                <w:sz w:val="18"/>
                <w:szCs w:val="18"/>
              </w:rPr>
              <w:t>0.794</w:t>
            </w:r>
          </w:p>
        </w:tc>
        <w:tc>
          <w:tcPr>
            <w:tcW w:w="1550" w:type="dxa"/>
            <w:tcBorders>
              <w:top w:val="nil"/>
              <w:left w:val="nil"/>
              <w:bottom w:val="nil"/>
              <w:right w:val="nil"/>
            </w:tcBorders>
            <w:tcMar>
              <w:top w:w="40" w:type="dxa"/>
              <w:left w:w="50" w:type="dxa"/>
              <w:bottom w:w="40" w:type="dxa"/>
              <w:right w:w="50" w:type="dxa"/>
            </w:tcMar>
            <w:vAlign w:val="center"/>
          </w:tcPr>
          <w:p w14:paraId="3396688A">
            <w:pPr>
              <w:spacing w:after="0" w:line="240" w:lineRule="auto"/>
              <w:jc w:val="center"/>
              <w:rPr>
                <w:color w:val="auto"/>
                <w:sz w:val="18"/>
                <w:szCs w:val="18"/>
              </w:rPr>
            </w:pPr>
            <w:r>
              <w:rPr>
                <w:rFonts w:cs="Times New Roman"/>
                <w:color w:val="auto"/>
                <w:sz w:val="18"/>
                <w:szCs w:val="18"/>
              </w:rPr>
              <w:t>1.24 (1.10–1.40)</w:t>
            </w:r>
          </w:p>
        </w:tc>
        <w:tc>
          <w:tcPr>
            <w:tcW w:w="855" w:type="dxa"/>
            <w:tcBorders>
              <w:top w:val="nil"/>
              <w:left w:val="nil"/>
              <w:bottom w:val="nil"/>
              <w:right w:val="nil"/>
            </w:tcBorders>
            <w:tcMar>
              <w:top w:w="40" w:type="dxa"/>
              <w:left w:w="50" w:type="dxa"/>
              <w:bottom w:w="40" w:type="dxa"/>
              <w:right w:w="50" w:type="dxa"/>
            </w:tcMar>
            <w:vAlign w:val="center"/>
          </w:tcPr>
          <w:p w14:paraId="2C353B4B">
            <w:pPr>
              <w:spacing w:after="0" w:line="240" w:lineRule="auto"/>
              <w:jc w:val="center"/>
              <w:rPr>
                <w:color w:val="auto"/>
                <w:sz w:val="18"/>
                <w:szCs w:val="18"/>
              </w:rPr>
            </w:pPr>
            <w:r>
              <w:rPr>
                <w:rFonts w:cs="Times New Roman"/>
                <w:color w:val="auto"/>
                <w:sz w:val="18"/>
                <w:szCs w:val="18"/>
              </w:rPr>
              <w:t>&lt;0.001</w:t>
            </w:r>
          </w:p>
        </w:tc>
      </w:tr>
      <w:tr w14:paraId="0C632FF0">
        <w:trPr>
          <w:cantSplit/>
          <w:jc w:val="center"/>
        </w:trPr>
        <w:tc>
          <w:tcPr>
            <w:tcW w:w="1504" w:type="dxa"/>
            <w:vMerge w:val="continue"/>
            <w:tcBorders>
              <w:top w:val="nil"/>
              <w:left w:val="nil"/>
              <w:bottom w:val="nil"/>
              <w:right w:val="nil"/>
            </w:tcBorders>
            <w:tcMar>
              <w:top w:w="60" w:type="dxa"/>
              <w:left w:w="70" w:type="dxa"/>
              <w:bottom w:w="60" w:type="dxa"/>
              <w:right w:w="70" w:type="dxa"/>
            </w:tcMar>
            <w:vAlign w:val="center"/>
          </w:tcPr>
          <w:p w14:paraId="0B98028F">
            <w:pPr>
              <w:rPr>
                <w:color w:val="auto"/>
                <w:sz w:val="18"/>
                <w:szCs w:val="18"/>
              </w:rPr>
            </w:pPr>
          </w:p>
        </w:tc>
        <w:tc>
          <w:tcPr>
            <w:tcW w:w="2062" w:type="dxa"/>
            <w:tcBorders>
              <w:top w:val="nil"/>
              <w:left w:val="nil"/>
              <w:bottom w:val="nil"/>
              <w:right w:val="nil"/>
            </w:tcBorders>
            <w:tcMar>
              <w:top w:w="40" w:type="dxa"/>
              <w:left w:w="50" w:type="dxa"/>
              <w:bottom w:w="40" w:type="dxa"/>
              <w:right w:w="50" w:type="dxa"/>
            </w:tcMar>
            <w:vAlign w:val="center"/>
          </w:tcPr>
          <w:p w14:paraId="61A6DB80">
            <w:pPr>
              <w:spacing w:after="0" w:line="240" w:lineRule="auto"/>
              <w:rPr>
                <w:color w:val="auto"/>
                <w:sz w:val="18"/>
                <w:szCs w:val="18"/>
              </w:rPr>
            </w:pPr>
            <w:r>
              <w:rPr>
                <w:rFonts w:cs="Times New Roman"/>
                <w:color w:val="auto"/>
                <w:sz w:val="18"/>
                <w:szCs w:val="18"/>
              </w:rPr>
              <w:t>+ HF medications</w:t>
            </w:r>
          </w:p>
        </w:tc>
        <w:tc>
          <w:tcPr>
            <w:tcW w:w="942" w:type="dxa"/>
            <w:tcBorders>
              <w:top w:val="nil"/>
              <w:left w:val="nil"/>
              <w:bottom w:val="nil"/>
              <w:right w:val="nil"/>
            </w:tcBorders>
            <w:tcMar>
              <w:top w:w="40" w:type="dxa"/>
              <w:left w:w="50" w:type="dxa"/>
              <w:bottom w:w="40" w:type="dxa"/>
              <w:right w:w="50" w:type="dxa"/>
            </w:tcMar>
            <w:vAlign w:val="center"/>
          </w:tcPr>
          <w:p w14:paraId="593F9624">
            <w:pPr>
              <w:spacing w:after="0" w:line="240" w:lineRule="auto"/>
              <w:jc w:val="center"/>
              <w:rPr>
                <w:color w:val="auto"/>
                <w:sz w:val="18"/>
                <w:szCs w:val="18"/>
              </w:rPr>
            </w:pPr>
            <w:r>
              <w:rPr>
                <w:rFonts w:cs="Times New Roman"/>
                <w:color w:val="auto"/>
                <w:sz w:val="18"/>
                <w:szCs w:val="18"/>
              </w:rPr>
              <w:t>488/69</w:t>
            </w:r>
          </w:p>
        </w:tc>
        <w:tc>
          <w:tcPr>
            <w:tcW w:w="1470" w:type="dxa"/>
            <w:tcBorders>
              <w:top w:val="nil"/>
              <w:left w:val="nil"/>
              <w:bottom w:val="nil"/>
              <w:right w:val="nil"/>
            </w:tcBorders>
            <w:tcMar>
              <w:top w:w="40" w:type="dxa"/>
              <w:left w:w="50" w:type="dxa"/>
              <w:bottom w:w="40" w:type="dxa"/>
              <w:right w:w="50" w:type="dxa"/>
            </w:tcMar>
            <w:vAlign w:val="center"/>
          </w:tcPr>
          <w:p w14:paraId="776FB858">
            <w:pPr>
              <w:spacing w:after="0" w:line="240" w:lineRule="auto"/>
              <w:jc w:val="center"/>
              <w:rPr>
                <w:color w:val="auto"/>
                <w:sz w:val="18"/>
                <w:szCs w:val="18"/>
              </w:rPr>
            </w:pPr>
            <w:r>
              <w:rPr>
                <w:rFonts w:cs="Times New Roman"/>
                <w:color w:val="auto"/>
                <w:sz w:val="18"/>
                <w:szCs w:val="18"/>
              </w:rPr>
              <w:t>1.05 (0.84–1.32)</w:t>
            </w:r>
          </w:p>
        </w:tc>
        <w:tc>
          <w:tcPr>
            <w:tcW w:w="825" w:type="dxa"/>
            <w:tcBorders>
              <w:top w:val="nil"/>
              <w:left w:val="nil"/>
              <w:bottom w:val="nil"/>
              <w:right w:val="nil"/>
            </w:tcBorders>
            <w:tcMar>
              <w:top w:w="40" w:type="dxa"/>
              <w:left w:w="50" w:type="dxa"/>
              <w:bottom w:w="40" w:type="dxa"/>
              <w:right w:w="50" w:type="dxa"/>
            </w:tcMar>
            <w:vAlign w:val="center"/>
          </w:tcPr>
          <w:p w14:paraId="13FFFCEF">
            <w:pPr>
              <w:spacing w:after="0" w:line="240" w:lineRule="auto"/>
              <w:jc w:val="center"/>
              <w:rPr>
                <w:color w:val="auto"/>
                <w:sz w:val="18"/>
                <w:szCs w:val="18"/>
              </w:rPr>
            </w:pPr>
            <w:r>
              <w:rPr>
                <w:rFonts w:cs="Times New Roman"/>
                <w:color w:val="auto"/>
                <w:sz w:val="18"/>
                <w:szCs w:val="18"/>
              </w:rPr>
              <w:t>0.649</w:t>
            </w:r>
          </w:p>
        </w:tc>
        <w:tc>
          <w:tcPr>
            <w:tcW w:w="1550" w:type="dxa"/>
            <w:tcBorders>
              <w:top w:val="nil"/>
              <w:left w:val="nil"/>
              <w:bottom w:val="nil"/>
              <w:right w:val="nil"/>
            </w:tcBorders>
            <w:tcMar>
              <w:top w:w="40" w:type="dxa"/>
              <w:left w:w="50" w:type="dxa"/>
              <w:bottom w:w="40" w:type="dxa"/>
              <w:right w:w="50" w:type="dxa"/>
            </w:tcMar>
            <w:vAlign w:val="center"/>
          </w:tcPr>
          <w:p w14:paraId="5E972521">
            <w:pPr>
              <w:spacing w:after="0" w:line="240" w:lineRule="auto"/>
              <w:jc w:val="center"/>
              <w:rPr>
                <w:color w:val="auto"/>
                <w:sz w:val="18"/>
                <w:szCs w:val="18"/>
              </w:rPr>
            </w:pPr>
            <w:r>
              <w:rPr>
                <w:rFonts w:cs="Times New Roman"/>
                <w:color w:val="auto"/>
                <w:sz w:val="18"/>
                <w:szCs w:val="18"/>
              </w:rPr>
              <w:t>1.26 (1.11–1.42)</w:t>
            </w:r>
          </w:p>
        </w:tc>
        <w:tc>
          <w:tcPr>
            <w:tcW w:w="855" w:type="dxa"/>
            <w:tcBorders>
              <w:top w:val="nil"/>
              <w:left w:val="nil"/>
              <w:bottom w:val="nil"/>
              <w:right w:val="nil"/>
            </w:tcBorders>
            <w:tcMar>
              <w:top w:w="40" w:type="dxa"/>
              <w:left w:w="50" w:type="dxa"/>
              <w:bottom w:w="40" w:type="dxa"/>
              <w:right w:w="50" w:type="dxa"/>
            </w:tcMar>
            <w:vAlign w:val="center"/>
          </w:tcPr>
          <w:p w14:paraId="677847B1">
            <w:pPr>
              <w:spacing w:after="0" w:line="240" w:lineRule="auto"/>
              <w:jc w:val="center"/>
              <w:rPr>
                <w:color w:val="auto"/>
                <w:sz w:val="18"/>
                <w:szCs w:val="18"/>
              </w:rPr>
            </w:pPr>
            <w:r>
              <w:rPr>
                <w:rFonts w:cs="Times New Roman"/>
                <w:color w:val="auto"/>
                <w:sz w:val="18"/>
                <w:szCs w:val="18"/>
              </w:rPr>
              <w:t>&lt;0.001</w:t>
            </w:r>
          </w:p>
        </w:tc>
      </w:tr>
      <w:tr w14:paraId="578CB920">
        <w:trPr>
          <w:cantSplit/>
          <w:jc w:val="center"/>
        </w:trPr>
        <w:tc>
          <w:tcPr>
            <w:tcW w:w="1504" w:type="dxa"/>
            <w:vMerge w:val="continue"/>
            <w:tcBorders>
              <w:top w:val="nil"/>
              <w:left w:val="nil"/>
              <w:bottom w:val="nil"/>
              <w:right w:val="nil"/>
            </w:tcBorders>
            <w:tcMar>
              <w:top w:w="60" w:type="dxa"/>
              <w:left w:w="70" w:type="dxa"/>
              <w:bottom w:w="60" w:type="dxa"/>
              <w:right w:w="70" w:type="dxa"/>
            </w:tcMar>
            <w:vAlign w:val="center"/>
          </w:tcPr>
          <w:p w14:paraId="5432CD79">
            <w:pPr>
              <w:rPr>
                <w:color w:val="auto"/>
                <w:sz w:val="18"/>
                <w:szCs w:val="18"/>
              </w:rPr>
            </w:pPr>
          </w:p>
        </w:tc>
        <w:tc>
          <w:tcPr>
            <w:tcW w:w="2062" w:type="dxa"/>
            <w:tcBorders>
              <w:top w:val="nil"/>
              <w:left w:val="nil"/>
              <w:bottom w:val="nil"/>
              <w:right w:val="nil"/>
            </w:tcBorders>
            <w:tcMar>
              <w:top w:w="40" w:type="dxa"/>
              <w:left w:w="50" w:type="dxa"/>
              <w:bottom w:w="40" w:type="dxa"/>
              <w:right w:w="50" w:type="dxa"/>
            </w:tcMar>
            <w:vAlign w:val="center"/>
          </w:tcPr>
          <w:p w14:paraId="3C017924">
            <w:pPr>
              <w:spacing w:after="0" w:line="240" w:lineRule="auto"/>
              <w:rPr>
                <w:color w:val="auto"/>
                <w:sz w:val="18"/>
                <w:szCs w:val="18"/>
              </w:rPr>
            </w:pPr>
            <w:r>
              <w:rPr>
                <w:rFonts w:cs="Times New Roman"/>
                <w:color w:val="auto"/>
                <w:sz w:val="18"/>
                <w:szCs w:val="18"/>
              </w:rPr>
              <w:t>+ BNP</w:t>
            </w:r>
          </w:p>
        </w:tc>
        <w:tc>
          <w:tcPr>
            <w:tcW w:w="942" w:type="dxa"/>
            <w:tcBorders>
              <w:top w:val="nil"/>
              <w:left w:val="nil"/>
              <w:bottom w:val="nil"/>
              <w:right w:val="nil"/>
            </w:tcBorders>
            <w:tcMar>
              <w:top w:w="40" w:type="dxa"/>
              <w:left w:w="50" w:type="dxa"/>
              <w:bottom w:w="40" w:type="dxa"/>
              <w:right w:w="50" w:type="dxa"/>
            </w:tcMar>
            <w:vAlign w:val="center"/>
          </w:tcPr>
          <w:p w14:paraId="1F914048">
            <w:pPr>
              <w:spacing w:after="0" w:line="240" w:lineRule="auto"/>
              <w:jc w:val="center"/>
              <w:rPr>
                <w:color w:val="auto"/>
                <w:sz w:val="18"/>
                <w:szCs w:val="18"/>
              </w:rPr>
            </w:pPr>
            <w:r>
              <w:rPr>
                <w:rFonts w:cs="Times New Roman"/>
                <w:color w:val="auto"/>
                <w:sz w:val="18"/>
                <w:szCs w:val="18"/>
              </w:rPr>
              <w:t>289/36</w:t>
            </w:r>
          </w:p>
        </w:tc>
        <w:tc>
          <w:tcPr>
            <w:tcW w:w="1470" w:type="dxa"/>
            <w:tcBorders>
              <w:top w:val="nil"/>
              <w:left w:val="nil"/>
              <w:bottom w:val="nil"/>
              <w:right w:val="nil"/>
            </w:tcBorders>
            <w:tcMar>
              <w:top w:w="40" w:type="dxa"/>
              <w:left w:w="50" w:type="dxa"/>
              <w:bottom w:w="40" w:type="dxa"/>
              <w:right w:w="50" w:type="dxa"/>
            </w:tcMar>
            <w:vAlign w:val="center"/>
          </w:tcPr>
          <w:p w14:paraId="225BDAB5">
            <w:pPr>
              <w:spacing w:after="0" w:line="240" w:lineRule="auto"/>
              <w:jc w:val="center"/>
              <w:rPr>
                <w:color w:val="auto"/>
                <w:sz w:val="18"/>
                <w:szCs w:val="18"/>
              </w:rPr>
            </w:pPr>
            <w:r>
              <w:rPr>
                <w:rFonts w:cs="Times New Roman"/>
                <w:color w:val="auto"/>
                <w:sz w:val="18"/>
                <w:szCs w:val="18"/>
              </w:rPr>
              <w:t>0.96 (0.69–1.34)</w:t>
            </w:r>
          </w:p>
        </w:tc>
        <w:tc>
          <w:tcPr>
            <w:tcW w:w="825" w:type="dxa"/>
            <w:tcBorders>
              <w:top w:val="nil"/>
              <w:left w:val="nil"/>
              <w:bottom w:val="nil"/>
              <w:right w:val="nil"/>
            </w:tcBorders>
            <w:tcMar>
              <w:top w:w="40" w:type="dxa"/>
              <w:left w:w="50" w:type="dxa"/>
              <w:bottom w:w="40" w:type="dxa"/>
              <w:right w:w="50" w:type="dxa"/>
            </w:tcMar>
            <w:vAlign w:val="center"/>
          </w:tcPr>
          <w:p w14:paraId="38E20F59">
            <w:pPr>
              <w:spacing w:after="0" w:line="240" w:lineRule="auto"/>
              <w:jc w:val="center"/>
              <w:rPr>
                <w:color w:val="auto"/>
                <w:sz w:val="18"/>
                <w:szCs w:val="18"/>
              </w:rPr>
            </w:pPr>
            <w:r>
              <w:rPr>
                <w:rFonts w:cs="Times New Roman"/>
                <w:color w:val="auto"/>
                <w:sz w:val="18"/>
                <w:szCs w:val="18"/>
              </w:rPr>
              <w:t>0.818</w:t>
            </w:r>
          </w:p>
        </w:tc>
        <w:tc>
          <w:tcPr>
            <w:tcW w:w="1550" w:type="dxa"/>
            <w:tcBorders>
              <w:top w:val="nil"/>
              <w:left w:val="nil"/>
              <w:bottom w:val="nil"/>
              <w:right w:val="nil"/>
            </w:tcBorders>
            <w:tcMar>
              <w:top w:w="40" w:type="dxa"/>
              <w:left w:w="50" w:type="dxa"/>
              <w:bottom w:w="40" w:type="dxa"/>
              <w:right w:w="50" w:type="dxa"/>
            </w:tcMar>
            <w:vAlign w:val="center"/>
          </w:tcPr>
          <w:p w14:paraId="537388A5">
            <w:pPr>
              <w:spacing w:after="0" w:line="240" w:lineRule="auto"/>
              <w:jc w:val="center"/>
              <w:rPr>
                <w:color w:val="auto"/>
                <w:sz w:val="18"/>
                <w:szCs w:val="18"/>
              </w:rPr>
            </w:pPr>
            <w:r>
              <w:rPr>
                <w:rFonts w:cs="Times New Roman"/>
                <w:color w:val="auto"/>
                <w:sz w:val="18"/>
                <w:szCs w:val="18"/>
              </w:rPr>
              <w:t>1.29 (1.08–1.54)</w:t>
            </w:r>
          </w:p>
        </w:tc>
        <w:tc>
          <w:tcPr>
            <w:tcW w:w="855" w:type="dxa"/>
            <w:tcBorders>
              <w:top w:val="nil"/>
              <w:left w:val="nil"/>
              <w:bottom w:val="nil"/>
              <w:right w:val="nil"/>
            </w:tcBorders>
            <w:tcMar>
              <w:top w:w="40" w:type="dxa"/>
              <w:left w:w="50" w:type="dxa"/>
              <w:bottom w:w="40" w:type="dxa"/>
              <w:right w:w="50" w:type="dxa"/>
            </w:tcMar>
            <w:vAlign w:val="center"/>
          </w:tcPr>
          <w:p w14:paraId="124E0E71">
            <w:pPr>
              <w:spacing w:after="0" w:line="240" w:lineRule="auto"/>
              <w:jc w:val="center"/>
              <w:rPr>
                <w:color w:val="auto"/>
                <w:sz w:val="18"/>
                <w:szCs w:val="18"/>
              </w:rPr>
            </w:pPr>
            <w:r>
              <w:rPr>
                <w:rFonts w:cs="Times New Roman"/>
                <w:color w:val="auto"/>
                <w:sz w:val="18"/>
                <w:szCs w:val="18"/>
              </w:rPr>
              <w:t>0.004</w:t>
            </w:r>
          </w:p>
        </w:tc>
      </w:tr>
      <w:tr w14:paraId="3A83E425">
        <w:trPr>
          <w:cantSplit/>
          <w:jc w:val="center"/>
        </w:trPr>
        <w:tc>
          <w:tcPr>
            <w:tcW w:w="1504" w:type="dxa"/>
            <w:vMerge w:val="restart"/>
            <w:tcBorders>
              <w:top w:val="single" w:color="808080" w:sz="4" w:space="0"/>
              <w:left w:val="nil"/>
              <w:bottom w:val="single" w:color="000000" w:sz="12" w:space="0"/>
              <w:right w:val="nil"/>
            </w:tcBorders>
            <w:tcMar>
              <w:top w:w="40" w:type="dxa"/>
              <w:left w:w="50" w:type="dxa"/>
              <w:bottom w:w="40" w:type="dxa"/>
              <w:right w:w="50" w:type="dxa"/>
            </w:tcMar>
            <w:vAlign w:val="center"/>
          </w:tcPr>
          <w:p w14:paraId="4CA6E3AE">
            <w:pPr>
              <w:spacing w:after="0" w:line="240" w:lineRule="auto"/>
              <w:rPr>
                <w:color w:val="auto"/>
                <w:sz w:val="18"/>
                <w:szCs w:val="18"/>
              </w:rPr>
            </w:pPr>
            <w:r>
              <w:rPr>
                <w:rFonts w:cs="Times New Roman"/>
                <w:color w:val="auto"/>
                <w:sz w:val="18"/>
                <w:szCs w:val="18"/>
              </w:rPr>
              <w:t>90-day unplanned</w:t>
            </w:r>
            <w:r>
              <w:rPr>
                <w:rFonts w:cs="Times New Roman"/>
                <w:color w:val="auto"/>
                <w:sz w:val="18"/>
                <w:szCs w:val="18"/>
              </w:rPr>
              <w:br w:type="textWrapping"/>
            </w:r>
            <w:r>
              <w:rPr>
                <w:rFonts w:cs="Times New Roman"/>
                <w:color w:val="auto"/>
                <w:sz w:val="18"/>
                <w:szCs w:val="18"/>
              </w:rPr>
              <w:t>readmission</w:t>
            </w:r>
          </w:p>
        </w:tc>
        <w:tc>
          <w:tcPr>
            <w:tcW w:w="2062" w:type="dxa"/>
            <w:tcBorders>
              <w:top w:val="single" w:color="808080" w:sz="4" w:space="0"/>
              <w:left w:val="nil"/>
              <w:bottom w:val="nil"/>
              <w:right w:val="nil"/>
            </w:tcBorders>
            <w:tcMar>
              <w:top w:w="40" w:type="dxa"/>
              <w:left w:w="50" w:type="dxa"/>
              <w:bottom w:w="40" w:type="dxa"/>
              <w:right w:w="50" w:type="dxa"/>
            </w:tcMar>
            <w:vAlign w:val="center"/>
          </w:tcPr>
          <w:p w14:paraId="397968FF">
            <w:pPr>
              <w:spacing w:after="0" w:line="240" w:lineRule="auto"/>
              <w:rPr>
                <w:color w:val="auto"/>
                <w:sz w:val="18"/>
                <w:szCs w:val="18"/>
              </w:rPr>
            </w:pPr>
            <w:r>
              <w:rPr>
                <w:rFonts w:cs="Times New Roman"/>
                <w:color w:val="auto"/>
                <w:sz w:val="18"/>
                <w:szCs w:val="18"/>
              </w:rPr>
              <w:t>Joint NLR+CAR model</w:t>
            </w:r>
          </w:p>
        </w:tc>
        <w:tc>
          <w:tcPr>
            <w:tcW w:w="942" w:type="dxa"/>
            <w:tcBorders>
              <w:top w:val="single" w:color="808080" w:sz="4" w:space="0"/>
              <w:left w:val="nil"/>
              <w:bottom w:val="nil"/>
              <w:right w:val="nil"/>
            </w:tcBorders>
            <w:tcMar>
              <w:top w:w="40" w:type="dxa"/>
              <w:left w:w="50" w:type="dxa"/>
              <w:bottom w:w="40" w:type="dxa"/>
              <w:right w:w="50" w:type="dxa"/>
            </w:tcMar>
            <w:vAlign w:val="center"/>
          </w:tcPr>
          <w:p w14:paraId="01BDCFDD">
            <w:pPr>
              <w:spacing w:after="0" w:line="240" w:lineRule="auto"/>
              <w:jc w:val="center"/>
              <w:rPr>
                <w:color w:val="auto"/>
                <w:sz w:val="18"/>
                <w:szCs w:val="18"/>
              </w:rPr>
            </w:pPr>
            <w:r>
              <w:rPr>
                <w:rFonts w:cs="Times New Roman"/>
                <w:color w:val="auto"/>
                <w:sz w:val="18"/>
                <w:szCs w:val="18"/>
              </w:rPr>
              <w:t>488/64</w:t>
            </w:r>
          </w:p>
        </w:tc>
        <w:tc>
          <w:tcPr>
            <w:tcW w:w="1470" w:type="dxa"/>
            <w:tcBorders>
              <w:top w:val="single" w:color="808080" w:sz="4" w:space="0"/>
              <w:left w:val="nil"/>
              <w:bottom w:val="nil"/>
              <w:right w:val="nil"/>
            </w:tcBorders>
            <w:tcMar>
              <w:top w:w="40" w:type="dxa"/>
              <w:left w:w="50" w:type="dxa"/>
              <w:bottom w:w="40" w:type="dxa"/>
              <w:right w:w="50" w:type="dxa"/>
            </w:tcMar>
            <w:vAlign w:val="center"/>
          </w:tcPr>
          <w:p w14:paraId="69DC00DD">
            <w:pPr>
              <w:spacing w:after="0" w:line="240" w:lineRule="auto"/>
              <w:jc w:val="center"/>
              <w:rPr>
                <w:color w:val="auto"/>
                <w:sz w:val="18"/>
                <w:szCs w:val="18"/>
              </w:rPr>
            </w:pPr>
            <w:r>
              <w:rPr>
                <w:rFonts w:cs="Times New Roman"/>
                <w:color w:val="auto"/>
                <w:sz w:val="18"/>
                <w:szCs w:val="18"/>
              </w:rPr>
              <w:t>1.57 (1.26–1.94)</w:t>
            </w:r>
          </w:p>
        </w:tc>
        <w:tc>
          <w:tcPr>
            <w:tcW w:w="825" w:type="dxa"/>
            <w:tcBorders>
              <w:top w:val="single" w:color="808080" w:sz="4" w:space="0"/>
              <w:left w:val="nil"/>
              <w:bottom w:val="nil"/>
              <w:right w:val="nil"/>
            </w:tcBorders>
            <w:tcMar>
              <w:top w:w="40" w:type="dxa"/>
              <w:left w:w="50" w:type="dxa"/>
              <w:bottom w:w="40" w:type="dxa"/>
              <w:right w:w="50" w:type="dxa"/>
            </w:tcMar>
            <w:vAlign w:val="center"/>
          </w:tcPr>
          <w:p w14:paraId="381A053D">
            <w:pPr>
              <w:spacing w:after="0" w:line="240" w:lineRule="auto"/>
              <w:jc w:val="center"/>
              <w:rPr>
                <w:color w:val="auto"/>
                <w:sz w:val="18"/>
                <w:szCs w:val="18"/>
              </w:rPr>
            </w:pPr>
            <w:r>
              <w:rPr>
                <w:rFonts w:cs="Times New Roman"/>
                <w:color w:val="auto"/>
                <w:sz w:val="18"/>
                <w:szCs w:val="18"/>
              </w:rPr>
              <w:t>&lt;0.001</w:t>
            </w:r>
          </w:p>
        </w:tc>
        <w:tc>
          <w:tcPr>
            <w:tcW w:w="1550" w:type="dxa"/>
            <w:tcBorders>
              <w:top w:val="single" w:color="808080" w:sz="4" w:space="0"/>
              <w:left w:val="nil"/>
              <w:bottom w:val="nil"/>
              <w:right w:val="nil"/>
            </w:tcBorders>
            <w:tcMar>
              <w:top w:w="40" w:type="dxa"/>
              <w:left w:w="50" w:type="dxa"/>
              <w:bottom w:w="40" w:type="dxa"/>
              <w:right w:w="50" w:type="dxa"/>
            </w:tcMar>
            <w:vAlign w:val="center"/>
          </w:tcPr>
          <w:p w14:paraId="5947D5AB">
            <w:pPr>
              <w:spacing w:after="0" w:line="240" w:lineRule="auto"/>
              <w:jc w:val="center"/>
              <w:rPr>
                <w:color w:val="auto"/>
                <w:sz w:val="18"/>
                <w:szCs w:val="18"/>
              </w:rPr>
            </w:pPr>
            <w:r>
              <w:rPr>
                <w:rFonts w:cs="Times New Roman"/>
                <w:color w:val="auto"/>
                <w:sz w:val="18"/>
                <w:szCs w:val="18"/>
              </w:rPr>
              <w:t>1.34 (1.18–1.51)</w:t>
            </w:r>
          </w:p>
        </w:tc>
        <w:tc>
          <w:tcPr>
            <w:tcW w:w="855" w:type="dxa"/>
            <w:tcBorders>
              <w:top w:val="single" w:color="808080" w:sz="4" w:space="0"/>
              <w:left w:val="nil"/>
              <w:bottom w:val="nil"/>
              <w:right w:val="nil"/>
            </w:tcBorders>
            <w:tcMar>
              <w:top w:w="40" w:type="dxa"/>
              <w:left w:w="50" w:type="dxa"/>
              <w:bottom w:w="40" w:type="dxa"/>
              <w:right w:w="50" w:type="dxa"/>
            </w:tcMar>
            <w:vAlign w:val="center"/>
          </w:tcPr>
          <w:p w14:paraId="33DCD92A">
            <w:pPr>
              <w:spacing w:after="0" w:line="240" w:lineRule="auto"/>
              <w:jc w:val="center"/>
              <w:rPr>
                <w:color w:val="auto"/>
                <w:sz w:val="18"/>
                <w:szCs w:val="18"/>
              </w:rPr>
            </w:pPr>
            <w:r>
              <w:rPr>
                <w:rFonts w:cs="Times New Roman"/>
                <w:color w:val="auto"/>
                <w:sz w:val="18"/>
                <w:szCs w:val="18"/>
              </w:rPr>
              <w:t>&lt;0.001</w:t>
            </w:r>
          </w:p>
        </w:tc>
      </w:tr>
      <w:tr w14:paraId="2D6E2362">
        <w:trPr>
          <w:cantSplit/>
          <w:jc w:val="center"/>
        </w:trPr>
        <w:tc>
          <w:tcPr>
            <w:tcW w:w="1504" w:type="dxa"/>
            <w:vMerge w:val="continue"/>
            <w:tcBorders>
              <w:top w:val="nil"/>
              <w:left w:val="nil"/>
              <w:bottom w:val="nil"/>
              <w:right w:val="nil"/>
            </w:tcBorders>
            <w:tcMar>
              <w:top w:w="60" w:type="dxa"/>
              <w:left w:w="70" w:type="dxa"/>
              <w:bottom w:w="60" w:type="dxa"/>
              <w:right w:w="70" w:type="dxa"/>
            </w:tcMar>
            <w:vAlign w:val="center"/>
          </w:tcPr>
          <w:p w14:paraId="70D428A5">
            <w:pPr>
              <w:rPr>
                <w:color w:val="auto"/>
                <w:sz w:val="18"/>
                <w:szCs w:val="18"/>
              </w:rPr>
            </w:pPr>
          </w:p>
        </w:tc>
        <w:tc>
          <w:tcPr>
            <w:tcW w:w="2062" w:type="dxa"/>
            <w:tcBorders>
              <w:top w:val="nil"/>
              <w:left w:val="nil"/>
              <w:bottom w:val="nil"/>
              <w:right w:val="nil"/>
            </w:tcBorders>
            <w:tcMar>
              <w:top w:w="40" w:type="dxa"/>
              <w:left w:w="50" w:type="dxa"/>
              <w:bottom w:w="40" w:type="dxa"/>
              <w:right w:w="50" w:type="dxa"/>
            </w:tcMar>
            <w:vAlign w:val="center"/>
          </w:tcPr>
          <w:p w14:paraId="16282D8B">
            <w:pPr>
              <w:spacing w:after="0" w:line="240" w:lineRule="auto"/>
              <w:rPr>
                <w:color w:val="auto"/>
                <w:sz w:val="18"/>
                <w:szCs w:val="18"/>
              </w:rPr>
            </w:pPr>
            <w:r>
              <w:rPr>
                <w:rFonts w:cs="Times New Roman"/>
                <w:color w:val="auto"/>
                <w:sz w:val="18"/>
                <w:szCs w:val="18"/>
              </w:rPr>
              <w:t>+ eGFR and serum sodium</w:t>
            </w:r>
          </w:p>
        </w:tc>
        <w:tc>
          <w:tcPr>
            <w:tcW w:w="942" w:type="dxa"/>
            <w:tcBorders>
              <w:top w:val="nil"/>
              <w:left w:val="nil"/>
              <w:bottom w:val="nil"/>
              <w:right w:val="nil"/>
            </w:tcBorders>
            <w:tcMar>
              <w:top w:w="40" w:type="dxa"/>
              <w:left w:w="50" w:type="dxa"/>
              <w:bottom w:w="40" w:type="dxa"/>
              <w:right w:w="50" w:type="dxa"/>
            </w:tcMar>
            <w:vAlign w:val="center"/>
          </w:tcPr>
          <w:p w14:paraId="1E67DAAE">
            <w:pPr>
              <w:spacing w:after="0" w:line="240" w:lineRule="auto"/>
              <w:jc w:val="center"/>
              <w:rPr>
                <w:color w:val="auto"/>
                <w:sz w:val="18"/>
                <w:szCs w:val="18"/>
              </w:rPr>
            </w:pPr>
            <w:r>
              <w:rPr>
                <w:rFonts w:cs="Times New Roman"/>
                <w:color w:val="auto"/>
                <w:sz w:val="18"/>
                <w:szCs w:val="18"/>
              </w:rPr>
              <w:t>478/63</w:t>
            </w:r>
          </w:p>
        </w:tc>
        <w:tc>
          <w:tcPr>
            <w:tcW w:w="1470" w:type="dxa"/>
            <w:tcBorders>
              <w:top w:val="nil"/>
              <w:left w:val="nil"/>
              <w:bottom w:val="nil"/>
              <w:right w:val="nil"/>
            </w:tcBorders>
            <w:tcMar>
              <w:top w:w="40" w:type="dxa"/>
              <w:left w:w="50" w:type="dxa"/>
              <w:bottom w:w="40" w:type="dxa"/>
              <w:right w:w="50" w:type="dxa"/>
            </w:tcMar>
            <w:vAlign w:val="center"/>
          </w:tcPr>
          <w:p w14:paraId="113D0CFF">
            <w:pPr>
              <w:spacing w:after="0" w:line="240" w:lineRule="auto"/>
              <w:jc w:val="center"/>
              <w:rPr>
                <w:color w:val="auto"/>
                <w:sz w:val="18"/>
                <w:szCs w:val="18"/>
              </w:rPr>
            </w:pPr>
            <w:r>
              <w:rPr>
                <w:rFonts w:cs="Times New Roman"/>
                <w:color w:val="auto"/>
                <w:sz w:val="18"/>
                <w:szCs w:val="18"/>
              </w:rPr>
              <w:t>1.54 (1.24–1.92)</w:t>
            </w:r>
          </w:p>
        </w:tc>
        <w:tc>
          <w:tcPr>
            <w:tcW w:w="825" w:type="dxa"/>
            <w:tcBorders>
              <w:top w:val="nil"/>
              <w:left w:val="nil"/>
              <w:bottom w:val="nil"/>
              <w:right w:val="nil"/>
            </w:tcBorders>
            <w:tcMar>
              <w:top w:w="40" w:type="dxa"/>
              <w:left w:w="50" w:type="dxa"/>
              <w:bottom w:w="40" w:type="dxa"/>
              <w:right w:w="50" w:type="dxa"/>
            </w:tcMar>
            <w:vAlign w:val="center"/>
          </w:tcPr>
          <w:p w14:paraId="6E28468F">
            <w:pPr>
              <w:spacing w:after="0" w:line="240" w:lineRule="auto"/>
              <w:jc w:val="center"/>
              <w:rPr>
                <w:color w:val="auto"/>
                <w:sz w:val="18"/>
                <w:szCs w:val="18"/>
              </w:rPr>
            </w:pPr>
            <w:r>
              <w:rPr>
                <w:rFonts w:cs="Times New Roman"/>
                <w:color w:val="auto"/>
                <w:sz w:val="18"/>
                <w:szCs w:val="18"/>
              </w:rPr>
              <w:t>&lt;0.001</w:t>
            </w:r>
          </w:p>
        </w:tc>
        <w:tc>
          <w:tcPr>
            <w:tcW w:w="1550" w:type="dxa"/>
            <w:tcBorders>
              <w:top w:val="nil"/>
              <w:left w:val="nil"/>
              <w:bottom w:val="nil"/>
              <w:right w:val="nil"/>
            </w:tcBorders>
            <w:tcMar>
              <w:top w:w="40" w:type="dxa"/>
              <w:left w:w="50" w:type="dxa"/>
              <w:bottom w:w="40" w:type="dxa"/>
              <w:right w:w="50" w:type="dxa"/>
            </w:tcMar>
            <w:vAlign w:val="center"/>
          </w:tcPr>
          <w:p w14:paraId="1A27D76F">
            <w:pPr>
              <w:spacing w:after="0" w:line="240" w:lineRule="auto"/>
              <w:jc w:val="center"/>
              <w:rPr>
                <w:color w:val="auto"/>
                <w:sz w:val="18"/>
                <w:szCs w:val="18"/>
              </w:rPr>
            </w:pPr>
            <w:r>
              <w:rPr>
                <w:rFonts w:cs="Times New Roman"/>
                <w:color w:val="auto"/>
                <w:sz w:val="18"/>
                <w:szCs w:val="18"/>
              </w:rPr>
              <w:t>1.35 (1.19–1.52)</w:t>
            </w:r>
          </w:p>
        </w:tc>
        <w:tc>
          <w:tcPr>
            <w:tcW w:w="855" w:type="dxa"/>
            <w:tcBorders>
              <w:top w:val="nil"/>
              <w:left w:val="nil"/>
              <w:bottom w:val="nil"/>
              <w:right w:val="nil"/>
            </w:tcBorders>
            <w:tcMar>
              <w:top w:w="40" w:type="dxa"/>
              <w:left w:w="50" w:type="dxa"/>
              <w:bottom w:w="40" w:type="dxa"/>
              <w:right w:w="50" w:type="dxa"/>
            </w:tcMar>
            <w:vAlign w:val="center"/>
          </w:tcPr>
          <w:p w14:paraId="05807DFE">
            <w:pPr>
              <w:spacing w:after="0" w:line="240" w:lineRule="auto"/>
              <w:jc w:val="center"/>
              <w:rPr>
                <w:color w:val="auto"/>
                <w:sz w:val="18"/>
                <w:szCs w:val="18"/>
              </w:rPr>
            </w:pPr>
            <w:r>
              <w:rPr>
                <w:rFonts w:cs="Times New Roman"/>
                <w:color w:val="auto"/>
                <w:sz w:val="18"/>
                <w:szCs w:val="18"/>
              </w:rPr>
              <w:t>&lt;0.001</w:t>
            </w:r>
          </w:p>
        </w:tc>
      </w:tr>
      <w:tr w14:paraId="5F7AB472">
        <w:trPr>
          <w:cantSplit/>
          <w:jc w:val="center"/>
        </w:trPr>
        <w:tc>
          <w:tcPr>
            <w:tcW w:w="1504" w:type="dxa"/>
            <w:vMerge w:val="continue"/>
            <w:tcBorders>
              <w:top w:val="nil"/>
              <w:left w:val="nil"/>
              <w:bottom w:val="nil"/>
              <w:right w:val="nil"/>
            </w:tcBorders>
            <w:tcMar>
              <w:top w:w="60" w:type="dxa"/>
              <w:left w:w="70" w:type="dxa"/>
              <w:bottom w:w="60" w:type="dxa"/>
              <w:right w:w="70" w:type="dxa"/>
            </w:tcMar>
            <w:vAlign w:val="center"/>
          </w:tcPr>
          <w:p w14:paraId="75504396">
            <w:pPr>
              <w:rPr>
                <w:color w:val="auto"/>
                <w:sz w:val="18"/>
                <w:szCs w:val="18"/>
              </w:rPr>
            </w:pPr>
          </w:p>
        </w:tc>
        <w:tc>
          <w:tcPr>
            <w:tcW w:w="2062" w:type="dxa"/>
            <w:tcBorders>
              <w:top w:val="nil"/>
              <w:left w:val="nil"/>
              <w:bottom w:val="nil"/>
              <w:right w:val="nil"/>
            </w:tcBorders>
            <w:tcMar>
              <w:top w:w="40" w:type="dxa"/>
              <w:left w:w="50" w:type="dxa"/>
              <w:bottom w:w="40" w:type="dxa"/>
              <w:right w:w="50" w:type="dxa"/>
            </w:tcMar>
            <w:vAlign w:val="center"/>
          </w:tcPr>
          <w:p w14:paraId="233DBB4B">
            <w:pPr>
              <w:spacing w:after="0" w:line="240" w:lineRule="auto"/>
              <w:rPr>
                <w:color w:val="auto"/>
                <w:sz w:val="18"/>
                <w:szCs w:val="18"/>
              </w:rPr>
            </w:pPr>
            <w:r>
              <w:rPr>
                <w:rFonts w:cs="Times New Roman"/>
                <w:color w:val="auto"/>
                <w:sz w:val="18"/>
                <w:szCs w:val="18"/>
              </w:rPr>
              <w:t>+ LVEF phenotype</w:t>
            </w:r>
          </w:p>
        </w:tc>
        <w:tc>
          <w:tcPr>
            <w:tcW w:w="942" w:type="dxa"/>
            <w:tcBorders>
              <w:top w:val="nil"/>
              <w:left w:val="nil"/>
              <w:bottom w:val="nil"/>
              <w:right w:val="nil"/>
            </w:tcBorders>
            <w:tcMar>
              <w:top w:w="40" w:type="dxa"/>
              <w:left w:w="50" w:type="dxa"/>
              <w:bottom w:w="40" w:type="dxa"/>
              <w:right w:w="50" w:type="dxa"/>
            </w:tcMar>
            <w:vAlign w:val="center"/>
          </w:tcPr>
          <w:p w14:paraId="1246F202">
            <w:pPr>
              <w:spacing w:after="0" w:line="240" w:lineRule="auto"/>
              <w:jc w:val="center"/>
              <w:rPr>
                <w:color w:val="auto"/>
                <w:sz w:val="18"/>
                <w:szCs w:val="18"/>
              </w:rPr>
            </w:pPr>
            <w:r>
              <w:rPr>
                <w:rFonts w:cs="Times New Roman"/>
                <w:color w:val="auto"/>
                <w:sz w:val="18"/>
                <w:szCs w:val="18"/>
              </w:rPr>
              <w:t>488/64</w:t>
            </w:r>
          </w:p>
        </w:tc>
        <w:tc>
          <w:tcPr>
            <w:tcW w:w="1470" w:type="dxa"/>
            <w:tcBorders>
              <w:top w:val="nil"/>
              <w:left w:val="nil"/>
              <w:bottom w:val="nil"/>
              <w:right w:val="nil"/>
            </w:tcBorders>
            <w:tcMar>
              <w:top w:w="40" w:type="dxa"/>
              <w:left w:w="50" w:type="dxa"/>
              <w:bottom w:w="40" w:type="dxa"/>
              <w:right w:w="50" w:type="dxa"/>
            </w:tcMar>
            <w:vAlign w:val="center"/>
          </w:tcPr>
          <w:p w14:paraId="46BEEE53">
            <w:pPr>
              <w:spacing w:after="0" w:line="240" w:lineRule="auto"/>
              <w:jc w:val="center"/>
              <w:rPr>
                <w:color w:val="auto"/>
                <w:sz w:val="18"/>
                <w:szCs w:val="18"/>
              </w:rPr>
            </w:pPr>
            <w:r>
              <w:rPr>
                <w:rFonts w:cs="Times New Roman"/>
                <w:color w:val="auto"/>
                <w:sz w:val="18"/>
                <w:szCs w:val="18"/>
              </w:rPr>
              <w:t>1.50 (1.22–1.86)</w:t>
            </w:r>
          </w:p>
        </w:tc>
        <w:tc>
          <w:tcPr>
            <w:tcW w:w="825" w:type="dxa"/>
            <w:tcBorders>
              <w:top w:val="nil"/>
              <w:left w:val="nil"/>
              <w:bottom w:val="nil"/>
              <w:right w:val="nil"/>
            </w:tcBorders>
            <w:tcMar>
              <w:top w:w="40" w:type="dxa"/>
              <w:left w:w="50" w:type="dxa"/>
              <w:bottom w:w="40" w:type="dxa"/>
              <w:right w:w="50" w:type="dxa"/>
            </w:tcMar>
            <w:vAlign w:val="center"/>
          </w:tcPr>
          <w:p w14:paraId="25C9B774">
            <w:pPr>
              <w:spacing w:after="0" w:line="240" w:lineRule="auto"/>
              <w:jc w:val="center"/>
              <w:rPr>
                <w:color w:val="auto"/>
                <w:sz w:val="18"/>
                <w:szCs w:val="18"/>
              </w:rPr>
            </w:pPr>
            <w:r>
              <w:rPr>
                <w:rFonts w:cs="Times New Roman"/>
                <w:color w:val="auto"/>
                <w:sz w:val="18"/>
                <w:szCs w:val="18"/>
              </w:rPr>
              <w:t>&lt;0.001</w:t>
            </w:r>
          </w:p>
        </w:tc>
        <w:tc>
          <w:tcPr>
            <w:tcW w:w="1550" w:type="dxa"/>
            <w:tcBorders>
              <w:top w:val="nil"/>
              <w:left w:val="nil"/>
              <w:bottom w:val="nil"/>
              <w:right w:val="nil"/>
            </w:tcBorders>
            <w:tcMar>
              <w:top w:w="40" w:type="dxa"/>
              <w:left w:w="50" w:type="dxa"/>
              <w:bottom w:w="40" w:type="dxa"/>
              <w:right w:w="50" w:type="dxa"/>
            </w:tcMar>
            <w:vAlign w:val="center"/>
          </w:tcPr>
          <w:p w14:paraId="468F93B0">
            <w:pPr>
              <w:spacing w:after="0" w:line="240" w:lineRule="auto"/>
              <w:jc w:val="center"/>
              <w:rPr>
                <w:color w:val="auto"/>
                <w:sz w:val="18"/>
                <w:szCs w:val="18"/>
              </w:rPr>
            </w:pPr>
            <w:r>
              <w:rPr>
                <w:rFonts w:cs="Times New Roman"/>
                <w:color w:val="auto"/>
                <w:sz w:val="18"/>
                <w:szCs w:val="18"/>
              </w:rPr>
              <w:t>1.35 (1.19–1.53)</w:t>
            </w:r>
          </w:p>
        </w:tc>
        <w:tc>
          <w:tcPr>
            <w:tcW w:w="855" w:type="dxa"/>
            <w:tcBorders>
              <w:top w:val="nil"/>
              <w:left w:val="nil"/>
              <w:bottom w:val="nil"/>
              <w:right w:val="nil"/>
            </w:tcBorders>
            <w:tcMar>
              <w:top w:w="40" w:type="dxa"/>
              <w:left w:w="50" w:type="dxa"/>
              <w:bottom w:w="40" w:type="dxa"/>
              <w:right w:w="50" w:type="dxa"/>
            </w:tcMar>
            <w:vAlign w:val="center"/>
          </w:tcPr>
          <w:p w14:paraId="0D21A9C5">
            <w:pPr>
              <w:spacing w:after="0" w:line="240" w:lineRule="auto"/>
              <w:jc w:val="center"/>
              <w:rPr>
                <w:color w:val="auto"/>
                <w:sz w:val="18"/>
                <w:szCs w:val="18"/>
              </w:rPr>
            </w:pPr>
            <w:r>
              <w:rPr>
                <w:rFonts w:cs="Times New Roman"/>
                <w:color w:val="auto"/>
                <w:sz w:val="18"/>
                <w:szCs w:val="18"/>
              </w:rPr>
              <w:t>&lt;0.001</w:t>
            </w:r>
          </w:p>
        </w:tc>
      </w:tr>
      <w:tr w14:paraId="7D826221">
        <w:trPr>
          <w:cantSplit/>
          <w:jc w:val="center"/>
        </w:trPr>
        <w:tc>
          <w:tcPr>
            <w:tcW w:w="1504" w:type="dxa"/>
            <w:vMerge w:val="continue"/>
            <w:tcBorders>
              <w:top w:val="nil"/>
              <w:left w:val="nil"/>
              <w:bottom w:val="nil"/>
              <w:right w:val="nil"/>
            </w:tcBorders>
            <w:tcMar>
              <w:top w:w="60" w:type="dxa"/>
              <w:left w:w="70" w:type="dxa"/>
              <w:bottom w:w="60" w:type="dxa"/>
              <w:right w:w="70" w:type="dxa"/>
            </w:tcMar>
            <w:vAlign w:val="center"/>
          </w:tcPr>
          <w:p w14:paraId="01695701">
            <w:pPr>
              <w:rPr>
                <w:color w:val="auto"/>
                <w:sz w:val="18"/>
                <w:szCs w:val="18"/>
              </w:rPr>
            </w:pPr>
          </w:p>
        </w:tc>
        <w:tc>
          <w:tcPr>
            <w:tcW w:w="2062" w:type="dxa"/>
            <w:tcBorders>
              <w:top w:val="nil"/>
              <w:left w:val="nil"/>
              <w:bottom w:val="nil"/>
              <w:right w:val="nil"/>
            </w:tcBorders>
            <w:tcMar>
              <w:top w:w="40" w:type="dxa"/>
              <w:left w:w="50" w:type="dxa"/>
              <w:bottom w:w="40" w:type="dxa"/>
              <w:right w:w="50" w:type="dxa"/>
            </w:tcMar>
            <w:vAlign w:val="center"/>
          </w:tcPr>
          <w:p w14:paraId="413B6FD2">
            <w:pPr>
              <w:spacing w:after="0" w:line="240" w:lineRule="auto"/>
              <w:rPr>
                <w:color w:val="auto"/>
                <w:sz w:val="18"/>
                <w:szCs w:val="18"/>
              </w:rPr>
            </w:pPr>
            <w:r>
              <w:rPr>
                <w:rFonts w:cs="Times New Roman"/>
                <w:color w:val="auto"/>
                <w:sz w:val="18"/>
                <w:szCs w:val="18"/>
              </w:rPr>
              <w:t>+ HF medications</w:t>
            </w:r>
          </w:p>
        </w:tc>
        <w:tc>
          <w:tcPr>
            <w:tcW w:w="942" w:type="dxa"/>
            <w:tcBorders>
              <w:top w:val="nil"/>
              <w:left w:val="nil"/>
              <w:bottom w:val="nil"/>
              <w:right w:val="nil"/>
            </w:tcBorders>
            <w:tcMar>
              <w:top w:w="40" w:type="dxa"/>
              <w:left w:w="50" w:type="dxa"/>
              <w:bottom w:w="40" w:type="dxa"/>
              <w:right w:w="50" w:type="dxa"/>
            </w:tcMar>
            <w:vAlign w:val="center"/>
          </w:tcPr>
          <w:p w14:paraId="203D9672">
            <w:pPr>
              <w:spacing w:after="0" w:line="240" w:lineRule="auto"/>
              <w:jc w:val="center"/>
              <w:rPr>
                <w:color w:val="auto"/>
                <w:sz w:val="18"/>
                <w:szCs w:val="18"/>
              </w:rPr>
            </w:pPr>
            <w:r>
              <w:rPr>
                <w:rFonts w:cs="Times New Roman"/>
                <w:color w:val="auto"/>
                <w:sz w:val="18"/>
                <w:szCs w:val="18"/>
              </w:rPr>
              <w:t>488/64</w:t>
            </w:r>
          </w:p>
        </w:tc>
        <w:tc>
          <w:tcPr>
            <w:tcW w:w="1470" w:type="dxa"/>
            <w:tcBorders>
              <w:top w:val="nil"/>
              <w:left w:val="nil"/>
              <w:bottom w:val="nil"/>
              <w:right w:val="nil"/>
            </w:tcBorders>
            <w:tcMar>
              <w:top w:w="40" w:type="dxa"/>
              <w:left w:w="50" w:type="dxa"/>
              <w:bottom w:w="40" w:type="dxa"/>
              <w:right w:w="50" w:type="dxa"/>
            </w:tcMar>
            <w:vAlign w:val="center"/>
          </w:tcPr>
          <w:p w14:paraId="75C15978">
            <w:pPr>
              <w:spacing w:after="0" w:line="240" w:lineRule="auto"/>
              <w:jc w:val="center"/>
              <w:rPr>
                <w:color w:val="auto"/>
                <w:sz w:val="18"/>
                <w:szCs w:val="18"/>
              </w:rPr>
            </w:pPr>
            <w:r>
              <w:rPr>
                <w:rFonts w:cs="Times New Roman"/>
                <w:color w:val="auto"/>
                <w:sz w:val="18"/>
                <w:szCs w:val="18"/>
              </w:rPr>
              <w:t>1.57 (1.26–1.96)</w:t>
            </w:r>
          </w:p>
        </w:tc>
        <w:tc>
          <w:tcPr>
            <w:tcW w:w="825" w:type="dxa"/>
            <w:tcBorders>
              <w:top w:val="nil"/>
              <w:left w:val="nil"/>
              <w:bottom w:val="nil"/>
              <w:right w:val="nil"/>
            </w:tcBorders>
            <w:tcMar>
              <w:top w:w="40" w:type="dxa"/>
              <w:left w:w="50" w:type="dxa"/>
              <w:bottom w:w="40" w:type="dxa"/>
              <w:right w:w="50" w:type="dxa"/>
            </w:tcMar>
            <w:vAlign w:val="center"/>
          </w:tcPr>
          <w:p w14:paraId="15924A6E">
            <w:pPr>
              <w:spacing w:after="0" w:line="240" w:lineRule="auto"/>
              <w:jc w:val="center"/>
              <w:rPr>
                <w:color w:val="auto"/>
                <w:sz w:val="18"/>
                <w:szCs w:val="18"/>
              </w:rPr>
            </w:pPr>
            <w:r>
              <w:rPr>
                <w:rFonts w:cs="Times New Roman"/>
                <w:color w:val="auto"/>
                <w:sz w:val="18"/>
                <w:szCs w:val="18"/>
              </w:rPr>
              <w:t>&lt;0.001</w:t>
            </w:r>
          </w:p>
        </w:tc>
        <w:tc>
          <w:tcPr>
            <w:tcW w:w="1550" w:type="dxa"/>
            <w:tcBorders>
              <w:top w:val="nil"/>
              <w:left w:val="nil"/>
              <w:bottom w:val="nil"/>
              <w:right w:val="nil"/>
            </w:tcBorders>
            <w:tcMar>
              <w:top w:w="40" w:type="dxa"/>
              <w:left w:w="50" w:type="dxa"/>
              <w:bottom w:w="40" w:type="dxa"/>
              <w:right w:w="50" w:type="dxa"/>
            </w:tcMar>
            <w:vAlign w:val="center"/>
          </w:tcPr>
          <w:p w14:paraId="283E1EED">
            <w:pPr>
              <w:spacing w:after="0" w:line="240" w:lineRule="auto"/>
              <w:jc w:val="center"/>
              <w:rPr>
                <w:color w:val="auto"/>
                <w:sz w:val="18"/>
                <w:szCs w:val="18"/>
              </w:rPr>
            </w:pPr>
            <w:r>
              <w:rPr>
                <w:rFonts w:cs="Times New Roman"/>
                <w:color w:val="auto"/>
                <w:sz w:val="18"/>
                <w:szCs w:val="18"/>
              </w:rPr>
              <w:t>1.34 (1.19–1.52)</w:t>
            </w:r>
          </w:p>
        </w:tc>
        <w:tc>
          <w:tcPr>
            <w:tcW w:w="855" w:type="dxa"/>
            <w:tcBorders>
              <w:top w:val="nil"/>
              <w:left w:val="nil"/>
              <w:bottom w:val="nil"/>
              <w:right w:val="nil"/>
            </w:tcBorders>
            <w:tcMar>
              <w:top w:w="40" w:type="dxa"/>
              <w:left w:w="50" w:type="dxa"/>
              <w:bottom w:w="40" w:type="dxa"/>
              <w:right w:w="50" w:type="dxa"/>
            </w:tcMar>
            <w:vAlign w:val="center"/>
          </w:tcPr>
          <w:p w14:paraId="72353014">
            <w:pPr>
              <w:spacing w:after="0" w:line="240" w:lineRule="auto"/>
              <w:jc w:val="center"/>
              <w:rPr>
                <w:color w:val="auto"/>
                <w:sz w:val="18"/>
                <w:szCs w:val="18"/>
              </w:rPr>
            </w:pPr>
            <w:r>
              <w:rPr>
                <w:rFonts w:cs="Times New Roman"/>
                <w:color w:val="auto"/>
                <w:sz w:val="18"/>
                <w:szCs w:val="18"/>
              </w:rPr>
              <w:t>&lt;0.001</w:t>
            </w:r>
          </w:p>
        </w:tc>
      </w:tr>
      <w:tr w14:paraId="7DE8F234">
        <w:trPr>
          <w:cantSplit/>
          <w:jc w:val="center"/>
        </w:trPr>
        <w:tc>
          <w:tcPr>
            <w:tcW w:w="1504" w:type="dxa"/>
            <w:vMerge w:val="continue"/>
            <w:tcBorders>
              <w:top w:val="nil"/>
              <w:left w:val="nil"/>
              <w:bottom w:val="nil"/>
              <w:right w:val="nil"/>
            </w:tcBorders>
            <w:tcMar>
              <w:top w:w="60" w:type="dxa"/>
              <w:left w:w="70" w:type="dxa"/>
              <w:bottom w:w="60" w:type="dxa"/>
              <w:right w:w="70" w:type="dxa"/>
            </w:tcMar>
            <w:vAlign w:val="center"/>
          </w:tcPr>
          <w:p w14:paraId="0DFB775D">
            <w:pPr>
              <w:rPr>
                <w:color w:val="auto"/>
                <w:sz w:val="18"/>
                <w:szCs w:val="18"/>
              </w:rPr>
            </w:pPr>
          </w:p>
        </w:tc>
        <w:tc>
          <w:tcPr>
            <w:tcW w:w="2062" w:type="dxa"/>
            <w:tcBorders>
              <w:top w:val="nil"/>
              <w:left w:val="nil"/>
              <w:bottom w:val="single" w:color="000000" w:sz="12" w:space="0"/>
              <w:right w:val="nil"/>
            </w:tcBorders>
            <w:tcMar>
              <w:top w:w="40" w:type="dxa"/>
              <w:left w:w="50" w:type="dxa"/>
              <w:bottom w:w="40" w:type="dxa"/>
              <w:right w:w="50" w:type="dxa"/>
            </w:tcMar>
            <w:vAlign w:val="center"/>
          </w:tcPr>
          <w:p w14:paraId="031EE981">
            <w:pPr>
              <w:spacing w:after="0" w:line="240" w:lineRule="auto"/>
              <w:rPr>
                <w:color w:val="auto"/>
                <w:sz w:val="18"/>
                <w:szCs w:val="18"/>
              </w:rPr>
            </w:pPr>
            <w:r>
              <w:rPr>
                <w:rFonts w:cs="Times New Roman"/>
                <w:color w:val="auto"/>
                <w:sz w:val="18"/>
                <w:szCs w:val="18"/>
              </w:rPr>
              <w:t>+ BNP</w:t>
            </w:r>
          </w:p>
        </w:tc>
        <w:tc>
          <w:tcPr>
            <w:tcW w:w="942" w:type="dxa"/>
            <w:tcBorders>
              <w:top w:val="nil"/>
              <w:left w:val="nil"/>
              <w:bottom w:val="single" w:color="000000" w:sz="12" w:space="0"/>
              <w:right w:val="nil"/>
            </w:tcBorders>
            <w:tcMar>
              <w:top w:w="40" w:type="dxa"/>
              <w:left w:w="50" w:type="dxa"/>
              <w:bottom w:w="40" w:type="dxa"/>
              <w:right w:w="50" w:type="dxa"/>
            </w:tcMar>
            <w:vAlign w:val="center"/>
          </w:tcPr>
          <w:p w14:paraId="53F0AE9D">
            <w:pPr>
              <w:spacing w:after="0" w:line="240" w:lineRule="auto"/>
              <w:jc w:val="center"/>
              <w:rPr>
                <w:color w:val="auto"/>
                <w:sz w:val="18"/>
                <w:szCs w:val="18"/>
              </w:rPr>
            </w:pPr>
            <w:r>
              <w:rPr>
                <w:rFonts w:cs="Times New Roman"/>
                <w:color w:val="auto"/>
                <w:sz w:val="18"/>
                <w:szCs w:val="18"/>
              </w:rPr>
              <w:t>289/31</w:t>
            </w:r>
          </w:p>
        </w:tc>
        <w:tc>
          <w:tcPr>
            <w:tcW w:w="1470" w:type="dxa"/>
            <w:tcBorders>
              <w:top w:val="nil"/>
              <w:left w:val="nil"/>
              <w:bottom w:val="single" w:color="000000" w:sz="12" w:space="0"/>
              <w:right w:val="nil"/>
            </w:tcBorders>
            <w:tcMar>
              <w:top w:w="40" w:type="dxa"/>
              <w:left w:w="50" w:type="dxa"/>
              <w:bottom w:w="40" w:type="dxa"/>
              <w:right w:w="50" w:type="dxa"/>
            </w:tcMar>
            <w:vAlign w:val="center"/>
          </w:tcPr>
          <w:p w14:paraId="53679215">
            <w:pPr>
              <w:spacing w:after="0" w:line="240" w:lineRule="auto"/>
              <w:jc w:val="center"/>
              <w:rPr>
                <w:color w:val="auto"/>
                <w:sz w:val="18"/>
                <w:szCs w:val="18"/>
              </w:rPr>
            </w:pPr>
            <w:r>
              <w:rPr>
                <w:rFonts w:cs="Times New Roman"/>
                <w:color w:val="auto"/>
                <w:sz w:val="18"/>
                <w:szCs w:val="18"/>
              </w:rPr>
              <w:t>1.81 (1.31–2.48)</w:t>
            </w:r>
          </w:p>
        </w:tc>
        <w:tc>
          <w:tcPr>
            <w:tcW w:w="825" w:type="dxa"/>
            <w:tcBorders>
              <w:top w:val="nil"/>
              <w:left w:val="nil"/>
              <w:bottom w:val="single" w:color="000000" w:sz="12" w:space="0"/>
              <w:right w:val="nil"/>
            </w:tcBorders>
            <w:tcMar>
              <w:top w:w="40" w:type="dxa"/>
              <w:left w:w="50" w:type="dxa"/>
              <w:bottom w:w="40" w:type="dxa"/>
              <w:right w:w="50" w:type="dxa"/>
            </w:tcMar>
            <w:vAlign w:val="center"/>
          </w:tcPr>
          <w:p w14:paraId="475C0054">
            <w:pPr>
              <w:spacing w:after="0" w:line="240" w:lineRule="auto"/>
              <w:jc w:val="center"/>
              <w:rPr>
                <w:color w:val="auto"/>
                <w:sz w:val="18"/>
                <w:szCs w:val="18"/>
              </w:rPr>
            </w:pPr>
            <w:r>
              <w:rPr>
                <w:rFonts w:cs="Times New Roman"/>
                <w:color w:val="auto"/>
                <w:sz w:val="18"/>
                <w:szCs w:val="18"/>
              </w:rPr>
              <w:t>&lt;0.001</w:t>
            </w:r>
          </w:p>
        </w:tc>
        <w:tc>
          <w:tcPr>
            <w:tcW w:w="1550" w:type="dxa"/>
            <w:tcBorders>
              <w:top w:val="nil"/>
              <w:left w:val="nil"/>
              <w:bottom w:val="single" w:color="000000" w:sz="12" w:space="0"/>
              <w:right w:val="nil"/>
            </w:tcBorders>
            <w:tcMar>
              <w:top w:w="40" w:type="dxa"/>
              <w:left w:w="50" w:type="dxa"/>
              <w:bottom w:w="40" w:type="dxa"/>
              <w:right w:w="50" w:type="dxa"/>
            </w:tcMar>
            <w:vAlign w:val="center"/>
          </w:tcPr>
          <w:p w14:paraId="2F85620B">
            <w:pPr>
              <w:spacing w:after="0" w:line="240" w:lineRule="auto"/>
              <w:jc w:val="center"/>
              <w:rPr>
                <w:color w:val="auto"/>
                <w:sz w:val="18"/>
                <w:szCs w:val="18"/>
              </w:rPr>
            </w:pPr>
            <w:r>
              <w:rPr>
                <w:rFonts w:cs="Times New Roman"/>
                <w:color w:val="auto"/>
                <w:sz w:val="18"/>
                <w:szCs w:val="18"/>
              </w:rPr>
              <w:t>1.40 (1.17–1.68)</w:t>
            </w:r>
          </w:p>
        </w:tc>
        <w:tc>
          <w:tcPr>
            <w:tcW w:w="855" w:type="dxa"/>
            <w:tcBorders>
              <w:top w:val="nil"/>
              <w:left w:val="nil"/>
              <w:bottom w:val="single" w:color="000000" w:sz="12" w:space="0"/>
              <w:right w:val="nil"/>
            </w:tcBorders>
            <w:tcMar>
              <w:top w:w="40" w:type="dxa"/>
              <w:left w:w="50" w:type="dxa"/>
              <w:bottom w:w="40" w:type="dxa"/>
              <w:right w:w="50" w:type="dxa"/>
            </w:tcMar>
            <w:vAlign w:val="center"/>
          </w:tcPr>
          <w:p w14:paraId="2B0F1D6F">
            <w:pPr>
              <w:spacing w:after="0" w:line="240" w:lineRule="auto"/>
              <w:jc w:val="center"/>
              <w:rPr>
                <w:color w:val="auto"/>
                <w:sz w:val="18"/>
                <w:szCs w:val="18"/>
              </w:rPr>
            </w:pPr>
            <w:r>
              <w:rPr>
                <w:rFonts w:cs="Times New Roman"/>
                <w:color w:val="auto"/>
                <w:sz w:val="18"/>
                <w:szCs w:val="18"/>
              </w:rPr>
              <w:t>&lt;0.001</w:t>
            </w:r>
          </w:p>
        </w:tc>
      </w:tr>
    </w:tbl>
    <w:p w14:paraId="6CA0AEA6">
      <w:pPr>
        <w:jc w:val="both"/>
        <w:rPr>
          <w:color w:val="auto"/>
        </w:rPr>
      </w:pPr>
      <w:r>
        <w:rPr>
          <w:rFonts w:hint="eastAsia" w:cs="Times New Roman"/>
          <w:color w:val="auto"/>
          <w:sz w:val="18"/>
          <w:szCs w:val="18"/>
        </w:rPr>
        <w:t>Notes: All sensitivity models included the base covariates—age, sex, New York Heart Association functional class, Charlson Comorbidity Index, hemoglobin, and body mass index—with log₂-transformed NLR and CAR entered simultaneously. Each sensitivity model additionally included the covariate(s) shown. LVEF phenotype was modeled categorically as HFrEF, HFmrEF, or HFpEF. HF medications comprised beta-blocker, ACEI/ARB, mineralocorticoid receptor antagonist, and loop diuretic use. BNP was log₂-transformed and was available in 295 participants</w:t>
      </w:r>
      <w:r>
        <w:rPr>
          <w:rFonts w:hint="default" w:cs="Times New Roman"/>
          <w:color w:val="auto"/>
          <w:sz w:val="18"/>
          <w:szCs w:val="18"/>
          <w:lang w:val="en-US"/>
        </w:rPr>
        <w:t xml:space="preserve">. </w:t>
      </w:r>
      <w:r>
        <w:rPr>
          <w:rFonts w:hint="eastAsia" w:cs="Times New Roman"/>
          <w:color w:val="auto"/>
          <w:sz w:val="18"/>
          <w:szCs w:val="18"/>
        </w:rPr>
        <w:t>BNP-adjusted analyses were restricted to complete cases. HRs for NLR and CAR are expressed per doubling of the biomarker value. Complete-case analysis was used for the covariates included in each model. Tied event times were handled using the Breslow method. ACEI/ARB, angiotensin-converting enzyme inhibitor/angiotensin receptor blocker; BNP, B-type natriuretic peptide; CAR, C-reactive protein-to-albumin ratio; CI, confidence interval; eGFR, estimated glomerular filtration rate; HF, heart failure; HFmrEF, heart failure with mildly reduced ejection fraction; HFpEF, heart failure with preserved ejection fraction; HFrEF, heart failure with reduced ejection fraction; HR, hazard ratio; LVEF, left ventricular ejection fraction; NLR, neutrophil-to-lymphocyte ratio.</w:t>
      </w:r>
      <w:bookmarkStart w:id="0" w:name="_GoBack"/>
      <w:bookmarkEnd w:id="0"/>
    </w:p>
    <w:p w14:paraId="6B58F696">
      <w:pPr>
        <w:widowControl w:val="0"/>
        <w:spacing w:before="100" w:after="200"/>
        <w:rPr>
          <w:color w:val="auto"/>
        </w:rPr>
      </w:pPr>
      <w:r>
        <w:rPr>
          <w:rFonts w:cs="Times New Roman"/>
          <w:b/>
          <w:color w:val="auto"/>
          <w:sz w:val="24"/>
        </w:rPr>
        <w:t>Figure S1. Restricted cubic spline analyses of admission NLR and CAR with 12-month mortality and 90-day unplanned readmission.</w:t>
      </w:r>
    </w:p>
    <w:p w14:paraId="4EF8C211">
      <w:pPr>
        <w:jc w:val="center"/>
        <w:rPr>
          <w:color w:val="auto"/>
        </w:rPr>
      </w:pPr>
      <w:r>
        <w:rPr>
          <w:rFonts w:cs="Times New Roman"/>
          <w:color w:val="auto"/>
          <w:sz w:val="24"/>
        </w:rPr>
        <w:drawing>
          <wp:inline distT="0" distB="0" distL="114300" distR="114300">
            <wp:extent cx="4976495" cy="3745230"/>
            <wp:effectExtent l="0" t="0" r="1905" b="139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2"/>
                    <a:stretch>
                      <a:fillRect/>
                    </a:stretch>
                  </pic:blipFill>
                  <pic:spPr>
                    <a:xfrm>
                      <a:off x="0" y="0"/>
                      <a:ext cx="4976495" cy="3745230"/>
                    </a:xfrm>
                    <a:prstGeom prst="rect">
                      <a:avLst/>
                    </a:prstGeom>
                  </pic:spPr>
                </pic:pic>
              </a:graphicData>
            </a:graphic>
          </wp:inline>
        </w:drawing>
      </w:r>
    </w:p>
    <w:p w14:paraId="3839DD78">
      <w:pPr>
        <w:rPr>
          <w:color w:val="auto"/>
        </w:rPr>
      </w:pPr>
      <w:r>
        <w:rPr>
          <w:rFonts w:hint="eastAsia" w:cs="Times New Roman"/>
          <w:color w:val="auto"/>
          <w:sz w:val="21"/>
        </w:rPr>
        <w:t>Panels A–D show the associations of NLR with 12-month all-cause mortality, CAR with 12-month all-cause mortality, NLR with 90-day unplanned readmission, and CAR with 90-day unplanned readmission, respectively. NLR and CAR were log₂-transformed and modeled using restricted cubic splines with four knots placed at the 5th, 35th, 65th, and 95th percentiles</w:t>
      </w:r>
      <w:r>
        <w:rPr>
          <w:rFonts w:hint="default" w:cs="Times New Roman"/>
          <w:color w:val="auto"/>
          <w:sz w:val="21"/>
          <w:lang w:val="en-US"/>
        </w:rPr>
        <w:t>.</w:t>
      </w:r>
      <w:r>
        <w:rPr>
          <w:rFonts w:hint="eastAsia" w:cs="Times New Roman"/>
          <w:color w:val="auto"/>
          <w:sz w:val="21"/>
        </w:rPr>
        <w:t xml:space="preserve"> </w:t>
      </w:r>
      <w:r>
        <w:rPr>
          <w:rFonts w:hint="default" w:cs="Times New Roman"/>
          <w:color w:val="auto"/>
          <w:sz w:val="21"/>
          <w:lang w:val="en-US"/>
        </w:rPr>
        <w:t>T</w:t>
      </w:r>
      <w:r>
        <w:rPr>
          <w:rFonts w:hint="eastAsia" w:cs="Times New Roman"/>
          <w:color w:val="auto"/>
          <w:sz w:val="21"/>
        </w:rPr>
        <w:t>he median biomarker value was used as the reference. Models were adjusted for age, sex, New York Heart Association functional class, Charlson Comorbidity Index, hemoglobin, and body mass index. P values for overall association and nonlinearity were obtained using likelihood-ratio tests. There was no statistically significant evidence of nonlinearity for any association. NLR, neutrophil-to-lymphocyte ratio; CAR, C-reactive protein-to-albumin ratio.</w:t>
      </w:r>
      <w:r>
        <w:rPr>
          <w:rFonts w:cs="Times New Roman"/>
          <w:color w:val="auto"/>
          <w:sz w:val="24"/>
        </w:rPr>
        <w:br w:type="page"/>
      </w:r>
    </w:p>
    <w:p w14:paraId="1EF20F86">
      <w:pPr>
        <w:widowControl w:val="0"/>
        <w:spacing w:before="100" w:after="200"/>
        <w:rPr>
          <w:color w:val="auto"/>
        </w:rPr>
      </w:pPr>
      <w:r>
        <w:rPr>
          <w:rFonts w:cs="Times New Roman"/>
          <w:b/>
          <w:color w:val="auto"/>
          <w:sz w:val="24"/>
        </w:rPr>
        <w:t>Figure S2. ROC curves and performance of the exploratory cut-offs for admission NLR and CAR.</w:t>
      </w:r>
    </w:p>
    <w:p w14:paraId="474A53BB">
      <w:pPr>
        <w:jc w:val="center"/>
        <w:rPr>
          <w:color w:val="auto"/>
        </w:rPr>
      </w:pPr>
      <w:r>
        <w:rPr>
          <w:rFonts w:cs="Times New Roman"/>
          <w:color w:val="auto"/>
          <w:sz w:val="24"/>
        </w:rPr>
        <w:drawing>
          <wp:inline distT="0" distB="0" distL="114300" distR="114300">
            <wp:extent cx="5053330" cy="4315460"/>
            <wp:effectExtent l="0" t="0" r="127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3"/>
                    <a:stretch>
                      <a:fillRect/>
                    </a:stretch>
                  </pic:blipFill>
                  <pic:spPr>
                    <a:xfrm>
                      <a:off x="0" y="0"/>
                      <a:ext cx="5053330" cy="4315460"/>
                    </a:xfrm>
                    <a:prstGeom prst="rect">
                      <a:avLst/>
                    </a:prstGeom>
                  </pic:spPr>
                </pic:pic>
              </a:graphicData>
            </a:graphic>
          </wp:inline>
        </w:drawing>
      </w:r>
    </w:p>
    <w:p w14:paraId="097B14CA">
      <w:pPr>
        <w:spacing w:before="60" w:after="200"/>
        <w:rPr>
          <w:rFonts w:cs="Times New Roman"/>
          <w:color w:val="auto"/>
          <w:sz w:val="21"/>
        </w:rPr>
      </w:pPr>
      <w:r>
        <w:rPr>
          <w:rFonts w:hint="eastAsia" w:cs="Times New Roman"/>
          <w:color w:val="auto"/>
          <w:sz w:val="21"/>
        </w:rPr>
        <w:t>Panels A and B show ROC curves for NLR and CAR, respectively, for 12-month all-cause mortality</w:t>
      </w:r>
      <w:r>
        <w:rPr>
          <w:rFonts w:hint="default" w:cs="Times New Roman"/>
          <w:color w:val="auto"/>
          <w:sz w:val="21"/>
          <w:lang w:val="en-US"/>
        </w:rPr>
        <w:t>.</w:t>
      </w:r>
      <w:r>
        <w:rPr>
          <w:rFonts w:hint="eastAsia" w:cs="Times New Roman"/>
          <w:color w:val="auto"/>
          <w:sz w:val="21"/>
        </w:rPr>
        <w:t xml:space="preserve"> Panels C and D show ROC curves for NLR and CAR, respectively, for 90-day unplanned readmission. The exploratory cut-offs used for categorical analyses were NLR &gt;8.97 and CAR &gt;0.49. The corresponding AUCs for NLR and CAR were 0.634 and 0.714 for mortality and 0.710 and 0.759 for readmission, respectively. These cut-offs were internally derived and should be considered exploratory rather than externally validated clinical thresholds. NLR, neutrophil-to-lymphocyte ratio; CAR, C-reactive protein-to-albumin ratio; AUC, area under the curve; ROC, receiver operating characteristic.</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0000019F" w:csb1="00000000"/>
  </w:font>
  <w:font w:name="ＭＳ 明朝">
    <w:altName w:val="Hiragino Sans"/>
    <w:panose1 w:val="00000000000000000000"/>
    <w:charset w:val="86"/>
    <w:family w:val="auto"/>
    <w:pitch w:val="default"/>
    <w:sig w:usb0="00000000" w:usb1="00000000" w:usb2="00000000" w:usb3="00000000" w:csb0="0000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苹方-简"/>
    <w:panose1 w:val="00000000000000000000"/>
    <w:charset w:val="00"/>
    <w:family w:val="auto"/>
    <w:pitch w:val="default"/>
    <w:sig w:usb0="00000000" w:usb1="00000000" w:usb2="00000000" w:usb3="00000000" w:csb0="00000000" w:csb1="00000000"/>
  </w:font>
  <w:font w:name="Courier">
    <w:altName w:val="苹方-简"/>
    <w:panose1 w:val="02070409020205020404"/>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A5742">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C1C45">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B2F15">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0F893">
    <w:pPr>
      <w:pStyle w:val="2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F94C4">
    <w:pPr>
      <w:pStyle w:val="2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86BB5">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doNotDisplayPageBoundaries w:val="1"/>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13334"/>
    <w:rsid w:val="0029639D"/>
    <w:rsid w:val="00326F90"/>
    <w:rsid w:val="003A6706"/>
    <w:rsid w:val="00AA1D8D"/>
    <w:rsid w:val="00B47730"/>
    <w:rsid w:val="00CB0664"/>
    <w:rsid w:val="00E63A0A"/>
    <w:rsid w:val="00FA6C5C"/>
    <w:rsid w:val="00FC693F"/>
    <w:rsid w:val="0FF76F3D"/>
    <w:rsid w:val="1FE799E3"/>
    <w:rsid w:val="2EDF6EDB"/>
    <w:rsid w:val="3FFF696B"/>
    <w:rsid w:val="5FE79C5A"/>
    <w:rsid w:val="6FFE176E"/>
    <w:rsid w:val="78FFD067"/>
    <w:rsid w:val="7BBE5A82"/>
    <w:rsid w:val="7D6D25C7"/>
    <w:rsid w:val="7DF677AB"/>
    <w:rsid w:val="7DFCEDD8"/>
    <w:rsid w:val="7F7F64DD"/>
    <w:rsid w:val="7FAF43C1"/>
    <w:rsid w:val="7FFD666F"/>
    <w:rsid w:val="A5F51435"/>
    <w:rsid w:val="AE7FC673"/>
    <w:rsid w:val="CBFFC03C"/>
    <w:rsid w:val="CCD7AA80"/>
    <w:rsid w:val="DF67F504"/>
    <w:rsid w:val="EF75A906"/>
    <w:rsid w:val="EFFE324A"/>
    <w:rsid w:val="F3BF50AD"/>
    <w:rsid w:val="FCFF96A6"/>
    <w:rsid w:val="FDDFB14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20" w:line="276" w:lineRule="auto"/>
    </w:pPr>
    <w:rPr>
      <w:rFonts w:ascii="Times New Roman" w:hAnsi="Times New Roman" w:eastAsia="Times New Roman" w:cstheme="minorBidi"/>
      <w:sz w:val="22"/>
      <w:szCs w:val="22"/>
      <w:lang w:val="en-US" w:eastAsia="en-US" w:bidi="ar-SA"/>
    </w:rPr>
  </w:style>
  <w:style w:type="paragraph" w:styleId="3">
    <w:name w:val="heading 1"/>
    <w:basedOn w:val="1"/>
    <w:next w:val="1"/>
    <w:link w:val="138"/>
    <w:qFormat/>
    <w:uiPriority w:val="9"/>
    <w:pPr>
      <w:keepNext/>
      <w:keepLines/>
      <w:spacing w:before="160" w:after="80"/>
      <w:outlineLvl w:val="0"/>
    </w:pPr>
    <w:rPr>
      <w:rFonts w:asciiTheme="majorHAnsi" w:hAnsiTheme="majorHAnsi" w:eastAsiaTheme="majorEastAsia" w:cstheme="majorBidi"/>
      <w:b/>
      <w:bCs/>
      <w:color w:val="376092" w:themeColor="accent1" w:themeShade="BF"/>
      <w:sz w:val="24"/>
      <w:szCs w:val="28"/>
    </w:rPr>
  </w:style>
  <w:style w:type="paragraph" w:styleId="4">
    <w:name w:val="heading 2"/>
    <w:basedOn w:val="1"/>
    <w:next w:val="1"/>
    <w:link w:val="139"/>
    <w:unhideWhenUsed/>
    <w:qFormat/>
    <w:uiPriority w:val="9"/>
    <w:pPr>
      <w:keepNext/>
      <w:keepLines/>
      <w:spacing w:before="160" w:after="80"/>
      <w:outlineLvl w:val="1"/>
    </w:pPr>
    <w:rPr>
      <w:rFonts w:asciiTheme="majorHAnsi" w:hAnsiTheme="majorHAnsi" w:eastAsiaTheme="majorEastAsia" w:cstheme="majorBidi"/>
      <w:b/>
      <w:bCs/>
      <w:color w:val="4F81BD" w:themeColor="accent1"/>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160" w:after="80"/>
      <w:outlineLvl w:val="2"/>
    </w:pPr>
    <w:rPr>
      <w:rFonts w:asciiTheme="majorHAnsi" w:hAnsiTheme="majorHAnsi" w:eastAsiaTheme="majorEastAsia" w:cstheme="majorBidi"/>
      <w:b/>
      <w:bCs/>
      <w:color w:val="4F81BD" w:themeColor="accent1"/>
      <w:sz w:val="2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line="480" w:lineRule="auto"/>
    </w:pPr>
  </w:style>
  <w:style w:type="paragraph" w:styleId="29">
    <w:name w:val="List Continue 2"/>
    <w:basedOn w:val="1"/>
    <w:unhideWhenUsed/>
    <w:uiPriority w:val="99"/>
    <w:pPr>
      <w:ind w:left="720"/>
      <w:contextualSpacing/>
    </w:pPr>
  </w:style>
  <w:style w:type="paragraph" w:styleId="30">
    <w:name w:val="List Continue 3"/>
    <w:basedOn w:val="1"/>
    <w:unhideWhenUsed/>
    <w:uiPriority w:val="99"/>
    <w:pPr>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不明显强调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明显强调1"/>
    <w:basedOn w:val="132"/>
    <w:qFormat/>
    <w:uiPriority w:val="21"/>
    <w:rPr>
      <w:b/>
      <w:bCs/>
      <w:i/>
      <w:iCs/>
      <w:color w:val="4F81BD" w:themeColor="accent1"/>
      <w14:textFill>
        <w14:solidFill>
          <w14:schemeClr w14:val="accent1"/>
        </w14:solidFill>
      </w14:textFill>
    </w:rPr>
  </w:style>
  <w:style w:type="character" w:customStyle="1" w:styleId="160">
    <w:name w:val="不明显参考1"/>
    <w:basedOn w:val="132"/>
    <w:qFormat/>
    <w:uiPriority w:val="31"/>
    <w:rPr>
      <w:smallCaps/>
      <w:color w:val="C0504D" w:themeColor="accent2"/>
      <w:u w:val="single"/>
      <w14:textFill>
        <w14:solidFill>
          <w14:schemeClr w14:val="accent2"/>
        </w14:solidFill>
      </w14:textFill>
    </w:rPr>
  </w:style>
  <w:style w:type="character" w:customStyle="1" w:styleId="161">
    <w:name w:val="明显参考1"/>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1855</Words>
  <Characters>10926</Characters>
  <Lines>546</Lines>
  <Paragraphs>426</Paragraphs>
  <TotalTime>181</TotalTime>
  <ScaleCrop>false</ScaleCrop>
  <LinksUpToDate>false</LinksUpToDate>
  <CharactersWithSpaces>12355</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2013-12-27T07:15:00Z</dcterms:created>
  <dc:creator>python-docx</dc:creator>
  <dc:description>generated by python-docx</dc:description>
  <cp:lastModifiedBy>Carrie</cp:lastModifiedBy>
  <dcterms:modified xsi:type="dcterms:W3CDTF">2026-09-27T12:18:33Z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BE0726251572B42B397DB86A6C05B699_43</vt:lpwstr>
  </property>
</Properties>
</file>