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7E6D" w14:textId="4315E07E" w:rsidR="005A225E" w:rsidRPr="005B3A38" w:rsidRDefault="00000000">
      <w:pPr>
        <w:rPr>
          <w:rFonts w:ascii="Times New Roman" w:eastAsia="宋体" w:hAnsi="Times New Roman" w:cs="Times New Roman"/>
          <w:lang w:eastAsia="zh-CN"/>
        </w:rPr>
      </w:pPr>
      <w:r w:rsidRPr="005B3A38">
        <w:rPr>
          <w:rFonts w:ascii="Times New Roman" w:hAnsi="Times New Roman" w:cs="Times New Roman"/>
          <w:b/>
        </w:rPr>
        <w:t>Supplementary Table SX. Stratified Analysis of CTI and TyG Associations with Incident CMM by Baseline Cardiometabolic Disease Count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1006"/>
        <w:gridCol w:w="1166"/>
        <w:gridCol w:w="1629"/>
        <w:gridCol w:w="939"/>
        <w:gridCol w:w="1629"/>
        <w:gridCol w:w="939"/>
      </w:tblGrid>
      <w:tr w:rsidR="005A225E" w:rsidRPr="005B3A38" w14:paraId="4DB01D1D" w14:textId="77777777" w:rsidTr="005B3A38"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215FED7F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b/>
                <w:sz w:val="20"/>
              </w:rPr>
              <w:t>Group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7826E911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b/>
                <w:sz w:val="20"/>
              </w:rPr>
              <w:t>N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07C81968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b/>
                <w:sz w:val="20"/>
              </w:rPr>
              <w:t>Events</w:t>
            </w:r>
            <w:r w:rsidRPr="005B3A38">
              <w:rPr>
                <w:rFonts w:ascii="Times New Roman" w:hAnsi="Times New Roman" w:cs="Times New Roman"/>
                <w:b/>
                <w:sz w:val="20"/>
              </w:rPr>
              <w:br/>
              <w:t>(%)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2283515F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b/>
                <w:sz w:val="20"/>
              </w:rPr>
              <w:t>CTI</w:t>
            </w:r>
            <w:r w:rsidRPr="005B3A38">
              <w:rPr>
                <w:rFonts w:ascii="Times New Roman" w:hAnsi="Times New Roman" w:cs="Times New Roman"/>
                <w:b/>
                <w:sz w:val="20"/>
              </w:rPr>
              <w:br/>
              <w:t>HR (95% CI)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22D571E5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717F237F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b/>
                <w:sz w:val="20"/>
              </w:rPr>
              <w:t>TyG</w:t>
            </w:r>
            <w:r w:rsidRPr="005B3A38">
              <w:rPr>
                <w:rFonts w:ascii="Times New Roman" w:hAnsi="Times New Roman" w:cs="Times New Roman"/>
                <w:b/>
                <w:sz w:val="20"/>
              </w:rPr>
              <w:br/>
              <w:t>HR (95% CI)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3581C004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</w:tr>
      <w:tr w:rsidR="005A225E" w:rsidRPr="005B3A38" w14:paraId="7C31DD57" w14:textId="77777777" w:rsidTr="005B3A38">
        <w:tc>
          <w:tcPr>
            <w:tcW w:w="1872" w:type="dxa"/>
            <w:tcBorders>
              <w:top w:val="single" w:sz="4" w:space="0" w:color="auto"/>
            </w:tcBorders>
          </w:tcPr>
          <w:p w14:paraId="7859BC32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Full cohort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2595C220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6,296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7D45181E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1,688</w:t>
            </w:r>
            <w:r w:rsidRPr="005B3A38">
              <w:rPr>
                <w:rFonts w:ascii="Times New Roman" w:hAnsi="Times New Roman" w:cs="Times New Roman"/>
                <w:sz w:val="20"/>
              </w:rPr>
              <w:br/>
              <w:t>(26.8%)</w:t>
            </w: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5EBB3693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1.66 (1.51–1.81)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4F299306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&lt;0.001</w:t>
            </w: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08FA1D0F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1.53 (1.40–1.68)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E396DAF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&lt;0.001</w:t>
            </w:r>
          </w:p>
        </w:tc>
      </w:tr>
      <w:tr w:rsidR="005A225E" w:rsidRPr="005B3A38" w14:paraId="59A68D39" w14:textId="77777777" w:rsidTr="005B3A38">
        <w:tc>
          <w:tcPr>
            <w:tcW w:w="1872" w:type="dxa"/>
          </w:tcPr>
          <w:p w14:paraId="20053BBB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0-disease group</w:t>
            </w:r>
          </w:p>
        </w:tc>
        <w:tc>
          <w:tcPr>
            <w:tcW w:w="1152" w:type="dxa"/>
          </w:tcPr>
          <w:p w14:paraId="03D148C8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4,740</w:t>
            </w:r>
          </w:p>
        </w:tc>
        <w:tc>
          <w:tcPr>
            <w:tcW w:w="1296" w:type="dxa"/>
          </w:tcPr>
          <w:p w14:paraId="0EE1DDF3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867</w:t>
            </w:r>
            <w:r w:rsidRPr="005B3A38">
              <w:rPr>
                <w:rFonts w:ascii="Times New Roman" w:hAnsi="Times New Roman" w:cs="Times New Roman"/>
                <w:sz w:val="20"/>
              </w:rPr>
              <w:br/>
              <w:t>(18.3%)</w:t>
            </w:r>
          </w:p>
        </w:tc>
        <w:tc>
          <w:tcPr>
            <w:tcW w:w="2016" w:type="dxa"/>
          </w:tcPr>
          <w:p w14:paraId="0A0C7D16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1.65 (1.50–1.81)</w:t>
            </w:r>
          </w:p>
        </w:tc>
        <w:tc>
          <w:tcPr>
            <w:tcW w:w="1008" w:type="dxa"/>
          </w:tcPr>
          <w:p w14:paraId="1C276540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&lt;0.001</w:t>
            </w:r>
          </w:p>
        </w:tc>
        <w:tc>
          <w:tcPr>
            <w:tcW w:w="2016" w:type="dxa"/>
          </w:tcPr>
          <w:p w14:paraId="2E63FAD4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1.61 (1.45–1.78)</w:t>
            </w:r>
          </w:p>
        </w:tc>
        <w:tc>
          <w:tcPr>
            <w:tcW w:w="1008" w:type="dxa"/>
          </w:tcPr>
          <w:p w14:paraId="4C9A61CB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&lt;0.001</w:t>
            </w:r>
          </w:p>
        </w:tc>
      </w:tr>
      <w:tr w:rsidR="005A225E" w:rsidRPr="005B3A38" w14:paraId="619EEC0D" w14:textId="77777777" w:rsidTr="005B3A38">
        <w:tc>
          <w:tcPr>
            <w:tcW w:w="1872" w:type="dxa"/>
            <w:tcBorders>
              <w:bottom w:val="single" w:sz="4" w:space="0" w:color="auto"/>
            </w:tcBorders>
          </w:tcPr>
          <w:p w14:paraId="6584B3CC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1-disease group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2EF28F1F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1,556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2A697553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821</w:t>
            </w:r>
            <w:r w:rsidRPr="005B3A38">
              <w:rPr>
                <w:rFonts w:ascii="Times New Roman" w:hAnsi="Times New Roman" w:cs="Times New Roman"/>
                <w:sz w:val="20"/>
              </w:rPr>
              <w:br/>
              <w:t>(52.8%)</w:t>
            </w: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2AC6BB8F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1.34 (1.18–1.54)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25161E97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&lt;0.001</w:t>
            </w: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5CA03ED3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1.24 (1.06–1.39)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0A9718CB" w14:textId="77777777" w:rsidR="005A225E" w:rsidRPr="005B3A3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B3A38">
              <w:rPr>
                <w:rFonts w:ascii="Times New Roman" w:hAnsi="Times New Roman" w:cs="Times New Roman"/>
                <w:sz w:val="20"/>
              </w:rPr>
              <w:t>&lt;0.001</w:t>
            </w:r>
          </w:p>
        </w:tc>
      </w:tr>
    </w:tbl>
    <w:p w14:paraId="7B461014" w14:textId="6A324C1E" w:rsidR="005A225E" w:rsidRPr="005B3A38" w:rsidRDefault="00000000">
      <w:pPr>
        <w:rPr>
          <w:rFonts w:ascii="Times New Roman" w:eastAsia="宋体" w:hAnsi="Times New Roman" w:cs="Times New Roman" w:hint="eastAsia"/>
          <w:lang w:eastAsia="zh-CN"/>
        </w:rPr>
      </w:pPr>
      <w:r w:rsidRPr="005B3A38">
        <w:rPr>
          <w:rFonts w:ascii="Times New Roman" w:hAnsi="Times New Roman" w:cs="Times New Roman"/>
          <w:i/>
          <w:sz w:val="20"/>
        </w:rPr>
        <w:t>P for interaction: CTI × baseline disease count = 0.105; TyG × baseline disease count = 0.006</w:t>
      </w:r>
    </w:p>
    <w:p w14:paraId="49E3D3D0" w14:textId="77777777" w:rsidR="005A225E" w:rsidRPr="005B3A38" w:rsidRDefault="00000000">
      <w:pPr>
        <w:rPr>
          <w:rFonts w:ascii="Times New Roman" w:hAnsi="Times New Roman" w:cs="Times New Roman"/>
        </w:rPr>
      </w:pPr>
      <w:r w:rsidRPr="005B3A38">
        <w:rPr>
          <w:rFonts w:ascii="Times New Roman" w:hAnsi="Times New Roman" w:cs="Times New Roman"/>
          <w:i/>
          <w:sz w:val="18"/>
        </w:rPr>
        <w:t>Abbreviations: CTI, C-reactive protein-triglyceride-glucose index; TyG, triglyceride-glucose index; HR, hazard ratio; CI, confidence interval; CMM, cardiometabolic multimorbidity. The 0-disease group comprised participants with none of the four CMM-defining conditions (hypertension, diabetes, heart disease, stroke) at baseline. The 1-disease group comprised participants with exactly one of these conditions at baseline. All models were adjusted for age, sex, marital status, residence, education, BMI, sleep duration, self-reported health, life satisfaction, household consumption, IADL score, smoking, alcohol consumption, and baseline comorbidities (dyslipidemia, cancer, lung disease, liver disease, kidney disease, digestive disease, psychiatric disease, memory disorder, arthritis, asthma). P for interaction was calculated using a multiplicative interaction term in the full cohort.</w:t>
      </w:r>
    </w:p>
    <w:sectPr w:rsidR="005A225E" w:rsidRPr="005B3A3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0502424">
    <w:abstractNumId w:val="8"/>
  </w:num>
  <w:num w:numId="2" w16cid:durableId="839735562">
    <w:abstractNumId w:val="6"/>
  </w:num>
  <w:num w:numId="3" w16cid:durableId="1496653634">
    <w:abstractNumId w:val="5"/>
  </w:num>
  <w:num w:numId="4" w16cid:durableId="1438059277">
    <w:abstractNumId w:val="4"/>
  </w:num>
  <w:num w:numId="5" w16cid:durableId="997072800">
    <w:abstractNumId w:val="7"/>
  </w:num>
  <w:num w:numId="6" w16cid:durableId="1431244705">
    <w:abstractNumId w:val="3"/>
  </w:num>
  <w:num w:numId="7" w16cid:durableId="1336036027">
    <w:abstractNumId w:val="2"/>
  </w:num>
  <w:num w:numId="8" w16cid:durableId="1123695724">
    <w:abstractNumId w:val="1"/>
  </w:num>
  <w:num w:numId="9" w16cid:durableId="14404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225E"/>
    <w:rsid w:val="005B3A38"/>
    <w:rsid w:val="00AA1D8D"/>
    <w:rsid w:val="00B12FE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871346"/>
  <w14:defaultImageDpi w14:val="300"/>
  <w15:docId w15:val="{9CF5B1B9-5270-4A15-A65E-62283FB2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Agent Smith</cp:lastModifiedBy>
  <cp:revision>2</cp:revision>
  <dcterms:created xsi:type="dcterms:W3CDTF">2013-12-23T23:15:00Z</dcterms:created>
  <dcterms:modified xsi:type="dcterms:W3CDTF">2026-09-07T16:21:00Z</dcterms:modified>
  <cp:category/>
</cp:coreProperties>
</file>