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0D63A" w14:textId="11AE39E4" w:rsidR="001117A6" w:rsidRPr="00356A75" w:rsidRDefault="00000000">
      <w:pPr>
        <w:rPr>
          <w:rFonts w:eastAsia="宋体" w:hint="eastAsia"/>
          <w:lang w:eastAsia="zh-CN"/>
        </w:rPr>
      </w:pPr>
      <w:r>
        <w:rPr>
          <w:rFonts w:ascii="Times New Roman" w:hAnsi="Times New Roman"/>
          <w:b/>
        </w:rPr>
        <w:t>Supplementary Table S3. Sensitivity Analysis: Cox Regression Model 3 Results Using Alternative Definitions for Dyslipidemia and Kidney Disease</w:t>
      </w: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2126"/>
        <w:gridCol w:w="2106"/>
        <w:gridCol w:w="1872"/>
        <w:gridCol w:w="1872"/>
      </w:tblGrid>
      <w:tr w:rsidR="001117A6" w14:paraId="286F8997" w14:textId="77777777" w:rsidTr="00356A75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5FF759E6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Index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F40AF03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Primary Analysis</w:t>
            </w:r>
            <w:r>
              <w:rPr>
                <w:rFonts w:ascii="Times New Roman" w:hAnsi="Times New Roman"/>
                <w:b/>
                <w:sz w:val="20"/>
              </w:rPr>
              <w:br/>
              <w:t>HR (95% CI)</w:t>
            </w: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</w:tcPr>
          <w:p w14:paraId="5F86D37D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Sensitivity Analysis</w:t>
            </w:r>
            <w:r>
              <w:rPr>
                <w:rFonts w:ascii="Times New Roman" w:hAnsi="Times New Roman"/>
                <w:b/>
                <w:sz w:val="20"/>
              </w:rPr>
              <w:br/>
              <w:t>HR (95% CI)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526C549A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Change (%)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20F66AE5" w14:textId="77777777" w:rsidR="001117A6" w:rsidRDefault="00000000">
            <w:pPr>
              <w:jc w:val="center"/>
            </w:pPr>
            <w:r w:rsidRPr="00356A75">
              <w:rPr>
                <w:rFonts w:ascii="Times New Roman" w:hAnsi="Times New Roman"/>
                <w:b/>
                <w:i/>
                <w:iCs/>
                <w:sz w:val="20"/>
              </w:rPr>
              <w:t>P</w:t>
            </w:r>
            <w:r>
              <w:rPr>
                <w:rFonts w:ascii="Times New Roman" w:hAnsi="Times New Roman"/>
                <w:b/>
                <w:sz w:val="20"/>
              </w:rPr>
              <w:t>-value</w:t>
            </w:r>
          </w:p>
        </w:tc>
      </w:tr>
      <w:tr w:rsidR="001117A6" w14:paraId="372264F8" w14:textId="77777777" w:rsidTr="00356A75">
        <w:tc>
          <w:tcPr>
            <w:tcW w:w="1384" w:type="dxa"/>
            <w:tcBorders>
              <w:top w:val="single" w:sz="4" w:space="0" w:color="auto"/>
            </w:tcBorders>
          </w:tcPr>
          <w:p w14:paraId="59FE3ABF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sz w:val="20"/>
              </w:rPr>
              <w:t>CTI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920A9E0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sz w:val="20"/>
              </w:rPr>
              <w:t>1.658 (1.525, 1.802)</w:t>
            </w:r>
          </w:p>
        </w:tc>
        <w:tc>
          <w:tcPr>
            <w:tcW w:w="2106" w:type="dxa"/>
            <w:tcBorders>
              <w:top w:val="single" w:sz="4" w:space="0" w:color="auto"/>
            </w:tcBorders>
          </w:tcPr>
          <w:p w14:paraId="4521ACD9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sz w:val="20"/>
              </w:rPr>
              <w:t>1.553 (1.421, 1.698)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37F0DCB2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sz w:val="20"/>
              </w:rPr>
              <w:t>-6.3%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2E4F66AA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 w:rsidR="001117A6" w14:paraId="409DA736" w14:textId="77777777" w:rsidTr="00356A75">
        <w:tc>
          <w:tcPr>
            <w:tcW w:w="1384" w:type="dxa"/>
            <w:tcBorders>
              <w:bottom w:val="single" w:sz="4" w:space="0" w:color="auto"/>
            </w:tcBorders>
          </w:tcPr>
          <w:p w14:paraId="3D88566F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sz w:val="20"/>
              </w:rPr>
              <w:t>TyG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268C015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sz w:val="20"/>
              </w:rPr>
              <w:t>1.534 (1.426, 1.651)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779DC4B6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sz w:val="20"/>
              </w:rPr>
              <w:t>1.440 (1.324, 1.566)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A906736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sz w:val="20"/>
              </w:rPr>
              <w:t>-6.1%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0D46E71" w14:textId="77777777" w:rsidR="001117A6" w:rsidRDefault="00000000">
            <w:pPr>
              <w:jc w:val="center"/>
            </w:pPr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</w:tbl>
    <w:p w14:paraId="48CF0C71" w14:textId="74198272" w:rsidR="001117A6" w:rsidRDefault="00000000">
      <w:pPr>
        <w:jc w:val="both"/>
      </w:pPr>
      <w:r>
        <w:rPr>
          <w:rFonts w:ascii="Times New Roman" w:hAnsi="Times New Roman"/>
          <w:sz w:val="18"/>
        </w:rPr>
        <w:t>HR, hazard ratio; CI, confidence interval; CTI, C-reactive protein–triglyceride–glucose index; TyG, triglyceride–glucose index.</w:t>
      </w:r>
      <w:r>
        <w:rPr>
          <w:rFonts w:ascii="Times New Roman" w:hAnsi="Times New Roman"/>
          <w:sz w:val="18"/>
        </w:rPr>
        <w:br/>
        <w:t>Primary analysis used self-reported physician diagnoses for dyslipidemia and kidney disease as covariates in Model 3.</w:t>
      </w:r>
      <w:r>
        <w:rPr>
          <w:rFonts w:ascii="Times New Roman" w:hAnsi="Times New Roman"/>
          <w:sz w:val="18"/>
        </w:rPr>
        <w:br/>
        <w:t>Sensitivity analysis used alternative definitions incorporating objective biochemical criteria: dyslipidemia was defined as total cholesterol ≥ 240 mg/dL (6.2 mmol/L), LDL-C ≥ 160 mg/dL (4.1 mmol/L), HDL-C &lt; 40 mg/dL (1.0 mmol/L) for men or &lt; 50 mg/dL (1.3 mmol/L) for women, triglycerides ≥ 200 mg/dL (2.3 mmol/L), or self-reported physician diagnosis; kidney disease was defined as estimated glomerular filtration rate (eGFR) &lt; 60 mL/min/1.73 m² (calculated using the CKD-EPI equation based on serum creatinine, age, and sex) or self-reported physician diagnosis.</w:t>
      </w:r>
      <w:r>
        <w:rPr>
          <w:rFonts w:ascii="Times New Roman" w:hAnsi="Times New Roman"/>
          <w:sz w:val="18"/>
        </w:rPr>
        <w:br/>
        <w:t>Both analyses adjusted for all covariates in Model 3, including demographic factors (age, sex, BMI, marital status, residence, education), lifestyle behaviors (smoking, alcohol consumption), psychosocial factors (sleep duration, self-rated health, life satisfaction, household consumption, IADL score), and comorbid chronic diseases (cancer, respiratory diseases, mental disorders, arthritis, dyslipidemia, liver disease, kidney disease, gastrointestinal disorders, asthma, memory impairment).</w:t>
      </w:r>
    </w:p>
    <w:sectPr w:rsidR="001117A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865566">
    <w:abstractNumId w:val="8"/>
  </w:num>
  <w:num w:numId="2" w16cid:durableId="1631786253">
    <w:abstractNumId w:val="6"/>
  </w:num>
  <w:num w:numId="3" w16cid:durableId="382943060">
    <w:abstractNumId w:val="5"/>
  </w:num>
  <w:num w:numId="4" w16cid:durableId="1590890051">
    <w:abstractNumId w:val="4"/>
  </w:num>
  <w:num w:numId="5" w16cid:durableId="21320908">
    <w:abstractNumId w:val="7"/>
  </w:num>
  <w:num w:numId="6" w16cid:durableId="726294188">
    <w:abstractNumId w:val="3"/>
  </w:num>
  <w:num w:numId="7" w16cid:durableId="869145840">
    <w:abstractNumId w:val="2"/>
  </w:num>
  <w:num w:numId="8" w16cid:durableId="404570254">
    <w:abstractNumId w:val="1"/>
  </w:num>
  <w:num w:numId="9" w16cid:durableId="1342125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7A6"/>
    <w:rsid w:val="0015074B"/>
    <w:rsid w:val="0029639D"/>
    <w:rsid w:val="00326F90"/>
    <w:rsid w:val="00356A75"/>
    <w:rsid w:val="00A01DB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770BE9"/>
  <w14:defaultImageDpi w14:val="300"/>
  <w15:docId w15:val="{3B29547C-9D00-4B48-9451-7D6299AB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Agent Smith</cp:lastModifiedBy>
  <cp:revision>2</cp:revision>
  <dcterms:created xsi:type="dcterms:W3CDTF">2013-12-23T23:15:00Z</dcterms:created>
  <dcterms:modified xsi:type="dcterms:W3CDTF">2026-09-07T08:16:00Z</dcterms:modified>
  <cp:category/>
</cp:coreProperties>
</file>