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1 Supplementary Methods Figure and Tables</w:t>
      </w:r>
    </w:p>
    <w:p>
      <w:r>
        <w:t>Temporal alignment and dynamic clinical status reshape associations between first-week antibiotic trajectories and in-hospital mortality after cardiopulmonary bypass</w:t>
      </w:r>
    </w:p>
    <w:p>
      <w:r>
        <w:t>The tables describe recording scope, clinical measurement availability, model definitions and sensitivity analyses. All entries are aggregate results. The full coefficient, category-count and diagnostic outputs are in Additional file 2.</w:t>
      </w:r>
    </w:p>
    <w:p>
      <w:pPr>
        <w:pStyle w:val="Heading1"/>
      </w:pPr>
      <w:r>
        <w:t>Supplementary Methods</w:t>
      </w:r>
    </w:p>
    <w:p>
      <w:r>
        <w:t>Dynamic status used creatinine, lactate, white-cell count, platelet count and recorded respiratory, vasoactive and renal support. Landmark laboratories were the latest available during hours 120-168. Person-day status used the preceding 24-hour interval. No value was carried forward between windows. MIMIC-IV laboratory availability used the later of collection and storage times when both were present; SICdb used measurement offsets, without a separately verified release time.</w:t>
      </w:r>
    </w:p>
    <w:p>
      <w:r>
        <w:t>Support was bounded to the selected index ICU stay in MIMIC-IV or MetaVision case in SICdb. SICdb positive PEEP was a respiratory-support proxy. Lack of ongoing index monitoring was treated as non-observation, not absence of support. SICdb processed SOFA was excluded because its calculation window and post-case values could not be verified. Monitoring/measured restrictions required current monitoring and recent creatinine plus platelet results; SICdb person-days additionally required the three-day-lag exposure interval inside the index case. MIMIC-IV derived SOFA was considered only in a separate window-bounded sensitivity.</w:t>
      </w:r>
    </w:p>
    <w:p>
      <w:r>
        <w:t>Laboratories were transformed as log(1+value). Missing values were replaced by analysis-specific medians, with separate missingness indicators. Rank checks removed constant or exactly dependent design columns. No significance-based selection was used. One broad-sample dynamic death Cox fit needed a 1 × 10⁻⁶ penalty on missingness coefficients only; its unpenalised diagnostic is retained. Bootstrap preprocessing and model fitting were repeated at both stages: 500 point resamples, 500 outer resamples and 100 inner resamples per outer sample. Seed: 20260920.</w:t>
      </w:r>
    </w:p>
    <w:p>
      <w:pPr>
        <w:pStyle w:val="Heading1"/>
        <w:pageBreakBefore/>
      </w:pPr>
      <w:r>
        <w:t>Table S1. Longitudinal recording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  <w:gridCol w:w="2376"/>
        <w:gridCol w:w="2376"/>
      </w:tblGrid>
      <w:tr>
        <w:trPr>
          <w:tblHeader w:val="true"/>
        </w:trPr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Source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Domain</w:t>
            </w:r>
          </w:p>
        </w:tc>
        <w:tc>
          <w:tcPr>
            <w:tcW w:type="dxa" w:w="230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Source table</w:t>
            </w:r>
          </w:p>
        </w:tc>
        <w:tc>
          <w:tcPr>
            <w:tcW w:type="dxa" w:w="302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Scope</w:t>
            </w:r>
          </w:p>
        </w:tc>
        <w:tc>
          <w:tcPr>
            <w:tcW w:type="dxa" w:w="187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Ward capture</w:t>
            </w:r>
          </w:p>
        </w:tc>
        <w:tc>
          <w:tcPr>
            <w:tcW w:type="dxa" w:w="424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Limit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Antibiotics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mimiciv_derived.antibiotic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admission; stay_id may be absent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Present in the derived table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Selected-ICU attribution is incomplete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SOFA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mimiciv_derived.sofa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ICU stay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captured after ICU discharge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Day-6/7 non-observation can reflect ICU discharge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Respiratory support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mimiciv_derived.ventilation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ICU stay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captured after ICU discharge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Vasoactive support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mimiciv_derived.vasoactive_agent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ICU stay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captured after ICU discharge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Renal replacement therapy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mimiciv_derived.rrt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ICU stay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captured after ICU discharge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ICU discharge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mimiciv_icu.icustays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ICU stay timestamps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applicable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Defines the end of ICU-linked status capture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discharge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mimiciv_hosp.admissions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admission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Used as the live-discharge event time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Death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mimiciv_hosp.admissions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admission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In-hospital outcome 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Only in-hospital death was analysed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Antibiotics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inspire.medications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patient timeline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Present outside the index ICU interval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Overall medication capture was incomplete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SOFA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constructed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validated daily composite used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applicable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SOFA-equivalent dynamic adjustment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Mechanical ventilation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used in harmonised dynamic model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analysed longitudinally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evaluated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source-equivalent daily indicator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Vasoactive support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used in harmonised dynamic model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analysed longitudinally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evaluated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source-equivalent daily indicator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Renal replacement therapy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used in harmonised dynamic model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analysed longitudinally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evaluated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source-equivalent daily indicator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ICU discharge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Source ICU encounter fields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Index ICU encounter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applicable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Used to derive ICU length of stay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discharge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Source hospital encounter fields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admission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Used as the live-discharge event time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INSPIRE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Death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Source hospital encounter fields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admission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In-hospital outcome 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Only in-hospital death was analysed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Antibiotics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public.medication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Index MetaVision monitored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established after index case closure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Recorded exposure can encode continued monitored-case observation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SOFA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public.data_float_h (data_id 3139)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Processed values with unverified calculation windows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verified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Excluded from revised dynamic models; post-case values not interpreted as observed physiology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Respiratory support proxy (positive PEEP)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public.data_float_h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monitored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established after index case closure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Vasoactive support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public.medication/public.data_float_h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monitored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established after index case closure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Renal replacement therapy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public.data_float_h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Selected index monitored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established after index case closure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Outside ongoing index monitoring: unavailable, not absent; later ICU returns not included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Monitored-case closure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public.cases.time_of_stay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Index MetaVision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applicable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Case closure is not a validated ICU-to-ward transfer time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discharge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outcome fields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outcome beyond ICU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Outcome 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Longitudinal medication and physiology stop earlier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Death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outcome fields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Hospital outcome beyond ICU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In-hospital outcome available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Only in-hospital death was analysed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MIMIC-IV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Raw laboratories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mimiciv_hosp.labevents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Admission-linked specimen records; availability uses later chart/store time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Available when recorded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 forward filling; four laboratory domains only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SICdb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Raw laboratories</w:t>
            </w:r>
          </w:p>
        </w:tc>
        <w:tc>
          <w:tcPr>
            <w:tcW w:type="dxa" w:w="23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public.laboratory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Measurement offsets bounded by index monitored case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Not established</w:t>
            </w:r>
          </w:p>
        </w:tc>
        <w:tc>
          <w:tcPr>
            <w:tcW w:type="dxa" w:w="42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Release time unavailable; no post-case carry-forward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pStyle w:val="Heading1"/>
        <w:pageBreakBefore/>
      </w:pPr>
      <w:r>
        <w:t>Table S2A. Monitoring and measured clinical availability at day 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93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Source</w:t>
            </w:r>
          </w:p>
        </w:tc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Trajectory</w:t>
            </w:r>
          </w:p>
        </w:tc>
        <w:tc>
          <w:tcPr>
            <w:tcW w:type="dxa" w:w="8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N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Deaths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Ongoing monitoring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Measured subset N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Measured %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Subset deaths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1446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14.5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18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115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18.3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442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47.3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Limited narrow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25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23.1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283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30.4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369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11.7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497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13.5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25.0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130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76.9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23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50.0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56.9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830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997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Denominator: 5299 patients, 196 deaths. The monitored/measured subset has 1036 patients and 129 deaths. Ongoing observation is defined from the index episode and is not a validated ward location.</w:t>
      </w:r>
    </w:p>
    <w:p>
      <w:pPr>
        <w:pStyle w:val="Heading1"/>
        <w:pageBreakBefore/>
      </w:pPr>
      <w:r>
        <w:t>Table S2B. Clinical-indicator availability by trajectory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</w:tblGrid>
      <w:tr>
        <w:trPr>
          <w:tblHeader w:val="true"/>
        </w:trPr>
        <w:tc>
          <w:tcPr>
            <w:tcW w:type="dxa" w:w="93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Source</w:t>
            </w:r>
          </w:p>
        </w:tc>
        <w:tc>
          <w:tcPr>
            <w:tcW w:type="dxa" w:w="216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Trajectory</w:t>
            </w:r>
          </w:p>
        </w:tc>
        <w:tc>
          <w:tcPr>
            <w:tcW w:type="dxa" w:w="7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N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Creatinine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Lactate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WBC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Platelets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Respiratory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Vasoactive</w:t>
            </w:r>
          </w:p>
        </w:tc>
        <w:tc>
          <w:tcPr>
            <w:tcW w:type="dxa" w:w="13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RRT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1446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1442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1432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1430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209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442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440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238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Limited narrow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369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368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360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485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485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109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200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200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997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113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3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Entries are numbers with a recorded indicator, not numbers receiving support. A zero support value is observed absence only within the selected monitoring window.</w:t>
      </w:r>
    </w:p>
    <w:p>
      <w:pPr>
        <w:pStyle w:val="Heading1"/>
        <w:pageBreakBefore/>
      </w:pPr>
      <w:r>
        <w:t>Table S2C. MIMIC-IV derived SOFA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</w:trPr>
        <w:tc>
          <w:tcPr>
            <w:tcW w:type="dxa" w:w="316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Trajectory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Landmark N</w:t>
            </w:r>
          </w:p>
        </w:tc>
        <w:tc>
          <w:tcPr>
            <w:tcW w:type="dxa" w:w="345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Within-window bounded derived SOFA</w:t>
            </w:r>
          </w:p>
        </w:tc>
        <w:tc>
          <w:tcPr>
            <w:tcW w:type="dxa" w:w="345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Also under ongoing monitoring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Anti-MRSA only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1446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442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208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Early cessation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115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35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21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Late escalation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442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276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210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Limited narrow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25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No recorded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Persistent broad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283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117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86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Persistent narrow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369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91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43</w:t>
            </w:r>
          </w:p>
        </w:tc>
      </w:tr>
      <w:tr>
        <w:trPr>
          <w:trHeight w:hRule="atLeast"/>
        </w:trPr>
        <w:tc>
          <w:tcPr>
            <w:tcW w:type="dxa" w:w="316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Short prophylaxis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497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148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67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MIMIC-IV only. A within-window derived value does not confirm complete measured components. Requiring ongoing monitoring and raw measurements leaves 641 patients and 66 deaths for the SOFA sensitivity. No equivalent SICdb observed-SOFA proportion is asserted.</w:t>
      </w:r>
    </w:p>
    <w:p>
      <w:pPr>
        <w:pStyle w:val="Heading1"/>
        <w:pageBreakBefore/>
      </w:pPr>
      <w:r>
        <w:t>Table S3. Source and trajectory counts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93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Source</w:t>
            </w:r>
          </w:p>
        </w:tc>
        <w:tc>
          <w:tcPr>
            <w:tcW w:type="dxa" w:w="223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Trajectory</w:t>
            </w:r>
          </w:p>
        </w:tc>
        <w:tc>
          <w:tcPr>
            <w:tcW w:type="dxa" w:w="11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Full cohort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Hospital deaths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Day-7 risk set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Post-day-7 deaths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Post-day-7 death %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Sparse exposed events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58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333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8.7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Limited narrow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881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721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386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4936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1519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0.8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461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8.9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Limited narrow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7.1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7.5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1866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385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0.8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1989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Anti-MRSA only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20.8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No recorded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0.0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True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21.6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narrow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859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830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  <w:tr>
        <w:trPr>
          <w:trHeight w:hRule="atLeast"/>
        </w:trPr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23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Short prophylaxis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1046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997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False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This descriptive flag concerns exposure events. Model-level flags additionally consider reference-category events, as reported in Additional file 2.</w:t>
      </w:r>
    </w:p>
    <w:p>
      <w:pPr>
        <w:pStyle w:val="Heading1"/>
        <w:pageBreakBefore/>
      </w:pPr>
      <w:r>
        <w:t>Table S4. Covariates by source and adjustment level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</w:trPr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Source</w:t>
            </w:r>
          </w:p>
        </w:tc>
        <w:tc>
          <w:tcPr>
            <w:tcW w:type="dxa" w:w="194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Adjustment</w:t>
            </w:r>
          </w:p>
        </w:tc>
        <w:tc>
          <w:tcPr>
            <w:tcW w:type="dxa" w:w="61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Variables</w:t>
            </w:r>
          </w:p>
        </w:tc>
        <w:tc>
          <w:tcPr>
            <w:tcW w:type="dxa" w:w="47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Timing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 scores are not temporally equivalent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Local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SAPS3); Charlson index; BMI/5; first-ICU-day ventilation, vasoactive use and RRT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Some variables are perioperative or post-index, not all preoperative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Clinical indicators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SAPS3); log(1+creatinine/lactate/WBC/platelet); respiratory/vasoactive/RRT indicators; missingness indicators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120-168 h for landmark; preceding 24 h for person-days; within index monitoring for support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Local + clinical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All local and clinical-indicator variables above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Same local complete-case sample across adjustment levels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 scores are not temporally equivalent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Local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SAPS3); Emergency surgery; CPB duration/60; BMI/5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Some variables are perioperative or post-index, not all preoperative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Initial scores are not temporally equivalent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Local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SAPS3); Admission urgency; admission sepsis; CPB duration/60; cross-clamp duration/60; BMI/5; RRT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Some variables are perioperative or post-index, not all preoperative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Clinical indicators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Age; sex; source-specific initial severity (first-ICU-day SOFA, preoperative ASA, or admission SAPS3); log(1+creatinine/lactate/WBC/platelet); respiratory/vasoactive/RRT indicators; missingness indicators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120-168 h for landmark; preceding 24 h for person-days; within index monitoring for support</w:t>
            </w:r>
          </w:p>
        </w:tc>
      </w:tr>
      <w:tr>
        <w:trPr>
          <w:trHeight w:hRule="atLeast"/>
        </w:trPr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194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Local + clinical</w:t>
            </w:r>
          </w:p>
        </w:tc>
        <w:tc>
          <w:tcPr>
            <w:tcW w:type="dxa" w:w="61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All local and clinical-indicator variables above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Same local complete-case sample across adjustment levels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The exact model formulas, retained terms and complete-case sample sizes are supplied in Additional file 2. Person-day models additionally include postoperative time categories. Source is included only in pooled models.</w:t>
      </w:r>
    </w:p>
    <w:p>
      <w:pPr>
        <w:pStyle w:val="Heading1"/>
        <w:pageBreakBefore/>
      </w:pPr>
      <w:r>
        <w:t>Table S5A. MIMIC-IV candidate procedure-code audit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11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Code</w:t>
            </w:r>
          </w:p>
        </w:tc>
        <w:tc>
          <w:tcPr>
            <w:tcW w:type="dxa" w:w="7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Version</w:t>
            </w:r>
          </w:p>
        </w:tc>
        <w:tc>
          <w:tcPr>
            <w:tcW w:type="dxa" w:w="46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Description</w:t>
            </w:r>
          </w:p>
        </w:tc>
        <w:tc>
          <w:tcPr>
            <w:tcW w:type="dxa" w:w="93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Records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Patients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Admissions</w:t>
            </w:r>
          </w:p>
        </w:tc>
        <w:tc>
          <w:tcPr>
            <w:tcW w:type="dxa" w:w="172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Retained first events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Hospital deaths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3961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46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Extracorporeal circulation auxiliary to open heart surgery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5062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5009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5044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4995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3966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46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Percutaneous cardiopulmonary bypass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5A1221J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46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Performance of Cardiac Output, Continuous, Automated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5A1221Z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46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Performance of Cardiac Output, Continuous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5467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5407</w:t>
            </w:r>
          </w:p>
        </w:tc>
        <w:tc>
          <w:tcPr>
            <w:tcW w:type="dxa" w:w="12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5451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5342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91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The erroneous candidate 5A1221J contributes no admissions to the corrected primary cohort. Counts are source frequencies and corrected first-event yields, not numbers added together across overlapping code searches.</w:t>
      </w:r>
    </w:p>
    <w:p>
      <w:pPr>
        <w:pStyle w:val="Heading1"/>
        <w:pageBreakBefore/>
      </w:pPr>
      <w:r>
        <w:t>Table S5B. Aggregate code-only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51"/>
        <w:gridCol w:w="2851"/>
        <w:gridCol w:w="2851"/>
        <w:gridCol w:w="2851"/>
        <w:gridCol w:w="2851"/>
      </w:tblGrid>
      <w:tr>
        <w:trPr>
          <w:tblHeader w:val="true"/>
        </w:trPr>
        <w:tc>
          <w:tcPr>
            <w:tcW w:type="dxa" w:w="172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Group</w:t>
            </w:r>
          </w:p>
        </w:tc>
        <w:tc>
          <w:tcPr>
            <w:tcW w:type="dxa" w:w="576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Associated procedure grouping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Reviewed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Retained</w:t>
            </w:r>
          </w:p>
        </w:tc>
        <w:tc>
          <w:tcPr>
            <w:tcW w:type="dxa" w:w="244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Deaths among reviewed</w:t>
            </w:r>
          </w:p>
        </w:tc>
      </w:tr>
      <w:tr>
        <w:trPr>
          <w:trHeight w:hRule="atLeast"/>
        </w:trPr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39.66 only</w:t>
            </w:r>
          </w:p>
        </w:tc>
        <w:tc>
          <w:tcPr>
            <w:tcW w:type="dxa" w:w="57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Conventional valve procedure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39.66 only</w:t>
            </w:r>
          </w:p>
        </w:tc>
        <w:tc>
          <w:tcPr>
            <w:tcW w:type="dxa" w:w="57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Thoracic/vascular procedure with percutaneous CPB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</w:t>
            </w:r>
          </w:p>
        </w:tc>
      </w:tr>
      <w:tr>
        <w:trPr>
          <w:trHeight w:hRule="atLeast"/>
        </w:trPr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5A1221J only</w:t>
            </w:r>
          </w:p>
        </w:tc>
        <w:tc>
          <w:tcPr>
            <w:tcW w:type="dxa" w:w="57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Removed from primary cohort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Concurrent cardiac-surgery coding was not mandatory for the five 39.66-only admissions. No identifiers are disclosed.</w:t>
      </w:r>
    </w:p>
    <w:p>
      <w:pPr>
        <w:pStyle w:val="Heading1"/>
        <w:pageBreakBefore/>
      </w:pPr>
      <w:r>
        <w:t>Table S6. Common broad-spectrum agents by source and trajectory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  <w:gridCol w:w="2376"/>
        <w:gridCol w:w="2376"/>
      </w:tblGrid>
      <w:tr>
        <w:trPr>
          <w:tblHeader w:val="true"/>
        </w:trPr>
        <w:tc>
          <w:tcPr>
            <w:tcW w:type="dxa" w:w="10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Source</w:t>
            </w:r>
          </w:p>
        </w:tc>
        <w:tc>
          <w:tcPr>
            <w:tcW w:type="dxa" w:w="244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Trajectory</w:t>
            </w:r>
          </w:p>
        </w:tc>
        <w:tc>
          <w:tcPr>
            <w:tcW w:type="dxa" w:w="345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Agent</w:t>
            </w:r>
          </w:p>
        </w:tc>
        <w:tc>
          <w:tcPr>
            <w:tcW w:type="dxa" w:w="187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Exposed admissions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Trajectory N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Percent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moxifloxacin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65.9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22.0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7.3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3.7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colistin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1.2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87.5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8.3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5.4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4.0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ciprofloxacin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351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173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57.1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ceftazidime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9.6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inspire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moxifloxacin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303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9.2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ciprofloxacin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66.1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20.6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cefepime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310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1.6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ciprofloxacin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305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47.2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cefepime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222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34.4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16.1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8.4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646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ciprofloxacin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277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53.5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150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29.0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cefepime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20.5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mimiciv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35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518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57.9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cefepime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21.1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15.8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5.3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89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67.4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cefepime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12.9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ceftazidime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9.1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5.3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ceftriaxone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59.6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piperacillin_tazobactam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19.2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meropenem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11.5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cefotaxime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5.8</w:t>
            </w:r>
          </w:p>
        </w:tc>
      </w:tr>
      <w:tr>
        <w:trPr>
          <w:trHeight w:hRule="atLeast"/>
        </w:trPr>
        <w:tc>
          <w:tcPr>
            <w:tcW w:type="dxa" w:w="10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sicdb</w:t>
            </w:r>
          </w:p>
        </w:tc>
        <w:tc>
          <w:tcPr>
            <w:tcW w:type="dxa" w:w="24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345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levofloxacin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52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5.8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Up to five agents per stratum; patients can receive multiple agents. Drug records do not distinguish prophylaxis from infection treatment.</w:t>
      </w:r>
    </w:p>
    <w:p>
      <w:pPr>
        <w:pStyle w:val="Heading1"/>
        <w:pageBreakBefore/>
      </w:pPr>
      <w:r>
        <w:t>Table S7. Trajectory precedence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</w:trPr>
        <w:tc>
          <w:tcPr>
            <w:tcW w:type="dxa" w:w="11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Order</w:t>
            </w:r>
          </w:p>
        </w:tc>
        <w:tc>
          <w:tcPr>
            <w:tcW w:type="dxa" w:w="47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Trajectory</w:t>
            </w:r>
          </w:p>
        </w:tc>
        <w:tc>
          <w:tcPr>
            <w:tcW w:type="dxa" w:w="216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Raw criterion N</w:t>
            </w:r>
          </w:p>
        </w:tc>
        <w:tc>
          <w:tcPr>
            <w:tcW w:type="dxa" w:w="216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Final assigned N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No recorded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922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922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Short prophylaxis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3532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3532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Late escalation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1129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1129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Persistent broad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1603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873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Early cessation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492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411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Anti-MRSA only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5084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5084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Persistent narrow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2928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2928</w:t>
            </w:r>
          </w:p>
        </w:tc>
      </w:tr>
      <w:tr>
        <w:trPr>
          <w:trHeight w:hRule="atLeast"/>
        </w:trPr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47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Limited narrow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6537</w:t>
            </w:r>
          </w:p>
        </w:tc>
        <w:tc>
          <w:tcPr>
            <w:tcW w:type="dxa" w:w="216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77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Rules are evaluated in this order. Raw criteria may overlap; each admission receives one final category.</w:t>
      </w:r>
    </w:p>
    <w:p>
      <w:pPr>
        <w:pStyle w:val="Heading1"/>
        <w:pageBreakBefore/>
      </w:pPr>
      <w:r>
        <w:t>Table S8. Anti-MRSA timing groups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51"/>
        <w:gridCol w:w="2851"/>
        <w:gridCol w:w="2851"/>
        <w:gridCol w:w="2851"/>
        <w:gridCol w:w="2851"/>
      </w:tblGrid>
      <w:tr>
        <w:trPr>
          <w:tblHeader w:val="true"/>
        </w:trPr>
        <w:tc>
          <w:tcPr>
            <w:tcW w:type="dxa" w:w="28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Last exposure</w:t>
            </w:r>
          </w:p>
        </w:tc>
        <w:tc>
          <w:tcPr>
            <w:tcW w:type="dxa" w:w="15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Patients</w:t>
            </w:r>
          </w:p>
        </w:tc>
        <w:tc>
          <w:tcPr>
            <w:tcW w:type="dxa" w:w="187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Hospital deaths</w:t>
            </w:r>
          </w:p>
        </w:tc>
        <w:tc>
          <w:tcPr>
            <w:tcW w:type="dxa" w:w="187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Day-7 risk set</w:t>
            </w:r>
          </w:p>
        </w:tc>
        <w:tc>
          <w:tcPr>
            <w:tcW w:type="dxa" w:w="201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Subsequent deaths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Beyond day 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484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252</w:t>
            </w:r>
          </w:p>
        </w:tc>
        <w:tc>
          <w:tcPr>
            <w:tcW w:type="dxa" w:w="201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Last day 0-1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308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17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186</w:t>
            </w:r>
          </w:p>
        </w:tc>
        <w:tc>
          <w:tcPr>
            <w:tcW w:type="dxa" w:w="201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7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Last day 2-3</w:t>
            </w:r>
          </w:p>
        </w:tc>
        <w:tc>
          <w:tcPr>
            <w:tcW w:type="dxa" w:w="15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4292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33</w:t>
            </w:r>
          </w:p>
        </w:tc>
        <w:tc>
          <w:tcPr>
            <w:tcW w:type="dxa" w:w="187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1222</w:t>
            </w:r>
          </w:p>
        </w:tc>
        <w:tc>
          <w:tcPr>
            <w:tcW w:type="dxa" w:w="201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13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Anti-MRSA exposure without other broad-spectrum agents. Last exposure on days 2-3 is the model reference.</w:t>
      </w:r>
    </w:p>
    <w:p>
      <w:pPr>
        <w:pStyle w:val="Heading1"/>
        <w:pageBreakBefore/>
      </w:pPr>
      <w:r>
        <w:t>Figure S1. Anti-MRSA timing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863840" cy="5314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1_anti_MRSA_three_leve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5314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Exposure timing within the anti-MRSA-only phenotype during [0, 168 h). (a) Counts by source among 5084 patients. (b) Daily exposure proportions. (c) Fixed-window (4877 patients, 58 deaths) and day-7 landmark (1586 patients, 29 deaths) logistic estimates adjusted for age, sex, source and initial severity. Reference: last exposure on days 2-3. Squares denote fixed-window and circles landmark models; horizontal lines are 95% confidence intervals. The days 0-1 landmark estimate has seven deaths and is imprecise. Timing does not establish treatment indication or a duration effect.</w:t>
      </w:r>
    </w:p>
    <w:p>
      <w:pPr>
        <w:pStyle w:val="Heading1"/>
        <w:pageBreakBefore/>
      </w:pPr>
      <w:r>
        <w:t>Table S9A. Monitored/measured benchmark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</w:trPr>
        <w:tc>
          <w:tcPr>
            <w:tcW w:type="dxa" w:w="331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8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Deaths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AIC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AUC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slope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Brier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Clinical indicators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587.2668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0.8368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0.9067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0.0850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Linear broad days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588.5271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0.8354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0.9007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0.0851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Cubic broad days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590.6994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0.8346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0.8886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0.0855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Any broad, D2-6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589.2664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0.8355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0.8996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0.0854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Daily broad, D0-6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594.4807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0.8318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0.8679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0.0854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Trajectory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595.1370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0.8320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0.8037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0.0863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Cubic days + trajectory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600.6189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0.8276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0.7870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0.0872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Performance uses 500 patient bootstrap resamples for optimism correction. All models share patients, initial and clinical-indicator covariates.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128"/>
        <w:gridCol w:w="7128"/>
      </w:tblGrid>
      <w:tr>
        <w:trPr>
          <w:tblHeader w:val="true"/>
        </w:trPr>
        <w:tc>
          <w:tcPr>
            <w:tcW w:type="dxa" w:w="590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Comparison</w:t>
            </w:r>
          </w:p>
        </w:tc>
        <w:tc>
          <w:tcPr>
            <w:tcW w:type="dxa" w:w="604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Difference (95% interval)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Count minus clinical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-0.0014 (-0.0033 to +0.0039)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minus clinical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-0.0048 (-0.0077 to +0.0137)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minus count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-0.0034 (-0.0068 to +0.0144)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added to cubic count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-0.0070 (-0.0087 to +0.0115)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Paired intervals: 500 outer patient resamples, each with 100 inner resamples for optimism correction. Preprocessing and models refitted at both stages. No equivalence margin was tested. Internal calibration densities in Figure 6 are not sampling confidence intervals.</w:t>
      </w:r>
    </w:p>
    <w:p>
      <w:pPr>
        <w:pStyle w:val="Heading1"/>
        <w:pageBreakBefore/>
      </w:pPr>
      <w:r>
        <w:t>Table S9B. Broader two-source benchmark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</w:trPr>
        <w:tc>
          <w:tcPr>
            <w:tcW w:type="dxa" w:w="331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8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Deaths</w:t>
            </w:r>
          </w:p>
        </w:tc>
        <w:tc>
          <w:tcPr>
            <w:tcW w:type="dxa" w:w="144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AIC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AUC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slope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Corrected Brier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Clinical indicators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1125.0314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0.8974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0.9632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0.0275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Linear broad days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1123.3136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0.8994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0.9605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0.0275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Cubic broad days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1126.7138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0.8982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0.9550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0.0275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Any broad, D2-6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1125.6587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0.8983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0.9603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0.0275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Daily broad, D0-6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1129.6634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0.8998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0.9455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0.0276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Trajectory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1130.6638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0.8948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0.9110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0.0277</w:t>
            </w:r>
          </w:p>
        </w:tc>
      </w:tr>
      <w:tr>
        <w:trPr>
          <w:trHeight w:hRule="atLeast"/>
        </w:trPr>
        <w:tc>
          <w:tcPr>
            <w:tcW w:type="dxa" w:w="331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Cubic days + trajectory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5299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196</w:t>
            </w:r>
          </w:p>
        </w:tc>
        <w:tc>
          <w:tcPr>
            <w:tcW w:type="dxa" w:w="144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1135.2355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0.8943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0.9033</w:t>
            </w:r>
          </w:p>
        </w:tc>
        <w:tc>
          <w:tcPr>
            <w:tcW w:type="dxa" w:w="180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0.0279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Performance uses 500 patient bootstrap resamples for optimism correction. All models share patients, initial and clinical-indicator covariates.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128"/>
        <w:gridCol w:w="7128"/>
      </w:tblGrid>
      <w:tr>
        <w:trPr>
          <w:tblHeader w:val="true"/>
        </w:trPr>
        <w:tc>
          <w:tcPr>
            <w:tcW w:type="dxa" w:w="590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Comparison</w:t>
            </w:r>
          </w:p>
        </w:tc>
        <w:tc>
          <w:tcPr>
            <w:tcW w:type="dxa" w:w="604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Difference (95% interval)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Count minus clinical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+0.0019 (-0.0009 to +0.0078)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minus clinical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-0.0027 (-0.0055 to +0.0086)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minus count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-0.0046 (-0.0065 to +0.0060)</w:t>
            </w:r>
          </w:p>
        </w:tc>
      </w:tr>
      <w:tr>
        <w:trPr>
          <w:trHeight w:hRule="atLeast"/>
        </w:trPr>
        <w:tc>
          <w:tcPr>
            <w:tcW w:type="dxa" w:w="590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Taxonomy added to cubic count</w:t>
            </w:r>
          </w:p>
        </w:tc>
        <w:tc>
          <w:tcPr>
            <w:tcW w:type="dxa" w:w="604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-0.0039 (-0.0059 to +0.0065)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Paired intervals: 500 outer patient resamples, each with 100 inner resamples for optimism correction. Preprocessing and models refitted at both stages. No equivalence margin was tested. Internal calibration densities in Figure 6 are not sampling confidence intervals.</w:t>
      </w:r>
    </w:p>
    <w:p>
      <w:pPr>
        <w:pStyle w:val="Heading1"/>
        <w:pageBreakBefore/>
      </w:pPr>
      <w:r>
        <w:t>Table S10. Procedure-code cohort correction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  <w:gridCol w:w="2376"/>
        <w:gridCol w:w="2376"/>
      </w:tblGrid>
      <w:tr>
        <w:trPr>
          <w:tblHeader w:val="true"/>
        </w:trPr>
        <w:tc>
          <w:tcPr>
            <w:tcW w:type="dxa" w:w="28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Model</w:t>
            </w:r>
          </w:p>
        </w:tc>
        <w:tc>
          <w:tcPr>
            <w:tcW w:type="dxa" w:w="208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Contrast</w:t>
            </w:r>
          </w:p>
        </w:tc>
        <w:tc>
          <w:tcPr>
            <w:tcW w:type="dxa" w:w="11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Original N</w:t>
            </w:r>
          </w:p>
        </w:tc>
        <w:tc>
          <w:tcPr>
            <w:tcW w:type="dxa" w:w="11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Corrected N</w:t>
            </w:r>
          </w:p>
        </w:tc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Original OR (95% CI)</w:t>
            </w:r>
          </w:p>
        </w:tc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Corrected OR (95% CI)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fixed_three_source_common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14521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14514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4.55 (2.48-8.35)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3.46 (1.78-6.71)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fixed_three_source_common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14521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14514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9.21 (6.25-13.57)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9.20 (6.24-13.55)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fixed_three_source_common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14521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14514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10.04 (6.61-15.23)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9.78 (6.43-14.87)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landmark_three_source_common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Early cessation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7328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7326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1.45 (0.43-4.94)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1.46 (0.43-4.96)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landmark_three_source_common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Late escalation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7328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7326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9.44 (5.83-15.26)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9.46 (5.85-15.30)</w:t>
            </w:r>
          </w:p>
        </w:tc>
      </w:tr>
      <w:tr>
        <w:trPr>
          <w:trHeight w:hRule="atLeast"/>
        </w:trPr>
        <w:tc>
          <w:tcPr>
            <w:tcW w:type="dxa" w:w="288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5"/>
              </w:rPr>
              <w:t>landmark_three_source_common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Persistent broad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7328</w:t>
            </w:r>
          </w:p>
        </w:tc>
        <w:tc>
          <w:tcPr>
            <w:tcW w:type="dxa" w:w="11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7326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11.41 (6.84-19.05)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5"/>
              </w:rPr>
              <w:t>11.29 (6.76-18.86)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6"/>
        </w:rPr>
        <w:t>Historical original estimates document the exclusion of ten admissions not supported by a valid CPB procedure code. Current primary cohort: 14956 patients, 441 deaths. Dynamic feature correction is separate; superseded dynamic-SOFA models are not reused as current results.</w:t>
      </w:r>
    </w:p>
    <w:p>
      <w:pPr>
        <w:pStyle w:val="Heading1"/>
        <w:pageBreakBefore/>
      </w:pPr>
      <w:r>
        <w:t>Table S11. Additional monitored/measured and same-day estimates</w:t>
      </w:r>
    </w:p>
    <w:p>
      <w:pPr>
        <w:pStyle w:val="Heading2"/>
      </w:pPr>
      <w:r>
        <w:t>A. Monitored/measured trajectory comparisons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Analysis</w:t>
            </w:r>
          </w:p>
        </w:tc>
        <w:tc>
          <w:tcPr>
            <w:tcW w:type="dxa" w:w="7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Set</w:t>
            </w:r>
          </w:p>
        </w:tc>
        <w:tc>
          <w:tcPr>
            <w:tcW w:type="dxa" w:w="93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Patients</w:t>
            </w:r>
          </w:p>
        </w:tc>
        <w:tc>
          <w:tcPr>
            <w:tcW w:type="dxa" w:w="7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Events</w:t>
            </w:r>
          </w:p>
        </w:tc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Adjustment</w:t>
            </w:r>
          </w:p>
        </w:tc>
        <w:tc>
          <w:tcPr>
            <w:tcW w:type="dxa" w:w="7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Effect</w:t>
            </w:r>
          </w:p>
        </w:tc>
        <w:tc>
          <w:tcPr>
            <w:tcW w:type="dxa" w:w="208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Persistent broad</w:t>
            </w:r>
          </w:p>
        </w:tc>
        <w:tc>
          <w:tcPr>
            <w:tcW w:type="dxa" w:w="208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Late escalation</w:t>
            </w:r>
          </w:p>
        </w:tc>
      </w:tr>
      <w:tr>
        <w:trPr>
          <w:trHeight w:hRule="atLeast"/>
        </w:trPr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Monitored/measured landmark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P4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day-6/7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OR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1.05 (0.37-2.99)*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0.64 (0.25-1.67)*</w:t>
            </w:r>
          </w:p>
        </w:tc>
      </w:tr>
      <w:tr>
        <w:trPr>
          <w:trHeight w:hRule="atLeast"/>
        </w:trPr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Monitored/measured death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P4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HR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3.02 (1.09-8.36)*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2.77 (1.06-7.26)*</w:t>
            </w:r>
          </w:p>
        </w:tc>
      </w:tr>
      <w:tr>
        <w:trPr>
          <w:trHeight w:hRule="atLeast"/>
        </w:trPr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Monitored/measured death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P4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day-6/7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HR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0.73 (0.26-2.10)*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0.75 (0.30-1.87)*</w:t>
            </w:r>
          </w:p>
        </w:tc>
      </w:tr>
      <w:tr>
        <w:trPr>
          <w:trHeight w:hRule="atLeast"/>
        </w:trPr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Monitored/measured live discharge</w:t>
            </w:r>
          </w:p>
        </w:tc>
        <w:tc>
          <w:tcPr>
            <w:tcW w:type="dxa" w:w="7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P4</w:t>
            </w:r>
          </w:p>
        </w:tc>
        <w:tc>
          <w:tcPr>
            <w:tcW w:type="dxa" w:w="93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1036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907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day-6/7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HR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0.69 (0.51-0.94)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0.86 (0.66-1.14)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pStyle w:val="Heading2"/>
      </w:pPr>
      <w:r>
        <w:t>B. Same-day and monitored/measured daily-state comparisons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</w:trPr>
        <w:tc>
          <w:tcPr>
            <w:tcW w:type="dxa" w:w="25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Analysis</w:t>
            </w:r>
          </w:p>
        </w:tc>
        <w:tc>
          <w:tcPr>
            <w:tcW w:type="dxa" w:w="8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Set</w:t>
            </w:r>
          </w:p>
        </w:tc>
        <w:tc>
          <w:tcPr>
            <w:tcW w:type="dxa" w:w="172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Patients / person-days</w:t>
            </w:r>
          </w:p>
        </w:tc>
        <w:tc>
          <w:tcPr>
            <w:tcW w:type="dxa" w:w="8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Events</w:t>
            </w:r>
          </w:p>
        </w:tc>
        <w:tc>
          <w:tcPr>
            <w:tcW w:type="dxa" w:w="302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Adjustment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Effect</w:t>
            </w:r>
          </w:p>
        </w:tc>
        <w:tc>
          <w:tcPr>
            <w:tcW w:type="dxa" w:w="25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Broad-spectrum state</w:t>
            </w:r>
          </w:p>
        </w:tc>
      </w:tr>
      <w:tr>
        <w:trPr>
          <w:trHeight w:hRule="atLeast"/>
        </w:trPr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Same-day state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P5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12133 / 136882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311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previous-day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Interval OR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1.41 (0.77-2.57)</w:t>
            </w:r>
          </w:p>
        </w:tc>
      </w:tr>
      <w:tr>
        <w:trPr>
          <w:trHeight w:hRule="atLeast"/>
        </w:trPr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Previous-day state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P5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12133 / 136882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311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previous-day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Interval OR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0.91 (0.56-1.48)</w:t>
            </w:r>
          </w:p>
        </w:tc>
      </w:tr>
      <w:tr>
        <w:trPr>
          <w:trHeight w:hRule="atLeast"/>
        </w:trPr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One-day lag, monitored/measured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P6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4063 / 19021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126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previous-day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Interval OR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0.41 (0.23-0.72)</w:t>
            </w:r>
          </w:p>
        </w:tc>
      </w:tr>
      <w:tr>
        <w:trPr>
          <w:trHeight w:hRule="atLeast"/>
        </w:trPr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Three-day lag, monitored/measured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P6</w:t>
            </w:r>
          </w:p>
        </w:tc>
        <w:tc>
          <w:tcPr>
            <w:tcW w:type="dxa" w:w="172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4063 / 19021</w:t>
            </w:r>
          </w:p>
        </w:tc>
        <w:tc>
          <w:tcPr>
            <w:tcW w:type="dxa" w:w="8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126</w:t>
            </w:r>
          </w:p>
        </w:tc>
        <w:tc>
          <w:tcPr>
            <w:tcW w:type="dxa" w:w="302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Initial + previous-day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Interval OR</w:t>
            </w:r>
          </w:p>
        </w:tc>
        <w:tc>
          <w:tcPr>
            <w:tcW w:type="dxa" w:w="25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0.48 (0.27-0.87)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5"/>
        </w:rPr>
        <w:t>Panel A uses the monitored/measured two-source day-7 subset (P4): ongoing index monitoring and creatinine plus platelet measurements during hours 120-168. Panel B includes the broader same-day/previous-day sample (P5) and the monitored/measured one-/three-day comparison (P6). P6 requires ongoing monitoring, prior-day creatinine and platelet measurements and SICdb lagged-exposure coverage. Trajectory reference: short-course prophylaxis. Daily-state reference: narrow-spectrum or other antibacterial exposure. Values are adjusted estimates (95% CI). Initial adjustment includes age, sex, source and initial severity. Clinical adjustment uses raw laboratory and organ-support variables with missingness indicators. Person-day models include postoperative time and patient-clustered standard errors. Asterisks indicate fewer than ten exposure or reference events. Different samples and effect measures are not directly comparable.</w:t>
      </w:r>
    </w:p>
    <w:p>
      <w:r>
        <w:br w:type="page"/>
      </w:r>
    </w:p>
    <w:p>
      <w:pPr>
        <w:pStyle w:val="Heading1"/>
        <w:keepNext/>
      </w:pPr>
      <w:r>
        <w:t>Table S12. Principal association analyses, populations and model specifications</w:t>
      </w:r>
    </w:p>
    <w:p>
      <w:pPr>
        <w:pStyle w:val="Heading2"/>
        <w:spacing w:before="100" w:after="60"/>
      </w:pPr>
      <w:r>
        <w:t>A. First-week trajectory contrasts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rPr>
          <w:tblHeader w:val="true"/>
        </w:trPr>
        <w:tc>
          <w:tcPr>
            <w:tcW w:type="dxa" w:w="30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Analysis and data sources</w:t>
            </w:r>
          </w:p>
        </w:tc>
        <w:tc>
          <w:tcPr>
            <w:tcW w:type="dxa" w:w="208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Sample and events</w:t>
            </w:r>
          </w:p>
        </w:tc>
        <w:tc>
          <w:tcPr>
            <w:tcW w:type="dxa" w:w="30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Adjustment</w:t>
            </w:r>
          </w:p>
        </w:tc>
        <w:tc>
          <w:tcPr>
            <w:tcW w:type="dxa" w:w="7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Measure</w:t>
            </w:r>
          </w:p>
        </w:tc>
        <w:tc>
          <w:tcPr>
            <w:tcW w:type="dxa" w:w="25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Persistent broad vs short prophylaxis</w:t>
            </w:r>
          </w:p>
        </w:tc>
        <w:tc>
          <w:tcPr>
            <w:tcW w:type="dxa" w:w="25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Late escalation vs short prophylaxis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Fixed-window logistic model; three databases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14,514 patients; 421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9.78 (6.43-14.87)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9.20 (6.24-13.55)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Day-7 logistic landmark; three databases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7,326 patients; 284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11.29 (6.76-18.86)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9.46 (5.85-15.30)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Day-7 logistic landmark;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196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10.14 (5.43-18.96)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10.28 (5.92-17.86)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Day-7 logistic landmark;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196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 + day-6/7 clinical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OR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2.09 (0.98-4.48)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1.33 (0.67-2.64)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Cause-specific death model;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196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3.71 (2.07-6.67)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3.52 (1.99-6.22)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Cause-specific death model;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196 deaths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 + day-6/7 clinical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1.13 (0.55-2.32)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1.05 (0.55-2.01)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Cause-specific live-discharge model;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5,103 live discharges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0.39 (0.34-0.45)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0.37 (0.33-0.41)</w:t>
            </w:r>
          </w:p>
        </w:tc>
      </w:tr>
      <w:tr>
        <w:trPr>
          <w:trHeight w:hRule="atLeast"/>
        </w:trPr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Cause-specific live-discharge model; MIMIC-IV and SICdb</w:t>
            </w:r>
          </w:p>
        </w:tc>
        <w:tc>
          <w:tcPr>
            <w:tcW w:type="dxa" w:w="208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5,299 patients; 5,103 live discharges</w:t>
            </w:r>
          </w:p>
        </w:tc>
        <w:tc>
          <w:tcPr>
            <w:tcW w:type="dxa" w:w="3096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 + day-6/7 clinical indicators</w:t>
            </w:r>
          </w:p>
        </w:tc>
        <w:tc>
          <w:tcPr>
            <w:tcW w:type="dxa" w:w="7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HR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0.66 (0.57-0.77)</w:t>
            </w:r>
          </w:p>
        </w:tc>
        <w:tc>
          <w:tcPr>
            <w:tcW w:type="dxa" w:w="2520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0.82 (0.73-0.92)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pStyle w:val="Heading2"/>
        <w:spacing w:before="100" w:after="60"/>
      </w:pPr>
      <w:r>
        <w:t>B. Daily broad-spectrum exposure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rPr>
          <w:tblHeader w:val="true"/>
        </w:trPr>
        <w:tc>
          <w:tcPr>
            <w:tcW w:type="dxa" w:w="338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Analysis and data sources</w:t>
            </w:r>
          </w:p>
        </w:tc>
        <w:tc>
          <w:tcPr>
            <w:tcW w:type="dxa" w:w="295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Sample and death intervals</w:t>
            </w:r>
          </w:p>
        </w:tc>
        <w:tc>
          <w:tcPr>
            <w:tcW w:type="dxa" w:w="4392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Adjustment</w:t>
            </w:r>
          </w:p>
        </w:tc>
        <w:tc>
          <w:tcPr>
            <w:tcW w:type="dxa" w:w="1008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Measure</w:t>
            </w:r>
          </w:p>
        </w:tc>
        <w:tc>
          <w:tcPr>
            <w:tcW w:type="dxa" w:w="2664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10" w:color="000000"/>
              <w:left w:val="nil"/>
              <w:bottom w:val="single" w:sz="6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4"/>
              </w:rPr>
              <w:t>Broad-spectrum vs narrow/other</w:t>
            </w:r>
          </w:p>
        </w:tc>
      </w:tr>
      <w:tr>
        <w:trPr>
          <w:trHeight w:hRule="atLeast"/>
        </w:trPr>
        <w:tc>
          <w:tcPr>
            <w:tcW w:type="dxa" w:w="33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One-day lag person-day model; MIMIC-IV and SICdb</w:t>
            </w:r>
          </w:p>
        </w:tc>
        <w:tc>
          <w:tcPr>
            <w:tcW w:type="dxa" w:w="29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12,070 patients; 100,537 person-days; 248 death intervals</w:t>
            </w:r>
          </w:p>
        </w:tc>
        <w:tc>
          <w:tcPr>
            <w:tcW w:type="dxa" w:w="43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 + previous-day clinical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Interval OR</w:t>
            </w:r>
          </w:p>
        </w:tc>
        <w:tc>
          <w:tcPr>
            <w:tcW w:type="dxa" w:w="26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0.60 (0.36-0.99)</w:t>
            </w:r>
          </w:p>
        </w:tc>
      </w:tr>
      <w:tr>
        <w:trPr>
          <w:trHeight w:hRule="atLeast"/>
        </w:trPr>
        <w:tc>
          <w:tcPr>
            <w:tcW w:type="dxa" w:w="338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4"/>
              </w:rPr>
              <w:t>Three-day lag person-day model; MIMIC-IV and SICdb</w:t>
            </w:r>
          </w:p>
        </w:tc>
        <w:tc>
          <w:tcPr>
            <w:tcW w:type="dxa" w:w="295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12,070 patients; 100,537 person-days; 248 death intervals</w:t>
            </w:r>
          </w:p>
        </w:tc>
        <w:tc>
          <w:tcPr>
            <w:tcW w:type="dxa" w:w="4392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Age, sex, database and initial severity + previous-day clinical indicators + postoperative time</w:t>
            </w:r>
          </w:p>
        </w:tc>
        <w:tc>
          <w:tcPr>
            <w:tcW w:type="dxa" w:w="1008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Interval OR</w:t>
            </w:r>
          </w:p>
        </w:tc>
        <w:tc>
          <w:tcPr>
            <w:tcW w:type="dxa" w:w="2664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4"/>
              </w:rPr>
              <w:t>0.79 (0.47-1.36)</w:t>
            </w:r>
          </w:p>
        </w:tc>
      </w:tr>
    </w:tbl>
    <w:p>
      <w:pPr>
        <w:spacing w:after="40" w:line="240" w:lineRule="auto"/>
      </w:pPr>
      <w:r>
        <w:rPr>
          <w:sz w:val="2"/>
        </w:rPr>
      </w:r>
    </w:p>
    <w:p>
      <w:pPr>
        <w:keepLines/>
        <w:widowControl w:val="0"/>
        <w:spacing w:before="60" w:after="100" w:line="240" w:lineRule="auto"/>
      </w:pPr>
      <w:r>
        <w:rPr>
          <w:sz w:val="15"/>
        </w:rPr>
        <w:t>Panel A compares persistent broad-spectrum exposure and late broad-spectrum escalation with short-course prophylaxis. Panel B compares daily broad-spectrum exposure with narrow-spectrum or other antibacterial exposure on the same day-3-or-later person-days. The three-database analyses include MIMIC-IV, INSPIRE and SICdb; two-database analyses include MIMIC-IV and SICdb. Initial adjustment includes age, sex, database and initial severity. Day-6/7 and previous-day clinical indicators comprise recorded laboratory and organ-support variables with missingness indicators. Person-day models additionally include postoperative time and patient-clustered standard errors. ORs, HRs and interval ORs answer different questions and should not be interpreted as a single numerical attenuation sequence. Additional monitored/measured and same-day estimates are reported in Supplementary Table S11.</w:t>
      </w:r>
    </w:p>
    <w:sectPr w:rsidR="00FC693F" w:rsidRPr="0006063C" w:rsidSect="00034616">
      <w:footerReference w:type="default" r:id="rId9"/>
      <w:headerReference w:type="default" r:id="rId11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Times New Roman" w:hAnsi="Times New Roman" w:eastAsia="Song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cstheme="majorBidi" w:ascii="Times New Roman" w:hAnsi="Times New Roman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cstheme="majorBidi" w:ascii="Times New Roman" w:hAnsi="Times New Roman" w:eastAsia="Songti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Songti SC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for Temporal alignment and dynamic clinical status reshape associations between first-week antibiotic trajectories and in-hospital mortality after cardiopulmonary bypass</dc:title>
  <dc:subject/>
  <dc:creator>Ding Zhang et al.</dc:creator>
  <cp:keywords/>
  <dc:description/>
  <cp:lastModifiedBy/>
  <cp:revision>1</cp:revision>
  <dcterms:created xsi:type="dcterms:W3CDTF">2026-09-28T00:00:00Z</dcterms:created>
  <dcterms:modified xsi:type="dcterms:W3CDTF">2026-09-28T00:00:00Z</dcterms:modified>
  <cp:category/>
</cp:coreProperties>
</file>