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sz w:val="20"/>
        </w:rPr>
        <w:t>Supplementary file</w:t>
      </w:r>
    </w:p>
    <w:p>
      <w:pPr>
        <w:jc w:val="left"/>
      </w:pPr>
      <w:r>
        <w:rPr>
          <w:rFonts w:ascii="Arial" w:hAnsi="Arial"/>
          <w:b/>
          <w:sz w:val="20"/>
        </w:rPr>
        <w:t>Table S1A. Statin agents and daily doses included in the exposure categories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636"/>
        <w:gridCol w:w="3636"/>
        <w:gridCol w:w="3636"/>
        <w:gridCol w:w="3636"/>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Statin agent</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Daily dose, mg</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Intensity category</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n</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High</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High</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Rosuvastatin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High</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Irregular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No stable 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Irregular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9</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Pravastatin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Irregular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Rosuvastatin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Irregular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9</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Simvastatin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Irregular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Low</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Fluvastatin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Low</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Pravastatin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Low</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Rosuvastatin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Low</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Simvastatin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Low</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Moderate</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Atorvastatin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Moderate</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Pitavastatin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Moderate</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Rosuvastatin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Moderate</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Rosuvastatin</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10</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Moderate</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35</w:t>
            </w:r>
          </w:p>
        </w:tc>
      </w:tr>
    </w:tbl>
    <w:p>
      <w:pPr>
        <w:spacing w:before="80" w:after="0"/>
      </w:pPr>
      <w:r>
        <w:rPr>
          <w:rFonts w:ascii="Arial" w:hAnsi="Arial"/>
          <w:sz w:val="14"/>
        </w:rPr>
        <w:t>Note: The four-category exposure was frozen at the 12-month landmark. Classification combined the predominant prescribed intensity with first-year medication coverage. Thus, a listed dose could appear in the irregular category when longitudinal records did not support sustained use.</w:t>
      </w:r>
    </w:p>
    <w:p>
      <w:r>
        <w:br w:type="page"/>
      </w:r>
    </w:p>
    <w:p>
      <w:pPr>
        <w:jc w:val="left"/>
      </w:pPr>
      <w:r>
        <w:rPr>
          <w:rFonts w:ascii="Arial" w:hAnsi="Arial"/>
          <w:b/>
          <w:sz w:val="20"/>
        </w:rPr>
        <w:t>Table S1B. Medication coverage and treatment changes used to characterize statin exposure</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636"/>
        <w:gridCol w:w="3636"/>
        <w:gridCol w:w="3636"/>
        <w:gridCol w:w="3636"/>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Measure</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Low-intensity/irregular statin therapy (n = 96)</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Moderate-to-high-intensity statin therapy (n = 110)</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Overall (n = 206)</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PDC during the first 12 months, median (IQR),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74.90 (49.53-83.30)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90.60 (86.53-93.38)</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86.15 (76.72-91.90)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Good adherence (PDC &gt;=80%),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35 (36.5)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106 (96.4)</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141 (68.4)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Intermediate adherence (PDC 50%-79%),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36 (37.5)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 (3.6)</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40 (19.4)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Poor adherence (PDC &lt;50%),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25 (26.0)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 (0.0)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25 (12.1)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 least one statin interruption during the first 12 months,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85 (88.5)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38 (34.5)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123 (59.7)</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Number of interruptions during the first 12 months, median (IQR)</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1.00 (1.00-3.00)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 (0.00-1.00)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1.00 (0.00-2.00)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Longest statin gap during the first 12 months, median (IQR), days</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23.00 (14.75-50.00)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 (0.00-6.75)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8.00 (0.00-23.00)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Dose reduction during follow-up,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 (5.2)</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6 (5.5)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11 (5.3)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Dose escalation during follow-up, n (%)</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 (10.4)</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 (7.3)</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18 (8.7)</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Statin switch during follow-up, n (%)</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11 (11.5)</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12 (10.9)</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23 (11.2)</w:t>
            </w:r>
          </w:p>
        </w:tc>
      </w:tr>
    </w:tbl>
    <w:p>
      <w:pPr>
        <w:spacing w:before="80" w:after="0"/>
      </w:pPr>
      <w:r>
        <w:rPr>
          <w:rFonts w:ascii="Arial" w:hAnsi="Arial"/>
          <w:sz w:val="14"/>
        </w:rPr>
        <w:t>Note: PDC denotes proportion of days covered during the first 12 months. Dose reductions, dose escalations, and switching were recorded descriptively and did not update the frozen exposure category after the landmark.</w:t>
      </w:r>
    </w:p>
    <w:p>
      <w:r>
        <w:br w:type="page"/>
      </w:r>
    </w:p>
    <w:p>
      <w:pPr>
        <w:jc w:val="left"/>
      </w:pPr>
      <w:r>
        <w:rPr>
          <w:rFonts w:ascii="Arial" w:hAnsi="Arial"/>
          <w:b/>
          <w:sz w:val="20"/>
        </w:rPr>
        <w:t>Table S2. Composition of first MACE events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2424"/>
        <w:gridCol w:w="2424"/>
        <w:gridCol w:w="2424"/>
        <w:gridCol w:w="2424"/>
        <w:gridCol w:w="2424"/>
        <w:gridCol w:w="2424"/>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First event type</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Low-intensity/irregular statin therapy,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Moderate-to-high-intensity statin therapy,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Total,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 of first MACE</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 of cohort</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CV death</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7.9</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1.5</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Nonfatal MI</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18.4</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Ischemic stroke</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13.2</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Ischemia-driven revascularization</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13.2</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Unstable angina rehospitalization</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12</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31.6</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Heart failure rehospitalization</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6</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15.8</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2.9</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No event</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69</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99</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168</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81.6</w:t>
            </w:r>
          </w:p>
        </w:tc>
      </w:tr>
    </w:tbl>
    <w:p>
      <w:pPr>
        <w:spacing w:before="80" w:after="0"/>
      </w:pPr>
      <w:r>
        <w:rPr>
          <w:rFonts w:ascii="Arial" w:hAnsi="Arial"/>
          <w:sz w:val="14"/>
        </w:rPr>
        <w:t>Note: Percentages of first MACE use the 38 first events as the denominator; percentages of the cohort use all 206 patients. The no-event row is included only to show the cohort totals.</w:t>
      </w:r>
    </w:p>
    <w:p>
      <w:r>
        <w:br w:type="page"/>
      </w:r>
    </w:p>
    <w:p>
      <w:pPr>
        <w:jc w:val="left"/>
      </w:pPr>
      <w:r>
        <w:rPr>
          <w:rFonts w:ascii="Arial" w:hAnsi="Arial"/>
          <w:b/>
          <w:sz w:val="20"/>
        </w:rPr>
        <w:t>Table S3. Clinical indications for coronary angiography</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636"/>
        <w:gridCol w:w="3636"/>
        <w:gridCol w:w="3636"/>
        <w:gridCol w:w="3636"/>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Indication for coronary angiography</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Low-intensity/irregular statin therapy (n = 96)</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Moderate-to-high-intensity statin therapy (n = 110)</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Total (n = 206)</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Acute chest pain evaluation without obstructive CAD</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13 (13.5)</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13 (11.8)</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26 (12.6)</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Atypical chest pain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23 (24.0)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23 (20.9)</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46 (22.3)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Dyspnea or heart failure evaluation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 (5.2)</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 (9.1)</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15 (7.3)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Other clinical indication</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 (5.2)</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12 (10.9)</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17 (8.3)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Positive stress test or ischemia imaging</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14 (14.6)</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15 (13.6)</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29 (14.1)</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Stable typical angina/chest tightness</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36 (37.5)</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37 (33.6)</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73 (35.4)</w:t>
            </w:r>
          </w:p>
        </w:tc>
      </w:tr>
    </w:tbl>
    <w:p>
      <w:r>
        <w:br w:type="page"/>
      </w:r>
    </w:p>
    <w:p>
      <w:pPr>
        <w:jc w:val="left"/>
      </w:pPr>
      <w:r>
        <w:rPr>
          <w:rFonts w:ascii="Arial" w:hAnsi="Arial"/>
          <w:b/>
          <w:sz w:val="20"/>
        </w:rPr>
        <w:t>Table S4. Exploratory individual component time-to-event analyses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2078"/>
        <w:gridCol w:w="2078"/>
        <w:gridCol w:w="2078"/>
        <w:gridCol w:w="2078"/>
        <w:gridCol w:w="2078"/>
        <w:gridCol w:w="2078"/>
        <w:gridCol w:w="2078"/>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Component</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Events in low-intensity/irregular statin therapy, n</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Events in moderate-to-high-intensity statin therapy, n</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Total events, n</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Unadjusted HR (95% CI)</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 value</w:t>
            </w:r>
          </w:p>
        </w:tc>
        <w:tc>
          <w:tcPr>
            <w:tcW w:type="dxa" w:w="1060"/>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Note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CV death</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Not estimable</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Exploratory; not estimable because of sparse or zero events in one group.</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Nonfatal MI</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0.35 (0.07-1.80)</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0.210</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Exploratory unadjusted component model.</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Ischemic stroke</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3</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0.64 (0.11-3.81)</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0.620</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Exploratory unadjusted component model.</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Ischemia-driven revascularization</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4</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0.21 (0.02-1.91)</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0.167</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Exploratory unadjusted component model.</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Unstable angina rehospitalization</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7</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12</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0.63 (0.20-1.98)</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0.425</w:t>
            </w:r>
          </w:p>
        </w:tc>
        <w:tc>
          <w:tcPr>
            <w:tcW w:type="dxa" w:w="1060"/>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Exploratory unadjusted component model.</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Heart failure rehospitalization</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5</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6</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0.17 (0.02-1.49)</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0.111</w:t>
            </w:r>
          </w:p>
        </w:tc>
        <w:tc>
          <w:tcPr>
            <w:tcW w:type="dxa" w:w="1060"/>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Exploratory unadjusted component model.</w:t>
            </w:r>
          </w:p>
        </w:tc>
      </w:tr>
    </w:tbl>
    <w:p>
      <w:pPr>
        <w:spacing w:before="80" w:after="0"/>
      </w:pPr>
      <w:r>
        <w:rPr>
          <w:rFonts w:ascii="Arial" w:hAnsi="Arial"/>
          <w:sz w:val="14"/>
        </w:rPr>
        <w:t>Note: Models were unadjusted and exploratory because component event counts were small.</w:t>
      </w:r>
    </w:p>
    <w:p>
      <w:r>
        <w:br w:type="page"/>
      </w:r>
    </w:p>
    <w:p>
      <w:pPr>
        <w:jc w:val="left"/>
      </w:pPr>
      <w:r>
        <w:rPr>
          <w:rFonts w:ascii="Arial" w:hAnsi="Arial"/>
          <w:b/>
          <w:sz w:val="20"/>
        </w:rPr>
        <w:t>Table S5. Cox sensitivity model additionally adjusted for baseline LDL-C</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848"/>
        <w:gridCol w:w="4848"/>
        <w:gridCol w:w="4848"/>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Variable</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HR (95% CI)</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 value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Moderate-to-high-intensity vs low-intensity/irregular statin therapy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0.30 (0.13-0.69)</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0.005</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Age (per year)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1.04 (1.00-1.08)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0.030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Smoking history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1.66 (0.87-3.16)</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0.124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Diabetes</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2.31 (1.19-4.49)</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0.014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Multi-vessel or heavier plaque burden</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2.78 (1.37-5.63)</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0.005</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Baseline LDL-C (per mmol/L)</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1.27 (0.75-2.15)</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0.373</w:t>
            </w:r>
          </w:p>
        </w:tc>
      </w:tr>
    </w:tbl>
    <w:p>
      <w:r>
        <w:br w:type="page"/>
      </w:r>
    </w:p>
    <w:p>
      <w:pPr>
        <w:jc w:val="left"/>
      </w:pPr>
      <w:r>
        <w:rPr>
          <w:rFonts w:ascii="Arial" w:hAnsi="Arial"/>
          <w:b/>
          <w:sz w:val="20"/>
        </w:rPr>
        <w:t>Table S6. Cox sensitivity model adjusted for angiography indication variables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848"/>
        <w:gridCol w:w="4848"/>
        <w:gridCol w:w="4848"/>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Variable</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HR (95% CI)</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 value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Moderate-to-high-intensity vs low-intensity/irregular statin therapy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0.25 (0.11-0.55)</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&lt;0.001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Age (per year)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1.04 (1.00-1.08)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0.054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Smoking history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1.64 (0.84-3.20)</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0.148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Diabetes</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2.98 (1.45-6.11)</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Multi-vessel or heavier plaque burden</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2.98 (1.47-6.03)</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Baseline angina</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0.67 (0.33-1.38)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0.281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Documented ischemia</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0.51 (0.23-1.12)</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0.093</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Urgent angiography setting</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0.56 (0.22-1.43)</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0.226</w:t>
            </w:r>
          </w:p>
        </w:tc>
      </w:tr>
    </w:tbl>
    <w:p>
      <w:r>
        <w:br w:type="page"/>
      </w:r>
    </w:p>
    <w:p>
      <w:pPr>
        <w:jc w:val="left"/>
      </w:pPr>
      <w:r>
        <w:rPr>
          <w:rFonts w:ascii="Arial" w:hAnsi="Arial"/>
          <w:b/>
          <w:sz w:val="20"/>
        </w:rPr>
        <w:t>Table S7. Propensity-score sensitivity analyses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636"/>
        <w:gridCol w:w="3636"/>
        <w:gridCol w:w="3636"/>
        <w:gridCol w:w="3636"/>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Model</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Variable</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HR (95% CI)</w:t>
            </w:r>
          </w:p>
        </w:tc>
        <w:tc>
          <w:tcPr>
            <w:tcW w:type="dxa" w:w="2121"/>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 value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Propensity-score adjusted Cox model</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Moderate-to-high-intensity vs low-intensity/irregular statin therapy</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0.35 (0.15-0.84)</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0.018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Propensity-score adjusted Cox model</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Propensity score</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1.04 (0.27-4.00)</w:t>
            </w:r>
          </w:p>
        </w:tc>
        <w:tc>
          <w:tcPr>
            <w:tcW w:type="dxa" w:w="2121"/>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0.957</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Stabilized IPTW Cox model</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Moderate-to-high-intensity vs low-intensity/irregular statin therapy</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0.40 (0.16-0.99)</w:t>
            </w:r>
          </w:p>
        </w:tc>
        <w:tc>
          <w:tcPr>
            <w:tcW w:type="dxa" w:w="2121"/>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0.049</w:t>
            </w:r>
          </w:p>
        </w:tc>
      </w:tr>
    </w:tbl>
    <w:p>
      <w:r>
        <w:br w:type="page"/>
      </w:r>
    </w:p>
    <w:p>
      <w:pPr>
        <w:jc w:val="left"/>
      </w:pPr>
      <w:r>
        <w:rPr>
          <w:rFonts w:ascii="Arial" w:hAnsi="Arial"/>
          <w:b/>
          <w:sz w:val="20"/>
        </w:rPr>
        <w:t>Table S8. Covariate balance before and after IPTW</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848"/>
        <w:gridCol w:w="4848"/>
        <w:gridCol w:w="4848"/>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Covariate</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Unweighted SMD</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IPTW-weighted SMD</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Age</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0.230</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0.020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Male sex</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0.021</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0.256</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Smoking history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0.392</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0.038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Hypertension</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0.151</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0.090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Diabetes</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0.103</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0.018</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Baseline LDL-C</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1.019</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0.074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eGFR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0.070</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0.077</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Multi-vessel or heavier plaque burden</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0.686</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0.000</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Baseline angina</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0.218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0.084</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Documented ischemia</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0.061</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0.170</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Urgent angiography</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0.005</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0.114</w:t>
            </w:r>
          </w:p>
        </w:tc>
      </w:tr>
    </w:tbl>
    <w:p>
      <w:pPr>
        <w:spacing w:before="80" w:after="0"/>
      </w:pPr>
      <w:r>
        <w:rPr>
          <w:rFonts w:ascii="Arial" w:hAnsi="Arial"/>
          <w:sz w:val="14"/>
        </w:rPr>
        <w:t>Note: Absolute SMD values greater than 0.10 indicate residual imbalance. Weighting did not fully balance male sex, documented ischemia, or urgent angiography.</w:t>
      </w:r>
    </w:p>
    <w:p>
      <w:r>
        <w:br w:type="page"/>
      </w:r>
    </w:p>
    <w:p>
      <w:pPr>
        <w:jc w:val="left"/>
      </w:pPr>
      <w:r>
        <w:rPr>
          <w:rFonts w:ascii="Arial" w:hAnsi="Arial"/>
          <w:b/>
          <w:sz w:val="20"/>
        </w:rPr>
        <w:t>Table S9. Four-category statin exposure sensitivity model</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848"/>
        <w:gridCol w:w="4848"/>
        <w:gridCol w:w="4848"/>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Variable</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HR (95% CI)</w:t>
            </w:r>
          </w:p>
        </w:tc>
        <w:tc>
          <w:tcPr>
            <w:tcW w:type="dxa" w:w="3182"/>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 value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Low intensity vs irregular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1.41 (0.59-3.38)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0.442</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Moderate intensity vs irregular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0.35 (0.12-1.01)</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0.051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High intensity vs irregular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0.29 (0.06-1.46)</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0.133</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Age (per year)</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1.04 (1.01-1.08)</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0.021</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Smoking history</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1.60 (0.84-3.06)</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0.157</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Diabetes</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2.33 (1.21-4.49)</w:t>
            </w:r>
          </w:p>
        </w:tc>
        <w:tc>
          <w:tcPr>
            <w:tcW w:type="dxa" w:w="3182"/>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0.011</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Multi-vessel or heavier plaque burden</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2.80 (1.39-5.64)</w:t>
            </w:r>
          </w:p>
        </w:tc>
        <w:tc>
          <w:tcPr>
            <w:tcW w:type="dxa" w:w="3182"/>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0.004</w:t>
            </w:r>
          </w:p>
        </w:tc>
      </w:tr>
    </w:tbl>
    <w:p>
      <w:r>
        <w:br w:type="page"/>
      </w:r>
    </w:p>
    <w:p>
      <w:pPr>
        <w:jc w:val="left"/>
      </w:pPr>
      <w:r>
        <w:rPr>
          <w:rFonts w:ascii="Arial" w:hAnsi="Arial"/>
          <w:b/>
          <w:sz w:val="20"/>
        </w:rPr>
        <w:t>Table S10. Data completeness and structurally non-applicable outcome fields</w:t>
      </w:r>
    </w:p>
    <w:tbl>
      <w:tblPr>
        <w:tblW w:type="auto" w:w="0"/>
        <w:jc w:val="center"/>
        <w:tblLayout w:type="autofit"/>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2424"/>
        <w:gridCol w:w="2424"/>
        <w:gridCol w:w="2424"/>
        <w:gridCol w:w="2424"/>
        <w:gridCol w:w="2424"/>
        <w:gridCol w:w="2424"/>
      </w:tblGrid>
      <w:tr>
        <w:trPr>
          <w:tblHeader w:val="true"/>
        </w:trPr>
        <w:tc>
          <w:tcPr>
            <w:tcW w:type="dxa" w:w="2995"/>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Domain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Variables assessed,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Patients with any missing value,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Missing cells, n</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Missing cells, %</w:t>
            </w:r>
          </w:p>
        </w:tc>
        <w:tc>
          <w:tcPr>
            <w:tcW w:type="dxa" w:w="1273"/>
            <w:vAlign w:val="center"/>
            <w:tcBorders>
              <w:top w:val="single" w:sz="10" w:space="0" w:color="000000"/>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b/>
                <w:sz w:val="15"/>
              </w:rPr>
              <w:t>Note</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Demographic and clinical variables</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13</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 imputation was required for the variables included in the analyses.</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Laboratory and cardiac variables</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 imputation was required for the variables included in the analyses.</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Angiographic variables</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8</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 imputation was required for the variables included in the analyses.</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Medication and exposure variables</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14</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 imputation was required for the variables included in the analyses.</w:t>
            </w:r>
          </w:p>
        </w:tc>
      </w:tr>
      <w:tr>
        <w:tc>
          <w:tcPr>
            <w:tcW w:type="dxa" w:w="2995"/>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left"/>
            </w:pPr>
            <w:r>
              <w:rPr>
                <w:rFonts w:ascii="Arial" w:hAnsi="Arial"/>
                <w:sz w:val="14"/>
              </w:rPr>
              <w:t>Follow-up and primary outcome variables</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5</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0.0</w:t>
            </w:r>
          </w:p>
        </w:tc>
        <w:tc>
          <w:tcPr>
            <w:tcW w:type="dxa" w:w="1273"/>
            <w:vAlign w:val="center"/>
            <w:tcBorders>
              <w:top w:val="none" w:sz="0" w:space="0" w:color="auto"/>
              <w:left w:val="none" w:sz="0" w:space="0" w:color="auto"/>
              <w:bottom w:val="none" w:sz="0" w:space="0" w:color="auto"/>
              <w:right w:val="none" w:sz="0" w:space="0" w:color="auto"/>
              <w:insideH w:val="none" w:sz="0" w:space="0" w:color="auto"/>
              <w:insideV w:val="none" w:sz="0" w:space="0" w:color="auto"/>
            </w:tcBorders>
          </w:tcPr>
          <w:p>
            <w:pPr>
              <w:jc w:val="center"/>
            </w:pPr>
            <w:r>
              <w:rPr>
                <w:rFonts w:ascii="Arial" w:hAnsi="Arial"/>
                <w:sz w:val="14"/>
              </w:rPr>
              <w:t>No imputation was required for the variables included in the analyses.</w:t>
            </w:r>
          </w:p>
        </w:tc>
      </w:tr>
      <w:tr>
        <w:tc>
          <w:tcPr>
            <w:tcW w:type="dxa" w:w="2995"/>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left"/>
            </w:pPr>
            <w:r>
              <w:rPr>
                <w:rFonts w:ascii="Arial" w:hAnsi="Arial"/>
                <w:sz w:val="14"/>
              </w:rPr>
              <w:t>First-event type and date</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2</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168</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336</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81.6</w:t>
            </w:r>
          </w:p>
        </w:tc>
        <w:tc>
          <w:tcPr>
            <w:tcW w:type="dxa" w:w="1273"/>
            <w:vAlign w:val="center"/>
            <w:tcBorders>
              <w:top w:val="none" w:sz="0" w:space="0" w:color="auto"/>
              <w:left w:val="none" w:sz="0" w:space="0" w:color="auto"/>
              <w:bottom w:val="single" w:sz="10" w:space="0" w:color="000000"/>
              <w:right w:val="none" w:sz="0" w:space="0" w:color="auto"/>
              <w:insideH w:val="none" w:sz="0" w:space="0" w:color="auto"/>
              <w:insideV w:val="none" w:sz="0" w:space="0" w:color="auto"/>
            </w:tcBorders>
          </w:tcPr>
          <w:p>
            <w:pPr>
              <w:jc w:val="center"/>
            </w:pPr>
            <w:r>
              <w:rPr>
                <w:rFonts w:ascii="Arial" w:hAnsi="Arial"/>
                <w:sz w:val="14"/>
              </w:rPr>
              <w:t>Structurally not applicable for the 168 patients without MACE; not treated as missing analysis data.</w:t>
            </w:r>
          </w:p>
        </w:tc>
      </w:tr>
    </w:tbl>
    <w:p>
      <w:pPr>
        <w:spacing w:before="80" w:after="0"/>
      </w:pPr>
      <w:r>
        <w:rPr>
          <w:rFonts w:ascii="Arial" w:hAnsi="Arial"/>
          <w:sz w:val="14"/>
        </w:rPr>
        <w:t>Note: Blank first-event type and date fields in patients without MACE were structurally not applicable. They were not treated as missing analysis data.</w:t>
      </w:r>
    </w:p>
    <w:sectPr>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