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50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5"/>
        <w:gridCol w:w="1089"/>
        <w:gridCol w:w="713"/>
        <w:gridCol w:w="1181"/>
        <w:gridCol w:w="724"/>
        <w:gridCol w:w="1100"/>
        <w:gridCol w:w="730"/>
        <w:gridCol w:w="1040"/>
        <w:gridCol w:w="750"/>
      </w:tblGrid>
      <w:tr w14:paraId="0EAD0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1966A">
            <w:pPr>
              <w:keepNext w:val="0"/>
              <w:keepLines w:val="0"/>
              <w:widowControl/>
              <w:suppressLineNumbers w:val="0"/>
              <w:ind w:firstLine="12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Supplementary Table 3. Associations of Serum Total Calcium, Albumin-Corrected Calcium, and Hypocalcemia with the Risk of AKI in Patients with Acute Pulmonary Embolism: Complete-Case Analysis.</w:t>
            </w:r>
          </w:p>
        </w:tc>
      </w:tr>
      <w:tr w14:paraId="33A1C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vMerge w:val="restart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0F28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</w:p>
        </w:tc>
        <w:tc>
          <w:tcPr>
            <w:tcW w:w="1802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4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</w:t>
            </w:r>
          </w:p>
        </w:tc>
        <w:tc>
          <w:tcPr>
            <w:tcW w:w="1905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2C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1</w:t>
            </w:r>
          </w:p>
        </w:tc>
        <w:tc>
          <w:tcPr>
            <w:tcW w:w="183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82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2</w:t>
            </w:r>
          </w:p>
        </w:tc>
        <w:tc>
          <w:tcPr>
            <w:tcW w:w="1790" w:type="dxa"/>
            <w:gridSpan w:val="2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A2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Model 3</w:t>
            </w:r>
          </w:p>
        </w:tc>
      </w:tr>
      <w:tr w14:paraId="2B306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75" w:type="dxa"/>
            <w:vMerge w:val="continue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A459D9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089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36558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13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C3F8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81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471A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24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72E1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10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22D1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3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4BB7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  <w:tc>
          <w:tcPr>
            <w:tcW w:w="104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BB75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O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(95%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CI)</w:t>
            </w:r>
          </w:p>
        </w:tc>
        <w:tc>
          <w:tcPr>
            <w:tcW w:w="750" w:type="dxa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 w14:paraId="52546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P</w:t>
            </w:r>
          </w:p>
        </w:tc>
      </w:tr>
      <w:tr w14:paraId="7B25DA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96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STC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(mg/dL)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04D2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0.74 (0.65, 0.84) 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C2C3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176D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0.71 (0.62, 0.81)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DE6F6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D4D7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0.81 (0.70, 0.93)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F0A5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683E6C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90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66A4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01</w:t>
            </w:r>
          </w:p>
        </w:tc>
      </w:tr>
      <w:tr w14:paraId="4C1C4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8BB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Non-hypocalcemia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B44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B9F2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2FD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33146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EAE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D728A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08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ECAE5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B3E1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2F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66E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1.64 (1.33, 2.03)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B6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51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1.72 (1.38, 2.13)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B37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&lt;0.001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DD06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1.43 (1.13, 1.81)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09F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0.002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4DD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BA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&lt;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/>
              </w:rPr>
              <w:t>0.0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01</w:t>
            </w:r>
          </w:p>
        </w:tc>
      </w:tr>
      <w:tr w14:paraId="52335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C6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ACC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(mg/dL)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2F21D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0.92 (0.76, 1.12)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1E22D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0.432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2EC1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0.87 (0.71, 1.07)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C9A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85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736A8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0.84 (0.67, 1.0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351A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984B1B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81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A874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191</w:t>
            </w:r>
          </w:p>
        </w:tc>
      </w:tr>
      <w:tr w14:paraId="2DE03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854D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Non-hypocalcemia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3F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BE964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87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6A433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48A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63FB8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AB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Ref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23FB6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</w:p>
        </w:tc>
      </w:tr>
      <w:tr w14:paraId="61A0F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75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C771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  <w:t>Hypocalcemia</w:t>
            </w:r>
            <w:bookmarkStart w:id="0" w:name="_GoBack"/>
            <w:bookmarkEnd w:id="0"/>
          </w:p>
        </w:tc>
        <w:tc>
          <w:tcPr>
            <w:tcW w:w="108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8B718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1.21 (0.80, 1.85)</w:t>
            </w:r>
          </w:p>
        </w:tc>
        <w:tc>
          <w:tcPr>
            <w:tcW w:w="71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302BA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0.368</w:t>
            </w:r>
          </w:p>
        </w:tc>
        <w:tc>
          <w:tcPr>
            <w:tcW w:w="11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2D09A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1.33 (0.87, 2.06) 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E320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0.192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4C0BF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(0.78, 1.99)</w:t>
            </w:r>
          </w:p>
        </w:tc>
        <w:tc>
          <w:tcPr>
            <w:tcW w:w="73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47C1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361</w:t>
            </w:r>
          </w:p>
        </w:tc>
        <w:tc>
          <w:tcPr>
            <w:tcW w:w="10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313E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1.3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 xml:space="preserve"> (0.7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, 2.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</w:rPr>
              <w:t>)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58ED0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2"/>
                <w:szCs w:val="1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2"/>
                <w:szCs w:val="12"/>
                <w:u w:val="none"/>
                <w:lang w:val="en-US" w:eastAsia="zh-CN"/>
              </w:rPr>
              <w:t>236</w:t>
            </w:r>
          </w:p>
        </w:tc>
      </w:tr>
      <w:tr w14:paraId="749DC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502" w:type="dxa"/>
            <w:gridSpan w:val="9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92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Unadjusted model: we did not adjust other covariates.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age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gender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and race.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: we adjusted age, gender,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race,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hypertension, diabetes,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CPD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 CAD, CHF, CKD, liver disease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sepsis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and malignancy.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: we adjusted for age, gender, race, hypertension, diabetes, CPD, CAD, CHF, CKD, liver disease, sepsis, malignancy, heart rate, RR, SBP, SpO₂, temperature, WBC, HGB, PLT, serum sodium, serum potassium, serum magnesium, serum chloride, glucose, albumin, AG, and PESI.</w:t>
            </w:r>
          </w:p>
          <w:p w14:paraId="19900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ACC, albumin-corrected calcium; AG, anion gap; CAD, coronary artery disease; CHF, chronic heart failure; CKD, chronic kidney disease; CPD, chronic pulmonary disease; Glu, glucose; HGB, hemoglobin; PESI, Pulmonary Embolism Severity Index; PLT, platelets; RR, respiratory rate; SBP, systolic blood pressure; S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T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C, serum total calcium; SpO2, oxygen saturation; WBC, white blood cells.</w:t>
            </w:r>
          </w:p>
        </w:tc>
      </w:tr>
    </w:tbl>
    <w:p w14:paraId="7EADE8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MWM3ZjI0N2U4YzcxMTMyYjJhNGI0NzExYzMyNzEifQ=="/>
  </w:docVars>
  <w:rsids>
    <w:rsidRoot w:val="00000000"/>
    <w:rsid w:val="068E5516"/>
    <w:rsid w:val="06A22267"/>
    <w:rsid w:val="093852AA"/>
    <w:rsid w:val="0EC34481"/>
    <w:rsid w:val="0F663BC0"/>
    <w:rsid w:val="11603426"/>
    <w:rsid w:val="1864387C"/>
    <w:rsid w:val="1B7F2417"/>
    <w:rsid w:val="1B990E68"/>
    <w:rsid w:val="1C4037FF"/>
    <w:rsid w:val="1FD51174"/>
    <w:rsid w:val="20F632C2"/>
    <w:rsid w:val="21C226FE"/>
    <w:rsid w:val="241B595C"/>
    <w:rsid w:val="25B1664A"/>
    <w:rsid w:val="26C870C9"/>
    <w:rsid w:val="27613EEC"/>
    <w:rsid w:val="288460E5"/>
    <w:rsid w:val="28A97DA2"/>
    <w:rsid w:val="2BB60AD4"/>
    <w:rsid w:val="316C51D1"/>
    <w:rsid w:val="36051727"/>
    <w:rsid w:val="36A0153B"/>
    <w:rsid w:val="388C5FE9"/>
    <w:rsid w:val="38A147CC"/>
    <w:rsid w:val="39112FB2"/>
    <w:rsid w:val="3E4D52AC"/>
    <w:rsid w:val="40E73699"/>
    <w:rsid w:val="44F76B92"/>
    <w:rsid w:val="47BC62D5"/>
    <w:rsid w:val="4C2C789C"/>
    <w:rsid w:val="4CF51721"/>
    <w:rsid w:val="4E4F6E10"/>
    <w:rsid w:val="52EB2EFD"/>
    <w:rsid w:val="54511B36"/>
    <w:rsid w:val="56F1383C"/>
    <w:rsid w:val="57A90502"/>
    <w:rsid w:val="5B2A109F"/>
    <w:rsid w:val="5B3F5156"/>
    <w:rsid w:val="5E796B5B"/>
    <w:rsid w:val="69A0441D"/>
    <w:rsid w:val="6A821573"/>
    <w:rsid w:val="6BA43976"/>
    <w:rsid w:val="6D9C5D3F"/>
    <w:rsid w:val="73500705"/>
    <w:rsid w:val="73EC326F"/>
    <w:rsid w:val="73F75D15"/>
    <w:rsid w:val="749D2324"/>
    <w:rsid w:val="76A168ED"/>
    <w:rsid w:val="7A04652D"/>
    <w:rsid w:val="7B22090E"/>
    <w:rsid w:val="7E0C3132"/>
    <w:rsid w:val="7F064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color w:val="000000"/>
      <w:sz w:val="12"/>
      <w:szCs w:val="12"/>
      <w:u w:val="none"/>
    </w:rPr>
  </w:style>
  <w:style w:type="character" w:customStyle="1" w:styleId="9">
    <w:name w:val="font11"/>
    <w:basedOn w:val="6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  <w:style w:type="character" w:customStyle="1" w:styleId="10">
    <w:name w:val="font01"/>
    <w:basedOn w:val="6"/>
    <w:qFormat/>
    <w:uiPriority w:val="0"/>
    <w:rPr>
      <w:rFonts w:hint="default" w:ascii="Times New Roman" w:hAnsi="Times New Roman" w:cs="Times New Roman"/>
      <w:color w:val="000000"/>
      <w:sz w:val="12"/>
      <w:szCs w:val="1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254</Words>
  <Characters>1414</Characters>
  <Lines>0</Lines>
  <Paragraphs>0</Paragraphs>
  <TotalTime>1</TotalTime>
  <ScaleCrop>false</ScaleCrop>
  <LinksUpToDate>false</LinksUpToDate>
  <CharactersWithSpaces>1607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2023-04-15T07:24:00Z</dcterms:created>
  <dc:creator>Administrator</dc:creator>
  <cp:lastModifiedBy>清茶清瓷</cp:lastModifiedBy>
  <dcterms:modified xsi:type="dcterms:W3CDTF">2026-08-26T17:50:48Z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32E594183737443DB5E41232808B85F7_13</vt:lpwstr>
  </property>
  <property fmtid="{D5CDD505-2E9C-101B-9397-08002B2CF9AE}" pid="4" name="KSOTemplateDocerSaveRecord">
    <vt:lpwstr>eyJoZGlkIjoiYzdlMWM3ZjI0N2U4YzcxMTMyYjJhNGI0NzExYzMyNzEiLCJ1c2VySWQiOiIzMzg1NTI2NDIifQ==</vt:lpwstr>
  </property>
</Properties>
</file>