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5CF2" w:rsidRPr="00EC5CF2" w:rsidRDefault="009E0EC3" w:rsidP="00EC5CF2">
      <w:pPr>
        <w:spacing w:after="0" w:line="480" w:lineRule="auto"/>
        <w:rPr>
          <w:rFonts w:ascii="Calibri" w:eastAsia="Times New Roman" w:hAnsi="Calibri" w:cs="Calibri"/>
          <w:b/>
          <w:lang w:val="en-GB" w:eastAsia="nl-NL"/>
        </w:rPr>
      </w:pPr>
      <w:r w:rsidRPr="00EC5CF2">
        <w:rPr>
          <w:rFonts w:ascii="Calibri" w:eastAsia="Times New Roman" w:hAnsi="Calibri" w:cs="Calibri"/>
          <w:b/>
          <w:sz w:val="32"/>
          <w:szCs w:val="32"/>
          <w:lang w:val="en-GB" w:eastAsia="nl-NL"/>
        </w:rPr>
        <w:t xml:space="preserve">Table </w:t>
      </w:r>
      <w:r>
        <w:rPr>
          <w:rFonts w:ascii="Calibri" w:eastAsia="Times New Roman" w:hAnsi="Calibri" w:cs="Calibri"/>
          <w:b/>
          <w:sz w:val="32"/>
          <w:szCs w:val="32"/>
          <w:lang w:val="en-GB" w:eastAsia="nl-NL"/>
        </w:rPr>
        <w:t>S</w:t>
      </w:r>
      <w:r w:rsidR="00EC5CF2" w:rsidRPr="00EC5CF2">
        <w:rPr>
          <w:rFonts w:ascii="Calibri" w:eastAsia="Times New Roman" w:hAnsi="Calibri" w:cs="Calibri"/>
          <w:b/>
          <w:sz w:val="32"/>
          <w:szCs w:val="32"/>
          <w:lang w:val="en-GB" w:eastAsia="nl-NL"/>
        </w:rPr>
        <w:t xml:space="preserve">1 </w:t>
      </w:r>
      <w:bookmarkStart w:id="0" w:name="_GoBack"/>
      <w:bookmarkEnd w:id="0"/>
      <w:r w:rsidR="00EC5CF2" w:rsidRPr="00EC5CF2">
        <w:rPr>
          <w:rFonts w:ascii="Calibri" w:eastAsia="Times New Roman" w:hAnsi="Calibri" w:cs="Calibri"/>
          <w:b/>
          <w:lang w:val="en-GB" w:eastAsia="nl-NL"/>
        </w:rPr>
        <w:t>Characteristics of emergency department visits by patients aged 18-64 years per MTS category.</w:t>
      </w:r>
    </w:p>
    <w:tbl>
      <w:tblPr>
        <w:tblpPr w:leftFromText="141" w:rightFromText="141" w:vertAnchor="text" w:tblpY="1"/>
        <w:tblOverlap w:val="never"/>
        <w:tblW w:w="12191" w:type="dxa"/>
        <w:tblLayout w:type="fixed"/>
        <w:tblLook w:val="04A0" w:firstRow="1" w:lastRow="0" w:firstColumn="1" w:lastColumn="0" w:noHBand="0" w:noVBand="1"/>
      </w:tblPr>
      <w:tblGrid>
        <w:gridCol w:w="4395"/>
        <w:gridCol w:w="1949"/>
        <w:gridCol w:w="1949"/>
        <w:gridCol w:w="1949"/>
        <w:gridCol w:w="1949"/>
      </w:tblGrid>
      <w:tr w:rsidR="00EC5CF2" w:rsidRPr="00EC5CF2" w:rsidTr="00231B8A">
        <w:tc>
          <w:tcPr>
            <w:tcW w:w="4395" w:type="dxa"/>
            <w:vMerge w:val="restart"/>
            <w:tcBorders>
              <w:top w:val="single" w:sz="18" w:space="0" w:color="auto"/>
              <w:right w:val="single" w:sz="4" w:space="0" w:color="auto"/>
            </w:tcBorders>
            <w:shd w:val="clear" w:color="auto" w:fill="D9D9D9"/>
          </w:tcPr>
          <w:p w:rsidR="00EC5CF2" w:rsidRPr="00EC5CF2" w:rsidRDefault="00EC5CF2" w:rsidP="00EC5CF2">
            <w:pPr>
              <w:spacing w:after="0" w:line="480" w:lineRule="auto"/>
              <w:rPr>
                <w:rFonts w:ascii="Calibri" w:eastAsia="Times New Roman" w:hAnsi="Calibri" w:cs="Calibri"/>
                <w:b/>
                <w:lang w:val="en-GB" w:eastAsia="nl-NL"/>
              </w:rPr>
            </w:pPr>
          </w:p>
        </w:tc>
        <w:tc>
          <w:tcPr>
            <w:tcW w:w="7796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:rsidR="00EC5CF2" w:rsidRPr="00EC5CF2" w:rsidRDefault="00EC5CF2" w:rsidP="00EC5CF2">
            <w:pPr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b/>
                <w:lang w:val="en-GB" w:eastAsia="nl-NL"/>
              </w:rPr>
              <w:t>MTS category</w:t>
            </w:r>
          </w:p>
        </w:tc>
      </w:tr>
      <w:tr w:rsidR="00EC5CF2" w:rsidRPr="00EC5CF2" w:rsidTr="00231B8A">
        <w:trPr>
          <w:trHeight w:val="647"/>
        </w:trPr>
        <w:tc>
          <w:tcPr>
            <w:tcW w:w="4395" w:type="dxa"/>
            <w:vMerge/>
            <w:tcBorders>
              <w:bottom w:val="single" w:sz="12" w:space="0" w:color="auto"/>
              <w:right w:val="single" w:sz="4" w:space="0" w:color="auto"/>
            </w:tcBorders>
            <w:shd w:val="clear" w:color="auto" w:fill="D9D9D9"/>
          </w:tcPr>
          <w:p w:rsidR="00EC5CF2" w:rsidRPr="00EC5CF2" w:rsidRDefault="00EC5CF2" w:rsidP="00EC5CF2">
            <w:pPr>
              <w:spacing w:after="0" w:line="480" w:lineRule="auto"/>
              <w:rPr>
                <w:rFonts w:ascii="Calibri" w:eastAsia="Times New Roman" w:hAnsi="Calibri" w:cs="Calibri"/>
                <w:b/>
                <w:lang w:val="en-GB" w:eastAsia="nl-NL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</w:tcPr>
          <w:p w:rsidR="00EC5CF2" w:rsidRPr="00EC5CF2" w:rsidRDefault="00EC5CF2" w:rsidP="00EC5CF2">
            <w:pPr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b/>
                <w:lang w:val="en-GB" w:eastAsia="nl-NL"/>
              </w:rPr>
              <w:t>Red</w:t>
            </w:r>
          </w:p>
          <w:p w:rsidR="00EC5CF2" w:rsidRPr="00EC5CF2" w:rsidRDefault="00EC5CF2" w:rsidP="00EC5CF2">
            <w:pPr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b/>
                <w:lang w:val="en-GB" w:eastAsia="nl-NL"/>
              </w:rPr>
              <w:t>(n =56)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</w:tcPr>
          <w:p w:rsidR="00EC5CF2" w:rsidRPr="00EC5CF2" w:rsidRDefault="00EC5CF2" w:rsidP="00EC5CF2">
            <w:pPr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b/>
                <w:lang w:val="en-GB" w:eastAsia="nl-NL"/>
              </w:rPr>
              <w:t>Orange</w:t>
            </w:r>
          </w:p>
          <w:p w:rsidR="00EC5CF2" w:rsidRPr="00EC5CF2" w:rsidRDefault="00EC5CF2" w:rsidP="00EC5CF2">
            <w:pPr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b/>
                <w:lang w:val="en-GB" w:eastAsia="nl-NL"/>
              </w:rPr>
              <w:t>(n = 1,084)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</w:tcPr>
          <w:p w:rsidR="00EC5CF2" w:rsidRPr="00EC5CF2" w:rsidRDefault="00EC5CF2" w:rsidP="00EC5CF2">
            <w:pPr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b/>
                <w:lang w:val="en-GB" w:eastAsia="nl-NL"/>
              </w:rPr>
              <w:t>Yellow</w:t>
            </w:r>
          </w:p>
          <w:p w:rsidR="00EC5CF2" w:rsidRPr="00EC5CF2" w:rsidRDefault="00EC5CF2" w:rsidP="00EC5CF2">
            <w:pPr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b/>
                <w:lang w:val="en-GB" w:eastAsia="nl-NL"/>
              </w:rPr>
              <w:t>(n = 4,412)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D9D9D9"/>
          </w:tcPr>
          <w:p w:rsidR="00EC5CF2" w:rsidRPr="00EC5CF2" w:rsidRDefault="00EC5CF2" w:rsidP="00EC5CF2">
            <w:pPr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b/>
                <w:lang w:val="en-GB" w:eastAsia="nl-NL"/>
              </w:rPr>
              <w:t>Green</w:t>
            </w:r>
          </w:p>
          <w:p w:rsidR="00EC5CF2" w:rsidRPr="00EC5CF2" w:rsidRDefault="00EC5CF2" w:rsidP="00EC5CF2">
            <w:pPr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b/>
                <w:lang w:val="en-GB" w:eastAsia="nl-NL"/>
              </w:rPr>
              <w:t>(n = 8,215)</w:t>
            </w:r>
          </w:p>
        </w:tc>
      </w:tr>
      <w:tr w:rsidR="00EC5CF2" w:rsidRPr="00EC5CF2" w:rsidTr="00231B8A">
        <w:tc>
          <w:tcPr>
            <w:tcW w:w="4395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Mean age in years (SD)**</w:t>
            </w:r>
          </w:p>
        </w:tc>
        <w:tc>
          <w:tcPr>
            <w:tcW w:w="194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46.3 (13.8)</w:t>
            </w:r>
          </w:p>
        </w:tc>
        <w:tc>
          <w:tcPr>
            <w:tcW w:w="194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43.9 (14.3)</w:t>
            </w:r>
          </w:p>
        </w:tc>
        <w:tc>
          <w:tcPr>
            <w:tcW w:w="194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43.2 (13.7)</w:t>
            </w:r>
          </w:p>
        </w:tc>
        <w:tc>
          <w:tcPr>
            <w:tcW w:w="194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39.3 (14.1)</w:t>
            </w:r>
          </w:p>
        </w:tc>
      </w:tr>
      <w:tr w:rsidR="00EC5CF2" w:rsidRPr="00EC5CF2" w:rsidTr="00231B8A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Male participants (%</w:t>
            </w:r>
            <w:proofErr w:type="gramStart"/>
            <w:r w:rsidRPr="00EC5CF2">
              <w:rPr>
                <w:rFonts w:ascii="Calibri" w:eastAsia="Times New Roman" w:hAnsi="Calibri" w:cs="Calibri"/>
                <w:lang w:val="en-GB" w:eastAsia="nl-NL"/>
              </w:rPr>
              <w:t>)*</w:t>
            </w:r>
            <w:proofErr w:type="gramEnd"/>
            <w:r w:rsidRPr="00EC5CF2">
              <w:rPr>
                <w:rFonts w:ascii="Calibri" w:eastAsia="Times New Roman" w:hAnsi="Calibri" w:cs="Calibri"/>
                <w:lang w:val="en-GB" w:eastAsia="nl-NL"/>
              </w:rPr>
              <w:t>*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35 (62.5%)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568 (54.1%)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2,223 (50.4%)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4,806 (58.5%)</w:t>
            </w:r>
          </w:p>
        </w:tc>
      </w:tr>
      <w:tr w:rsidR="00EC5CF2" w:rsidRPr="00EC5CF2" w:rsidTr="00231B8A">
        <w:tc>
          <w:tcPr>
            <w:tcW w:w="439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Mode of referral (%</w:t>
            </w:r>
            <w:proofErr w:type="gramStart"/>
            <w:r w:rsidRPr="00EC5CF2">
              <w:rPr>
                <w:rFonts w:ascii="Calibri" w:eastAsia="Times New Roman" w:hAnsi="Calibri" w:cs="Calibri"/>
                <w:lang w:val="en-GB" w:eastAsia="nl-NL"/>
              </w:rPr>
              <w:t>)*</w:t>
            </w:r>
            <w:proofErr w:type="gramEnd"/>
            <w:r w:rsidRPr="00EC5CF2">
              <w:rPr>
                <w:rFonts w:ascii="Calibri" w:eastAsia="Times New Roman" w:hAnsi="Calibri" w:cs="Calibri"/>
                <w:lang w:val="en-GB" w:eastAsia="nl-NL"/>
              </w:rPr>
              <w:t>*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</w:p>
        </w:tc>
      </w:tr>
      <w:tr w:rsidR="00EC5CF2" w:rsidRPr="00EC5CF2" w:rsidTr="00231B8A">
        <w:tc>
          <w:tcPr>
            <w:tcW w:w="4395" w:type="dxa"/>
            <w:tcBorders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- General practitioner</w:t>
            </w:r>
          </w:p>
        </w:tc>
        <w:tc>
          <w:tcPr>
            <w:tcW w:w="19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17 (30.9%)</w:t>
            </w:r>
          </w:p>
        </w:tc>
        <w:tc>
          <w:tcPr>
            <w:tcW w:w="19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367 (35.2%)</w:t>
            </w:r>
          </w:p>
        </w:tc>
        <w:tc>
          <w:tcPr>
            <w:tcW w:w="19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1,757 (42.2%)</w:t>
            </w:r>
          </w:p>
        </w:tc>
        <w:tc>
          <w:tcPr>
            <w:tcW w:w="1949" w:type="dxa"/>
            <w:tcBorders>
              <w:lef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1,791 (23.0%)</w:t>
            </w:r>
          </w:p>
        </w:tc>
      </w:tr>
      <w:tr w:rsidR="00EC5CF2" w:rsidRPr="00EC5CF2" w:rsidTr="00231B8A">
        <w:tc>
          <w:tcPr>
            <w:tcW w:w="4395" w:type="dxa"/>
            <w:tcBorders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- Self-referral</w:t>
            </w:r>
          </w:p>
        </w:tc>
        <w:tc>
          <w:tcPr>
            <w:tcW w:w="19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4 (7.3%)</w:t>
            </w:r>
          </w:p>
        </w:tc>
        <w:tc>
          <w:tcPr>
            <w:tcW w:w="19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222 (21.3%)</w:t>
            </w:r>
          </w:p>
        </w:tc>
        <w:tc>
          <w:tcPr>
            <w:tcW w:w="19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1,458 (35.0%)</w:t>
            </w:r>
          </w:p>
        </w:tc>
        <w:tc>
          <w:tcPr>
            <w:tcW w:w="1949" w:type="dxa"/>
            <w:tcBorders>
              <w:lef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4,624 (59.4%)</w:t>
            </w:r>
          </w:p>
        </w:tc>
      </w:tr>
      <w:tr w:rsidR="00EC5CF2" w:rsidRPr="00EC5CF2" w:rsidTr="00231B8A">
        <w:tc>
          <w:tcPr>
            <w:tcW w:w="4395" w:type="dxa"/>
            <w:tcBorders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- Ambulance</w:t>
            </w:r>
          </w:p>
        </w:tc>
        <w:tc>
          <w:tcPr>
            <w:tcW w:w="19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33 (60.0%)</w:t>
            </w:r>
          </w:p>
        </w:tc>
        <w:tc>
          <w:tcPr>
            <w:tcW w:w="19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396 (37.9%)</w:t>
            </w:r>
          </w:p>
        </w:tc>
        <w:tc>
          <w:tcPr>
            <w:tcW w:w="19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579 (13.9%)</w:t>
            </w:r>
          </w:p>
        </w:tc>
        <w:tc>
          <w:tcPr>
            <w:tcW w:w="1949" w:type="dxa"/>
            <w:tcBorders>
              <w:lef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277 (3.6%)</w:t>
            </w:r>
          </w:p>
        </w:tc>
      </w:tr>
      <w:tr w:rsidR="00EC5CF2" w:rsidRPr="00EC5CF2" w:rsidTr="00231B8A">
        <w:tc>
          <w:tcPr>
            <w:tcW w:w="439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 xml:space="preserve">- Medical specialist </w:t>
            </w:r>
          </w:p>
        </w:tc>
        <w:tc>
          <w:tcPr>
            <w:tcW w:w="19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1 (1.8%)</w:t>
            </w:r>
          </w:p>
        </w:tc>
        <w:tc>
          <w:tcPr>
            <w:tcW w:w="19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59 (5.7%)</w:t>
            </w:r>
          </w:p>
        </w:tc>
        <w:tc>
          <w:tcPr>
            <w:tcW w:w="19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373 (9.0%)</w:t>
            </w:r>
          </w:p>
        </w:tc>
        <w:tc>
          <w:tcPr>
            <w:tcW w:w="194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1,094 (14.1%)</w:t>
            </w:r>
          </w:p>
        </w:tc>
      </w:tr>
      <w:tr w:rsidR="00EC5CF2" w:rsidRPr="00EC5CF2" w:rsidTr="00231B8A">
        <w:tc>
          <w:tcPr>
            <w:tcW w:w="439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Specialty (%</w:t>
            </w:r>
            <w:proofErr w:type="gramStart"/>
            <w:r w:rsidRPr="00EC5CF2">
              <w:rPr>
                <w:rFonts w:ascii="Calibri" w:eastAsia="Times New Roman" w:hAnsi="Calibri" w:cs="Calibri"/>
                <w:lang w:val="en-GB" w:eastAsia="nl-NL"/>
              </w:rPr>
              <w:t>)*</w:t>
            </w:r>
            <w:proofErr w:type="gramEnd"/>
            <w:r w:rsidRPr="00EC5CF2">
              <w:rPr>
                <w:rFonts w:ascii="Calibri" w:eastAsia="Times New Roman" w:hAnsi="Calibri" w:cs="Calibri"/>
                <w:lang w:val="en-GB" w:eastAsia="nl-NL"/>
              </w:rPr>
              <w:t>*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</w:p>
        </w:tc>
      </w:tr>
      <w:tr w:rsidR="00EC5CF2" w:rsidRPr="00EC5CF2" w:rsidTr="00231B8A">
        <w:tc>
          <w:tcPr>
            <w:tcW w:w="4395" w:type="dxa"/>
            <w:tcBorders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- Surgical</w:t>
            </w:r>
          </w:p>
        </w:tc>
        <w:tc>
          <w:tcPr>
            <w:tcW w:w="19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12 (21.4%)</w:t>
            </w:r>
          </w:p>
        </w:tc>
        <w:tc>
          <w:tcPr>
            <w:tcW w:w="19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426 (39.3%)</w:t>
            </w:r>
          </w:p>
        </w:tc>
        <w:tc>
          <w:tcPr>
            <w:tcW w:w="19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2,398 (54.4%)</w:t>
            </w:r>
          </w:p>
        </w:tc>
        <w:tc>
          <w:tcPr>
            <w:tcW w:w="1949" w:type="dxa"/>
            <w:tcBorders>
              <w:lef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6,863 (83.5%)</w:t>
            </w:r>
          </w:p>
        </w:tc>
      </w:tr>
      <w:tr w:rsidR="00EC5CF2" w:rsidRPr="00EC5CF2" w:rsidTr="00231B8A">
        <w:tc>
          <w:tcPr>
            <w:tcW w:w="439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 xml:space="preserve">- Medical </w:t>
            </w:r>
          </w:p>
        </w:tc>
        <w:tc>
          <w:tcPr>
            <w:tcW w:w="19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44 (78.6%)</w:t>
            </w:r>
          </w:p>
        </w:tc>
        <w:tc>
          <w:tcPr>
            <w:tcW w:w="19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658 (60.7%)</w:t>
            </w:r>
          </w:p>
        </w:tc>
        <w:tc>
          <w:tcPr>
            <w:tcW w:w="19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2,014 (45.6%)</w:t>
            </w:r>
          </w:p>
        </w:tc>
        <w:tc>
          <w:tcPr>
            <w:tcW w:w="194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1,352 (16.5%)</w:t>
            </w:r>
          </w:p>
        </w:tc>
      </w:tr>
      <w:tr w:rsidR="00EC5CF2" w:rsidRPr="00EC5CF2" w:rsidTr="00231B8A">
        <w:tc>
          <w:tcPr>
            <w:tcW w:w="439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Median ED-LOS in minutes (IQR)**</w:t>
            </w:r>
          </w:p>
        </w:tc>
        <w:tc>
          <w:tcPr>
            <w:tcW w:w="19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103 (70-170)</w:t>
            </w:r>
          </w:p>
        </w:tc>
        <w:tc>
          <w:tcPr>
            <w:tcW w:w="19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127 (94-170)</w:t>
            </w:r>
          </w:p>
        </w:tc>
        <w:tc>
          <w:tcPr>
            <w:tcW w:w="19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126 (87-171)</w:t>
            </w:r>
          </w:p>
        </w:tc>
        <w:tc>
          <w:tcPr>
            <w:tcW w:w="194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80 (50-124)</w:t>
            </w:r>
          </w:p>
        </w:tc>
      </w:tr>
      <w:tr w:rsidR="00EC5CF2" w:rsidRPr="00EC5CF2" w:rsidTr="00231B8A">
        <w:tc>
          <w:tcPr>
            <w:tcW w:w="439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 xml:space="preserve">ED resource utilisation 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</w:p>
        </w:tc>
      </w:tr>
      <w:tr w:rsidR="00EC5CF2" w:rsidRPr="00EC5CF2" w:rsidTr="00231B8A">
        <w:tc>
          <w:tcPr>
            <w:tcW w:w="4395" w:type="dxa"/>
            <w:tcBorders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lastRenderedPageBreak/>
              <w:t>- Mean number of diagnostic tests (SD)**</w:t>
            </w:r>
          </w:p>
        </w:tc>
        <w:tc>
          <w:tcPr>
            <w:tcW w:w="19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3.3 (1.9)</w:t>
            </w:r>
          </w:p>
        </w:tc>
        <w:tc>
          <w:tcPr>
            <w:tcW w:w="19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2.7 (1.7)</w:t>
            </w:r>
          </w:p>
        </w:tc>
        <w:tc>
          <w:tcPr>
            <w:tcW w:w="19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1.7 (1.4)</w:t>
            </w:r>
          </w:p>
        </w:tc>
        <w:tc>
          <w:tcPr>
            <w:tcW w:w="1949" w:type="dxa"/>
            <w:tcBorders>
              <w:lef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0.7 (0.9)</w:t>
            </w:r>
          </w:p>
        </w:tc>
      </w:tr>
      <w:tr w:rsidR="00EC5CF2" w:rsidRPr="00EC5CF2" w:rsidTr="00231B8A">
        <w:tc>
          <w:tcPr>
            <w:tcW w:w="4395" w:type="dxa"/>
            <w:tcBorders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- Mean number of medical procedures (SD)**</w:t>
            </w:r>
          </w:p>
        </w:tc>
        <w:tc>
          <w:tcPr>
            <w:tcW w:w="19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3.7 (1.6)</w:t>
            </w:r>
          </w:p>
        </w:tc>
        <w:tc>
          <w:tcPr>
            <w:tcW w:w="19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2.0 (1.2)</w:t>
            </w:r>
          </w:p>
        </w:tc>
        <w:tc>
          <w:tcPr>
            <w:tcW w:w="19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1.0 (1.0)</w:t>
            </w:r>
          </w:p>
        </w:tc>
        <w:tc>
          <w:tcPr>
            <w:tcW w:w="1949" w:type="dxa"/>
            <w:tcBorders>
              <w:lef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0.8 (0.8)</w:t>
            </w:r>
          </w:p>
        </w:tc>
      </w:tr>
      <w:tr w:rsidR="00EC5CF2" w:rsidRPr="00EC5CF2" w:rsidTr="00231B8A">
        <w:tc>
          <w:tcPr>
            <w:tcW w:w="4395" w:type="dxa"/>
            <w:tcBorders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- Medication administered (%</w:t>
            </w:r>
            <w:proofErr w:type="gramStart"/>
            <w:r w:rsidRPr="00EC5CF2">
              <w:rPr>
                <w:rFonts w:ascii="Calibri" w:eastAsia="Times New Roman" w:hAnsi="Calibri" w:cs="Calibri"/>
                <w:lang w:val="en-GB" w:eastAsia="nl-NL"/>
              </w:rPr>
              <w:t>)*</w:t>
            </w:r>
            <w:proofErr w:type="gramEnd"/>
            <w:r w:rsidRPr="00EC5CF2">
              <w:rPr>
                <w:rFonts w:ascii="Calibri" w:eastAsia="Times New Roman" w:hAnsi="Calibri" w:cs="Calibri"/>
                <w:lang w:val="en-GB" w:eastAsia="nl-NL"/>
              </w:rPr>
              <w:t>*</w:t>
            </w:r>
          </w:p>
        </w:tc>
        <w:tc>
          <w:tcPr>
            <w:tcW w:w="19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48 (85.7%)</w:t>
            </w:r>
          </w:p>
        </w:tc>
        <w:tc>
          <w:tcPr>
            <w:tcW w:w="19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644 (59.4%)</w:t>
            </w:r>
          </w:p>
        </w:tc>
        <w:tc>
          <w:tcPr>
            <w:tcW w:w="19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2,269 (51.4%)</w:t>
            </w:r>
          </w:p>
        </w:tc>
        <w:tc>
          <w:tcPr>
            <w:tcW w:w="1949" w:type="dxa"/>
            <w:tcBorders>
              <w:lef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1,800 (21.9%)</w:t>
            </w:r>
          </w:p>
        </w:tc>
      </w:tr>
      <w:tr w:rsidR="00EC5CF2" w:rsidRPr="00EC5CF2" w:rsidTr="00231B8A">
        <w:tc>
          <w:tcPr>
            <w:tcW w:w="439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- &gt;</w:t>
            </w:r>
            <w:proofErr w:type="gramStart"/>
            <w:r w:rsidRPr="00EC5CF2">
              <w:rPr>
                <w:rFonts w:ascii="Calibri" w:eastAsia="Times New Roman" w:hAnsi="Calibri" w:cs="Calibri"/>
                <w:lang w:val="en-GB" w:eastAsia="nl-NL"/>
              </w:rPr>
              <w:t>1  specialty</w:t>
            </w:r>
            <w:proofErr w:type="gramEnd"/>
            <w:r w:rsidRPr="00EC5CF2">
              <w:rPr>
                <w:rFonts w:ascii="Calibri" w:eastAsia="Times New Roman" w:hAnsi="Calibri" w:cs="Calibri"/>
                <w:lang w:val="en-GB" w:eastAsia="nl-NL"/>
              </w:rPr>
              <w:t xml:space="preserve"> consultations on ED (%)**</w:t>
            </w:r>
          </w:p>
        </w:tc>
        <w:tc>
          <w:tcPr>
            <w:tcW w:w="19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16 (28.6%)</w:t>
            </w:r>
          </w:p>
        </w:tc>
        <w:tc>
          <w:tcPr>
            <w:tcW w:w="19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213 (19.6%)</w:t>
            </w:r>
          </w:p>
        </w:tc>
        <w:tc>
          <w:tcPr>
            <w:tcW w:w="19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504 (11.4%)</w:t>
            </w:r>
          </w:p>
        </w:tc>
        <w:tc>
          <w:tcPr>
            <w:tcW w:w="194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242 (2.9%)</w:t>
            </w:r>
          </w:p>
        </w:tc>
      </w:tr>
      <w:tr w:rsidR="00EC5CF2" w:rsidRPr="00EC5CF2" w:rsidTr="00231B8A">
        <w:tc>
          <w:tcPr>
            <w:tcW w:w="439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Disposition (%</w:t>
            </w:r>
            <w:proofErr w:type="gramStart"/>
            <w:r w:rsidRPr="00EC5CF2">
              <w:rPr>
                <w:rFonts w:ascii="Calibri" w:eastAsia="Times New Roman" w:hAnsi="Calibri" w:cs="Calibri"/>
                <w:lang w:val="en-GB" w:eastAsia="nl-NL"/>
              </w:rPr>
              <w:t>)</w:t>
            </w:r>
            <w:r w:rsidR="00860902" w:rsidRPr="00EC5CF2">
              <w:rPr>
                <w:rFonts w:ascii="Calibri" w:eastAsia="Times New Roman" w:hAnsi="Calibri" w:cs="Calibri"/>
                <w:lang w:val="en-GB" w:eastAsia="nl-NL"/>
              </w:rPr>
              <w:t>*</w:t>
            </w:r>
            <w:proofErr w:type="gramEnd"/>
            <w:r w:rsidR="00860902" w:rsidRPr="00EC5CF2">
              <w:rPr>
                <w:rFonts w:ascii="Calibri" w:eastAsia="Times New Roman" w:hAnsi="Calibri" w:cs="Calibri"/>
                <w:lang w:val="en-GB" w:eastAsia="nl-NL"/>
              </w:rPr>
              <w:t>*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</w:p>
        </w:tc>
      </w:tr>
      <w:tr w:rsidR="00EC5CF2" w:rsidRPr="00EC5CF2" w:rsidTr="00231B8A">
        <w:tc>
          <w:tcPr>
            <w:tcW w:w="4395" w:type="dxa"/>
            <w:tcBorders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 xml:space="preserve">- Discharge home </w:t>
            </w:r>
          </w:p>
        </w:tc>
        <w:tc>
          <w:tcPr>
            <w:tcW w:w="19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2 (3.6%)</w:t>
            </w:r>
          </w:p>
        </w:tc>
        <w:tc>
          <w:tcPr>
            <w:tcW w:w="19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190 (17.5%)</w:t>
            </w:r>
          </w:p>
        </w:tc>
        <w:tc>
          <w:tcPr>
            <w:tcW w:w="19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938 (21.3%)</w:t>
            </w:r>
          </w:p>
        </w:tc>
        <w:tc>
          <w:tcPr>
            <w:tcW w:w="1949" w:type="dxa"/>
            <w:tcBorders>
              <w:lef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3,003 (36.6%)</w:t>
            </w:r>
          </w:p>
        </w:tc>
      </w:tr>
      <w:tr w:rsidR="00EC5CF2" w:rsidRPr="00EC5CF2" w:rsidTr="00231B8A">
        <w:tc>
          <w:tcPr>
            <w:tcW w:w="4395" w:type="dxa"/>
            <w:tcBorders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 xml:space="preserve">- Discharge home + follow-up </w:t>
            </w:r>
          </w:p>
        </w:tc>
        <w:tc>
          <w:tcPr>
            <w:tcW w:w="19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-</w:t>
            </w:r>
          </w:p>
        </w:tc>
        <w:tc>
          <w:tcPr>
            <w:tcW w:w="19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161 (14.9%)</w:t>
            </w:r>
          </w:p>
        </w:tc>
        <w:tc>
          <w:tcPr>
            <w:tcW w:w="19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1,629 (36.9%)</w:t>
            </w:r>
          </w:p>
        </w:tc>
        <w:tc>
          <w:tcPr>
            <w:tcW w:w="1949" w:type="dxa"/>
            <w:tcBorders>
              <w:lef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4,437 (54.0%)</w:t>
            </w:r>
          </w:p>
        </w:tc>
      </w:tr>
      <w:tr w:rsidR="00EC5CF2" w:rsidRPr="00EC5CF2" w:rsidTr="00231B8A">
        <w:tc>
          <w:tcPr>
            <w:tcW w:w="4395" w:type="dxa"/>
            <w:tcBorders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 xml:space="preserve">- Admission acute medical unit </w:t>
            </w:r>
          </w:p>
        </w:tc>
        <w:tc>
          <w:tcPr>
            <w:tcW w:w="19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10 (17.9%)</w:t>
            </w:r>
          </w:p>
        </w:tc>
        <w:tc>
          <w:tcPr>
            <w:tcW w:w="19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490 (45.2%)</w:t>
            </w:r>
          </w:p>
        </w:tc>
        <w:tc>
          <w:tcPr>
            <w:tcW w:w="19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1,581 (35.8%)</w:t>
            </w:r>
          </w:p>
        </w:tc>
        <w:tc>
          <w:tcPr>
            <w:tcW w:w="1949" w:type="dxa"/>
            <w:tcBorders>
              <w:lef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686 (8.4%)</w:t>
            </w:r>
          </w:p>
        </w:tc>
      </w:tr>
      <w:tr w:rsidR="00EC5CF2" w:rsidRPr="00EC5CF2" w:rsidTr="00231B8A">
        <w:tc>
          <w:tcPr>
            <w:tcW w:w="4395" w:type="dxa"/>
            <w:tcBorders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 xml:space="preserve">- Admission other hospital ward </w:t>
            </w:r>
          </w:p>
        </w:tc>
        <w:tc>
          <w:tcPr>
            <w:tcW w:w="19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39 (69.6%)</w:t>
            </w:r>
          </w:p>
        </w:tc>
        <w:tc>
          <w:tcPr>
            <w:tcW w:w="19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239 (22.0%)</w:t>
            </w:r>
          </w:p>
        </w:tc>
        <w:tc>
          <w:tcPr>
            <w:tcW w:w="19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258 (5.8%)</w:t>
            </w:r>
          </w:p>
        </w:tc>
        <w:tc>
          <w:tcPr>
            <w:tcW w:w="1949" w:type="dxa"/>
            <w:tcBorders>
              <w:lef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71 (0.9%)</w:t>
            </w:r>
          </w:p>
        </w:tc>
      </w:tr>
      <w:tr w:rsidR="00EC5CF2" w:rsidRPr="00EC5CF2" w:rsidTr="00231B8A">
        <w:trPr>
          <w:trHeight w:val="300"/>
        </w:trPr>
        <w:tc>
          <w:tcPr>
            <w:tcW w:w="4395" w:type="dxa"/>
            <w:tcBorders>
              <w:bottom w:val="nil"/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 xml:space="preserve">- LWBS </w:t>
            </w:r>
          </w:p>
        </w:tc>
        <w:tc>
          <w:tcPr>
            <w:tcW w:w="1949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-</w:t>
            </w:r>
          </w:p>
        </w:tc>
        <w:tc>
          <w:tcPr>
            <w:tcW w:w="1949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3 (0.3%)</w:t>
            </w:r>
          </w:p>
        </w:tc>
        <w:tc>
          <w:tcPr>
            <w:tcW w:w="1949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6 (0.1%)</w:t>
            </w:r>
          </w:p>
        </w:tc>
        <w:tc>
          <w:tcPr>
            <w:tcW w:w="1949" w:type="dxa"/>
            <w:tcBorders>
              <w:left w:val="single" w:sz="4" w:space="0" w:color="auto"/>
              <w:bottom w:val="nil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17 (0.2%)</w:t>
            </w:r>
          </w:p>
        </w:tc>
      </w:tr>
      <w:tr w:rsidR="00EC5CF2" w:rsidRPr="00EC5CF2" w:rsidTr="00231B8A">
        <w:tc>
          <w:tcPr>
            <w:tcW w:w="439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 xml:space="preserve">- Died in ED </w:t>
            </w:r>
          </w:p>
        </w:tc>
        <w:tc>
          <w:tcPr>
            <w:tcW w:w="19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5 (8.9%)</w:t>
            </w:r>
          </w:p>
        </w:tc>
        <w:tc>
          <w:tcPr>
            <w:tcW w:w="19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1 (0.1%)</w:t>
            </w:r>
          </w:p>
        </w:tc>
        <w:tc>
          <w:tcPr>
            <w:tcW w:w="19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-</w:t>
            </w:r>
          </w:p>
        </w:tc>
        <w:tc>
          <w:tcPr>
            <w:tcW w:w="194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-</w:t>
            </w:r>
          </w:p>
        </w:tc>
      </w:tr>
      <w:tr w:rsidR="00EC5CF2" w:rsidRPr="00EC5CF2" w:rsidTr="00231B8A">
        <w:tc>
          <w:tcPr>
            <w:tcW w:w="4395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In-hospital mortality</w:t>
            </w:r>
            <w:r w:rsidRPr="00EC5CF2">
              <w:rPr>
                <w:rFonts w:ascii="Calibri" w:eastAsia="Times New Roman" w:hAnsi="Calibri" w:cs="Calibri"/>
                <w:vertAlign w:val="superscript"/>
                <w:lang w:val="en-GB" w:eastAsia="nl-NL"/>
              </w:rPr>
              <w:t>#</w:t>
            </w:r>
            <w:r w:rsidRPr="00EC5CF2">
              <w:rPr>
                <w:rFonts w:ascii="Calibri" w:eastAsia="Times New Roman" w:hAnsi="Calibri" w:cs="Calibri"/>
                <w:lang w:val="en-GB" w:eastAsia="nl-NL"/>
              </w:rPr>
              <w:t xml:space="preserve"> (%</w:t>
            </w:r>
            <w:proofErr w:type="gramStart"/>
            <w:r w:rsidRPr="00EC5CF2">
              <w:rPr>
                <w:rFonts w:ascii="Calibri" w:eastAsia="Times New Roman" w:hAnsi="Calibri" w:cs="Calibri"/>
                <w:lang w:val="en-GB" w:eastAsia="nl-NL"/>
              </w:rPr>
              <w:t>)</w:t>
            </w:r>
            <w:r w:rsidR="00860902" w:rsidRPr="00EC5CF2">
              <w:rPr>
                <w:rFonts w:ascii="Calibri" w:eastAsia="Times New Roman" w:hAnsi="Calibri" w:cs="Calibri"/>
                <w:lang w:val="en-GB" w:eastAsia="nl-NL"/>
              </w:rPr>
              <w:t>*</w:t>
            </w:r>
            <w:proofErr w:type="gramEnd"/>
            <w:r w:rsidR="00860902" w:rsidRPr="00EC5CF2">
              <w:rPr>
                <w:rFonts w:ascii="Calibri" w:eastAsia="Times New Roman" w:hAnsi="Calibri" w:cs="Calibri"/>
                <w:lang w:val="en-GB" w:eastAsia="nl-NL"/>
              </w:rPr>
              <w:t>*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10 (19.6%)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17 (1.6%)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22 (0.5%)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jc w:val="right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>8 (0.1%)</w:t>
            </w:r>
          </w:p>
        </w:tc>
      </w:tr>
      <w:tr w:rsidR="00EC5CF2" w:rsidRPr="00860902" w:rsidTr="00231B8A">
        <w:tc>
          <w:tcPr>
            <w:tcW w:w="12191" w:type="dxa"/>
            <w:gridSpan w:val="5"/>
            <w:tcBorders>
              <w:bottom w:val="single" w:sz="12" w:space="0" w:color="auto"/>
            </w:tcBorders>
            <w:shd w:val="clear" w:color="auto" w:fill="auto"/>
          </w:tcPr>
          <w:p w:rsidR="00EC5CF2" w:rsidRPr="00EC5CF2" w:rsidRDefault="00EC5CF2" w:rsidP="00EC5CF2">
            <w:pPr>
              <w:spacing w:after="0" w:line="480" w:lineRule="auto"/>
              <w:rPr>
                <w:rFonts w:ascii="Calibri" w:eastAsia="Times New Roman" w:hAnsi="Calibri" w:cs="Calibri"/>
                <w:lang w:val="en-GB" w:eastAsia="nl-NL"/>
              </w:rPr>
            </w:pPr>
            <w:r w:rsidRPr="00EC5CF2">
              <w:rPr>
                <w:rFonts w:ascii="Calibri" w:eastAsia="Times New Roman" w:hAnsi="Calibri" w:cs="Calibri"/>
                <w:lang w:val="en-GB" w:eastAsia="nl-NL"/>
              </w:rPr>
              <w:t xml:space="preserve">MTS = Manchester Triage System; SD = Standard Deviation; ED = Emergency Department; Surgical includes: general surgery, plastic surgery, urology, orthopaedics, otorhinolaryngology, ophthalmology, dermatology, oral surgery, gynaecology; Medical includes: internal medicine, pulmonology, cardiology, neurology, psychiatry, gastroenterology, rheumatology; ED-LOS = emergency department length of stay; IQR = interquartile range. P-values were calculated using ANOVA, </w:t>
            </w:r>
            <w:proofErr w:type="spellStart"/>
            <w:r w:rsidRPr="00EC5CF2">
              <w:rPr>
                <w:rFonts w:ascii="Calibri" w:eastAsia="Times New Roman" w:hAnsi="Calibri" w:cs="Calibri"/>
                <w:lang w:val="en-GB" w:eastAsia="nl-NL"/>
              </w:rPr>
              <w:t>Kruskal</w:t>
            </w:r>
            <w:proofErr w:type="spellEnd"/>
            <w:r w:rsidRPr="00EC5CF2">
              <w:rPr>
                <w:rFonts w:ascii="Calibri" w:eastAsia="Times New Roman" w:hAnsi="Calibri" w:cs="Calibri"/>
                <w:lang w:val="en-GB" w:eastAsia="nl-NL"/>
              </w:rPr>
              <w:t xml:space="preserve">-Wallis test and Chi-square test; </w:t>
            </w:r>
            <w:r w:rsidRPr="00EC5CF2">
              <w:rPr>
                <w:rFonts w:ascii="Calibri" w:eastAsia="Times New Roman" w:hAnsi="Calibri" w:cs="Calibri"/>
                <w:lang w:val="en-GB" w:eastAsia="nl-NL"/>
              </w:rPr>
              <w:lastRenderedPageBreak/>
              <w:t>** = p &lt; 0.001; # = patients who have died in the ED are excluded from this analysis.</w:t>
            </w:r>
          </w:p>
        </w:tc>
      </w:tr>
    </w:tbl>
    <w:p w:rsidR="00E02EBE" w:rsidRPr="00EC5CF2" w:rsidRDefault="009E0EC3">
      <w:pPr>
        <w:rPr>
          <w:lang w:val="en-GB"/>
        </w:rPr>
      </w:pPr>
    </w:p>
    <w:sectPr w:rsidR="00E02EBE" w:rsidRPr="00EC5CF2" w:rsidSect="00EC5CF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EC5CF2"/>
    <w:rsid w:val="003D194D"/>
    <w:rsid w:val="0048738D"/>
    <w:rsid w:val="00860902"/>
    <w:rsid w:val="009E0EC3"/>
    <w:rsid w:val="00A15D66"/>
    <w:rsid w:val="00EC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362</Words>
  <Characters>1932</Characters>
  <Application>Microsoft Office Word</Application>
  <DocSecurity>0</DocSecurity>
  <Lines>148</Lines>
  <Paragraphs>134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 Brouns</dc:creator>
  <cp:lastModifiedBy>TBANIGA</cp:lastModifiedBy>
  <cp:revision>3</cp:revision>
  <dcterms:created xsi:type="dcterms:W3CDTF">2018-12-11T13:20:00Z</dcterms:created>
  <dcterms:modified xsi:type="dcterms:W3CDTF">2018-12-15T11:01:00Z</dcterms:modified>
</cp:coreProperties>
</file>