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2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1463"/>
        <w:gridCol w:w="1463"/>
        <w:gridCol w:w="2446"/>
        <w:gridCol w:w="2160"/>
        <w:gridCol w:w="1980"/>
        <w:gridCol w:w="2250"/>
      </w:tblGrid>
      <w:tr w:rsidR="00541E03" w:rsidRPr="002F6E24" w:rsidTr="008907A9">
        <w:tc>
          <w:tcPr>
            <w:tcW w:w="12960" w:type="dxa"/>
            <w:gridSpan w:val="7"/>
            <w:tcBorders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Supplementary Table 1:</w:t>
            </w: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Summary of characteristics of the Abbott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i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-STAT® and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Alere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®.</w:t>
            </w:r>
          </w:p>
        </w:tc>
      </w:tr>
      <w:tr w:rsidR="00541E03" w:rsidRPr="002F6E24" w:rsidTr="008907A9">
        <w:tc>
          <w:tcPr>
            <w:tcW w:w="11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Device operating temperature requirements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Device transport requirements</w:t>
            </w:r>
          </w:p>
        </w:tc>
        <w:tc>
          <w:tcPr>
            <w:tcW w:w="24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Device power requirements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Test cartridge transport requirements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(in CP vehicle)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Test cartridge temperature storage requirements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Test card / cartridges</w:t>
            </w:r>
          </w:p>
        </w:tc>
      </w:tr>
      <w:tr w:rsidR="00541E03" w:rsidRPr="002F6E24" w:rsidTr="008907A9">
        <w:trPr>
          <w:trHeight w:val="3815"/>
        </w:trPr>
        <w:tc>
          <w:tcPr>
            <w:tcW w:w="119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Calibri" w:hAnsi="Arial Narrow" w:cs="Times New Roman"/>
                <w:b/>
                <w:szCs w:val="24"/>
              </w:rPr>
            </w:pPr>
            <w:proofErr w:type="spellStart"/>
            <w:r w:rsidRPr="002F6E24">
              <w:rPr>
                <w:rFonts w:ascii="Arial Narrow" w:eastAsia="Calibri" w:hAnsi="Arial Narrow" w:cs="Times New Roman"/>
                <w:b/>
                <w:szCs w:val="24"/>
              </w:rPr>
              <w:t>epoc</w:t>
            </w:r>
            <w:proofErr w:type="spellEnd"/>
          </w:p>
        </w:tc>
        <w:tc>
          <w:tcPr>
            <w:tcW w:w="1463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Yes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(15-30°C)</w:t>
            </w:r>
          </w:p>
          <w:p w:rsidR="00541E03" w:rsidRPr="002F6E24" w:rsidRDefault="00541E03" w:rsidP="008907A9">
            <w:pPr>
              <w:rPr>
                <w:rFonts w:ascii="Arial Narrow" w:eastAsia="Calibri" w:hAnsi="Arial Narrow" w:cs="Times New Roman"/>
                <w:szCs w:val="24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Device will lock out if out of temperature range</w:t>
            </w:r>
          </w:p>
        </w:tc>
        <w:tc>
          <w:tcPr>
            <w:tcW w:w="1463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Requires protection from excessive movement / dropping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Calibri" w:hAnsi="Arial Narrow" w:cs="Times New Roman"/>
                <w:iCs/>
                <w:szCs w:val="24"/>
              </w:rPr>
              <w:t xml:space="preserve">If the device is misused or dropped the </w:t>
            </w:r>
            <w:proofErr w:type="spellStart"/>
            <w:r w:rsidRPr="002F6E24">
              <w:rPr>
                <w:rFonts w:ascii="Arial Narrow" w:eastAsia="Calibri" w:hAnsi="Arial Narrow" w:cs="Times New Roman"/>
                <w:iCs/>
                <w:szCs w:val="24"/>
              </w:rPr>
              <w:t>epoc</w:t>
            </w:r>
            <w:proofErr w:type="spellEnd"/>
            <w:r w:rsidRPr="002F6E24">
              <w:rPr>
                <w:rFonts w:ascii="Arial Narrow" w:eastAsia="Calibri" w:hAnsi="Arial Narrow" w:cs="Times New Roman"/>
                <w:iCs/>
                <w:szCs w:val="24"/>
              </w:rPr>
              <w:t xml:space="preserve"> will give an error.</w:t>
            </w:r>
          </w:p>
        </w:tc>
        <w:tc>
          <w:tcPr>
            <w:tcW w:w="244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Battery (rechargeable)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Should recharge battery daily using AC plug in power source, to ensure device is ready for use.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On a full charge the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is able to run 50 patient samples, the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system will give the user a message by the LED lights blinking to know when it is time to charge as well if it is almost depleted, the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will have a red banner indicating ‘charge battery’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Must be protected against excessive shock (dropping, throwing, shaking)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Must be protected against temperatures outside of  15-30°C during storage and transport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Consider temperature monitoring device for transport container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Yes, (room temperature 15-30°C) at all times.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One test card for all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analytes</w:t>
            </w:r>
            <w:proofErr w:type="spellEnd"/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</w:p>
        </w:tc>
      </w:tr>
      <w:tr w:rsidR="00541E03" w:rsidRPr="002F6E24" w:rsidTr="008907A9">
        <w:tc>
          <w:tcPr>
            <w:tcW w:w="119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Calibri" w:hAnsi="Arial Narrow" w:cs="Times New Roman"/>
                <w:b/>
                <w:szCs w:val="24"/>
              </w:rPr>
            </w:pPr>
            <w:proofErr w:type="spellStart"/>
            <w:r w:rsidRPr="002F6E24">
              <w:rPr>
                <w:rFonts w:ascii="Arial Narrow" w:eastAsia="Calibri" w:hAnsi="Arial Narrow" w:cs="Times New Roman"/>
                <w:b/>
                <w:szCs w:val="24"/>
              </w:rPr>
              <w:t>i</w:t>
            </w:r>
            <w:proofErr w:type="spellEnd"/>
            <w:r w:rsidRPr="002F6E24">
              <w:rPr>
                <w:rFonts w:ascii="Arial Narrow" w:eastAsia="Calibri" w:hAnsi="Arial Narrow" w:cs="Times New Roman"/>
                <w:b/>
                <w:szCs w:val="24"/>
              </w:rPr>
              <w:t>-STAT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Yes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(16-30°C)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Device will lock out if out of temperature range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Excessive movement / dropping well tolerated during transport.</w:t>
            </w:r>
          </w:p>
        </w:tc>
        <w:tc>
          <w:tcPr>
            <w:tcW w:w="24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Battery powered by two 9V lithium batteries for a minimum of 250 patient samples depending on type of test run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The analyzer can also be powered by a nickel-metal-hydride rechargeable battery. Requires a charge once every three months.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Must be protected against temperatures outside 18-30°C during storage and transport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Consider temperature  once removed from cold storage (2-8 °C)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Yes, (cold chain 2-8°C)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Or if room temperature 18-30°C, cartridge must be used within 14 days.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Requires refrigeration to maintain cold chain with temperature monitoring capabilities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Large test menu, but may require multiple cartridges based on user needs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</w:p>
        </w:tc>
      </w:tr>
      <w:tr w:rsidR="00541E03" w:rsidRPr="002F6E24" w:rsidTr="008907A9">
        <w:tc>
          <w:tcPr>
            <w:tcW w:w="119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Calibri" w:hAnsi="Arial Narrow" w:cs="Times New Roman"/>
                <w:b/>
                <w:szCs w:val="24"/>
              </w:rPr>
            </w:pPr>
            <w:r w:rsidRPr="002F6E24">
              <w:rPr>
                <w:rFonts w:ascii="Arial Narrow" w:eastAsia="Calibri" w:hAnsi="Arial Narrow" w:cs="Times New Roman"/>
                <w:b/>
                <w:szCs w:val="24"/>
              </w:rPr>
              <w:t>Laboratory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  <w:tc>
          <w:tcPr>
            <w:tcW w:w="2446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</w:tr>
    </w:tbl>
    <w:p w:rsidR="00541E03" w:rsidRDefault="00541E03" w:rsidP="00541E03"/>
    <w:p w:rsidR="00E73B56" w:rsidRPr="002F6E24" w:rsidRDefault="00E73B56" w:rsidP="00541E03"/>
    <w:tbl>
      <w:tblPr>
        <w:tblStyle w:val="TableGrid"/>
        <w:tblW w:w="13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3038"/>
        <w:gridCol w:w="1710"/>
        <w:gridCol w:w="3150"/>
        <w:gridCol w:w="1890"/>
        <w:gridCol w:w="2070"/>
      </w:tblGrid>
      <w:tr w:rsidR="00541E03" w:rsidRPr="002F6E24" w:rsidTr="008907A9">
        <w:tc>
          <w:tcPr>
            <w:tcW w:w="13050" w:type="dxa"/>
            <w:gridSpan w:val="6"/>
            <w:tcBorders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lastRenderedPageBreak/>
              <w:t>Supplementary Table 1 (continued):</w:t>
            </w: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Summary of characteristics of the Abbott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i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-STAT® and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Alere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®.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F6E24">
              <w:rPr>
                <w:rFonts w:ascii="Arial Narrow" w:hAnsi="Arial Narrow"/>
                <w:b/>
                <w:sz w:val="24"/>
                <w:szCs w:val="24"/>
              </w:rPr>
              <w:t>Test menu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QC fluid storage requirements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QC testing frequency*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Device validation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As per CLS &amp; AHS standards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Transport time to specimen drop off</w:t>
            </w:r>
          </w:p>
        </w:tc>
      </w:tr>
      <w:tr w:rsidR="00541E03" w:rsidRPr="002F6E24" w:rsidTr="008907A9">
        <w:trPr>
          <w:trHeight w:val="2538"/>
        </w:trPr>
        <w:tc>
          <w:tcPr>
            <w:tcW w:w="119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 w:rsidRPr="002F6E24">
              <w:rPr>
                <w:rFonts w:ascii="Arial Narrow" w:hAnsi="Arial Narrow"/>
                <w:b/>
                <w:szCs w:val="24"/>
              </w:rPr>
              <w:t>epoc</w:t>
            </w:r>
            <w:proofErr w:type="spellEnd"/>
          </w:p>
        </w:tc>
        <w:tc>
          <w:tcPr>
            <w:tcW w:w="303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 xml:space="preserve">pH, pCO2, pO2 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>Sodium, Potassium, Ionized Calcium, Chloride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 xml:space="preserve">Glucose 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>Lactate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 xml:space="preserve">Creatinine 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>Hematocrit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 xml:space="preserve">Calculated parameters: 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>Hemoglobin, cHCO3-, TCO2, BE(</w:t>
            </w:r>
            <w:proofErr w:type="spellStart"/>
            <w:r w:rsidRPr="002F6E24">
              <w:rPr>
                <w:rFonts w:ascii="Arial Narrow" w:hAnsi="Arial Narrow"/>
                <w:szCs w:val="24"/>
              </w:rPr>
              <w:t>ecf</w:t>
            </w:r>
            <w:proofErr w:type="spellEnd"/>
            <w:r w:rsidRPr="002F6E24">
              <w:rPr>
                <w:rFonts w:ascii="Arial Narrow" w:hAnsi="Arial Narrow"/>
                <w:szCs w:val="24"/>
              </w:rPr>
              <w:t xml:space="preserve">), BE(b), cSO2, </w:t>
            </w:r>
            <w:proofErr w:type="spellStart"/>
            <w:r w:rsidRPr="002F6E24">
              <w:rPr>
                <w:rFonts w:ascii="Arial Narrow" w:hAnsi="Arial Narrow"/>
                <w:szCs w:val="24"/>
              </w:rPr>
              <w:t>eGFR</w:t>
            </w:r>
            <w:proofErr w:type="spellEnd"/>
            <w:r w:rsidRPr="002F6E24">
              <w:rPr>
                <w:rFonts w:ascii="Arial Narrow" w:hAnsi="Arial Narrow"/>
                <w:szCs w:val="24"/>
              </w:rPr>
              <w:t xml:space="preserve">, </w:t>
            </w:r>
            <w:proofErr w:type="spellStart"/>
            <w:r w:rsidRPr="002F6E24">
              <w:rPr>
                <w:rFonts w:ascii="Arial Narrow" w:hAnsi="Arial Narrow"/>
                <w:szCs w:val="24"/>
              </w:rPr>
              <w:t>AGap</w:t>
            </w:r>
            <w:proofErr w:type="spellEnd"/>
            <w:r w:rsidRPr="002F6E24">
              <w:rPr>
                <w:rFonts w:ascii="Arial Narrow" w:hAnsi="Arial Narrow"/>
                <w:szCs w:val="24"/>
              </w:rPr>
              <w:t xml:space="preserve">, </w:t>
            </w:r>
            <w:proofErr w:type="spellStart"/>
            <w:r w:rsidRPr="002F6E24">
              <w:rPr>
                <w:rFonts w:ascii="Arial Narrow" w:hAnsi="Arial Narrow"/>
                <w:szCs w:val="24"/>
              </w:rPr>
              <w:t>AGapK</w:t>
            </w:r>
            <w:proofErr w:type="spellEnd"/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Cold chain (2-8°C)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Requires refrigeration with temperature monitoring capabilities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541E03">
            <w:pPr>
              <w:pStyle w:val="ListParagraph"/>
              <w:numPr>
                <w:ilvl w:val="0"/>
                <w:numId w:val="1"/>
              </w:numPr>
              <w:ind w:left="252" w:right="-108" w:hanging="195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Weekly per device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1"/>
              </w:numPr>
              <w:ind w:left="252" w:right="-108" w:hanging="195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Daily per device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1"/>
              </w:numPr>
              <w:ind w:left="252" w:right="-108" w:hanging="195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Monthly split sample for creatinine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1"/>
              </w:numPr>
              <w:ind w:left="252" w:right="-108" w:hanging="195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Weekly split sample for blood gases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1"/>
              </w:numPr>
              <w:ind w:left="252" w:right="-108" w:hanging="195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Requires two test cartridges and two ampoules of QC fluid per week per device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1"/>
              </w:numPr>
              <w:ind w:left="252" w:right="-108" w:hanging="195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Each new test cartridge lot# must be validated using two levels of QC fluid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Must validate all devices for all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analytes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prior to use, using lab-based split sample, QC fluid, and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cal-ver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fluid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 w:rsidRPr="002F6E24">
              <w:rPr>
                <w:rFonts w:ascii="Arial Narrow" w:hAnsi="Arial Narrow"/>
                <w:b/>
                <w:szCs w:val="24"/>
              </w:rPr>
              <w:t>i</w:t>
            </w:r>
            <w:proofErr w:type="spellEnd"/>
            <w:r w:rsidRPr="002F6E24">
              <w:rPr>
                <w:rFonts w:ascii="Arial Narrow" w:hAnsi="Arial Narrow"/>
                <w:b/>
                <w:szCs w:val="24"/>
              </w:rPr>
              <w:t>-STAT</w:t>
            </w:r>
          </w:p>
        </w:tc>
        <w:tc>
          <w:tcPr>
            <w:tcW w:w="303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Sodium, Potassium, Chloride, TCO2, Anion Gap, Ionized Calcium, Glucose, Urea Nitrogen, Creatinine, Lactate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Hematocrit, Hemoglobin a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pH, PCO2, PO2, TCO2a, HCO3a, Base Excess (BE)a, sO2a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ACT Kaolin, ACT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Celite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®, PT/INR,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aPTT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 end of 2017,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ß-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hCG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, Cardiac Markers, CK-CK-MB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BNP,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cTnl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, High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Sene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.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cTnl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 2018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Cold chain (2-8°C)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Requires refrigeration with temperature monitoring capabilities</w:t>
            </w: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541E03">
            <w:pPr>
              <w:pStyle w:val="ListParagraph"/>
              <w:numPr>
                <w:ilvl w:val="0"/>
                <w:numId w:val="2"/>
              </w:numPr>
              <w:ind w:left="252" w:hanging="180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Weekly per device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2"/>
              </w:numPr>
              <w:ind w:left="252" w:hanging="180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Daily per device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2"/>
              </w:numPr>
              <w:ind w:left="252" w:hanging="180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Monthly split sample for creatinine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2"/>
              </w:numPr>
              <w:ind w:left="252" w:hanging="180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Weekly split sample for blood gases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2"/>
              </w:numPr>
              <w:ind w:left="252" w:hanging="180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Requires two test cartridges and two ampoules of QC fluid per week per device</w:t>
            </w:r>
          </w:p>
          <w:p w:rsidR="00541E03" w:rsidRPr="002F6E24" w:rsidRDefault="00541E03" w:rsidP="00541E03">
            <w:pPr>
              <w:pStyle w:val="ListParagraph"/>
              <w:numPr>
                <w:ilvl w:val="0"/>
                <w:numId w:val="2"/>
              </w:numPr>
              <w:ind w:left="252" w:hanging="180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Each new test cartridge lot# must be validated using two levels of QC fluid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Must validate all devices for all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analytes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prior to use, using lab-based split sample, QC fluid, and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cal-ver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fluid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n/a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r w:rsidRPr="002F6E24">
              <w:rPr>
                <w:rFonts w:ascii="Arial Narrow" w:hAnsi="Arial Narrow"/>
                <w:b/>
                <w:szCs w:val="24"/>
              </w:rPr>
              <w:t>Laboratory</w:t>
            </w:r>
          </w:p>
        </w:tc>
        <w:tc>
          <w:tcPr>
            <w:tcW w:w="303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All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analytes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 are available.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n/a</w:t>
            </w:r>
          </w:p>
        </w:tc>
        <w:tc>
          <w:tcPr>
            <w:tcW w:w="315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All QC completed by CLS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n/a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spacing w:after="200" w:line="276" w:lineRule="auto"/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The mean time to transport a specimen to CLS was 19.7 minutes (SD 14.1; 95% CI 17.0, 22.4)</w:t>
            </w:r>
          </w:p>
        </w:tc>
      </w:tr>
      <w:tr w:rsidR="00541E03" w:rsidRPr="002F6E24" w:rsidTr="008907A9">
        <w:tc>
          <w:tcPr>
            <w:tcW w:w="13050" w:type="dxa"/>
            <w:gridSpan w:val="6"/>
            <w:tcBorders>
              <w:top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 w:val="18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 w:val="18"/>
                <w:szCs w:val="24"/>
                <w:lang w:eastAsia="en-CA"/>
              </w:rPr>
              <w:t>Note: CLS= Calgary Lab Services; QC=Quality control.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 w:val="18"/>
                <w:szCs w:val="24"/>
                <w:lang w:eastAsia="en-CA"/>
              </w:rPr>
              <w:t>* As per standards set by Calgary Lab Services</w:t>
            </w:r>
          </w:p>
        </w:tc>
      </w:tr>
    </w:tbl>
    <w:p w:rsidR="00541E03" w:rsidRPr="002F6E24" w:rsidRDefault="00541E03" w:rsidP="00541E03"/>
    <w:p w:rsidR="00541E03" w:rsidRPr="002F6E24" w:rsidRDefault="00541E03" w:rsidP="00541E03"/>
    <w:tbl>
      <w:tblPr>
        <w:tblStyle w:val="TableGrid"/>
        <w:tblW w:w="12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3398"/>
        <w:gridCol w:w="3420"/>
        <w:gridCol w:w="2340"/>
        <w:gridCol w:w="2520"/>
      </w:tblGrid>
      <w:tr w:rsidR="00541E03" w:rsidRPr="002F6E24" w:rsidTr="008907A9">
        <w:tc>
          <w:tcPr>
            <w:tcW w:w="12870" w:type="dxa"/>
            <w:gridSpan w:val="5"/>
            <w:tcBorders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Supplementary Table 1 (continued):</w:t>
            </w: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Summary of characteristics of the Abbott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i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-STAT® and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Alere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®.</w:t>
            </w:r>
          </w:p>
        </w:tc>
      </w:tr>
      <w:tr w:rsidR="00541E03" w:rsidRPr="002F6E24" w:rsidTr="008907A9">
        <w:trPr>
          <w:trHeight w:val="495"/>
        </w:trPr>
        <w:tc>
          <w:tcPr>
            <w:tcW w:w="119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9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F6E24">
              <w:rPr>
                <w:rFonts w:ascii="Arial Narrow" w:hAnsi="Arial Narrow"/>
                <w:b/>
                <w:sz w:val="24"/>
                <w:szCs w:val="24"/>
              </w:rPr>
              <w:t>Time to results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Start-up equipment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Training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Competency maintenance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as per CLS standards</w:t>
            </w:r>
          </w:p>
        </w:tc>
      </w:tr>
      <w:tr w:rsidR="00541E03" w:rsidRPr="002F6E24" w:rsidTr="008907A9">
        <w:trPr>
          <w:trHeight w:val="2538"/>
        </w:trPr>
        <w:tc>
          <w:tcPr>
            <w:tcW w:w="119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 w:rsidRPr="002F6E24">
              <w:rPr>
                <w:rFonts w:ascii="Arial Narrow" w:hAnsi="Arial Narrow"/>
                <w:b/>
                <w:szCs w:val="24"/>
              </w:rPr>
              <w:t>epoc</w:t>
            </w:r>
            <w:proofErr w:type="spellEnd"/>
          </w:p>
        </w:tc>
        <w:tc>
          <w:tcPr>
            <w:tcW w:w="339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>Results available on-scene</w:t>
            </w:r>
          </w:p>
          <w:p w:rsidR="00541E03" w:rsidRPr="002F6E24" w:rsidRDefault="00541E03" w:rsidP="008907A9">
            <w:pPr>
              <w:rPr>
                <w:rFonts w:ascii="Arial Narrow" w:hAnsi="Arial Narrow"/>
                <w:szCs w:val="24"/>
              </w:rPr>
            </w:pPr>
            <w:r w:rsidRPr="002F6E24">
              <w:rPr>
                <w:rFonts w:ascii="Arial Narrow" w:hAnsi="Arial Narrow"/>
                <w:szCs w:val="24"/>
              </w:rPr>
              <w:t>30 seconds after introduction of sample into device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Device(s)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Test cards and solutions for validation (QC, calibration-verification, patient split samples)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Storage and transport packaging (fridge, thermal containers)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Does not include specimen collection equipment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ind w:right="-108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Two hours in classroom setting for device, plus evaluation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At least three yearly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 w:rsidRPr="002F6E24">
              <w:rPr>
                <w:rFonts w:ascii="Arial Narrow" w:hAnsi="Arial Narrow"/>
                <w:b/>
                <w:szCs w:val="24"/>
              </w:rPr>
              <w:t>i</w:t>
            </w:r>
            <w:proofErr w:type="spellEnd"/>
            <w:r w:rsidRPr="002F6E24">
              <w:rPr>
                <w:rFonts w:ascii="Arial Narrow" w:hAnsi="Arial Narrow"/>
                <w:b/>
                <w:szCs w:val="24"/>
              </w:rPr>
              <w:t>-STAT</w:t>
            </w:r>
          </w:p>
        </w:tc>
        <w:tc>
          <w:tcPr>
            <w:tcW w:w="339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Results available on-scene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120 second after introduction of test cartridge into device </w:t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Device(s), Test cards and solutions for validation (QC, calibration-verification, patient split samples)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Storage and transport packaging (fridge, thermal containers)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Electronic simulator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Does not include specimen collection equipment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spacing w:after="200" w:line="276" w:lineRule="auto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Two hours in classroom setting, plus evaluation</w:t>
            </w: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At least three yearly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r w:rsidRPr="002F6E24">
              <w:rPr>
                <w:rFonts w:ascii="Arial Narrow" w:hAnsi="Arial Narrow"/>
                <w:b/>
                <w:szCs w:val="24"/>
              </w:rPr>
              <w:t>Laboratory</w:t>
            </w:r>
          </w:p>
        </w:tc>
        <w:tc>
          <w:tcPr>
            <w:tcW w:w="339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The mean time between the mean of the two POCT device results being available, to the result being available from CLS was 129.7 minutes (SD 169.7; 95% CI 96.9, 162.6).</w:t>
            </w:r>
          </w:p>
        </w:tc>
        <w:tc>
          <w:tcPr>
            <w:tcW w:w="342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Specimen transport box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In accordance with Canadian Transportation of Dangerous Goods Act and Regulations (TDG)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Does not include specimen collection equipment</w:t>
            </w:r>
          </w:p>
        </w:tc>
        <w:tc>
          <w:tcPr>
            <w:tcW w:w="234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One hour in classroom to review Laboratory specimen collection / drop off procedure</w:t>
            </w:r>
          </w:p>
        </w:tc>
        <w:tc>
          <w:tcPr>
            <w:tcW w:w="252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n/a</w:t>
            </w:r>
          </w:p>
        </w:tc>
      </w:tr>
      <w:tr w:rsidR="00541E03" w:rsidRPr="002F6E24" w:rsidTr="008907A9">
        <w:tc>
          <w:tcPr>
            <w:tcW w:w="12870" w:type="dxa"/>
            <w:gridSpan w:val="5"/>
            <w:tcBorders>
              <w:top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 w:val="18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 w:val="18"/>
                <w:szCs w:val="24"/>
                <w:lang w:eastAsia="en-CA"/>
              </w:rPr>
              <w:t>Note: QC=Quality control.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 w:val="18"/>
                <w:szCs w:val="24"/>
                <w:lang w:eastAsia="en-CA"/>
              </w:rPr>
              <w:t>* As per standards set by Calgary Lab Services</w:t>
            </w:r>
          </w:p>
        </w:tc>
      </w:tr>
    </w:tbl>
    <w:p w:rsidR="00541E03" w:rsidRPr="002F6E24" w:rsidRDefault="00541E03" w:rsidP="00541E03"/>
    <w:p w:rsidR="00541E03" w:rsidRPr="002F6E24" w:rsidRDefault="00541E03" w:rsidP="00541E03">
      <w:r w:rsidRPr="002F6E24">
        <w:br w:type="page"/>
      </w:r>
    </w:p>
    <w:tbl>
      <w:tblPr>
        <w:tblStyle w:val="TableGrid"/>
        <w:tblW w:w="12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7718"/>
        <w:gridCol w:w="1620"/>
        <w:gridCol w:w="2070"/>
      </w:tblGrid>
      <w:tr w:rsidR="00541E03" w:rsidRPr="002F6E24" w:rsidTr="008907A9">
        <w:tc>
          <w:tcPr>
            <w:tcW w:w="12600" w:type="dxa"/>
            <w:gridSpan w:val="4"/>
            <w:tcBorders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lastRenderedPageBreak/>
              <w:t>Supplementary Table 1 (continued):</w:t>
            </w: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Summary of characteristics of the Abbott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i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-STAT® and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Alere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epoc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 w:val="24"/>
                <w:szCs w:val="24"/>
                <w:lang w:eastAsia="en-CA"/>
              </w:rPr>
              <w:t>®.</w:t>
            </w:r>
          </w:p>
        </w:tc>
      </w:tr>
      <w:tr w:rsidR="00541E03" w:rsidRPr="002F6E24" w:rsidTr="008907A9">
        <w:trPr>
          <w:trHeight w:val="495"/>
        </w:trPr>
        <w:tc>
          <w:tcPr>
            <w:tcW w:w="119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771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/>
                <w:bCs/>
                <w:iCs/>
                <w:color w:val="000000"/>
                <w:sz w:val="24"/>
                <w:szCs w:val="24"/>
                <w:lang w:eastAsia="en-CA"/>
              </w:rPr>
              <w:t>Results management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Blood sample quantity required for test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n-CA"/>
              </w:rPr>
              <w:t>Validity of results</w:t>
            </w:r>
          </w:p>
        </w:tc>
      </w:tr>
      <w:tr w:rsidR="00541E03" w:rsidRPr="002F6E24" w:rsidTr="008907A9">
        <w:trPr>
          <w:trHeight w:val="1485"/>
        </w:trPr>
        <w:tc>
          <w:tcPr>
            <w:tcW w:w="119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 w:rsidRPr="002F6E24">
              <w:rPr>
                <w:rFonts w:ascii="Arial Narrow" w:hAnsi="Arial Narrow"/>
                <w:b/>
                <w:szCs w:val="24"/>
              </w:rPr>
              <w:t>epoc</w:t>
            </w:r>
            <w:proofErr w:type="spellEnd"/>
          </w:p>
        </w:tc>
        <w:tc>
          <w:tcPr>
            <w:tcW w:w="771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Results not currently able to be uploaded onto provincial patient electronic healthcare record (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Netcare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)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Results manually entered into EMS patient care record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Results only viewable by CP or by physician if patient care record faxed to referring physician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Additional software can be purchased to have results downloaded into a central server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Small volume of blood required &lt;1 ml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ind w:right="-108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Valid results for all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analytes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assessed in this study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proofErr w:type="spellStart"/>
            <w:r w:rsidRPr="002F6E24">
              <w:rPr>
                <w:rFonts w:ascii="Arial Narrow" w:hAnsi="Arial Narrow"/>
                <w:b/>
                <w:szCs w:val="24"/>
              </w:rPr>
              <w:t>i</w:t>
            </w:r>
            <w:proofErr w:type="spellEnd"/>
            <w:r w:rsidRPr="002F6E24">
              <w:rPr>
                <w:rFonts w:ascii="Arial Narrow" w:hAnsi="Arial Narrow"/>
                <w:b/>
                <w:szCs w:val="24"/>
              </w:rPr>
              <w:t>-STAT</w:t>
            </w:r>
          </w:p>
        </w:tc>
        <w:tc>
          <w:tcPr>
            <w:tcW w:w="77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Results are able to be transmitted to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Netcare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, however requires data management and middleware and interface to LIS (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Meditech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,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Sunnytech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, etc.). This is an expense to the user. 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Results manually entered into EMS patient care record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Results only viewable by CP or by physician if patient care record faxed to referring physician</w:t>
            </w:r>
          </w:p>
          <w:p w:rsidR="00541E03" w:rsidRPr="002F6E24" w:rsidRDefault="00541E03" w:rsidP="008907A9">
            <w:pPr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Additional software can be purchased to have results downloaded into a central server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Small volume of blood required &lt;1 ml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1E03" w:rsidRPr="002F6E24" w:rsidRDefault="00541E03" w:rsidP="008907A9">
            <w:pPr>
              <w:spacing w:after="200" w:line="276" w:lineRule="auto"/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Valid results for all </w:t>
            </w:r>
            <w:proofErr w:type="spellStart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>analytes</w:t>
            </w:r>
            <w:proofErr w:type="spellEnd"/>
            <w:r w:rsidRPr="002F6E24">
              <w:rPr>
                <w:rFonts w:ascii="Arial Narrow" w:eastAsia="Times New Roman" w:hAnsi="Arial Narrow" w:cs="Calibri"/>
                <w:bCs/>
                <w:iCs/>
                <w:color w:val="000000"/>
                <w:szCs w:val="24"/>
                <w:lang w:eastAsia="en-CA"/>
              </w:rPr>
              <w:t xml:space="preserve"> assessed in this study</w:t>
            </w:r>
          </w:p>
        </w:tc>
      </w:tr>
      <w:tr w:rsidR="00541E03" w:rsidRPr="002F6E24" w:rsidTr="008907A9">
        <w:tc>
          <w:tcPr>
            <w:tcW w:w="1192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hAnsi="Arial Narrow"/>
                <w:b/>
                <w:szCs w:val="24"/>
              </w:rPr>
            </w:pPr>
            <w:r w:rsidRPr="002F6E24">
              <w:rPr>
                <w:rFonts w:ascii="Arial Narrow" w:hAnsi="Arial Narrow"/>
                <w:b/>
                <w:szCs w:val="24"/>
              </w:rPr>
              <w:t>Laboratory</w:t>
            </w:r>
          </w:p>
        </w:tc>
        <w:tc>
          <w:tcPr>
            <w:tcW w:w="771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Once verified, results posted to the CLS database (Cerner Millennium) and then posted to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Netcare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.</w:t>
            </w:r>
          </w:p>
          <w:p w:rsidR="00541E03" w:rsidRPr="002F6E24" w:rsidRDefault="00541E03" w:rsidP="008907A9">
            <w:pPr>
              <w:spacing w:after="200" w:line="276" w:lineRule="auto"/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 xml:space="preserve">Results viewable by any healthcare provider involved in patient’s care via </w:t>
            </w:r>
            <w:proofErr w:type="spellStart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Netcare</w:t>
            </w:r>
            <w:proofErr w:type="spellEnd"/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.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Varies, but generally minimum volumes required &lt;2 ml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  <w:r w:rsidRPr="002F6E24">
              <w:rPr>
                <w:rFonts w:ascii="Arial Narrow" w:eastAsia="Times New Roman" w:hAnsi="Arial Narrow" w:cs="Times New Roman"/>
                <w:szCs w:val="24"/>
                <w:lang w:eastAsia="en-CA"/>
              </w:rPr>
              <w:t>Gold standard</w:t>
            </w:r>
          </w:p>
        </w:tc>
      </w:tr>
      <w:tr w:rsidR="00541E03" w:rsidRPr="002F6E24" w:rsidTr="008907A9">
        <w:tc>
          <w:tcPr>
            <w:tcW w:w="12600" w:type="dxa"/>
            <w:gridSpan w:val="4"/>
            <w:tcBorders>
              <w:top w:val="single" w:sz="18" w:space="0" w:color="auto"/>
            </w:tcBorders>
            <w:vAlign w:val="center"/>
          </w:tcPr>
          <w:p w:rsidR="00541E03" w:rsidRPr="002F6E24" w:rsidRDefault="00541E03" w:rsidP="008907A9">
            <w:pPr>
              <w:rPr>
                <w:rFonts w:ascii="Arial Narrow" w:eastAsia="Times New Roman" w:hAnsi="Arial Narrow" w:cs="Times New Roman"/>
                <w:szCs w:val="24"/>
                <w:lang w:eastAsia="en-CA"/>
              </w:rPr>
            </w:pPr>
          </w:p>
        </w:tc>
      </w:tr>
    </w:tbl>
    <w:p w:rsidR="00541E03" w:rsidRPr="002F6E24" w:rsidRDefault="00541E03" w:rsidP="00541E03"/>
    <w:p w:rsidR="001B0088" w:rsidRPr="002F6E24" w:rsidRDefault="00541E03" w:rsidP="002F6E24">
      <w:pPr>
        <w:spacing w:line="480" w:lineRule="auto"/>
        <w:jc w:val="center"/>
      </w:pPr>
      <w:r w:rsidRPr="002F6E24">
        <w:br w:type="column"/>
      </w:r>
      <w:r w:rsidR="001B0088" w:rsidRPr="002F6E24">
        <w:lastRenderedPageBreak/>
        <w:t>S1 TOP</w:t>
      </w:r>
    </w:p>
    <w:p w:rsidR="00042DF8" w:rsidRDefault="00042DF8" w:rsidP="001B0088">
      <w:pPr>
        <w:spacing w:line="480" w:lineRule="auto"/>
        <w:jc w:val="center"/>
      </w:pPr>
      <w:r w:rsidRPr="002F6E24">
        <w:object w:dxaOrig="11704" w:dyaOrig="5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.25pt;height:283.6pt" o:ole="">
            <v:imagedata r:id="rId6" o:title=""/>
          </v:shape>
          <o:OLEObject Type="Embed" ProgID="Visio.Drawing.11" ShapeID="_x0000_i1025" DrawAspect="Content" ObjectID="_1616649784" r:id="rId7"/>
        </w:object>
      </w:r>
    </w:p>
    <w:p w:rsidR="002F6E24" w:rsidRPr="00F34539" w:rsidRDefault="002F6E24" w:rsidP="00F34539">
      <w:pPr>
        <w:spacing w:line="480" w:lineRule="auto"/>
      </w:pPr>
      <w:r w:rsidRPr="002F6E24">
        <w:rPr>
          <w:rFonts w:ascii="Arial Narrow" w:hAnsi="Arial Narrow"/>
          <w:b/>
          <w:sz w:val="24"/>
          <w:szCs w:val="24"/>
        </w:rPr>
        <w:t>Supplementary Figure 1:</w:t>
      </w:r>
      <w:r w:rsidRPr="002F6E24">
        <w:rPr>
          <w:rFonts w:ascii="Arial Narrow" w:hAnsi="Arial Narrow"/>
          <w:sz w:val="24"/>
          <w:szCs w:val="24"/>
        </w:rPr>
        <w:t xml:space="preserve"> Results for sodium from i-STAT and epoc compared to gold standard (‘Lab’ – Calgary Lab Services), and between i-STAT and epoc. All results reported in mmol/L. </w:t>
      </w:r>
    </w:p>
    <w:p w:rsidR="002F6E24" w:rsidRPr="002F6E24" w:rsidRDefault="002F6E24" w:rsidP="002F6E24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>Upper graphs illustrate the critical range defined as less than 120 and greater than 155 mmol/L (red lines), with the black line denoting perfect agreement. Areas of disagreement between device and reference method are shaded in red.</w:t>
      </w:r>
    </w:p>
    <w:p w:rsidR="002F6E24" w:rsidRPr="002F6E24" w:rsidRDefault="002F6E24" w:rsidP="002F6E24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 xml:space="preserve">Lower graphs illustrate the acceptable comparative range defined as less than -4 and greater than 4 mmol/L (red lines), with the black line denoting mean of the difference. </w:t>
      </w:r>
    </w:p>
    <w:p w:rsidR="001B0088" w:rsidRPr="002F6E24" w:rsidRDefault="001B0088" w:rsidP="002F6E24">
      <w:pPr>
        <w:spacing w:after="0" w:line="480" w:lineRule="auto"/>
        <w:jc w:val="center"/>
        <w:rPr>
          <w:rFonts w:ascii="Arial Narrow" w:hAnsi="Arial Narrow"/>
          <w:sz w:val="24"/>
          <w:szCs w:val="24"/>
        </w:rPr>
      </w:pPr>
      <w:r w:rsidRPr="002F6E24">
        <w:br w:type="column"/>
      </w:r>
      <w:r w:rsidRPr="002F6E24">
        <w:lastRenderedPageBreak/>
        <w:t>S2 TOP</w:t>
      </w:r>
    </w:p>
    <w:p w:rsidR="00042DF8" w:rsidRDefault="002F6E24" w:rsidP="002F6E24">
      <w:pPr>
        <w:spacing w:line="480" w:lineRule="auto"/>
        <w:jc w:val="center"/>
      </w:pPr>
      <w:r w:rsidRPr="002F6E24">
        <w:object w:dxaOrig="11748" w:dyaOrig="5772">
          <v:shape id="_x0000_i1026" type="#_x0000_t75" style="width:578.2pt;height:283.6pt" o:ole="">
            <v:imagedata r:id="rId8" o:title=""/>
          </v:shape>
          <o:OLEObject Type="Embed" ProgID="Visio.Drawing.11" ShapeID="_x0000_i1026" DrawAspect="Content" ObjectID="_1616649785" r:id="rId9"/>
        </w:object>
      </w:r>
    </w:p>
    <w:p w:rsidR="001B0088" w:rsidRPr="00F34539" w:rsidRDefault="001B0088" w:rsidP="00F34539">
      <w:pPr>
        <w:spacing w:line="480" w:lineRule="auto"/>
        <w:rPr>
          <w:b/>
        </w:rPr>
      </w:pPr>
      <w:r w:rsidRPr="002F6E24">
        <w:rPr>
          <w:rFonts w:ascii="Arial Narrow" w:hAnsi="Arial Narrow"/>
          <w:b/>
          <w:sz w:val="24"/>
          <w:szCs w:val="24"/>
        </w:rPr>
        <w:t>Supplementary Figure 2:</w:t>
      </w:r>
      <w:r w:rsidRPr="002F6E24">
        <w:rPr>
          <w:rFonts w:ascii="Arial Narrow" w:hAnsi="Arial Narrow"/>
          <w:sz w:val="24"/>
          <w:szCs w:val="24"/>
        </w:rPr>
        <w:t xml:space="preserve"> Results for potassium from i-STAT and epoc compared to gold standard (‘Lab’ – Calgary Lab Services), and between i-STAT and epoc. All results reported in mmol/L.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>Upper graphs illustrate the critical range defined as less than 2.5 and greater than 6 mmol/L (red lines), with the black line denoting perfect agreement. Areas of disagreement between device and reference method are shaded in red.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 xml:space="preserve">Lower graphs illustrate acceptable comparative range defined as less than -0.3 and greater than 0.3 mmol/L (red lines), with the black line denoting mean of the difference. </w:t>
      </w:r>
    </w:p>
    <w:p w:rsidR="001B0088" w:rsidRPr="002F6E24" w:rsidRDefault="001B0088" w:rsidP="002F6E24">
      <w:pPr>
        <w:spacing w:line="480" w:lineRule="auto"/>
        <w:jc w:val="center"/>
      </w:pPr>
      <w:r w:rsidRPr="002F6E24">
        <w:br w:type="column"/>
      </w:r>
      <w:r w:rsidRPr="002F6E24">
        <w:lastRenderedPageBreak/>
        <w:t>S3 TOP</w:t>
      </w:r>
    </w:p>
    <w:p w:rsidR="00042DF8" w:rsidRDefault="002F6E24" w:rsidP="002F6E24">
      <w:pPr>
        <w:spacing w:line="480" w:lineRule="auto"/>
      </w:pPr>
      <w:r w:rsidRPr="002F6E24">
        <w:object w:dxaOrig="11755" w:dyaOrig="5777">
          <v:shape id="_x0000_i1027" type="#_x0000_t75" style="width:573.8pt;height:283.6pt" o:ole="">
            <v:imagedata r:id="rId10" o:title=""/>
          </v:shape>
          <o:OLEObject Type="Embed" ProgID="Visio.Drawing.11" ShapeID="_x0000_i1027" DrawAspect="Content" ObjectID="_1616649786" r:id="rId11"/>
        </w:object>
      </w:r>
    </w:p>
    <w:p w:rsidR="001B0088" w:rsidRPr="00F34539" w:rsidRDefault="001B0088" w:rsidP="002F6E24">
      <w:pPr>
        <w:spacing w:line="480" w:lineRule="auto"/>
        <w:rPr>
          <w:rFonts w:ascii="Arial Narrow" w:hAnsi="Arial Narrow"/>
          <w:b/>
          <w:sz w:val="24"/>
          <w:szCs w:val="24"/>
        </w:rPr>
      </w:pPr>
      <w:r w:rsidRPr="002F6E24">
        <w:rPr>
          <w:rFonts w:ascii="Arial Narrow" w:hAnsi="Arial Narrow"/>
          <w:b/>
          <w:sz w:val="24"/>
          <w:szCs w:val="24"/>
        </w:rPr>
        <w:t>Supplementary Figure 3:</w:t>
      </w:r>
      <w:r w:rsidRPr="002F6E24">
        <w:rPr>
          <w:rFonts w:ascii="Arial Narrow" w:hAnsi="Arial Narrow"/>
          <w:sz w:val="24"/>
          <w:szCs w:val="24"/>
        </w:rPr>
        <w:t xml:space="preserve"> Results for chloride from i-STAT and epoc compared to gold standard (‘Lab’ – Calgary Lab Services), and between i-STAT and epoc. All results reported in mmol/L.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>Upper graphs – there is no defined critical range; the black line denotes perfect agreement.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 xml:space="preserve">Lower graphs illustrate acceptable comparative range defined as less than -5% and greater than 5% of reference method (red lines), with the black line denoting mean of the difference. </w:t>
      </w:r>
    </w:p>
    <w:p w:rsidR="001B0088" w:rsidRPr="002F6E24" w:rsidRDefault="001B0088" w:rsidP="001B0088">
      <w:pPr>
        <w:spacing w:line="480" w:lineRule="auto"/>
        <w:jc w:val="center"/>
        <w:rPr>
          <w:lang w:val="en-US"/>
        </w:rPr>
      </w:pPr>
      <w:r w:rsidRPr="002F6E24">
        <w:rPr>
          <w:lang w:val="en-US"/>
        </w:rPr>
        <w:br w:type="column"/>
      </w:r>
      <w:r w:rsidRPr="002F6E24">
        <w:rPr>
          <w:lang w:val="en-US"/>
        </w:rPr>
        <w:lastRenderedPageBreak/>
        <w:t>S4 TOP</w:t>
      </w:r>
    </w:p>
    <w:p w:rsidR="00042DF8" w:rsidRDefault="002F6E24" w:rsidP="002F6E24">
      <w:pPr>
        <w:spacing w:line="480" w:lineRule="auto"/>
        <w:jc w:val="center"/>
      </w:pPr>
      <w:r w:rsidRPr="002F6E24">
        <w:object w:dxaOrig="11820" w:dyaOrig="5789">
          <v:shape id="_x0000_i1028" type="#_x0000_t75" style="width:581.5pt;height:283.6pt" o:ole="">
            <v:imagedata r:id="rId12" o:title=""/>
          </v:shape>
          <o:OLEObject Type="Embed" ProgID="Visio.Drawing.11" ShapeID="_x0000_i1028" DrawAspect="Content" ObjectID="_1616649787" r:id="rId13"/>
        </w:object>
      </w:r>
    </w:p>
    <w:p w:rsidR="001B0088" w:rsidRPr="00F34539" w:rsidRDefault="001B0088" w:rsidP="00F34539">
      <w:pPr>
        <w:spacing w:line="480" w:lineRule="auto"/>
        <w:rPr>
          <w:b/>
        </w:rPr>
      </w:pPr>
      <w:r w:rsidRPr="002F6E24">
        <w:rPr>
          <w:rFonts w:ascii="Arial Narrow" w:hAnsi="Arial Narrow"/>
          <w:b/>
          <w:sz w:val="24"/>
          <w:szCs w:val="24"/>
        </w:rPr>
        <w:t>Supplementary Figure 4:</w:t>
      </w:r>
      <w:r w:rsidRPr="002F6E24">
        <w:rPr>
          <w:rFonts w:ascii="Arial Narrow" w:hAnsi="Arial Narrow"/>
          <w:sz w:val="24"/>
          <w:szCs w:val="24"/>
        </w:rPr>
        <w:t xml:space="preserve"> Results for creatinine from i-STAT and epoc compared to gold standard (‘Lab’ – Calgary Lab Services), and between i-STAT and epoc. All results reported in </w:t>
      </w:r>
      <w:r w:rsidRPr="002F6E24">
        <w:rPr>
          <w:rFonts w:ascii="Arial Narrow" w:hAnsi="Arial Narrow" w:cstheme="minorHAnsi"/>
          <w:sz w:val="24"/>
          <w:szCs w:val="24"/>
        </w:rPr>
        <w:t>u</w:t>
      </w:r>
      <w:r w:rsidRPr="002F6E24">
        <w:rPr>
          <w:rFonts w:ascii="Arial Narrow" w:hAnsi="Arial Narrow"/>
          <w:sz w:val="24"/>
          <w:szCs w:val="24"/>
        </w:rPr>
        <w:t>mol/L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>Upper graphs – there is no defined critical range; the black line denotes perfect agreement.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 xml:space="preserve">Lower graphs illustrate the acceptable comparative range defined as less than -30 and greater than 30 umol/L of reference method (red lines), with the black line denoting mean of the difference. </w:t>
      </w:r>
    </w:p>
    <w:p w:rsidR="001B0088" w:rsidRPr="002F6E24" w:rsidRDefault="001B0088" w:rsidP="001B0088">
      <w:pPr>
        <w:spacing w:line="480" w:lineRule="auto"/>
        <w:jc w:val="center"/>
        <w:rPr>
          <w:lang w:val="en-US"/>
        </w:rPr>
      </w:pPr>
      <w:r w:rsidRPr="002F6E24">
        <w:rPr>
          <w:lang w:val="en-US"/>
        </w:rPr>
        <w:br w:type="column"/>
      </w:r>
      <w:r w:rsidRPr="002F6E24">
        <w:rPr>
          <w:lang w:val="en-US"/>
        </w:rPr>
        <w:lastRenderedPageBreak/>
        <w:t>S5 TOP</w:t>
      </w:r>
    </w:p>
    <w:p w:rsidR="00042DF8" w:rsidRDefault="002F6E24" w:rsidP="002F6E24">
      <w:pPr>
        <w:spacing w:line="480" w:lineRule="auto"/>
        <w:jc w:val="center"/>
      </w:pPr>
      <w:r w:rsidRPr="002F6E24">
        <w:object w:dxaOrig="11981" w:dyaOrig="5858">
          <v:shape id="_x0000_i1029" type="#_x0000_t75" style="width:576.55pt;height:283.6pt" o:ole="">
            <v:imagedata r:id="rId14" o:title=""/>
          </v:shape>
          <o:OLEObject Type="Embed" ProgID="Visio.Drawing.11" ShapeID="_x0000_i1029" DrawAspect="Content" ObjectID="_1616649788" r:id="rId15"/>
        </w:object>
      </w:r>
    </w:p>
    <w:p w:rsidR="001B0088" w:rsidRPr="00F34539" w:rsidRDefault="001B0088" w:rsidP="00F34539">
      <w:pPr>
        <w:spacing w:line="480" w:lineRule="auto"/>
      </w:pPr>
      <w:r w:rsidRPr="002F6E24">
        <w:rPr>
          <w:rFonts w:ascii="Arial Narrow" w:hAnsi="Arial Narrow"/>
          <w:b/>
          <w:sz w:val="24"/>
          <w:szCs w:val="24"/>
        </w:rPr>
        <w:t>Supplementary Figure 5:</w:t>
      </w:r>
      <w:r w:rsidRPr="002F6E24">
        <w:rPr>
          <w:rFonts w:ascii="Arial Narrow" w:hAnsi="Arial Narrow"/>
          <w:sz w:val="24"/>
          <w:szCs w:val="24"/>
        </w:rPr>
        <w:t xml:space="preserve"> Results for hematocrit from i-STAT and epoc compared to gold standard (‘Lab’ – Calgary Lab Services), and between i-STAT and epoc. All results reported in </w:t>
      </w:r>
      <w:r w:rsidRPr="002F6E24">
        <w:rPr>
          <w:rFonts w:ascii="Arial Narrow" w:hAnsi="Arial Narrow" w:cstheme="minorHAnsi"/>
          <w:sz w:val="24"/>
          <w:szCs w:val="24"/>
        </w:rPr>
        <w:t>%.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>Upper graphs – there is no defined critical range; the black line denotes perfect agreement.</w:t>
      </w:r>
    </w:p>
    <w:p w:rsidR="001B0088" w:rsidRPr="002F6E24" w:rsidRDefault="001B0088" w:rsidP="001B0088">
      <w:pPr>
        <w:spacing w:after="0" w:line="480" w:lineRule="auto"/>
        <w:rPr>
          <w:rFonts w:ascii="Arial Narrow" w:hAnsi="Arial Narrow"/>
          <w:sz w:val="18"/>
        </w:rPr>
      </w:pPr>
      <w:r w:rsidRPr="002F6E24">
        <w:rPr>
          <w:rFonts w:ascii="Arial Narrow" w:hAnsi="Arial Narrow"/>
          <w:sz w:val="18"/>
        </w:rPr>
        <w:t xml:space="preserve">Lower graphs illustrate the acceptable comparative range defined as less than -6.0% and greater than 6.0% of reference method (red lines), with the black line denoting mean of the difference. </w:t>
      </w:r>
    </w:p>
    <w:p w:rsidR="001B0088" w:rsidRPr="002F6E24" w:rsidRDefault="001B0088" w:rsidP="001B0088">
      <w:pPr>
        <w:spacing w:after="0" w:line="480" w:lineRule="auto"/>
        <w:jc w:val="center"/>
        <w:rPr>
          <w:lang w:val="en-US"/>
        </w:rPr>
      </w:pPr>
      <w:r w:rsidRPr="002F6E24">
        <w:rPr>
          <w:lang w:val="en-US"/>
        </w:rPr>
        <w:br w:type="column"/>
      </w:r>
      <w:r w:rsidRPr="002F6E24">
        <w:rPr>
          <w:lang w:val="en-US"/>
        </w:rPr>
        <w:lastRenderedPageBreak/>
        <w:t>S6 TOP</w:t>
      </w:r>
    </w:p>
    <w:p w:rsidR="00042DF8" w:rsidRDefault="002F6E24" w:rsidP="002F6E24">
      <w:pPr>
        <w:spacing w:after="0" w:line="480" w:lineRule="auto"/>
        <w:jc w:val="center"/>
      </w:pPr>
      <w:r w:rsidRPr="002F6E24">
        <w:object w:dxaOrig="11745" w:dyaOrig="5745">
          <v:shape id="_x0000_i1030" type="#_x0000_t75" style="width:580.95pt;height:283.6pt" o:ole="">
            <v:imagedata r:id="rId16" o:title=""/>
          </v:shape>
          <o:OLEObject Type="Embed" ProgID="Visio.Drawing.11" ShapeID="_x0000_i1030" DrawAspect="Content" ObjectID="_1616649789" r:id="rId17"/>
        </w:object>
      </w:r>
    </w:p>
    <w:p w:rsidR="001B0088" w:rsidRPr="00F34539" w:rsidRDefault="001B0088" w:rsidP="00F34539">
      <w:pPr>
        <w:spacing w:after="0" w:line="480" w:lineRule="auto"/>
      </w:pPr>
      <w:r w:rsidRPr="002F6E24">
        <w:rPr>
          <w:rFonts w:ascii="Arial Narrow" w:hAnsi="Arial Narrow"/>
          <w:b/>
          <w:sz w:val="24"/>
          <w:szCs w:val="24"/>
        </w:rPr>
        <w:t>Supplementary Figure 6:</w:t>
      </w:r>
      <w:r w:rsidRPr="002F6E24">
        <w:rPr>
          <w:rFonts w:ascii="Arial Narrow" w:hAnsi="Arial Narrow"/>
          <w:sz w:val="24"/>
          <w:szCs w:val="24"/>
        </w:rPr>
        <w:t xml:space="preserve"> Results for hemoglobin from i-STAT and epoc compared to gold standard (‘Lab’ – Calgary Lab Services), and between i-STAT and epoc. All results reported in g/L.</w:t>
      </w:r>
    </w:p>
    <w:p w:rsidR="001B0088" w:rsidRPr="00F34539" w:rsidRDefault="001B0088" w:rsidP="001B0088">
      <w:pPr>
        <w:spacing w:after="0" w:line="480" w:lineRule="auto"/>
        <w:rPr>
          <w:rFonts w:ascii="Arial Narrow" w:hAnsi="Arial Narrow"/>
          <w:sz w:val="18"/>
          <w:szCs w:val="24"/>
        </w:rPr>
      </w:pPr>
      <w:r w:rsidRPr="00F34539">
        <w:rPr>
          <w:rFonts w:ascii="Arial Narrow" w:hAnsi="Arial Narrow"/>
          <w:sz w:val="18"/>
          <w:szCs w:val="24"/>
        </w:rPr>
        <w:t>Upper graphs illustrate the critical range defined as less than 70 g/L (red lines), with the black line denoting perfect agreement. Areas of disagreement between device and reference method are shaded in red.</w:t>
      </w:r>
    </w:p>
    <w:p w:rsidR="001B0088" w:rsidRPr="00F34539" w:rsidRDefault="001B0088" w:rsidP="001B0088">
      <w:pPr>
        <w:spacing w:after="0" w:line="480" w:lineRule="auto"/>
        <w:rPr>
          <w:rFonts w:ascii="Arial Narrow" w:hAnsi="Arial Narrow"/>
          <w:sz w:val="18"/>
          <w:szCs w:val="24"/>
        </w:rPr>
      </w:pPr>
      <w:r w:rsidRPr="00F34539">
        <w:rPr>
          <w:rFonts w:ascii="Arial Narrow" w:hAnsi="Arial Narrow"/>
          <w:sz w:val="18"/>
          <w:szCs w:val="24"/>
        </w:rPr>
        <w:t>Lower graphs – there is no acceptable comparative range for this analyte as it is a calculation based on hematocrit; the black line denotes mean of the difference.</w:t>
      </w:r>
    </w:p>
    <w:p w:rsidR="002F6E24" w:rsidRDefault="001B0088" w:rsidP="002F6E24">
      <w:pPr>
        <w:spacing w:line="480" w:lineRule="auto"/>
        <w:jc w:val="center"/>
        <w:rPr>
          <w:lang w:val="en-US"/>
        </w:rPr>
      </w:pPr>
      <w:r w:rsidRPr="002F6E24">
        <w:rPr>
          <w:lang w:val="en-US"/>
        </w:rPr>
        <w:br w:type="column"/>
      </w:r>
      <w:r w:rsidR="002F6E24">
        <w:rPr>
          <w:lang w:val="en-US"/>
        </w:rPr>
        <w:lastRenderedPageBreak/>
        <w:t>S7 TOP</w:t>
      </w:r>
    </w:p>
    <w:p w:rsidR="00F34539" w:rsidRDefault="002F6E24" w:rsidP="00F34539">
      <w:pPr>
        <w:spacing w:line="480" w:lineRule="auto"/>
        <w:jc w:val="center"/>
        <w:rPr>
          <w:lang w:val="en-US"/>
        </w:rPr>
      </w:pPr>
      <w:r w:rsidRPr="002F6E24">
        <w:t xml:space="preserve"> </w:t>
      </w:r>
      <w:r w:rsidRPr="002F6E24">
        <w:object w:dxaOrig="11950" w:dyaOrig="8735">
          <v:shape id="_x0000_i1031" type="#_x0000_t75" style="width:534.25pt;height:391.35pt" o:ole="">
            <v:imagedata r:id="rId18" o:title=""/>
          </v:shape>
          <o:OLEObject Type="Embed" ProgID="Visio.Drawing.11" ShapeID="_x0000_i1031" DrawAspect="Content" ObjectID="_1616649790" r:id="rId19"/>
        </w:object>
      </w:r>
    </w:p>
    <w:p w:rsidR="001B0088" w:rsidRPr="00F34539" w:rsidRDefault="001B0088" w:rsidP="00F34539">
      <w:pPr>
        <w:spacing w:line="480" w:lineRule="auto"/>
        <w:rPr>
          <w:lang w:val="en-US"/>
        </w:rPr>
      </w:pPr>
      <w:r w:rsidRPr="002F6E24">
        <w:rPr>
          <w:rFonts w:ascii="Arial Narrow" w:hAnsi="Arial Narrow"/>
          <w:b/>
          <w:sz w:val="24"/>
          <w:szCs w:val="24"/>
        </w:rPr>
        <w:lastRenderedPageBreak/>
        <w:t xml:space="preserve">Supplementary </w:t>
      </w:r>
      <w:bookmarkStart w:id="0" w:name="_GoBack"/>
      <w:r w:rsidRPr="002F6E24">
        <w:rPr>
          <w:rFonts w:ascii="Arial Narrow" w:hAnsi="Arial Narrow"/>
          <w:b/>
          <w:sz w:val="24"/>
          <w:szCs w:val="24"/>
        </w:rPr>
        <w:t>Figure 7:</w:t>
      </w:r>
      <w:r w:rsidRPr="002F6E24">
        <w:rPr>
          <w:rFonts w:ascii="Arial Narrow" w:hAnsi="Arial Narrow"/>
          <w:sz w:val="24"/>
          <w:szCs w:val="24"/>
        </w:rPr>
        <w:t xml:space="preserve"> Results for glucose from i-STAT and epoc compared to gold standard (‘Lab’ – Calgary Lab Services), and between i-STAT and epoc. All results reported in mmol/L. </w:t>
      </w:r>
      <w:bookmarkEnd w:id="0"/>
    </w:p>
    <w:p w:rsidR="001B0088" w:rsidRPr="00F34539" w:rsidRDefault="001B0088" w:rsidP="001B0088">
      <w:pPr>
        <w:spacing w:after="0" w:line="480" w:lineRule="auto"/>
        <w:rPr>
          <w:rFonts w:ascii="Arial Narrow" w:hAnsi="Arial Narrow"/>
          <w:sz w:val="18"/>
          <w:szCs w:val="24"/>
        </w:rPr>
      </w:pPr>
      <w:r w:rsidRPr="00F34539">
        <w:rPr>
          <w:rFonts w:ascii="Arial Narrow" w:hAnsi="Arial Narrow"/>
          <w:sz w:val="18"/>
          <w:szCs w:val="24"/>
        </w:rPr>
        <w:t>Upper graphs illustrate the critical range defined as less than 2.6 and greater than 24.9 mmol/L (red lines), with the black line denoting perfect agreement. Areas of disagreement between device and reference method are shaded in red.</w:t>
      </w:r>
    </w:p>
    <w:p w:rsidR="001B0088" w:rsidRPr="00F34539" w:rsidRDefault="001B0088" w:rsidP="001B0088">
      <w:pPr>
        <w:spacing w:after="0" w:line="480" w:lineRule="auto"/>
        <w:rPr>
          <w:rFonts w:ascii="Arial Narrow" w:hAnsi="Arial Narrow"/>
          <w:sz w:val="18"/>
          <w:szCs w:val="24"/>
        </w:rPr>
      </w:pPr>
      <w:r w:rsidRPr="00F34539">
        <w:rPr>
          <w:rFonts w:ascii="Arial Narrow" w:hAnsi="Arial Narrow"/>
          <w:sz w:val="18"/>
          <w:szCs w:val="24"/>
        </w:rPr>
        <w:t xml:space="preserve">Middle graphs illustrate acceptable comparative range for observations under 5 mmol/L. The acceptable comparative range is defined as less than -0.3 and greater than 0.3 mmol/L (red lines), with the black line denoting mean of the difference. </w:t>
      </w:r>
    </w:p>
    <w:p w:rsidR="00F4179E" w:rsidRPr="000801AE" w:rsidRDefault="001B0088" w:rsidP="000801AE">
      <w:pPr>
        <w:spacing w:after="0" w:line="480" w:lineRule="auto"/>
        <w:rPr>
          <w:rFonts w:ascii="Arial Narrow" w:hAnsi="Arial Narrow"/>
          <w:sz w:val="18"/>
          <w:szCs w:val="24"/>
        </w:rPr>
      </w:pPr>
      <w:r w:rsidRPr="00F34539">
        <w:rPr>
          <w:rFonts w:ascii="Arial Narrow" w:hAnsi="Arial Narrow"/>
          <w:sz w:val="18"/>
          <w:szCs w:val="24"/>
        </w:rPr>
        <w:t xml:space="preserve">Lower graphs illustrate the acceptable comparative range for observations greater than 5 mmol/L. The acceptable comparative range is defined as less than -10% and greater than 10% (red lines), with the black line denoting mean of the difference. </w:t>
      </w:r>
    </w:p>
    <w:sectPr w:rsidR="00F4179E" w:rsidRPr="000801AE" w:rsidSect="00E87C2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F550A"/>
    <w:multiLevelType w:val="hybridMultilevel"/>
    <w:tmpl w:val="67547068"/>
    <w:lvl w:ilvl="0" w:tplc="B7921436">
      <w:numFmt w:val="bullet"/>
      <w:lvlText w:val="•"/>
      <w:lvlJc w:val="left"/>
      <w:pPr>
        <w:ind w:left="969" w:hanging="465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>
    <w:nsid w:val="6BD33CFB"/>
    <w:multiLevelType w:val="hybridMultilevel"/>
    <w:tmpl w:val="43823F4C"/>
    <w:lvl w:ilvl="0" w:tplc="B7921436">
      <w:numFmt w:val="bullet"/>
      <w:lvlText w:val="•"/>
      <w:lvlJc w:val="left"/>
      <w:pPr>
        <w:ind w:left="969" w:hanging="465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41E03"/>
    <w:rsid w:val="00042DF8"/>
    <w:rsid w:val="000801AE"/>
    <w:rsid w:val="000D6223"/>
    <w:rsid w:val="000E2581"/>
    <w:rsid w:val="001B0088"/>
    <w:rsid w:val="002F6E24"/>
    <w:rsid w:val="00541E03"/>
    <w:rsid w:val="00614067"/>
    <w:rsid w:val="006A415A"/>
    <w:rsid w:val="00791205"/>
    <w:rsid w:val="00935AF5"/>
    <w:rsid w:val="00D30A46"/>
    <w:rsid w:val="00E65B8B"/>
    <w:rsid w:val="00E73B56"/>
    <w:rsid w:val="00EF732C"/>
    <w:rsid w:val="00F34539"/>
    <w:rsid w:val="00FD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E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E03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541E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B0088"/>
    <w:pPr>
      <w:keepNext/>
      <w:spacing w:after="0"/>
    </w:pPr>
    <w:rPr>
      <w:rFonts w:ascii="Times New Roman" w:hAnsi="Times New Roman" w:cs="Times New Roman"/>
      <w:bCs/>
      <w:color w:val="000000" w:themeColor="tex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E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E03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541E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B0088"/>
    <w:pPr>
      <w:keepNext/>
      <w:spacing w:after="0"/>
    </w:pPr>
    <w:rPr>
      <w:rFonts w:ascii="Times New Roman" w:hAnsi="Times New Roman" w:cs="Times New Roman"/>
      <w:bCs/>
      <w:color w:val="000000" w:themeColor="tex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Visio_2003-2010_Drawing44.vsd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Microsoft_Visio_2003-2010_Drawing11.vsd"/><Relationship Id="rId12" Type="http://schemas.openxmlformats.org/officeDocument/2006/relationships/image" Target="media/image4.emf"/><Relationship Id="rId17" Type="http://schemas.openxmlformats.org/officeDocument/2006/relationships/oleObject" Target="embeddings/Microsoft_Visio_2003-2010_Drawing66.vsd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Microsoft_Visio_2003-2010_Drawing33.vsd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55.vsd"/><Relationship Id="rId10" Type="http://schemas.openxmlformats.org/officeDocument/2006/relationships/image" Target="media/image3.emf"/><Relationship Id="rId19" Type="http://schemas.openxmlformats.org/officeDocument/2006/relationships/oleObject" Target="embeddings/Microsoft_Visio_2003-2010_Drawing77.vsd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22.vsd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1710</Words>
  <Characters>9428</Characters>
  <Application>Microsoft Office Word</Application>
  <DocSecurity>0</DocSecurity>
  <Lines>409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Andrew Simms</dc:creator>
  <cp:keywords/>
  <dc:description/>
  <cp:lastModifiedBy>MCALORING</cp:lastModifiedBy>
  <cp:revision>3</cp:revision>
  <dcterms:created xsi:type="dcterms:W3CDTF">2019-02-22T23:36:00Z</dcterms:created>
  <dcterms:modified xsi:type="dcterms:W3CDTF">2019-04-13T00:36:00Z</dcterms:modified>
</cp:coreProperties>
</file>