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正文1"/>
        <w:spacing w:line="480" w:lineRule="auto"/>
        <w:rPr>
          <w:b w:val="1"/>
          <w:bCs w:val="1"/>
          <w:color w:val="000000"/>
          <w:u w:color="000000"/>
        </w:rPr>
      </w:pPr>
      <w:r>
        <w:rPr>
          <w:rFonts w:ascii="Times New Roman" w:hAnsi="Times New Roman"/>
          <w:b w:val="1"/>
          <w:bCs w:val="1"/>
          <w:color w:val="000000"/>
          <w:sz w:val="24"/>
          <w:szCs w:val="24"/>
          <w:u w:color="000000"/>
          <w:rtl w:val="0"/>
          <w:lang w:val="en-US"/>
        </w:rPr>
        <w:t>Supplementary data</w:t>
      </w:r>
    </w:p>
    <w:p>
      <w:pPr>
        <w:pStyle w:val="正文1"/>
        <w:spacing w:line="480" w:lineRule="auto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en-US"/>
        </w:rPr>
        <w:t>Table 1. Microorganisms isolated from the patients in the study cohort</w:t>
      </w:r>
    </w:p>
    <w:tbl>
      <w:tblPr>
        <w:tblW w:w="9059" w:type="dxa"/>
        <w:jc w:val="left"/>
        <w:tblInd w:w="40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936"/>
        <w:gridCol w:w="2017"/>
        <w:gridCol w:w="2125"/>
        <w:gridCol w:w="1981"/>
      </w:tblGrid>
      <w:tr>
        <w:tblPrEx>
          <w:shd w:val="clear" w:color="auto" w:fill="5b9bd5"/>
        </w:tblPrEx>
        <w:trPr>
          <w:trHeight w:val="506" w:hRule="atLeast"/>
          <w:tblHeader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 A"/>
              <w:spacing w:line="360" w:lineRule="auto"/>
              <w:jc w:val="center"/>
              <w:rPr>
                <w:rFonts w:ascii="Times New Roman" w:cs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rtl w:val="0"/>
                <w:lang w:val="en-US"/>
              </w:rPr>
              <w:t>S</w:t>
            </w:r>
            <w:r>
              <w:rPr>
                <w:rFonts w:ascii="Times New Roman" w:hAnsi="Times New Roman"/>
                <w:sz w:val="18"/>
                <w:szCs w:val="18"/>
                <w:rtl w:val="0"/>
                <w:lang w:val="fr-FR"/>
              </w:rPr>
              <w:t>urvival</w:t>
            </w:r>
          </w:p>
          <w:p>
            <w:pPr>
              <w:pStyle w:val="表格样式 1 A"/>
              <w:spacing w:line="36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  <w:rtl w:val="0"/>
                <w:lang w:val="en-US"/>
              </w:rPr>
              <w:t>n=323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36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28-d mortality  </w:t>
            </w:r>
          </w:p>
          <w:p>
            <w:pPr>
              <w:pStyle w:val="正文1"/>
              <w:spacing w:line="36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8"/>
                <w:szCs w:val="18"/>
                <w:rtl w:val="0"/>
              </w:rPr>
              <w:t>n = 62</w:t>
            </w:r>
          </w:p>
        </w:tc>
        <w:tc>
          <w:tcPr>
            <w:tcW w:type="dxa" w:w="1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36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18"/>
                <w:szCs w:val="18"/>
              </w:rPr>
            </w:pPr>
            <w:r>
              <w:rPr>
                <w:rFonts w:ascii="Times New Roman" w:hAnsi="Times New Roman"/>
                <w:b w:val="1"/>
                <w:bCs w:val="1"/>
                <w:sz w:val="18"/>
                <w:szCs w:val="18"/>
                <w:rtl w:val="0"/>
                <w:lang w:val="en-US"/>
              </w:rPr>
              <w:t>7-d mortality</w:t>
            </w:r>
          </w:p>
          <w:p>
            <w:pPr>
              <w:pStyle w:val="正文1"/>
              <w:spacing w:line="36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8"/>
                <w:szCs w:val="18"/>
                <w:rtl w:val="0"/>
                <w:lang w:val="en-US"/>
              </w:rPr>
              <w:t>n = 43</w:t>
            </w:r>
          </w:p>
        </w:tc>
      </w:tr>
      <w:tr>
        <w:tblPrEx>
          <w:shd w:val="clear" w:color="auto" w:fill="d0ddef"/>
        </w:tblPrEx>
        <w:trPr>
          <w:trHeight w:val="309" w:hRule="atLeast"/>
        </w:trPr>
        <w:tc>
          <w:tcPr>
            <w:tcW w:type="dxa" w:w="293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 A"/>
              <w:spacing w:line="360" w:lineRule="auto"/>
            </w:pPr>
            <w:r>
              <w:rPr>
                <w:rFonts w:ascii="Times New Roman" w:hAnsi="Times New Roman"/>
                <w:sz w:val="18"/>
                <w:szCs w:val="18"/>
                <w:rtl w:val="0"/>
                <w:lang w:val="en-US"/>
              </w:rPr>
              <w:t>Gram-Negative isolates (n, %)</w:t>
            </w:r>
          </w:p>
        </w:tc>
        <w:tc>
          <w:tcPr>
            <w:tcW w:type="dxa" w:w="20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b w:val="1"/>
                <w:bCs w:val="1"/>
                <w:sz w:val="18"/>
                <w:szCs w:val="18"/>
                <w:rtl w:val="0"/>
                <w:lang w:val="en-US"/>
              </w:rPr>
              <w:t>216 (66.9%)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b w:val="1"/>
                <w:bCs w:val="1"/>
                <w:sz w:val="18"/>
                <w:szCs w:val="18"/>
                <w:rtl w:val="0"/>
                <w:lang w:val="en-US"/>
              </w:rPr>
              <w:t>39 (62.9%)</w:t>
            </w:r>
          </w:p>
        </w:tc>
        <w:tc>
          <w:tcPr>
            <w:tcW w:type="dxa" w:w="1980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b w:val="1"/>
                <w:bCs w:val="1"/>
                <w:sz w:val="18"/>
                <w:szCs w:val="18"/>
                <w:rtl w:val="0"/>
                <w:lang w:val="en-US"/>
              </w:rPr>
              <w:t>20 (46.5%)</w:t>
            </w:r>
            <w:r>
              <w:rPr>
                <w:sz w:val="18"/>
                <w:szCs w:val="18"/>
                <w:rtl w:val="0"/>
                <w:lang w:val="en-US"/>
              </w:rPr>
              <w:t>*</w:t>
            </w:r>
          </w:p>
        </w:tc>
      </w:tr>
      <w:tr>
        <w:tblPrEx>
          <w:shd w:val="clear" w:color="auto" w:fill="d0ddef"/>
        </w:tblPrEx>
        <w:trPr>
          <w:trHeight w:val="309" w:hRule="atLeast"/>
        </w:trPr>
        <w:tc>
          <w:tcPr>
            <w:tcW w:type="dxa" w:w="293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 A"/>
              <w:spacing w:line="360" w:lineRule="auto"/>
              <w:ind w:firstLine="360"/>
            </w:pPr>
            <w:r>
              <w:rPr>
                <w:rFonts w:ascii="Times New Roman" w:hAnsi="Times New Roman"/>
                <w:b w:val="0"/>
                <w:bCs w:val="0"/>
                <w:sz w:val="18"/>
                <w:szCs w:val="18"/>
                <w:rtl w:val="0"/>
                <w:lang w:val="en-US"/>
              </w:rPr>
              <w:t>Acinetobacter baumannii</w:t>
            </w:r>
          </w:p>
        </w:tc>
        <w:tc>
          <w:tcPr>
            <w:tcW w:type="dxa" w:w="20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75 (23.2%)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19 (30.6%)</w:t>
            </w:r>
          </w:p>
        </w:tc>
        <w:tc>
          <w:tcPr>
            <w:tcW w:type="dxa" w:w="1980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13 (30.2%)</w:t>
            </w:r>
          </w:p>
        </w:tc>
      </w:tr>
      <w:tr>
        <w:tblPrEx>
          <w:shd w:val="clear" w:color="auto" w:fill="d0ddef"/>
        </w:tblPrEx>
        <w:trPr>
          <w:trHeight w:val="309" w:hRule="atLeast"/>
        </w:trPr>
        <w:tc>
          <w:tcPr>
            <w:tcW w:type="dxa" w:w="293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 A"/>
              <w:spacing w:line="360" w:lineRule="auto"/>
              <w:ind w:firstLine="360"/>
            </w:pPr>
            <w:r>
              <w:rPr>
                <w:rFonts w:ascii="Times New Roman" w:hAnsi="Times New Roman"/>
                <w:b w:val="0"/>
                <w:bCs w:val="0"/>
                <w:sz w:val="18"/>
                <w:szCs w:val="18"/>
                <w:rtl w:val="0"/>
                <w:lang w:val="en-US"/>
              </w:rPr>
              <w:t>Klebsiella spp.</w:t>
            </w:r>
          </w:p>
        </w:tc>
        <w:tc>
          <w:tcPr>
            <w:tcW w:type="dxa" w:w="20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44 (13.6%)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14 (22.6%)</w:t>
            </w:r>
          </w:p>
        </w:tc>
        <w:tc>
          <w:tcPr>
            <w:tcW w:type="dxa" w:w="1980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3 (7.0%)</w:t>
            </w:r>
          </w:p>
        </w:tc>
      </w:tr>
      <w:tr>
        <w:tblPrEx>
          <w:shd w:val="clear" w:color="auto" w:fill="d0ddef"/>
        </w:tblPrEx>
        <w:trPr>
          <w:trHeight w:val="309" w:hRule="atLeast"/>
        </w:trPr>
        <w:tc>
          <w:tcPr>
            <w:tcW w:type="dxa" w:w="293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 A"/>
              <w:spacing w:line="360" w:lineRule="auto"/>
              <w:ind w:firstLine="360"/>
            </w:pPr>
            <w:r>
              <w:rPr>
                <w:rFonts w:ascii="Times New Roman" w:hAnsi="Times New Roman"/>
                <w:b w:val="0"/>
                <w:bCs w:val="0"/>
                <w:sz w:val="18"/>
                <w:szCs w:val="18"/>
                <w:rtl w:val="0"/>
                <w:lang w:val="en-US"/>
              </w:rPr>
              <w:t>Pseudomonas spp.</w:t>
            </w:r>
          </w:p>
        </w:tc>
        <w:tc>
          <w:tcPr>
            <w:tcW w:type="dxa" w:w="20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43 (13.3%)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5 (8.1%)</w:t>
            </w:r>
          </w:p>
        </w:tc>
        <w:tc>
          <w:tcPr>
            <w:tcW w:type="dxa" w:w="1980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2 (4.7%)</w:t>
            </w:r>
          </w:p>
        </w:tc>
      </w:tr>
      <w:tr>
        <w:tblPrEx>
          <w:shd w:val="clear" w:color="auto" w:fill="d0ddef"/>
        </w:tblPrEx>
        <w:trPr>
          <w:trHeight w:val="309" w:hRule="atLeast"/>
        </w:trPr>
        <w:tc>
          <w:tcPr>
            <w:tcW w:type="dxa" w:w="293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 A"/>
              <w:spacing w:line="360" w:lineRule="auto"/>
              <w:ind w:firstLine="360"/>
            </w:pPr>
            <w:r>
              <w:rPr>
                <w:rFonts w:ascii="Times New Roman" w:hAnsi="Times New Roman"/>
                <w:b w:val="0"/>
                <w:bCs w:val="0"/>
                <w:sz w:val="18"/>
                <w:szCs w:val="18"/>
                <w:rtl w:val="0"/>
                <w:lang w:val="en-US"/>
              </w:rPr>
              <w:t>Enterobacter spp.</w:t>
            </w:r>
          </w:p>
        </w:tc>
        <w:tc>
          <w:tcPr>
            <w:tcW w:type="dxa" w:w="20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21 (6.5%)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1 (1.6%)</w:t>
            </w:r>
          </w:p>
        </w:tc>
        <w:tc>
          <w:tcPr>
            <w:tcW w:type="dxa" w:w="1980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1 (2.3%)</w:t>
            </w:r>
          </w:p>
        </w:tc>
      </w:tr>
      <w:tr>
        <w:tblPrEx>
          <w:shd w:val="clear" w:color="auto" w:fill="d0ddef"/>
        </w:tblPrEx>
        <w:trPr>
          <w:trHeight w:val="309" w:hRule="atLeast"/>
        </w:trPr>
        <w:tc>
          <w:tcPr>
            <w:tcW w:type="dxa" w:w="293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 A"/>
              <w:spacing w:line="360" w:lineRule="auto"/>
              <w:ind w:firstLine="360"/>
            </w:pPr>
            <w:r>
              <w:rPr>
                <w:rFonts w:ascii="Times New Roman" w:hAnsi="Times New Roman"/>
                <w:b w:val="0"/>
                <w:bCs w:val="0"/>
                <w:sz w:val="18"/>
                <w:szCs w:val="18"/>
                <w:rtl w:val="0"/>
                <w:lang w:val="en-US"/>
              </w:rPr>
              <w:t>S. maltophilia</w:t>
            </w:r>
          </w:p>
        </w:tc>
        <w:tc>
          <w:tcPr>
            <w:tcW w:type="dxa" w:w="20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14 (4.3%)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0 (0)</w:t>
            </w:r>
          </w:p>
        </w:tc>
        <w:tc>
          <w:tcPr>
            <w:tcW w:type="dxa" w:w="1980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1 (2.3%)</w:t>
            </w:r>
          </w:p>
        </w:tc>
      </w:tr>
      <w:tr>
        <w:tblPrEx>
          <w:shd w:val="clear" w:color="auto" w:fill="d0ddef"/>
        </w:tblPrEx>
        <w:trPr>
          <w:trHeight w:val="309" w:hRule="atLeast"/>
        </w:trPr>
        <w:tc>
          <w:tcPr>
            <w:tcW w:type="dxa" w:w="293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 A"/>
              <w:tabs>
                <w:tab w:val="center" w:pos="1436"/>
              </w:tabs>
              <w:spacing w:line="360" w:lineRule="auto"/>
              <w:ind w:firstLine="360"/>
            </w:pPr>
            <w:r>
              <w:rPr>
                <w:rFonts w:ascii="Times New Roman" w:hAnsi="Times New Roman"/>
                <w:b w:val="0"/>
                <w:bCs w:val="0"/>
                <w:sz w:val="18"/>
                <w:szCs w:val="18"/>
                <w:rtl w:val="0"/>
                <w:lang w:val="en-US"/>
              </w:rPr>
              <w:t xml:space="preserve">Other </w:t>
            </w:r>
          </w:p>
        </w:tc>
        <w:tc>
          <w:tcPr>
            <w:tcW w:type="dxa" w:w="20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19 (5.9%)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0 (0)</w:t>
            </w:r>
          </w:p>
        </w:tc>
        <w:tc>
          <w:tcPr>
            <w:tcW w:type="dxa" w:w="1980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0 (0)</w:t>
            </w:r>
          </w:p>
        </w:tc>
      </w:tr>
      <w:tr>
        <w:tblPrEx>
          <w:shd w:val="clear" w:color="auto" w:fill="d0ddef"/>
        </w:tblPrEx>
        <w:trPr>
          <w:trHeight w:val="294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 A"/>
              <w:spacing w:line="360" w:lineRule="auto"/>
            </w:pPr>
            <w:r>
              <w:rPr>
                <w:rFonts w:ascii="Times New Roman" w:hAnsi="Times New Roman"/>
                <w:sz w:val="18"/>
                <w:szCs w:val="18"/>
                <w:rtl w:val="0"/>
                <w:lang w:val="en-US"/>
              </w:rPr>
              <w:t>Gram-positive isolates (n, %)</w:t>
            </w:r>
          </w:p>
        </w:tc>
        <w:tc>
          <w:tcPr>
            <w:tcW w:type="dxa" w:w="2017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b w:val="1"/>
                <w:bCs w:val="1"/>
                <w:sz w:val="18"/>
                <w:szCs w:val="18"/>
                <w:rtl w:val="0"/>
                <w:lang w:val="en-US"/>
              </w:rPr>
              <w:t>13 (4.0%)</w:t>
            </w:r>
          </w:p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b w:val="1"/>
                <w:bCs w:val="1"/>
                <w:sz w:val="18"/>
                <w:szCs w:val="18"/>
                <w:rtl w:val="0"/>
                <w:lang w:val="en-US"/>
              </w:rPr>
              <w:t>9 (14.5%)</w:t>
            </w:r>
            <w:r>
              <w:rPr>
                <w:sz w:val="18"/>
                <w:szCs w:val="18"/>
                <w:rtl w:val="0"/>
                <w:lang w:val="en-US"/>
              </w:rPr>
              <w:t>**</w:t>
            </w:r>
          </w:p>
        </w:tc>
        <w:tc>
          <w:tcPr>
            <w:tcW w:type="dxa" w:w="1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b w:val="1"/>
                <w:bCs w:val="1"/>
                <w:sz w:val="18"/>
                <w:szCs w:val="18"/>
                <w:rtl w:val="0"/>
                <w:lang w:val="en-US"/>
              </w:rPr>
              <w:t>4 (9.3%)</w:t>
            </w:r>
          </w:p>
        </w:tc>
      </w:tr>
      <w:tr>
        <w:tblPrEx>
          <w:shd w:val="clear" w:color="auto" w:fill="d0ddef"/>
        </w:tblPrEx>
        <w:trPr>
          <w:trHeight w:val="294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 A"/>
              <w:spacing w:line="360" w:lineRule="auto"/>
              <w:ind w:firstLine="360"/>
            </w:pPr>
            <w:r>
              <w:rPr>
                <w:rFonts w:ascii="Times New Roman" w:hAnsi="Times New Roman"/>
                <w:b w:val="0"/>
                <w:bCs w:val="0"/>
                <w:sz w:val="18"/>
                <w:szCs w:val="18"/>
                <w:rtl w:val="0"/>
                <w:lang w:val="en-US"/>
              </w:rPr>
              <w:t xml:space="preserve">S.Aureus </w:t>
            </w:r>
          </w:p>
        </w:tc>
        <w:tc>
          <w:tcPr>
            <w:tcW w:type="dxa" w:w="2017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6 (1.9%)</w:t>
            </w:r>
          </w:p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6 (9.7%)**</w:t>
            </w:r>
          </w:p>
        </w:tc>
        <w:tc>
          <w:tcPr>
            <w:tcW w:type="dxa" w:w="1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1 (2.3%)</w:t>
            </w:r>
          </w:p>
        </w:tc>
      </w:tr>
      <w:tr>
        <w:tblPrEx>
          <w:shd w:val="clear" w:color="auto" w:fill="d0ddef"/>
        </w:tblPrEx>
        <w:trPr>
          <w:trHeight w:val="294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 A"/>
              <w:spacing w:line="360" w:lineRule="auto"/>
              <w:ind w:firstLine="720"/>
            </w:pPr>
            <w:r>
              <w:rPr>
                <w:rFonts w:ascii="Times New Roman" w:hAnsi="Times New Roman"/>
                <w:b w:val="0"/>
                <w:bCs w:val="0"/>
                <w:sz w:val="18"/>
                <w:szCs w:val="18"/>
                <w:rtl w:val="0"/>
                <w:lang w:val="en-US"/>
              </w:rPr>
              <w:t>MRSA</w:t>
            </w:r>
          </w:p>
        </w:tc>
        <w:tc>
          <w:tcPr>
            <w:tcW w:type="dxa" w:w="2017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2 (0.6%)</w:t>
            </w:r>
          </w:p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1 (1.6%)</w:t>
            </w:r>
          </w:p>
        </w:tc>
        <w:tc>
          <w:tcPr>
            <w:tcW w:type="dxa" w:w="1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1 (2.3%)</w:t>
            </w:r>
          </w:p>
        </w:tc>
      </w:tr>
      <w:tr>
        <w:tblPrEx>
          <w:shd w:val="clear" w:color="auto" w:fill="d0ddef"/>
        </w:tblPrEx>
        <w:trPr>
          <w:trHeight w:val="207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 A"/>
              <w:spacing w:line="360" w:lineRule="auto"/>
              <w:ind w:firstLine="360"/>
            </w:pPr>
            <w:r>
              <w:rPr>
                <w:rFonts w:ascii="Times New Roman" w:hAnsi="Times New Roman"/>
                <w:b w:val="0"/>
                <w:bCs w:val="0"/>
                <w:sz w:val="18"/>
                <w:szCs w:val="18"/>
                <w:rtl w:val="0"/>
                <w:lang w:val="en-US"/>
              </w:rPr>
              <w:t xml:space="preserve">Streptococcus spp. </w:t>
            </w:r>
          </w:p>
        </w:tc>
        <w:tc>
          <w:tcPr>
            <w:tcW w:type="dxa" w:w="2017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2 (0.6%)</w:t>
            </w:r>
          </w:p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0 (0)</w:t>
            </w:r>
          </w:p>
        </w:tc>
        <w:tc>
          <w:tcPr>
            <w:tcW w:type="dxa" w:w="1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1 (2.3%)</w:t>
            </w:r>
          </w:p>
        </w:tc>
      </w:tr>
      <w:tr>
        <w:tblPrEx>
          <w:shd w:val="clear" w:color="auto" w:fill="d0ddef"/>
        </w:tblPrEx>
        <w:trPr>
          <w:trHeight w:val="294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 A"/>
              <w:spacing w:line="360" w:lineRule="auto"/>
              <w:ind w:firstLine="360"/>
            </w:pPr>
            <w:r>
              <w:rPr>
                <w:rFonts w:ascii="Times New Roman" w:hAnsi="Times New Roman"/>
                <w:b w:val="0"/>
                <w:bCs w:val="0"/>
                <w:sz w:val="18"/>
                <w:szCs w:val="18"/>
                <w:rtl w:val="0"/>
                <w:lang w:val="en-US"/>
              </w:rPr>
              <w:t xml:space="preserve">Enterococcus spp. </w:t>
            </w:r>
          </w:p>
        </w:tc>
        <w:tc>
          <w:tcPr>
            <w:tcW w:type="dxa" w:w="2017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2 (0.6%)</w:t>
            </w:r>
          </w:p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1 (1.6%)</w:t>
            </w:r>
          </w:p>
        </w:tc>
        <w:tc>
          <w:tcPr>
            <w:tcW w:type="dxa" w:w="1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1 (2.3%)</w:t>
            </w:r>
          </w:p>
        </w:tc>
      </w:tr>
      <w:tr>
        <w:tblPrEx>
          <w:shd w:val="clear" w:color="auto" w:fill="d0ddef"/>
        </w:tblPrEx>
        <w:trPr>
          <w:trHeight w:val="294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 A"/>
              <w:spacing w:line="360" w:lineRule="auto"/>
              <w:ind w:firstLine="360"/>
            </w:pPr>
            <w:r>
              <w:rPr>
                <w:rFonts w:ascii="Times New Roman" w:hAnsi="Times New Roman"/>
                <w:b w:val="0"/>
                <w:bCs w:val="0"/>
                <w:sz w:val="18"/>
                <w:szCs w:val="18"/>
                <w:rtl w:val="0"/>
                <w:lang w:val="en-US"/>
              </w:rPr>
              <w:t xml:space="preserve">Other </w:t>
            </w:r>
          </w:p>
        </w:tc>
        <w:tc>
          <w:tcPr>
            <w:tcW w:type="dxa" w:w="2017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1 (0.3%)</w:t>
            </w:r>
          </w:p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1 (1.6%)</w:t>
            </w:r>
          </w:p>
        </w:tc>
        <w:tc>
          <w:tcPr>
            <w:tcW w:type="dxa" w:w="1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0 (0)</w:t>
            </w:r>
          </w:p>
        </w:tc>
      </w:tr>
      <w:tr>
        <w:tblPrEx>
          <w:shd w:val="clear" w:color="auto" w:fill="d0ddef"/>
        </w:tblPrEx>
        <w:trPr>
          <w:trHeight w:val="294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 A"/>
              <w:spacing w:line="360" w:lineRule="auto"/>
            </w:pPr>
            <w:r>
              <w:rPr>
                <w:rFonts w:ascii="Times New Roman" w:hAnsi="Times New Roman"/>
                <w:sz w:val="18"/>
                <w:szCs w:val="18"/>
                <w:rtl w:val="0"/>
                <w:lang w:val="it-IT"/>
              </w:rPr>
              <w:t>Fungi isolates (n, %)</w:t>
            </w:r>
          </w:p>
        </w:tc>
        <w:tc>
          <w:tcPr>
            <w:tcW w:type="dxa" w:w="2017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b w:val="1"/>
                <w:bCs w:val="1"/>
                <w:sz w:val="18"/>
                <w:szCs w:val="18"/>
                <w:rtl w:val="0"/>
                <w:lang w:val="en-US"/>
              </w:rPr>
              <w:t>52 (16.1%)</w:t>
            </w:r>
          </w:p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b w:val="1"/>
                <w:bCs w:val="1"/>
                <w:sz w:val="18"/>
                <w:szCs w:val="18"/>
                <w:rtl w:val="0"/>
                <w:lang w:val="en-US"/>
              </w:rPr>
              <w:t>10 (16.1%)</w:t>
            </w:r>
          </w:p>
        </w:tc>
        <w:tc>
          <w:tcPr>
            <w:tcW w:type="dxa" w:w="1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b w:val="1"/>
                <w:bCs w:val="1"/>
                <w:sz w:val="18"/>
                <w:szCs w:val="18"/>
                <w:rtl w:val="0"/>
                <w:lang w:val="en-US"/>
              </w:rPr>
              <w:t>7 (16.3%)</w:t>
            </w:r>
          </w:p>
        </w:tc>
      </w:tr>
      <w:tr>
        <w:tblPrEx>
          <w:shd w:val="clear" w:color="auto" w:fill="d0ddef"/>
        </w:tblPrEx>
        <w:trPr>
          <w:trHeight w:val="294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 A"/>
              <w:spacing w:line="360" w:lineRule="auto"/>
              <w:ind w:firstLine="360"/>
            </w:pPr>
            <w:r>
              <w:rPr>
                <w:rFonts w:ascii="Times New Roman" w:hAnsi="Times New Roman"/>
                <w:b w:val="0"/>
                <w:bCs w:val="0"/>
                <w:sz w:val="18"/>
                <w:szCs w:val="18"/>
                <w:rtl w:val="0"/>
                <w:lang w:val="en-US"/>
              </w:rPr>
              <w:t>Candida albicans</w:t>
            </w:r>
          </w:p>
        </w:tc>
        <w:tc>
          <w:tcPr>
            <w:tcW w:type="dxa" w:w="2017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35 (10.8%)</w:t>
            </w:r>
          </w:p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8 (12.9%)</w:t>
            </w:r>
          </w:p>
        </w:tc>
        <w:tc>
          <w:tcPr>
            <w:tcW w:type="dxa" w:w="1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2 (4.7%)</w:t>
            </w:r>
          </w:p>
        </w:tc>
      </w:tr>
      <w:tr>
        <w:tblPrEx>
          <w:shd w:val="clear" w:color="auto" w:fill="d0ddef"/>
        </w:tblPrEx>
        <w:trPr>
          <w:trHeight w:val="294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 A"/>
              <w:spacing w:line="360" w:lineRule="auto"/>
              <w:ind w:firstLine="360"/>
            </w:pPr>
            <w:r>
              <w:rPr>
                <w:rFonts w:ascii="Times New Roman" w:hAnsi="Times New Roman"/>
                <w:b w:val="0"/>
                <w:bCs w:val="0"/>
                <w:sz w:val="18"/>
                <w:szCs w:val="18"/>
                <w:rtl w:val="0"/>
                <w:lang w:val="es-ES_tradnl"/>
              </w:rPr>
              <w:t>Candida glabrada</w:t>
            </w:r>
          </w:p>
        </w:tc>
        <w:tc>
          <w:tcPr>
            <w:tcW w:type="dxa" w:w="2017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9 (2.8%)</w:t>
            </w:r>
          </w:p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1 (1.6%)</w:t>
            </w:r>
          </w:p>
        </w:tc>
        <w:tc>
          <w:tcPr>
            <w:tcW w:type="dxa" w:w="1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1 (2.3%)</w:t>
            </w:r>
          </w:p>
        </w:tc>
      </w:tr>
      <w:tr>
        <w:tblPrEx>
          <w:shd w:val="clear" w:color="auto" w:fill="d0ddef"/>
        </w:tblPrEx>
        <w:trPr>
          <w:trHeight w:val="294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 A"/>
              <w:spacing w:line="360" w:lineRule="auto"/>
              <w:ind w:firstLine="360"/>
            </w:pPr>
            <w:r>
              <w:rPr>
                <w:rFonts w:ascii="Times New Roman" w:hAnsi="Times New Roman"/>
                <w:b w:val="0"/>
                <w:bCs w:val="0"/>
                <w:sz w:val="18"/>
                <w:szCs w:val="18"/>
                <w:rtl w:val="0"/>
                <w:lang w:val="pt-PT"/>
              </w:rPr>
              <w:t>Candida tropicalis</w:t>
            </w:r>
          </w:p>
        </w:tc>
        <w:tc>
          <w:tcPr>
            <w:tcW w:type="dxa" w:w="2017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5 (1.5%)</w:t>
            </w:r>
          </w:p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1 (1.6%)</w:t>
            </w:r>
          </w:p>
        </w:tc>
        <w:tc>
          <w:tcPr>
            <w:tcW w:type="dxa" w:w="1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1 (2.3%)</w:t>
            </w:r>
          </w:p>
        </w:tc>
      </w:tr>
      <w:tr>
        <w:tblPrEx>
          <w:shd w:val="clear" w:color="auto" w:fill="d0ddef"/>
        </w:tblPrEx>
        <w:trPr>
          <w:trHeight w:val="294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 A"/>
              <w:spacing w:line="360" w:lineRule="auto"/>
              <w:ind w:firstLine="360"/>
            </w:pPr>
            <w:r>
              <w:rPr>
                <w:rFonts w:ascii="Times New Roman" w:hAnsi="Times New Roman"/>
                <w:b w:val="0"/>
                <w:bCs w:val="0"/>
                <w:sz w:val="18"/>
                <w:szCs w:val="18"/>
                <w:rtl w:val="0"/>
                <w:lang w:val="en-US"/>
              </w:rPr>
              <w:t>Other</w:t>
            </w:r>
          </w:p>
        </w:tc>
        <w:tc>
          <w:tcPr>
            <w:tcW w:type="dxa" w:w="2017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3 (0.9%)</w:t>
            </w:r>
          </w:p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0 (0)</w:t>
            </w:r>
          </w:p>
        </w:tc>
        <w:tc>
          <w:tcPr>
            <w:tcW w:type="dxa" w:w="1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3 (%)*</w:t>
            </w:r>
          </w:p>
        </w:tc>
      </w:tr>
      <w:tr>
        <w:tblPrEx>
          <w:shd w:val="clear" w:color="auto" w:fill="d0ddef"/>
        </w:tblPrEx>
        <w:trPr>
          <w:trHeight w:val="294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 A"/>
              <w:spacing w:line="360" w:lineRule="auto"/>
            </w:pPr>
            <w:r>
              <w:rPr>
                <w:rFonts w:ascii="Times New Roman" w:hAnsi="Times New Roman"/>
                <w:sz w:val="18"/>
                <w:szCs w:val="18"/>
                <w:rtl w:val="0"/>
                <w:lang w:val="en-US"/>
              </w:rPr>
              <w:t>Virus isolates (n, %)</w:t>
            </w:r>
          </w:p>
        </w:tc>
        <w:tc>
          <w:tcPr>
            <w:tcW w:type="dxa" w:w="2017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b w:val="1"/>
                <w:bCs w:val="1"/>
                <w:sz w:val="18"/>
                <w:szCs w:val="18"/>
                <w:rtl w:val="0"/>
                <w:lang w:val="en-US"/>
              </w:rPr>
              <w:t>2 (0.6%)</w:t>
            </w:r>
          </w:p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b w:val="1"/>
                <w:bCs w:val="1"/>
                <w:sz w:val="18"/>
                <w:szCs w:val="18"/>
                <w:rtl w:val="0"/>
                <w:lang w:val="en-US"/>
              </w:rPr>
              <w:t>1 (1.6%)</w:t>
            </w:r>
          </w:p>
        </w:tc>
        <w:tc>
          <w:tcPr>
            <w:tcW w:type="dxa" w:w="1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b w:val="1"/>
                <w:bCs w:val="1"/>
                <w:sz w:val="18"/>
                <w:szCs w:val="18"/>
                <w:rtl w:val="0"/>
                <w:lang w:val="en-US"/>
              </w:rPr>
              <w:t>0 (0)</w:t>
            </w:r>
          </w:p>
        </w:tc>
      </w:tr>
      <w:tr>
        <w:tblPrEx>
          <w:shd w:val="clear" w:color="auto" w:fill="d0ddef"/>
        </w:tblPrEx>
        <w:trPr>
          <w:trHeight w:val="294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 A"/>
              <w:spacing w:line="360" w:lineRule="auto"/>
            </w:pPr>
            <w:r>
              <w:rPr>
                <w:rFonts w:ascii="Times New Roman" w:hAnsi="Times New Roman"/>
                <w:sz w:val="18"/>
                <w:szCs w:val="18"/>
                <w:rtl w:val="0"/>
                <w:lang w:val="en-US"/>
              </w:rPr>
              <w:t>Anaerobes isolates (n, %)</w:t>
            </w:r>
          </w:p>
        </w:tc>
        <w:tc>
          <w:tcPr>
            <w:tcW w:type="dxa" w:w="2017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b w:val="1"/>
                <w:bCs w:val="1"/>
                <w:sz w:val="18"/>
                <w:szCs w:val="18"/>
                <w:rtl w:val="0"/>
                <w:lang w:val="en-US"/>
              </w:rPr>
              <w:t>1 (0.3%)</w:t>
            </w:r>
          </w:p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b w:val="1"/>
                <w:bCs w:val="1"/>
                <w:sz w:val="18"/>
                <w:szCs w:val="18"/>
                <w:rtl w:val="0"/>
                <w:lang w:val="en-US"/>
              </w:rPr>
              <w:t>0 (0)</w:t>
            </w:r>
          </w:p>
        </w:tc>
        <w:tc>
          <w:tcPr>
            <w:tcW w:type="dxa" w:w="1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b w:val="1"/>
                <w:bCs w:val="1"/>
                <w:sz w:val="18"/>
                <w:szCs w:val="18"/>
                <w:rtl w:val="0"/>
                <w:lang w:val="en-US"/>
              </w:rPr>
              <w:t>0 (0)</w:t>
            </w:r>
          </w:p>
        </w:tc>
      </w:tr>
      <w:tr>
        <w:tblPrEx>
          <w:shd w:val="clear" w:color="auto" w:fill="d0ddef"/>
        </w:tblPrEx>
        <w:trPr>
          <w:trHeight w:val="294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 A"/>
              <w:spacing w:line="360" w:lineRule="auto"/>
            </w:pPr>
            <w:r>
              <w:rPr>
                <w:rFonts w:ascii="Times New Roman" w:hAnsi="Times New Roman"/>
                <w:sz w:val="18"/>
                <w:szCs w:val="18"/>
                <w:rtl w:val="0"/>
                <w:lang w:val="en-US"/>
              </w:rPr>
              <w:t>Tuberculosis isolates (n, %)</w:t>
            </w:r>
          </w:p>
        </w:tc>
        <w:tc>
          <w:tcPr>
            <w:tcW w:type="dxa" w:w="2017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b w:val="1"/>
                <w:bCs w:val="1"/>
                <w:sz w:val="18"/>
                <w:szCs w:val="18"/>
                <w:rtl w:val="0"/>
                <w:lang w:val="en-US"/>
              </w:rPr>
              <w:t>0 (0)</w:t>
            </w:r>
          </w:p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b w:val="1"/>
                <w:bCs w:val="1"/>
                <w:sz w:val="18"/>
                <w:szCs w:val="18"/>
                <w:rtl w:val="0"/>
                <w:lang w:val="en-US"/>
              </w:rPr>
              <w:t>0 (0)</w:t>
            </w:r>
          </w:p>
        </w:tc>
        <w:tc>
          <w:tcPr>
            <w:tcW w:type="dxa" w:w="1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sz w:val="18"/>
                <w:szCs w:val="18"/>
                <w:rtl w:val="0"/>
                <w:lang w:val="en-US"/>
              </w:rPr>
              <w:t>1 (2.3%)</w:t>
            </w:r>
          </w:p>
        </w:tc>
      </w:tr>
    </w:tbl>
    <w:p>
      <w:pPr>
        <w:pStyle w:val="正文1"/>
        <w:widowControl w:val="0"/>
        <w:ind w:left="296" w:hanging="296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</w:p>
    <w:p>
      <w:pPr>
        <w:pStyle w:val="正文1"/>
        <w:widowControl w:val="0"/>
        <w:ind w:left="188" w:hanging="188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</w:p>
    <w:p>
      <w:pPr>
        <w:pStyle w:val="正文1"/>
        <w:widowControl w:val="0"/>
        <w:ind w:left="80" w:hanging="80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</w:p>
    <w:p>
      <w:pPr>
        <w:pStyle w:val="正文1"/>
        <w:spacing w:line="480" w:lineRule="auto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en-US"/>
        </w:rPr>
        <w:t xml:space="preserve">Data presented as number (percentage of group population) of isolates, instead of number of patients. *p &lt; 0.05, **p &lt; 0.01 vs survival group. 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zh-CN" w:eastAsia="zh-CN"/>
        </w:rPr>
        <w:t xml:space="preserve"> </w:t>
      </w:r>
    </w:p>
    <w:p>
      <w:pPr>
        <w:pStyle w:val="正文1"/>
        <w:spacing w:line="480" w:lineRule="auto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</w:p>
    <w:p>
      <w:pPr>
        <w:pStyle w:val="正文1"/>
        <w:spacing w:line="480" w:lineRule="auto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</w:p>
    <w:p>
      <w:pPr>
        <w:pStyle w:val="正文1"/>
        <w:spacing w:line="480" w:lineRule="auto"/>
        <w:rPr>
          <w:color w:val="000000"/>
          <w:u w:color="000000"/>
        </w:rPr>
      </w:pP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en-US"/>
        </w:rPr>
        <w:t>Table 2 Coexisting disease of the study population stratified by survival and mortality</w:t>
      </w:r>
    </w:p>
    <w:tbl>
      <w:tblPr>
        <w:tblW w:w="9576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394"/>
        <w:gridCol w:w="2394"/>
        <w:gridCol w:w="2393"/>
        <w:gridCol w:w="2395"/>
      </w:tblGrid>
      <w:tr>
        <w:tblPrEx>
          <w:shd w:val="clear" w:color="auto" w:fill="d0ddef"/>
        </w:tblPrEx>
        <w:trPr>
          <w:trHeight w:val="910" w:hRule="atLeast"/>
        </w:trPr>
        <w:tc>
          <w:tcPr>
            <w:tcW w:type="dxa" w:w="2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48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Survival</w:t>
            </w:r>
          </w:p>
          <w:p>
            <w:pPr>
              <w:pStyle w:val="正文1"/>
              <w:spacing w:line="48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n = 323</w:t>
            </w:r>
          </w:p>
        </w:tc>
        <w:tc>
          <w:tcPr>
            <w:tcW w:type="dxa" w:w="2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48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28-d mortality  </w:t>
            </w:r>
          </w:p>
          <w:p>
            <w:pPr>
              <w:pStyle w:val="正文1"/>
              <w:spacing w:line="48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  <w:t>n = 62</w:t>
            </w:r>
          </w:p>
        </w:tc>
        <w:tc>
          <w:tcPr>
            <w:tcW w:type="dxa" w:w="2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48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7-d mortality</w:t>
            </w:r>
          </w:p>
          <w:p>
            <w:pPr>
              <w:pStyle w:val="正文1"/>
              <w:spacing w:line="48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n = 43</w:t>
            </w:r>
          </w:p>
        </w:tc>
      </w:tr>
      <w:tr>
        <w:tblPrEx>
          <w:shd w:val="clear" w:color="auto" w:fill="d0ddef"/>
        </w:tblPrEx>
        <w:trPr>
          <w:trHeight w:val="320" w:hRule="atLeast"/>
        </w:trPr>
        <w:tc>
          <w:tcPr>
            <w:tcW w:type="dxa" w:w="2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line="480" w:lineRule="auto"/>
              <w:jc w:val="both"/>
            </w:pPr>
            <w:r>
              <w:rPr>
                <w:rtl w:val="0"/>
                <w:lang w:val="en-US"/>
              </w:rPr>
              <w:t>Diabetes mellitus</w:t>
            </w:r>
          </w:p>
        </w:tc>
        <w:tc>
          <w:tcPr>
            <w:tcW w:type="dxa" w:w="2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48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3 (0.9%)</w:t>
            </w:r>
          </w:p>
        </w:tc>
        <w:tc>
          <w:tcPr>
            <w:tcW w:type="dxa" w:w="2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48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0 (0)</w:t>
            </w:r>
          </w:p>
        </w:tc>
        <w:tc>
          <w:tcPr>
            <w:tcW w:type="dxa" w:w="2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48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0 (0)</w:t>
            </w:r>
          </w:p>
        </w:tc>
      </w:tr>
      <w:tr>
        <w:tblPrEx>
          <w:shd w:val="clear" w:color="auto" w:fill="d0ddef"/>
        </w:tblPrEx>
        <w:trPr>
          <w:trHeight w:val="910" w:hRule="atLeast"/>
        </w:trPr>
        <w:tc>
          <w:tcPr>
            <w:tcW w:type="dxa" w:w="2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line="480" w:lineRule="auto"/>
            </w:pPr>
            <w:r>
              <w:rPr>
                <w:rtl w:val="0"/>
                <w:lang w:val="en-US"/>
              </w:rPr>
              <w:t>Cardiovascular disease</w:t>
            </w:r>
          </w:p>
        </w:tc>
        <w:tc>
          <w:tcPr>
            <w:tcW w:type="dxa" w:w="2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48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18 (5.6%)</w:t>
            </w:r>
          </w:p>
        </w:tc>
        <w:tc>
          <w:tcPr>
            <w:tcW w:type="dxa" w:w="2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48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4 (6.5%)</w:t>
            </w:r>
          </w:p>
        </w:tc>
        <w:tc>
          <w:tcPr>
            <w:tcW w:type="dxa" w:w="2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48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10 (23.3%)***</w:t>
            </w:r>
          </w:p>
        </w:tc>
      </w:tr>
      <w:tr>
        <w:tblPrEx>
          <w:shd w:val="clear" w:color="auto" w:fill="d0ddef"/>
        </w:tblPrEx>
        <w:trPr>
          <w:trHeight w:val="320" w:hRule="atLeast"/>
        </w:trPr>
        <w:tc>
          <w:tcPr>
            <w:tcW w:type="dxa" w:w="2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line="480" w:lineRule="auto"/>
              <w:jc w:val="both"/>
            </w:pPr>
            <w:r>
              <w:rPr>
                <w:rtl w:val="0"/>
                <w:lang w:val="en-US"/>
              </w:rPr>
              <w:t xml:space="preserve">Hypertension </w:t>
            </w:r>
          </w:p>
        </w:tc>
        <w:tc>
          <w:tcPr>
            <w:tcW w:type="dxa" w:w="2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48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4 (1.2%)</w:t>
            </w:r>
          </w:p>
        </w:tc>
        <w:tc>
          <w:tcPr>
            <w:tcW w:type="dxa" w:w="2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48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0 (0)</w:t>
            </w:r>
          </w:p>
        </w:tc>
        <w:tc>
          <w:tcPr>
            <w:tcW w:type="dxa" w:w="2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48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0 (0)</w:t>
            </w:r>
          </w:p>
        </w:tc>
      </w:tr>
      <w:tr>
        <w:tblPrEx>
          <w:shd w:val="clear" w:color="auto" w:fill="d0ddef"/>
        </w:tblPrEx>
        <w:trPr>
          <w:trHeight w:val="320" w:hRule="atLeast"/>
        </w:trPr>
        <w:tc>
          <w:tcPr>
            <w:tcW w:type="dxa" w:w="2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line="480" w:lineRule="auto"/>
              <w:jc w:val="both"/>
            </w:pPr>
            <w:r>
              <w:rPr>
                <w:rtl w:val="0"/>
                <w:lang w:val="en-US"/>
              </w:rPr>
              <w:t xml:space="preserve">Malignancies </w:t>
            </w:r>
          </w:p>
        </w:tc>
        <w:tc>
          <w:tcPr>
            <w:tcW w:type="dxa" w:w="2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48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29 (9.0%)</w:t>
            </w:r>
          </w:p>
        </w:tc>
        <w:tc>
          <w:tcPr>
            <w:tcW w:type="dxa" w:w="2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tabs>
                <w:tab w:val="center" w:pos="1150"/>
                <w:tab w:val="right" w:pos="2178"/>
              </w:tabs>
              <w:spacing w:line="480" w:lineRule="auto"/>
            </w:pPr>
            <w:r>
              <w:rPr>
                <w:rFonts w:ascii="Times New Roman" w:cs="Times New Roman" w:hAnsi="Times New Roman" w:eastAsia="Times New Roman"/>
                <w:sz w:val="24"/>
                <w:szCs w:val="24"/>
                <w:rtl w:val="0"/>
                <w:lang w:val="en-US"/>
              </w:rPr>
              <w:tab/>
              <w:t>1 (1.6%)**</w:t>
            </w:r>
          </w:p>
        </w:tc>
        <w:tc>
          <w:tcPr>
            <w:tcW w:type="dxa" w:w="2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48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4 (9.3%)</w:t>
            </w:r>
          </w:p>
        </w:tc>
      </w:tr>
      <w:tr>
        <w:tblPrEx>
          <w:shd w:val="clear" w:color="auto" w:fill="d0ddef"/>
        </w:tblPrEx>
        <w:trPr>
          <w:trHeight w:val="320" w:hRule="atLeast"/>
        </w:trPr>
        <w:tc>
          <w:tcPr>
            <w:tcW w:type="dxa" w:w="2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line="480" w:lineRule="auto"/>
              <w:jc w:val="both"/>
            </w:pPr>
            <w:r>
              <w:rPr>
                <w:rtl w:val="0"/>
                <w:lang w:val="en-US"/>
              </w:rPr>
              <w:t>COPD</w:t>
            </w:r>
          </w:p>
        </w:tc>
        <w:tc>
          <w:tcPr>
            <w:tcW w:type="dxa" w:w="2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48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8 (2.5%)</w:t>
            </w:r>
          </w:p>
        </w:tc>
        <w:tc>
          <w:tcPr>
            <w:tcW w:type="dxa" w:w="2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48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4 (6.5%)</w:t>
            </w:r>
          </w:p>
        </w:tc>
        <w:tc>
          <w:tcPr>
            <w:tcW w:type="dxa" w:w="2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48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1 (2.3%)</w:t>
            </w:r>
          </w:p>
        </w:tc>
      </w:tr>
      <w:tr>
        <w:tblPrEx>
          <w:shd w:val="clear" w:color="auto" w:fill="d0ddef"/>
        </w:tblPrEx>
        <w:trPr>
          <w:trHeight w:val="320" w:hRule="atLeast"/>
        </w:trPr>
        <w:tc>
          <w:tcPr>
            <w:tcW w:type="dxa" w:w="2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line="480" w:lineRule="auto"/>
              <w:jc w:val="both"/>
            </w:pPr>
            <w:r>
              <w:rPr>
                <w:rtl w:val="0"/>
                <w:lang w:val="en-US"/>
              </w:rPr>
              <w:t>Liver cirrhosis</w:t>
            </w:r>
          </w:p>
        </w:tc>
        <w:tc>
          <w:tcPr>
            <w:tcW w:type="dxa" w:w="2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48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0 (0)</w:t>
            </w:r>
          </w:p>
        </w:tc>
        <w:tc>
          <w:tcPr>
            <w:tcW w:type="dxa" w:w="2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48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0 (0)</w:t>
            </w:r>
          </w:p>
        </w:tc>
        <w:tc>
          <w:tcPr>
            <w:tcW w:type="dxa" w:w="2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48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0 (0)</w:t>
            </w:r>
          </w:p>
        </w:tc>
      </w:tr>
      <w:tr>
        <w:tblPrEx>
          <w:shd w:val="clear" w:color="auto" w:fill="d0ddef"/>
        </w:tblPrEx>
        <w:trPr>
          <w:trHeight w:val="320" w:hRule="atLeast"/>
        </w:trPr>
        <w:tc>
          <w:tcPr>
            <w:tcW w:type="dxa" w:w="2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line="480" w:lineRule="auto"/>
              <w:jc w:val="both"/>
            </w:pPr>
            <w:r>
              <w:rPr>
                <w:rtl w:val="0"/>
                <w:lang w:val="en-US"/>
              </w:rPr>
              <w:t xml:space="preserve">Renal failure </w:t>
            </w:r>
          </w:p>
        </w:tc>
        <w:tc>
          <w:tcPr>
            <w:tcW w:type="dxa" w:w="2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48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6 (1.9%)</w:t>
            </w:r>
          </w:p>
        </w:tc>
        <w:tc>
          <w:tcPr>
            <w:tcW w:type="dxa" w:w="2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48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4 (6.5%)</w:t>
            </w:r>
          </w:p>
        </w:tc>
        <w:tc>
          <w:tcPr>
            <w:tcW w:type="dxa" w:w="2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1"/>
              <w:spacing w:line="48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2 (4.7%)</w:t>
            </w:r>
          </w:p>
        </w:tc>
      </w:tr>
    </w:tbl>
    <w:p>
      <w:pPr>
        <w:pStyle w:val="正文1"/>
        <w:widowControl w:val="0"/>
        <w:ind w:left="216" w:hanging="216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</w:p>
    <w:p>
      <w:pPr>
        <w:pStyle w:val="正文1"/>
        <w:spacing w:line="480" w:lineRule="auto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</w:p>
    <w:p>
      <w:pPr>
        <w:pStyle w:val="正文1"/>
        <w:spacing w:line="480" w:lineRule="auto"/>
      </w:pP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en-US"/>
        </w:rPr>
        <w:t xml:space="preserve">Data were expressed as number (percentage of current group), ** p &lt; 0.01, *** p &lt; 0.001 vs survival group. </w:t>
      </w:r>
      <w:r>
        <w:rPr>
          <w:rFonts w:ascii="Times New Roman" w:hAnsi="Times New Roman"/>
          <w:sz w:val="24"/>
          <w:szCs w:val="24"/>
          <w:rtl w:val="0"/>
          <w:lang w:val="en-US"/>
        </w:rPr>
        <w:t>COPD, chronic obstructive pulmonary disease.</w:t>
      </w:r>
      <w:r>
        <w:rPr>
          <w:rFonts w:ascii="Times New Roman" w:hAnsi="Times New Roman"/>
          <w:sz w:val="24"/>
          <w:szCs w:val="24"/>
          <w:rtl w:val="0"/>
          <w:lang w:val="zh-CN" w:eastAsia="zh-CN"/>
        </w:rPr>
        <w:t xml:space="preserve"> </w:t>
      </w:r>
      <w:r>
        <w:rPr>
          <w:rFonts w:ascii="Times New Roman" w:cs="Times New Roman" w:hAnsi="Times New Roman" w:eastAsia="Times New Roman"/>
          <w:sz w:val="24"/>
          <w:szCs w:val="24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页眉与页脚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页眉与页脚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420"/>
  <w:autoHyphenation w:val="1"/>
  <w:evenAndOddHeaders w:val="0"/>
  <w:bookFoldPrinting w:val="0"/>
  <w:noLineBreaksAfter w:lang="中文" w:val="‘“(〔[{〈《「『【⦅〘〖«〝︵︷︹︻︽︿﹁﹃﹇﹙﹛﹝｢"/>
  <w:noLineBreaksBefore w:lang="中文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页眉与页脚">
    <w:name w:val="页眉与页脚"/>
    <w:next w:val="页眉与页脚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正文1">
    <w:name w:val="正文1"/>
    <w:next w:val="正文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表格样式 1 A">
    <w:name w:val="表格样式 1 A"/>
    <w:next w:val="表格样式 1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主题">
  <a:themeElements>
    <a:clrScheme name="Office 主题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主题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