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14317D" w14:textId="77777777" w:rsidR="000F02C7" w:rsidRPr="00A05416" w:rsidRDefault="000F02C7" w:rsidP="000F02C7">
      <w:pPr>
        <w:spacing w:line="480" w:lineRule="auto"/>
        <w:jc w:val="center"/>
        <w:rPr>
          <w:rFonts w:asciiTheme="minorHAnsi" w:eastAsia="Helvetica Neue" w:hAnsiTheme="minorHAnsi" w:cs="Helvetica Neue"/>
          <w:b/>
        </w:rPr>
      </w:pPr>
      <w:r w:rsidRPr="00A05416">
        <w:rPr>
          <w:rFonts w:asciiTheme="minorHAnsi" w:eastAsia="Helvetica Neue" w:hAnsiTheme="minorHAnsi" w:cs="Helvetica Neue"/>
          <w:b/>
        </w:rPr>
        <w:t>Appendix One: Literature Review on Trauma Death Rates Due to Bleeding</w:t>
      </w:r>
    </w:p>
    <w:p w14:paraId="71BB500A" w14:textId="77777777" w:rsidR="000F02C7" w:rsidRPr="00A05416" w:rsidRDefault="000F02C7" w:rsidP="000F02C7">
      <w:pPr>
        <w:spacing w:line="480" w:lineRule="auto"/>
        <w:rPr>
          <w:rFonts w:asciiTheme="minorHAnsi" w:eastAsia="Helvetica Neue" w:hAnsiTheme="minorHAnsi" w:cs="Helvetica Neue"/>
        </w:rPr>
      </w:pPr>
    </w:p>
    <w:p w14:paraId="39FA8259" w14:textId="77777777" w:rsidR="000F02C7" w:rsidRPr="00A05416" w:rsidRDefault="000F02C7" w:rsidP="000F02C7">
      <w:pPr>
        <w:spacing w:line="480" w:lineRule="auto"/>
        <w:rPr>
          <w:rFonts w:asciiTheme="minorHAnsi" w:eastAsia="Helvetica Neue" w:hAnsiTheme="minorHAnsi" w:cs="Helvetica Neue"/>
        </w:rPr>
      </w:pPr>
      <w:r w:rsidRPr="00A05416">
        <w:rPr>
          <w:rFonts w:asciiTheme="minorHAnsi" w:eastAsia="Helvetica Neue" w:hAnsiTheme="minorHAnsi" w:cs="Helvetica Neue"/>
        </w:rPr>
        <w:t xml:space="preserve">The epidemiology of blunt and penetrating trauma has been studied nationally and internationally and for decades. Causes of death are usually categorized as due to central nervous system injuries (i.e., a traumatic brain injury); to hemorrhage; to multi-system organ failures; and to various </w:t>
      </w:r>
      <w:proofErr w:type="gramStart"/>
      <w:r w:rsidRPr="00A05416">
        <w:rPr>
          <w:rFonts w:asciiTheme="minorHAnsi" w:eastAsia="Helvetica Neue" w:hAnsiTheme="minorHAnsi" w:cs="Helvetica Neue"/>
        </w:rPr>
        <w:t>less</w:t>
      </w:r>
      <w:proofErr w:type="gramEnd"/>
      <w:r w:rsidRPr="00A05416">
        <w:rPr>
          <w:rFonts w:asciiTheme="minorHAnsi" w:eastAsia="Helvetica Neue" w:hAnsiTheme="minorHAnsi" w:cs="Helvetica Neue"/>
        </w:rPr>
        <w:t xml:space="preserve"> common causes, such as downstream sepsis or venous thromboembolic events.</w:t>
      </w:r>
    </w:p>
    <w:p w14:paraId="5A676DC4" w14:textId="77777777" w:rsidR="000F02C7" w:rsidRPr="00A05416" w:rsidRDefault="000F02C7" w:rsidP="000F02C7">
      <w:pPr>
        <w:spacing w:line="480" w:lineRule="auto"/>
        <w:rPr>
          <w:rFonts w:asciiTheme="minorHAnsi" w:eastAsia="Helvetica Neue" w:hAnsiTheme="minorHAnsi" w:cs="Helvetica Neue"/>
        </w:rPr>
      </w:pPr>
      <w:r w:rsidRPr="00A05416">
        <w:rPr>
          <w:rFonts w:asciiTheme="minorHAnsi" w:eastAsia="Helvetica Neue" w:hAnsiTheme="minorHAnsi" w:cs="Helvetica Neue"/>
        </w:rPr>
        <w:t> </w:t>
      </w:r>
    </w:p>
    <w:p w14:paraId="4CEAE573" w14:textId="77777777" w:rsidR="000F02C7" w:rsidRPr="00A05416" w:rsidRDefault="000F02C7" w:rsidP="000F02C7">
      <w:pPr>
        <w:spacing w:line="480" w:lineRule="auto"/>
        <w:rPr>
          <w:rFonts w:asciiTheme="minorHAnsi" w:eastAsia="Helvetica Neue" w:hAnsiTheme="minorHAnsi" w:cs="Helvetica Neue"/>
        </w:rPr>
      </w:pPr>
      <w:r w:rsidRPr="00A05416">
        <w:rPr>
          <w:rFonts w:asciiTheme="minorHAnsi" w:eastAsia="Helvetica Neue" w:hAnsiTheme="minorHAnsi" w:cs="Helvetica Neue"/>
        </w:rPr>
        <w:t>Some studies report data on blunt and penetrating trauma as two separate entities. Most do not and report collective mortality for blunt and penetrating trauma.</w:t>
      </w:r>
    </w:p>
    <w:p w14:paraId="6A71402C" w14:textId="77777777" w:rsidR="000F02C7" w:rsidRPr="00A05416" w:rsidRDefault="000F02C7" w:rsidP="000F02C7">
      <w:pPr>
        <w:spacing w:line="480" w:lineRule="auto"/>
        <w:rPr>
          <w:rFonts w:asciiTheme="minorHAnsi" w:eastAsia="Helvetica Neue" w:hAnsiTheme="minorHAnsi" w:cs="Helvetica Neue"/>
        </w:rPr>
      </w:pPr>
      <w:r w:rsidRPr="00A05416">
        <w:rPr>
          <w:rFonts w:asciiTheme="minorHAnsi" w:eastAsia="Helvetica Neue" w:hAnsiTheme="minorHAnsi" w:cs="Helvetica Neue"/>
        </w:rPr>
        <w:t> </w:t>
      </w:r>
    </w:p>
    <w:p w14:paraId="15B7B832" w14:textId="77777777" w:rsidR="000F02C7" w:rsidRPr="00A05416" w:rsidRDefault="000F02C7" w:rsidP="000F02C7">
      <w:pPr>
        <w:spacing w:line="480" w:lineRule="auto"/>
        <w:rPr>
          <w:rFonts w:asciiTheme="minorHAnsi" w:eastAsia="Helvetica Neue" w:hAnsiTheme="minorHAnsi" w:cs="Helvetica Neue"/>
        </w:rPr>
      </w:pPr>
      <w:r w:rsidRPr="00A05416">
        <w:rPr>
          <w:rFonts w:asciiTheme="minorHAnsi" w:eastAsia="Helvetica Neue" w:hAnsiTheme="minorHAnsi" w:cs="Helvetica Neue"/>
        </w:rPr>
        <w:t xml:space="preserve">Many studies cite the 1992 work of </w:t>
      </w:r>
      <w:proofErr w:type="spellStart"/>
      <w:r w:rsidRPr="00A05416">
        <w:rPr>
          <w:rFonts w:asciiTheme="minorHAnsi" w:eastAsia="Helvetica Neue" w:hAnsiTheme="minorHAnsi" w:cs="Helvetica Neue"/>
        </w:rPr>
        <w:t>Sauaia</w:t>
      </w:r>
      <w:proofErr w:type="spellEnd"/>
      <w:r w:rsidRPr="00A05416">
        <w:rPr>
          <w:rFonts w:asciiTheme="minorHAnsi" w:eastAsia="Helvetica Neue" w:hAnsiTheme="minorHAnsi" w:cs="Helvetica Neue"/>
        </w:rPr>
        <w:t xml:space="preserve"> et al., which looked in detail at 289 lethal injuries in their Denver-based trauma system and found that, in blunt and penetrating trauma deaths, 39% had died of bleeding</w:t>
      </w:r>
      <w:r>
        <w:rPr>
          <w:rFonts w:asciiTheme="minorHAnsi" w:eastAsia="Helvetica Neue" w:hAnsiTheme="minorHAnsi" w:cs="Helvetica Neue"/>
        </w:rPr>
        <w:t>.</w:t>
      </w:r>
      <w:r>
        <w:rPr>
          <w:rFonts w:asciiTheme="minorHAnsi" w:eastAsia="Helvetica Neue" w:hAnsiTheme="minorHAnsi" w:cs="Helvetica Neue"/>
        </w:rPr>
        <w:fldChar w:fldCharType="begin"/>
      </w:r>
      <w:r>
        <w:rPr>
          <w:rFonts w:asciiTheme="minorHAnsi" w:eastAsia="Helvetica Neue" w:hAnsiTheme="minorHAnsi" w:cs="Helvetica Neue"/>
        </w:rPr>
        <w:instrText xml:space="preserve"> ADDIN ZOTERO_ITEM CSL_CITATION {"citationID":"cD3wmsno","properties":{"formattedCitation":"\\super 3\\nosupersub{}","plainCitation":"3","noteIndex":0},"citationItems":[{"id":72,"uris":["http://zotero.org/users/local/RnOeVACi/items/3TJ2YN8Q"],"uri":["http://zotero.org/users/local/RnOeVACi/items/3TJ2YN8Q"],"itemData":{"id":72,"type":"article-journal","abstract":"Objective: Recognizing the impact of the 1977 San Francisco study of trauma deaths in trauma care, our purpose was to reassess those findings in a contemporary trauma system. Design: Cross-sectional. Material and Methods: All trauma deaths occurring in Denver City and County during 1992 were reviewed; data were obtained by cross-referencing four databases: paramedic trip reports, trauma registries, coroner autopsy reports and police reports.\nMeasurements and Main Results: There were 289 postinjury fatalities; mean age was 36.8 +/- 1.2 years and mean Injury Severity Score (ISS) was 35.7 +/- 1.2. Predominant injury mechanisms were gunshot wounds in 121 (42%), motorvehicle accidents in 75 (38%) and falls in 23 (8%) cases. Seven (2%) individuals sustained lethal burns. Ninety eight (34%) deaths occurred in the pre-hospital setting. The remaining 191 (66%) patients were transported to the hospital. Of these, 154 (81%) died in the first 48 hours (acute), 11 (6%) within three to seven days (early) and 26 (14%) after seven days (late). Central nervous system injuries were the most frequent cause of death (42%), followed by exsanguination (39%) and organ failure (7%). While acute and early deaths were mostly due to the first two causes, organ failure was the most common cause of late death (61%).\nConclusions: In comparison with the previous report, we observed similar injury mechanisms, demographics and causes of death. However, in our experience, there was an improved access to the medical system, greater proportion of late deaths due to brain injury and lack of the classic trimodal distribution.","container-title":"Journal of Trauma and Acute Care Surgery","language":"en","page":"35","source":"Zotero","title":"Epidemiology of Trauma Deaths: A Reassessment : Journal of Trauma and Acute Care Surgery","author":[{"family":"Sauaia","given":"Angela"}]}}],"schema":"https://github.com/citation-style-language/schema/raw/master/csl-citation.json"} </w:instrText>
      </w:r>
      <w:r>
        <w:rPr>
          <w:rFonts w:asciiTheme="minorHAnsi" w:eastAsia="Helvetica Neue" w:hAnsiTheme="minorHAnsi" w:cs="Helvetica Neue"/>
        </w:rPr>
        <w:fldChar w:fldCharType="separate"/>
      </w:r>
      <w:r w:rsidRPr="008233E1">
        <w:rPr>
          <w:rFonts w:hAnsiTheme="minorHAnsi"/>
          <w:vertAlign w:val="superscript"/>
        </w:rPr>
        <w:t>3</w:t>
      </w:r>
      <w:r>
        <w:rPr>
          <w:rFonts w:asciiTheme="minorHAnsi" w:eastAsia="Helvetica Neue" w:hAnsiTheme="minorHAnsi" w:cs="Helvetica Neue"/>
        </w:rPr>
        <w:fldChar w:fldCharType="end"/>
      </w:r>
      <w:r w:rsidRPr="00A05416">
        <w:rPr>
          <w:rFonts w:asciiTheme="minorHAnsi" w:eastAsia="Helvetica Neue" w:hAnsiTheme="minorHAnsi" w:cs="Helvetica Neue"/>
        </w:rPr>
        <w:t xml:space="preserve"> The authors noted they were reprising a landmark 1977 San Francisco study, and they reported they had found similar injury mechanisms, demographics and causes of death: “CNS injuries (San Francisco = 50% vs. Denver = 42%) and exsanguination (San Francisco = 31% vs. Denver = 39%) were the primary causes of death in both communities.”</w:t>
      </w:r>
    </w:p>
    <w:p w14:paraId="44221255" w14:textId="77777777" w:rsidR="000F02C7" w:rsidRPr="00A05416" w:rsidRDefault="000F02C7" w:rsidP="000F02C7">
      <w:pPr>
        <w:spacing w:line="480" w:lineRule="auto"/>
        <w:rPr>
          <w:rFonts w:asciiTheme="minorHAnsi" w:eastAsia="Helvetica Neue" w:hAnsiTheme="minorHAnsi" w:cs="Helvetica Neue"/>
        </w:rPr>
      </w:pPr>
      <w:r w:rsidRPr="00A05416">
        <w:rPr>
          <w:rFonts w:asciiTheme="minorHAnsi" w:eastAsia="Helvetica Neue" w:hAnsiTheme="minorHAnsi" w:cs="Helvetica Neue"/>
        </w:rPr>
        <w:t>  </w:t>
      </w:r>
    </w:p>
    <w:p w14:paraId="6A261B3F" w14:textId="77777777" w:rsidR="000F02C7" w:rsidRPr="00A05416" w:rsidRDefault="000F02C7" w:rsidP="000F02C7">
      <w:pPr>
        <w:spacing w:line="480" w:lineRule="auto"/>
        <w:rPr>
          <w:rFonts w:asciiTheme="minorHAnsi" w:eastAsia="Helvetica Neue" w:hAnsiTheme="minorHAnsi" w:cs="Helvetica Neue"/>
        </w:rPr>
      </w:pPr>
      <w:r w:rsidRPr="00A05416">
        <w:rPr>
          <w:rFonts w:asciiTheme="minorHAnsi" w:eastAsia="Helvetica Neue" w:hAnsiTheme="minorHAnsi" w:cs="Helvetica Neue"/>
        </w:rPr>
        <w:t>These findings that CNS injuries such as traumatic brain injuries are a leading cause of death, followed closely by hemorrhage, are echoed in other literature. A rough range of 25-35% of blunt and penetrating trauma deaths being due to bleeding has been put forward across multiple more recent studies.</w:t>
      </w:r>
    </w:p>
    <w:p w14:paraId="52F02DF5" w14:textId="77777777" w:rsidR="000F02C7" w:rsidRPr="00A05416" w:rsidRDefault="000F02C7" w:rsidP="000F02C7">
      <w:pPr>
        <w:spacing w:line="480" w:lineRule="auto"/>
        <w:rPr>
          <w:rFonts w:asciiTheme="minorHAnsi" w:eastAsia="Helvetica Neue" w:hAnsiTheme="minorHAnsi" w:cs="Helvetica Neue"/>
        </w:rPr>
      </w:pPr>
      <w:r w:rsidRPr="00A05416">
        <w:rPr>
          <w:rFonts w:asciiTheme="minorHAnsi" w:eastAsia="Helvetica Neue" w:hAnsiTheme="minorHAnsi" w:cs="Helvetica Neue"/>
        </w:rPr>
        <w:t> </w:t>
      </w:r>
    </w:p>
    <w:p w14:paraId="631FE353" w14:textId="77777777" w:rsidR="000F02C7" w:rsidRPr="00A05416" w:rsidRDefault="000F02C7" w:rsidP="000F02C7">
      <w:pPr>
        <w:pBdr>
          <w:top w:val="nil"/>
          <w:left w:val="nil"/>
          <w:bottom w:val="nil"/>
          <w:right w:val="nil"/>
          <w:between w:val="nil"/>
        </w:pBdr>
        <w:tabs>
          <w:tab w:val="left" w:pos="500"/>
        </w:tabs>
        <w:spacing w:line="480" w:lineRule="auto"/>
        <w:ind w:left="504" w:hanging="504"/>
        <w:rPr>
          <w:rFonts w:asciiTheme="minorHAnsi" w:hAnsiTheme="minorHAnsi"/>
          <w:color w:val="000000"/>
        </w:rPr>
      </w:pPr>
      <w:r w:rsidRPr="00A05416">
        <w:rPr>
          <w:rFonts w:asciiTheme="minorHAnsi" w:hAnsiTheme="minorHAnsi"/>
          <w:color w:val="000000"/>
        </w:rPr>
        <w:t>The CRASH-2 study, a randomized controlled trial with more than 20,000 patients worldwide, calculated</w:t>
      </w:r>
    </w:p>
    <w:p w14:paraId="5960C064" w14:textId="77777777" w:rsidR="000F02C7" w:rsidRPr="00A05416" w:rsidRDefault="000F02C7" w:rsidP="000F02C7">
      <w:pPr>
        <w:pBdr>
          <w:top w:val="nil"/>
          <w:left w:val="nil"/>
          <w:bottom w:val="nil"/>
          <w:right w:val="nil"/>
          <w:between w:val="nil"/>
        </w:pBdr>
        <w:tabs>
          <w:tab w:val="left" w:pos="500"/>
        </w:tabs>
        <w:spacing w:line="480" w:lineRule="auto"/>
        <w:rPr>
          <w:rFonts w:asciiTheme="minorHAnsi" w:eastAsia="Helvetica Neue" w:hAnsiTheme="minorHAnsi" w:cs="Helvetica Neue"/>
          <w:color w:val="000000"/>
        </w:rPr>
      </w:pPr>
      <w:r w:rsidRPr="00A05416">
        <w:rPr>
          <w:rFonts w:asciiTheme="minorHAnsi" w:hAnsiTheme="minorHAnsi"/>
          <w:color w:val="000000"/>
        </w:rPr>
        <w:t>a 35% rate of bleeding deaths in trauma</w:t>
      </w:r>
      <w:r>
        <w:rPr>
          <w:rFonts w:asciiTheme="minorHAnsi" w:hAnsiTheme="minorHAnsi"/>
          <w:color w:val="000000"/>
        </w:rPr>
        <w:t>.</w:t>
      </w:r>
      <w:r>
        <w:rPr>
          <w:rFonts w:asciiTheme="minorHAnsi" w:hAnsiTheme="minorHAnsi"/>
          <w:color w:val="000000"/>
        </w:rPr>
        <w:fldChar w:fldCharType="begin"/>
      </w:r>
      <w:r>
        <w:rPr>
          <w:rFonts w:asciiTheme="minorHAnsi" w:hAnsiTheme="minorHAnsi"/>
          <w:color w:val="000000"/>
        </w:rPr>
        <w:instrText xml:space="preserve"> ADDIN ZOTERO_ITEM CSL_CITATION {"citationID":"Ii7dY9Q9","properties":{"formattedCitation":"\\super 5\\nosupersub{}","plainCitation":"5","noteIndex":0},"citationItems":[{"id":22,"uris":["http://zotero.org/users/local/RnOeVACi/items/K2RH6JLW"],"uri":["http://zotero.org/users/local/RnOeVACi/items/K2RH6JLW"],"itemData":{"id":22,"type":"article-journal","abstract":"Background Tranexamic acid can reduce bleeding in patients undergoing elective surgery. We assessed the eﬀects of early administration of a short course of tranexamic acid on death, vascular occlusive events, and the receipt of blood transfusion in trauma patients.","container-title":"The Lancet","DOI":"10.1016/S0140-6736(10)60835-5","ISSN":"01406736","issue":"9734","journalAbbreviation":"The Lancet","language":"en","page":"23-32","source":"DOI.org (Crossref)","title":"Effects of tranexamic acid on death, vascular occlusive events, and blood transfusion in trauma patients with significant haemorrhage (CRASH-2): a randomised, placebo-controlled trial","title-short":"Effects of tranexamic acid on death, vascular occlusive events, and blood transfusion in trauma patients with significant haemorrhage (CRASH-2)","volume":"376","issued":{"date-parts":[["2010",7]]}}}],"schema":"https://github.com/citation-style-language/schema/raw/master/csl-citation.json"} </w:instrText>
      </w:r>
      <w:r>
        <w:rPr>
          <w:rFonts w:asciiTheme="minorHAnsi" w:hAnsiTheme="minorHAnsi"/>
          <w:color w:val="000000"/>
        </w:rPr>
        <w:fldChar w:fldCharType="separate"/>
      </w:r>
      <w:r w:rsidRPr="008233E1">
        <w:rPr>
          <w:rFonts w:hAnsiTheme="minorHAnsi"/>
          <w:color w:val="000000"/>
          <w:vertAlign w:val="superscript"/>
        </w:rPr>
        <w:t>5</w:t>
      </w:r>
      <w:r>
        <w:rPr>
          <w:rFonts w:asciiTheme="minorHAnsi" w:hAnsiTheme="minorHAnsi"/>
          <w:color w:val="000000"/>
        </w:rPr>
        <w:fldChar w:fldCharType="end"/>
      </w:r>
    </w:p>
    <w:p w14:paraId="6FC1A2FA" w14:textId="77777777" w:rsidR="000F02C7" w:rsidRPr="00A05416" w:rsidRDefault="000F02C7" w:rsidP="000F02C7">
      <w:pPr>
        <w:spacing w:line="480" w:lineRule="auto"/>
        <w:rPr>
          <w:rFonts w:asciiTheme="minorHAnsi" w:eastAsia="Helvetica Neue" w:hAnsiTheme="minorHAnsi" w:cs="Helvetica Neue"/>
        </w:rPr>
      </w:pPr>
      <w:r w:rsidRPr="00A05416">
        <w:rPr>
          <w:rFonts w:asciiTheme="minorHAnsi" w:eastAsia="Helvetica Neue" w:hAnsiTheme="minorHAnsi" w:cs="Helvetica Neue"/>
        </w:rPr>
        <w:t> </w:t>
      </w:r>
    </w:p>
    <w:p w14:paraId="72964B2D" w14:textId="77777777" w:rsidR="000F02C7" w:rsidRPr="00A05416" w:rsidRDefault="000F02C7" w:rsidP="000F02C7">
      <w:pPr>
        <w:spacing w:line="480" w:lineRule="auto"/>
        <w:rPr>
          <w:rFonts w:asciiTheme="minorHAnsi" w:eastAsia="Helvetica Neue" w:hAnsiTheme="minorHAnsi" w:cs="Helvetica Neue"/>
        </w:rPr>
      </w:pPr>
      <w:r w:rsidRPr="00A05416">
        <w:rPr>
          <w:rFonts w:asciiTheme="minorHAnsi" w:eastAsia="Helvetica Neue" w:hAnsiTheme="minorHAnsi" w:cs="Helvetica Neue"/>
        </w:rPr>
        <w:lastRenderedPageBreak/>
        <w:t>Dutton et al, looking at more than 68,000 admissions to the Baltimore-based Shock Trauma Center over a 12-year period (1997-2008), found that acute hemorrhage accounted for 30% of all trauma deaths</w:t>
      </w:r>
      <w:r>
        <w:rPr>
          <w:rFonts w:asciiTheme="minorHAnsi" w:eastAsia="Helvetica Neue" w:hAnsiTheme="minorHAnsi" w:cs="Helvetica Neue"/>
        </w:rPr>
        <w:t>.</w:t>
      </w:r>
      <w:r>
        <w:rPr>
          <w:rFonts w:asciiTheme="minorHAnsi" w:eastAsia="Helvetica Neue" w:hAnsiTheme="minorHAnsi" w:cs="Helvetica Neue"/>
        </w:rPr>
        <w:fldChar w:fldCharType="begin"/>
      </w:r>
      <w:r>
        <w:rPr>
          <w:rFonts w:asciiTheme="minorHAnsi" w:eastAsia="Helvetica Neue" w:hAnsiTheme="minorHAnsi" w:cs="Helvetica Neue"/>
        </w:rPr>
        <w:instrText xml:space="preserve"> ADDIN ZOTERO_ITEM CSL_CITATION {"citationID":"AsibP6T7","properties":{"formattedCitation":"\\super 4\\nosupersub{}","plainCitation":"4","noteIndex":0},"citationItems":[{"id":64,"uris":["http://zotero.org/users/local/RnOeVACi/items/TSULBDW7"],"uri":["http://zotero.org/users/local/RnOeVACi/items/TSULBDW7"],"itemData":{"id":64,"type":"article-journal","abstract":"Background: Advances in care such as damage control surgery, hemostatic resuscitation, protocol-driven cerebral perfusion management, and lungprotective ventilation have promised to improve survival after major trauma. We examined injury severity, mortality, and preventability in a mature trauma system during a 12-year period to assess the overall beneﬁts of these and other improvements.\nMethods: Using the institutional trauma registry and the quality management database, we analyzed the outcome and the cause of death for all primary trauma admissions from July 1, 1996, to June 30, 2008, and linked these data with patient demographics, hospital length of stay, time to death, predicted probability of survival, and peer review of in-hospital deaths.\nResults: Through ﬁscal year (FY) 2007, primary trauma admissions increased in number, injury severity, and age. Performance benchmarked against predicted probability of survival improved. Mortality through this era ranged from 3% to 3.7% and worsened slightly overall (p ϭ 0.04). However, among those patients admitted with Injury Severity Score 17–25, survival improved signiﬁcantly (p ϭ 0.0003). Traumatic brain injury (TBI) accounted for 51.6% of deaths; acute hemorrhage, 30%; and multiple organ failure, 10.5%. Median time to death for uncontrollable hemorrhage, TBI, multiple organ failure was 2 hours, 24 hours, and 15 days, respectively. These patterns did not change signiﬁcantly over time.\nConclusion: Survival after severe trauma and survival benchmarked against predicted risk improved signiﬁcantly at our center during the past 12 years despite generally increasing age and worsening injuries. Advances in trauma care have kept pace with an aging population and greater severity of injury, but overall survival has not improved.","container-title":"Journal of Trauma: Injury, Infection &amp; Critical Care","DOI":"10.1097/TA.0b013e3181bbfe2a","ISSN":"0022-5282","issue":"3","language":"en","page":"620-626","source":"DOI.org (Crossref)","title":"Trauma Mortality in Mature Trauma Systems: Are We Doing Better? An Analysis of Trauma Mortality Patterns, 1997–2008","title-short":"Trauma Mortality in Mature Trauma Systems","volume":"69","author":[{"family":"Dutton","given":"Richard P."},{"family":"Stansbury","given":"Lynn G."},{"family":"Leone","given":"Susan"},{"family":"Kramer","given":"Elizabeth"},{"family":"Hess","given":"John R."},{"family":"Scalea","given":"Thomas M."}],"issued":{"date-parts":[["2010",9]]}}}],"schema":"https://github.com/citation-style-language/schema/raw/master/csl-citation.json"} </w:instrText>
      </w:r>
      <w:r>
        <w:rPr>
          <w:rFonts w:asciiTheme="minorHAnsi" w:eastAsia="Helvetica Neue" w:hAnsiTheme="minorHAnsi" w:cs="Helvetica Neue"/>
        </w:rPr>
        <w:fldChar w:fldCharType="separate"/>
      </w:r>
      <w:r w:rsidRPr="008233E1">
        <w:rPr>
          <w:rFonts w:hAnsiTheme="minorHAnsi"/>
          <w:vertAlign w:val="superscript"/>
        </w:rPr>
        <w:t>4</w:t>
      </w:r>
      <w:r>
        <w:rPr>
          <w:rFonts w:asciiTheme="minorHAnsi" w:eastAsia="Helvetica Neue" w:hAnsiTheme="minorHAnsi" w:cs="Helvetica Neue"/>
        </w:rPr>
        <w:fldChar w:fldCharType="end"/>
      </w:r>
    </w:p>
    <w:p w14:paraId="0ACEEF04" w14:textId="77777777" w:rsidR="000F02C7" w:rsidRPr="00A05416" w:rsidRDefault="000F02C7" w:rsidP="000F02C7">
      <w:pPr>
        <w:spacing w:line="480" w:lineRule="auto"/>
        <w:rPr>
          <w:rFonts w:asciiTheme="minorHAnsi" w:eastAsia="Helvetica Neue" w:hAnsiTheme="minorHAnsi" w:cs="Helvetica Neue"/>
        </w:rPr>
      </w:pPr>
      <w:r w:rsidRPr="00A05416">
        <w:rPr>
          <w:rFonts w:asciiTheme="minorHAnsi" w:eastAsia="Helvetica Neue" w:hAnsiTheme="minorHAnsi" w:cs="Helvetica Neue"/>
        </w:rPr>
        <w:t> </w:t>
      </w:r>
    </w:p>
    <w:p w14:paraId="3FB4350F" w14:textId="77777777" w:rsidR="000F02C7" w:rsidRPr="00A05416" w:rsidRDefault="000F02C7" w:rsidP="000F02C7">
      <w:pPr>
        <w:spacing w:line="480" w:lineRule="auto"/>
        <w:rPr>
          <w:rFonts w:asciiTheme="minorHAnsi" w:eastAsia="Helvetica Neue" w:hAnsiTheme="minorHAnsi" w:cs="Helvetica Neue"/>
        </w:rPr>
      </w:pPr>
      <w:proofErr w:type="spellStart"/>
      <w:r w:rsidRPr="00A05416">
        <w:rPr>
          <w:rFonts w:asciiTheme="minorHAnsi" w:eastAsia="Helvetica Neue" w:hAnsiTheme="minorHAnsi" w:cs="Helvetica Neue"/>
        </w:rPr>
        <w:t>Oyeniyi</w:t>
      </w:r>
      <w:proofErr w:type="spellEnd"/>
      <w:r w:rsidRPr="00A05416">
        <w:rPr>
          <w:rFonts w:asciiTheme="minorHAnsi" w:eastAsia="Helvetica Neue" w:hAnsiTheme="minorHAnsi" w:cs="Helvetica Neue"/>
        </w:rPr>
        <w:t xml:space="preserve"> et al reviewed 1,029 blunt and penetrating trauma deaths in a Houston-based trauma system over two time periods, from 2005-2006 and 2012-2013, and found deaths from hemorrhaging fell from 36% to 25% over time. In part, they hypothesize, this may have been due to an increased focus on hemorrhage control interventions</w:t>
      </w:r>
      <w:r>
        <w:rPr>
          <w:rFonts w:asciiTheme="minorHAnsi" w:eastAsia="Helvetica Neue" w:hAnsiTheme="minorHAnsi" w:cs="Helvetica Neue"/>
        </w:rPr>
        <w:t>.</w:t>
      </w:r>
      <w:r>
        <w:rPr>
          <w:rFonts w:asciiTheme="minorHAnsi" w:eastAsia="Helvetica Neue" w:hAnsiTheme="minorHAnsi" w:cs="Helvetica Neue"/>
        </w:rPr>
        <w:fldChar w:fldCharType="begin"/>
      </w:r>
      <w:r>
        <w:rPr>
          <w:rFonts w:asciiTheme="minorHAnsi" w:eastAsia="Helvetica Neue" w:hAnsiTheme="minorHAnsi" w:cs="Helvetica Neue"/>
        </w:rPr>
        <w:instrText xml:space="preserve"> ADDIN ZOTERO_ITEM CSL_CITATION {"citationID":"7sH6rb4U","properties":{"formattedCitation":"\\super 6\\nosupersub{}","plainCitation":"6","noteIndex":0},"citationItems":[{"id":61,"uris":["http://zotero.org/users/local/RnOeVACi/items/H66VJWNR"],"uri":["http://zotero.org/users/local/RnOeVACi/items/H66VJWNR"],"itemData":{"id":61,"type":"article-journal","abstract":"Background: Over the last decade the age of trauma patients and injury mortality has increased. At the same time, many centers have implemented multiple interventions focused on improved hemorrhage control, effectively resulting in a bleeding control bundle of care. The objective of our study was to analyze the temporal distribution of trauma-related deaths, the factors that characterize that distribution and how those factors have changed over time at our urban level 1 trauma center.\nMethods: Records at an urban Level 1 trauma center were reviewed. Two time periods (2005–2006 and 2012–2013) were included in the analysis. Mortality rates were directly adjusted for age, gender and mechanism of injury. The Mann-Whitney and chi square tests were used to compare variables between periods, with signiﬁcance set at 0.05.\nResults: 7080 patients (498 deaths) were examined in 2005–2006, while 8767 patients (531 deaths) were reviewed in 2012–2013. The median age increased 6 years, with a similar increase in those who died. In patients that died, no differences by gender, race or ethnicity were observed. Fall-related deaths are now the leading cause of death. Traumatic brain injury (TBI) and hemorrhage accounted for &gt;91% of all deaths. TBI (61%) and multiple organ failure or sepsis (6.2%) deaths were unchanged, while deaths associated with hemorrhage decreased from 36% to 25% (p &lt; 0.01). Across time periods, 26% of all deaths occurred within one hour of hospital arrival, while 59% occurred within 24 h. Unadjusted mortality dropped from 7.0% to 6.1 (p = 0.01) and in-hospital mortality dropped from 6.0% to 5.0% (p &lt; 0.01). Adjusted mortality dropped 24% from 7.6% (95% CI: 6.9–8.2) to 5.8% (95% CI: 5.3–6.3) and in-hospital mortality decreased 30% from 6.6% (95% CI: 6.0–7.2) to 4.7 (95% CI: 4.2–5.1).\nConclusions: Over the same time frame of this study, increases in trauma death across the globe have been reported. This single-site study demonstrated a signiﬁcant reduction in mortality, attributable to decreased hemorrhagic death. It is possible that efforts focused on hemorrhage control interventions (a bleeding control bundle) resulted in this reduction. These changing factors provide guidance on future prevention and intervention efforts.","container-title":"Injury","DOI":"10.1016/j.injury.2016.10.037","ISSN":"00201383","issue":"1","journalAbbreviation":"Injury","language":"en","page":"5-12","source":"DOI.org (Crossref)","title":"Trends in 1029 trauma deaths at a level 1 trauma center: Impact of a bleeding control bundle of care","title-short":"Trends in 1029 trauma deaths at a level 1 trauma center","volume":"48","author":[{"family":"Oyeniyi","given":"Blessing T."},{"family":"Fox","given":"Erin E."},{"family":"Scerbo","given":"Michelle"},{"family":"Tomasek","given":"Jeffrey S."},{"family":"Wade","given":"Charles E."},{"family":"Holcomb","given":"John B."}],"issued":{"date-parts":[["2017",1]]}}}],"schema":"https://github.com/citation-style-language/schema/raw/master/csl-citation.json"} </w:instrText>
      </w:r>
      <w:r>
        <w:rPr>
          <w:rFonts w:asciiTheme="minorHAnsi" w:eastAsia="Helvetica Neue" w:hAnsiTheme="minorHAnsi" w:cs="Helvetica Neue"/>
        </w:rPr>
        <w:fldChar w:fldCharType="separate"/>
      </w:r>
      <w:r w:rsidRPr="008233E1">
        <w:rPr>
          <w:rFonts w:hAnsiTheme="minorHAnsi"/>
          <w:vertAlign w:val="superscript"/>
        </w:rPr>
        <w:t>6</w:t>
      </w:r>
      <w:r>
        <w:rPr>
          <w:rFonts w:asciiTheme="minorHAnsi" w:eastAsia="Helvetica Neue" w:hAnsiTheme="minorHAnsi" w:cs="Helvetica Neue"/>
        </w:rPr>
        <w:fldChar w:fldCharType="end"/>
      </w:r>
    </w:p>
    <w:p w14:paraId="7F645AA9" w14:textId="77777777" w:rsidR="000F02C7" w:rsidRPr="00A05416" w:rsidRDefault="000F02C7" w:rsidP="000F02C7">
      <w:pPr>
        <w:spacing w:line="480" w:lineRule="auto"/>
        <w:rPr>
          <w:rFonts w:asciiTheme="minorHAnsi" w:eastAsia="Helvetica Neue" w:hAnsiTheme="minorHAnsi" w:cs="Helvetica Neue"/>
        </w:rPr>
      </w:pPr>
      <w:r w:rsidRPr="00A05416">
        <w:rPr>
          <w:rFonts w:asciiTheme="minorHAnsi" w:eastAsia="Helvetica Neue" w:hAnsiTheme="minorHAnsi" w:cs="Helvetica Neue"/>
        </w:rPr>
        <w:t> </w:t>
      </w:r>
    </w:p>
    <w:p w14:paraId="47F6F9E8" w14:textId="77777777" w:rsidR="000F02C7" w:rsidRPr="00A05416" w:rsidRDefault="000F02C7" w:rsidP="000F02C7">
      <w:pPr>
        <w:spacing w:line="480" w:lineRule="auto"/>
        <w:rPr>
          <w:rFonts w:asciiTheme="minorHAnsi" w:eastAsia="Helvetica Neue" w:hAnsiTheme="minorHAnsi" w:cs="Helvetica Neue"/>
        </w:rPr>
      </w:pPr>
      <w:r w:rsidRPr="00A05416">
        <w:rPr>
          <w:rFonts w:asciiTheme="minorHAnsi" w:eastAsia="Helvetica Neue" w:hAnsiTheme="minorHAnsi" w:cs="Helvetica Neue"/>
        </w:rPr>
        <w:t xml:space="preserve">More recently, </w:t>
      </w:r>
      <w:proofErr w:type="spellStart"/>
      <w:r w:rsidRPr="00A05416">
        <w:rPr>
          <w:rFonts w:asciiTheme="minorHAnsi" w:eastAsia="Helvetica Neue" w:hAnsiTheme="minorHAnsi" w:cs="Helvetica Neue"/>
        </w:rPr>
        <w:t>Callcut</w:t>
      </w:r>
      <w:proofErr w:type="spellEnd"/>
      <w:r w:rsidRPr="00A05416">
        <w:rPr>
          <w:rFonts w:asciiTheme="minorHAnsi" w:eastAsia="Helvetica Neue" w:hAnsiTheme="minorHAnsi" w:cs="Helvetica Neue"/>
        </w:rPr>
        <w:t xml:space="preserve"> et al reported on prospective data collected across 18 U.S. trauma centers on 1,536 blunt and penetrating trauma cases from 2015 to 2017. They found, again, traumatic brain injury to be the leading cause of death at 45%, followed by exsanguination at 23%</w:t>
      </w:r>
      <w:r>
        <w:rPr>
          <w:rFonts w:asciiTheme="minorHAnsi" w:eastAsia="Helvetica Neue" w:hAnsiTheme="minorHAnsi" w:cs="Helvetica Neue"/>
        </w:rPr>
        <w:t>.</w:t>
      </w:r>
      <w:r>
        <w:rPr>
          <w:rFonts w:asciiTheme="minorHAnsi" w:eastAsia="Helvetica Neue" w:hAnsiTheme="minorHAnsi" w:cs="Helvetica Neue"/>
        </w:rPr>
        <w:fldChar w:fldCharType="begin"/>
      </w:r>
      <w:r>
        <w:rPr>
          <w:rFonts w:asciiTheme="minorHAnsi" w:eastAsia="Helvetica Neue" w:hAnsiTheme="minorHAnsi" w:cs="Helvetica Neue"/>
        </w:rPr>
        <w:instrText xml:space="preserve"> ADDIN ZOTERO_ITEM CSL_CITATION {"citationID":"vqETvYRn","properties":{"formattedCitation":"\\super 7\\nosupersub{}","plainCitation":"7","noteIndex":0},"citationItems":[{"id":63,"uris":["http://zotero.org/users/local/RnOeVACi/items/QXEYYY9I"],"uri":["http://zotero.org/users/local/RnOeVACi/items/QXEYYY9I"],"itemData":{"id":63,"type":"article-journal","abstract":"BACKGROUND: Historically, hemorrhage has been attributed as the leading cause (40%) of early death. However, a rigorous, real-time classification of the cause of death (COD) has not been performed. This study sought to prospectively adjudicate and classify COD to determine the epidemiology of trauma mortality.\nMETHODS: Eighteen trauma centers prospectively enrolled all adult trauma patients at the time of death during December 2015 to August 2017. Immediately following death, attending providers adjudicated the primary and contributing secondary COD using standardized definitions. Data were confirmed by autopsies, if performed.\nRESULTS: One thousand five hundred thirty-six patients were enrolled with a median age of 55 years (interquartile range, 32–75 years), 74.5% were male. Penetrating mechanism (n = 412) patients were younger (32 vs. 64, p &lt; 0.0001) and more likely to be male (86.7% vs. 69.9%, p &lt; 0.0001). Falls were the most common mechanism of injury (26.6%), with gunshot wounds second (24.3%). The most common overall primary COD was traumatic brain injury (TBI) (45%), followed by exsanguination (23%). Traumatic brain injury was nonsurvivable in 82.2% of cases. Blunt patients were more likely to have TBI (47.8% vs. 37.4%, p &lt; 0.0001) and penetrating patients exsanguination (51.7% vs. 12.5%, p &lt; 0.0001) as the primary COD. Exsanguination was the predominant prehospital (44.7%) and early COD (39.1%) with TBI as the most common later. Penetrating mechanism patients died earlier with 80.1% on day 0 (vs. 38.5%, p &lt; 0.0001). Most deaths were deemed disease-related (69.3%), rather than by limitation of further aggressive care (30.7%). Hemorrhage was a contributing cause to 38.8% of deaths that occurred due to withdrawal of care.\nCONCLUSION:","container-title":"Journal of Trauma and Acute Care Surgery","DOI":"10.1097/TA.0000000000002205","ISSN":"2163-0763, 2163-0755","issue":"5","journalAbbreviation":"J Trauma Acute Care Surg","language":"en","page":"864-870","source":"DOI.org (Crossref)","title":"The why and how our trauma patients die: A prospective Multicenter Western Trauma Association study","title-short":"The why and how our trauma patients die","volume":"86","author":[{"family":"Callcut","given":"Rachael A."},{"family":"Kornblith","given":"Lucy Z."},{"family":"Conroy","given":"Amanda S."},{"family":"Robles","given":"Anamaria J."},{"family":"Meizoso","given":"Jonathan P."},{"family":"Namias","given":"Nicholas"},{"family":"Meyer","given":"David E."},{"family":"Haymaker","given":"Amanda"},{"family":"Truitt","given":"Michael S."},{"family":"Agrawal","given":"Vaidehi"},{"family":"Haan","given":"James M."},{"family":"Lightwine","given":"Kelly L."},{"family":"Porter","given":"John M."},{"family":"San Roman","given":"Janika L."},{"family":"Biffl","given":"Walter L."},{"family":"Hayashi","given":"Michael S."},{"family":"Sise","given":"Michael J."},{"family":"Badiee","given":"Jayraan"},{"family":"Recinos","given":"Gustavo"},{"family":"Inaba","given":"Kenji"},{"family":"Schroeppel","given":"Thomas J."},{"family":"Callaghan","given":"Emma"},{"family":"Dunn","given":"Julie A."},{"family":"Godin","given":"Samuel"},{"family":"McIntyre","given":"Robert C."},{"family":"Peltz","given":"Erik D."},{"family":"O'Neill","given":"Patrick J."},{"family":"Diven","given":"Conrad F."},{"family":"Scifres","given":"Aaron M."},{"family":"Switzer","given":"Emily E."},{"family":"West","given":"Michaela A."},{"family":"Storrs","given":"Sarah"},{"family":"Cullinane","given":"Daniel C."},{"family":"Cordova","given":"John F."},{"family":"Moore","given":"Ernest E."},{"family":"Moore","given":"Hunter B."},{"family":"Privette","given":"Alicia R."},{"family":"Eriksson","given":"Evert A."},{"family":"Cohen","given":"Mitchell Jay"}],"issued":{"date-parts":[["2019",5]]}}}],"schema":"https://github.com/citation-style-language/schema/raw/master/csl-citation.json"} </w:instrText>
      </w:r>
      <w:r>
        <w:rPr>
          <w:rFonts w:asciiTheme="minorHAnsi" w:eastAsia="Helvetica Neue" w:hAnsiTheme="minorHAnsi" w:cs="Helvetica Neue"/>
        </w:rPr>
        <w:fldChar w:fldCharType="separate"/>
      </w:r>
      <w:r w:rsidRPr="008233E1">
        <w:rPr>
          <w:rFonts w:hAnsiTheme="minorHAnsi"/>
          <w:vertAlign w:val="superscript"/>
        </w:rPr>
        <w:t>7</w:t>
      </w:r>
      <w:r>
        <w:rPr>
          <w:rFonts w:asciiTheme="minorHAnsi" w:eastAsia="Helvetica Neue" w:hAnsiTheme="minorHAnsi" w:cs="Helvetica Neue"/>
        </w:rPr>
        <w:fldChar w:fldCharType="end"/>
      </w:r>
    </w:p>
    <w:p w14:paraId="68DE2480" w14:textId="77777777" w:rsidR="000F02C7" w:rsidRPr="00A05416" w:rsidRDefault="000F02C7" w:rsidP="000F02C7">
      <w:pPr>
        <w:spacing w:line="480" w:lineRule="auto"/>
        <w:rPr>
          <w:rFonts w:asciiTheme="minorHAnsi" w:eastAsia="Helvetica Neue" w:hAnsiTheme="minorHAnsi" w:cs="Helvetica Neue"/>
        </w:rPr>
      </w:pPr>
    </w:p>
    <w:p w14:paraId="2D2B3FEE" w14:textId="77777777" w:rsidR="000F02C7" w:rsidRPr="00A05416" w:rsidRDefault="000F02C7" w:rsidP="000F02C7">
      <w:pPr>
        <w:spacing w:line="480" w:lineRule="auto"/>
        <w:rPr>
          <w:rFonts w:asciiTheme="minorHAnsi" w:eastAsia="Helvetica Neue" w:hAnsiTheme="minorHAnsi" w:cs="Helvetica Neue"/>
        </w:rPr>
      </w:pPr>
      <w:r w:rsidRPr="00A05416">
        <w:rPr>
          <w:rFonts w:asciiTheme="minorHAnsi" w:eastAsia="Helvetica Neue" w:hAnsiTheme="minorHAnsi" w:cs="Helvetica Neue"/>
        </w:rPr>
        <w:t>Some investigators have further parsed the data to come up with rates of exsanguination in blunt trauma vs. penetrating trauma as separate categories. Ker et al. performed a 2012 literature review that identified 14 studies with data on 24,831 trauma deaths, including in-hospital trauma death data</w:t>
      </w:r>
      <w:r>
        <w:rPr>
          <w:rFonts w:asciiTheme="minorHAnsi" w:eastAsia="Helvetica Neue" w:hAnsiTheme="minorHAnsi" w:cs="Helvetica Neue"/>
        </w:rPr>
        <w:t>.</w:t>
      </w:r>
      <w:r w:rsidRPr="00A05416">
        <w:rPr>
          <w:rFonts w:asciiTheme="minorHAnsi" w:eastAsia="Helvetica Neue" w:hAnsiTheme="minorHAnsi" w:cs="Helvetica Neue"/>
        </w:rPr>
        <w:t xml:space="preserve"> They then further narrowed that to 5 studies involving 9,684 deaths that presented data on the proportion of blunt trauma deaths due to hemorrhage, and four studies with data on proportion of penetrating trauma deaths due to hemorrhage.</w:t>
      </w:r>
      <w:r>
        <w:rPr>
          <w:rFonts w:asciiTheme="minorHAnsi" w:eastAsia="Helvetica Neue" w:hAnsiTheme="minorHAnsi" w:cs="Helvetica Neue"/>
        </w:rPr>
        <w:fldChar w:fldCharType="begin"/>
      </w:r>
      <w:r>
        <w:rPr>
          <w:rFonts w:asciiTheme="minorHAnsi" w:eastAsia="Helvetica Neue" w:hAnsiTheme="minorHAnsi" w:cs="Helvetica Neue"/>
        </w:rPr>
        <w:instrText xml:space="preserve"> ADDIN ZOTERO_ITEM CSL_CITATION {"citationID":"vZJVpZMY","properties":{"formattedCitation":"\\super 8\\nosupersub{}","plainCitation":"8","noteIndex":0},"citationItems":[{"id":66,"uris":["http://zotero.org/users/local/RnOeVACi/items/Y34AZNGA"],"uri":["http://zotero.org/users/local/RnOeVACi/items/Y34AZNGA"],"itemData":{"id":66,"type":"article-journal","abstract":"Background The CRASH-2 trial showed that early administration of tranexamic acid (TXA) safely reduces mortality in bleeding in trauma patients. Based on data from the CRASH-2 trial, global mortality data and a systematic literature review, we estimated the number of premature deaths that might be averted every year worldwide through the use of TXA.\nMethods We used CRASH-2 trial data to examine the effect of TXA on death due to bleeding by geographical region. We used WHO mortality data (2008) and data from a systematic review of the literature to estimate the annual number of in-hospital trauma deaths due to bleeding. We then used the relative risk estimates from the CRASH-2 trial to estimate the number of premature deaths that could be averted if all hospitalised bleeding trauma patients received TXA within one hour of injury, and within three hours of injury. Sensitivity analyses were used to explore the effect of uncertainty in the parameter estimates and the assumptions made in the model.\nResults There is no evidence that the effect of TXA on death due to bleeding varies by geographical region (heterogeneity p = 0.70). Based on WHO data and our systematic literature review, we estimate that each year worldwide there are approximately 400,000 in-hospital trauma deaths due to bleeding. If patients received TXA within one hour of injury then approximately 128,000 (uncertainty range [UR] ≈ 72,000 to 172,000) deaths might be averted. If patients received TXA within three hours of injury then approximately 112,000 (UR ≈ 68,000 to 148,000) deaths might be averted. Country speciﬁc estimates show that the largest numbers of deaths averted would be in India and China.\nConclusions The use of TXA in the treatment of traumatic bleeding has the potential to prevent many premature deaths every year. A large proportion of the potential health gains are in low and middle income countries.","container-title":"BMC Emergency Medicine","DOI":"10.1186/1471-227X-12-3","ISSN":"1471-227X","issue":"1","journalAbbreviation":"BMC Emerg Med","language":"en","page":"3","source":"DOI.org (Crossref)","title":"Avoidable mortality from giving tranexamic acid to bleeding trauma patients: an estimation based on WHO mortality data, a systematic literature review and data from the CRASH-2 trial","title-short":"Avoidable mortality from giving tranexamic acid to bleeding trauma patients","volume":"12","author":[{"family":"Ker","given":"Katharine"},{"family":"Kiriya","given":"Junko"},{"family":"Perel","given":"Pablo"},{"family":"Edwards","given":"Phil"},{"family":"Shakur","given":"Haleema"},{"family":"Roberts","given":"Ian"}],"issued":{"date-parts":[["2012",12]]}}}],"schema":"https://github.com/citation-style-language/schema/raw/master/csl-citation.json"} </w:instrText>
      </w:r>
      <w:r>
        <w:rPr>
          <w:rFonts w:asciiTheme="minorHAnsi" w:eastAsia="Helvetica Neue" w:hAnsiTheme="minorHAnsi" w:cs="Helvetica Neue"/>
        </w:rPr>
        <w:fldChar w:fldCharType="separate"/>
      </w:r>
      <w:r w:rsidRPr="008233E1">
        <w:rPr>
          <w:rFonts w:hAnsiTheme="minorHAnsi"/>
          <w:vertAlign w:val="superscript"/>
        </w:rPr>
        <w:t>8</w:t>
      </w:r>
      <w:r>
        <w:rPr>
          <w:rFonts w:asciiTheme="minorHAnsi" w:eastAsia="Helvetica Neue" w:hAnsiTheme="minorHAnsi" w:cs="Helvetica Neue"/>
        </w:rPr>
        <w:fldChar w:fldCharType="end"/>
      </w:r>
      <w:r w:rsidRPr="00A05416">
        <w:rPr>
          <w:rFonts w:asciiTheme="minorHAnsi" w:eastAsia="Helvetica Neue" w:hAnsiTheme="minorHAnsi" w:cs="Helvetica Neue"/>
        </w:rPr>
        <w:t xml:space="preserve"> The pooled proportions suggested 18% of blunt trauma deaths were due to hemorrhage and 55% of penetrating trauma due to hemorrhage. These are </w:t>
      </w:r>
      <w:proofErr w:type="gramStart"/>
      <w:r w:rsidRPr="00A05416">
        <w:rPr>
          <w:rFonts w:asciiTheme="minorHAnsi" w:eastAsia="Helvetica Neue" w:hAnsiTheme="minorHAnsi" w:cs="Helvetica Neue"/>
        </w:rPr>
        <w:t>similar to</w:t>
      </w:r>
      <w:proofErr w:type="gramEnd"/>
      <w:r w:rsidRPr="00A05416">
        <w:rPr>
          <w:rFonts w:asciiTheme="minorHAnsi" w:eastAsia="Helvetica Neue" w:hAnsiTheme="minorHAnsi" w:cs="Helvetica Neue"/>
        </w:rPr>
        <w:t xml:space="preserve"> the findings of Dutton et al., which found 18.5% of blunt trauma deaths in Baltimore due to hemorrhage and 46.7% of penetrating trauma due to hemorrhage; and to </w:t>
      </w:r>
      <w:proofErr w:type="spellStart"/>
      <w:r w:rsidRPr="00A05416">
        <w:rPr>
          <w:rFonts w:asciiTheme="minorHAnsi" w:eastAsia="Helvetica Neue" w:hAnsiTheme="minorHAnsi" w:cs="Helvetica Neue"/>
        </w:rPr>
        <w:t>Ca</w:t>
      </w:r>
      <w:r>
        <w:rPr>
          <w:rFonts w:asciiTheme="minorHAnsi" w:eastAsia="Helvetica Neue" w:hAnsiTheme="minorHAnsi" w:cs="Helvetica Neue"/>
        </w:rPr>
        <w:t>l</w:t>
      </w:r>
      <w:r w:rsidRPr="00A05416">
        <w:rPr>
          <w:rFonts w:asciiTheme="minorHAnsi" w:eastAsia="Helvetica Neue" w:hAnsiTheme="minorHAnsi" w:cs="Helvetica Neue"/>
        </w:rPr>
        <w:t>lcut</w:t>
      </w:r>
      <w:proofErr w:type="spellEnd"/>
      <w:r w:rsidRPr="00A05416">
        <w:rPr>
          <w:rFonts w:asciiTheme="minorHAnsi" w:eastAsia="Helvetica Neue" w:hAnsiTheme="minorHAnsi" w:cs="Helvetica Neue"/>
        </w:rPr>
        <w:t xml:space="preserve"> et al., who in their data collected across 18 trauma centers found 12.5% of blunt trauma deaths due to hemorrhage and 51.7% of penetrating trauma due to hemorrhage.</w:t>
      </w:r>
    </w:p>
    <w:p w14:paraId="6F4069D8" w14:textId="77777777" w:rsidR="000F02C7" w:rsidRPr="00A05416" w:rsidRDefault="000F02C7" w:rsidP="000F02C7">
      <w:pPr>
        <w:spacing w:line="480" w:lineRule="auto"/>
        <w:rPr>
          <w:rFonts w:asciiTheme="minorHAnsi" w:eastAsia="Helvetica Neue" w:hAnsiTheme="minorHAnsi" w:cs="Helvetica Neue"/>
        </w:rPr>
      </w:pPr>
      <w:r w:rsidRPr="00A05416">
        <w:rPr>
          <w:rFonts w:asciiTheme="minorHAnsi" w:eastAsia="Helvetica Neue" w:hAnsiTheme="minorHAnsi" w:cs="Helvetica Neue"/>
        </w:rPr>
        <w:t> </w:t>
      </w:r>
    </w:p>
    <w:p w14:paraId="15298240" w14:textId="77777777" w:rsidR="000F02C7" w:rsidRDefault="000F02C7" w:rsidP="000F02C7">
      <w:pPr>
        <w:spacing w:line="480" w:lineRule="auto"/>
        <w:rPr>
          <w:rFonts w:asciiTheme="minorHAnsi" w:eastAsia="Helvetica Neue" w:hAnsiTheme="minorHAnsi" w:cs="Helvetica Neue"/>
        </w:rPr>
      </w:pPr>
      <w:r w:rsidRPr="00A05416">
        <w:rPr>
          <w:rFonts w:asciiTheme="minorHAnsi" w:eastAsia="Helvetica Neue" w:hAnsiTheme="minorHAnsi" w:cs="Helvetica Neue"/>
        </w:rPr>
        <w:lastRenderedPageBreak/>
        <w:t xml:space="preserve">Of note, neither the CRASH 2 study nor most state-level prehospital treatment protocols draw a distinction between blunt and penetrating trauma, and instead consider both as having potential for serious bleeding injuries. Here we thus consider accidental blunt and penetrating trauma as a single clinical </w:t>
      </w:r>
      <w:proofErr w:type="gramStart"/>
      <w:r w:rsidRPr="00A05416">
        <w:rPr>
          <w:rFonts w:asciiTheme="minorHAnsi" w:eastAsia="Helvetica Neue" w:hAnsiTheme="minorHAnsi" w:cs="Helvetica Neue"/>
        </w:rPr>
        <w:t>entity, and</w:t>
      </w:r>
      <w:proofErr w:type="gramEnd"/>
      <w:r w:rsidRPr="00A05416">
        <w:rPr>
          <w:rFonts w:asciiTheme="minorHAnsi" w:eastAsia="Helvetica Neue" w:hAnsiTheme="minorHAnsi" w:cs="Helvetica Neue"/>
        </w:rPr>
        <w:t xml:space="preserve"> assumed that 25% of mortality involved uncontrolled hemorrhaging. </w:t>
      </w:r>
    </w:p>
    <w:p w14:paraId="7476919C" w14:textId="77777777" w:rsidR="000F02C7" w:rsidRDefault="000F02C7" w:rsidP="000F02C7">
      <w:pPr>
        <w:spacing w:line="480" w:lineRule="auto"/>
        <w:rPr>
          <w:rFonts w:asciiTheme="minorHAnsi" w:eastAsia="Helvetica Neue" w:hAnsiTheme="minorHAnsi" w:cs="Helvetica Neue"/>
        </w:rPr>
      </w:pPr>
    </w:p>
    <w:p w14:paraId="2ACC393F" w14:textId="06F53A43" w:rsidR="00F36516" w:rsidRDefault="00000000" w:rsidP="000F02C7"/>
    <w:sectPr w:rsidR="00F36516" w:rsidSect="007329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2C7"/>
    <w:rsid w:val="000C2D36"/>
    <w:rsid w:val="000F02C7"/>
    <w:rsid w:val="001F57A3"/>
    <w:rsid w:val="006B6FCF"/>
    <w:rsid w:val="0073296B"/>
    <w:rsid w:val="007B55BF"/>
    <w:rsid w:val="00E52181"/>
    <w:rsid w:val="00E972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AEA223"/>
  <w14:defaultImageDpi w14:val="32767"/>
  <w15:chartTrackingRefBased/>
  <w15:docId w15:val="{4DBB75F5-B3D1-A548-AF2D-65E285592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F02C7"/>
    <w:rPr>
      <w:rFonts w:ascii="Calibri" w:eastAsia="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3171</Words>
  <Characters>18081</Characters>
  <Application>Microsoft Office Word</Application>
  <DocSecurity>0</DocSecurity>
  <Lines>150</Lines>
  <Paragraphs>42</Paragraphs>
  <ScaleCrop>false</ScaleCrop>
  <Company/>
  <LinksUpToDate>false</LinksUpToDate>
  <CharactersWithSpaces>21210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Bivens</dc:creator>
  <cp:keywords/>
  <dc:description/>
  <cp:lastModifiedBy>Matt Bivens</cp:lastModifiedBy>
  <cp:revision>1</cp:revision>
  <dcterms:created xsi:type="dcterms:W3CDTF">2022-10-28T09:12:00Z</dcterms:created>
  <dcterms:modified xsi:type="dcterms:W3CDTF">2022-10-28T09:13:00Z</dcterms:modified>
</cp:coreProperties>
</file>