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ABC28" w14:textId="0665A643" w:rsidR="00735855" w:rsidRDefault="00735855" w:rsidP="001D7DD2">
      <w:pPr>
        <w:spacing w:after="0" w:line="240" w:lineRule="auto"/>
        <w:ind w:left="-284"/>
        <w:rPr>
          <w:rFonts w:cstheme="minorHAnsi"/>
          <w:sz w:val="20"/>
          <w:szCs w:val="20"/>
        </w:rPr>
      </w:pPr>
      <w:r w:rsidRPr="008B2466">
        <w:rPr>
          <w:rFonts w:cstheme="minorHAnsi"/>
          <w:b/>
        </w:rPr>
        <w:t>Additional File 6</w:t>
      </w:r>
    </w:p>
    <w:p w14:paraId="78EB8189" w14:textId="77777777" w:rsidR="00735855" w:rsidRDefault="00735855" w:rsidP="001D7DD2">
      <w:pPr>
        <w:spacing w:after="0" w:line="240" w:lineRule="auto"/>
        <w:ind w:left="-284"/>
        <w:rPr>
          <w:rFonts w:cstheme="minorHAnsi"/>
        </w:rPr>
      </w:pPr>
    </w:p>
    <w:p w14:paraId="05877FA2" w14:textId="171C63FE" w:rsidR="00735855" w:rsidRDefault="00735855" w:rsidP="001D7DD2">
      <w:pPr>
        <w:spacing w:after="0" w:line="240" w:lineRule="auto"/>
        <w:ind w:left="-284"/>
        <w:rPr>
          <w:rFonts w:cstheme="minorHAnsi"/>
          <w:b/>
        </w:rPr>
      </w:pPr>
      <w:r w:rsidRPr="00735855">
        <w:rPr>
          <w:rFonts w:cstheme="minorHAnsi"/>
          <w:b/>
        </w:rPr>
        <w:t>Table A</w:t>
      </w:r>
      <w:r>
        <w:rPr>
          <w:rFonts w:cstheme="minorHAnsi"/>
          <w:b/>
        </w:rPr>
        <w:t>6</w:t>
      </w:r>
      <w:r w:rsidRPr="00735855">
        <w:rPr>
          <w:rFonts w:cstheme="minorHAnsi"/>
          <w:b/>
        </w:rPr>
        <w:t xml:space="preserve">. </w:t>
      </w:r>
      <w:r w:rsidR="009755CC">
        <w:rPr>
          <w:rFonts w:cstheme="minorHAnsi"/>
          <w:b/>
        </w:rPr>
        <w:t>Participant characteristics, intervention design and content, and comparator/control conditions</w:t>
      </w:r>
      <w:r w:rsidRPr="00735855">
        <w:rPr>
          <w:rFonts w:cstheme="minorHAnsi"/>
          <w:b/>
        </w:rPr>
        <w:t>: alcohol interventions</w:t>
      </w:r>
    </w:p>
    <w:p w14:paraId="48A3D6D1" w14:textId="77777777" w:rsidR="00735855" w:rsidRPr="00735855" w:rsidRDefault="00735855" w:rsidP="001D7DD2">
      <w:pPr>
        <w:spacing w:after="0" w:line="240" w:lineRule="auto"/>
        <w:ind w:left="-284"/>
        <w:rPr>
          <w:rFonts w:cstheme="minorHAnsi"/>
          <w:b/>
          <w:sz w:val="20"/>
          <w:szCs w:val="20"/>
        </w:rPr>
      </w:pPr>
    </w:p>
    <w:tbl>
      <w:tblPr>
        <w:tblStyle w:val="TableGrid"/>
        <w:tblW w:w="15026" w:type="dxa"/>
        <w:tblInd w:w="-289" w:type="dxa"/>
        <w:tblLook w:val="04A0" w:firstRow="1" w:lastRow="0" w:firstColumn="1" w:lastColumn="0" w:noHBand="0" w:noVBand="1"/>
      </w:tblPr>
      <w:tblGrid>
        <w:gridCol w:w="1166"/>
        <w:gridCol w:w="2520"/>
        <w:gridCol w:w="5670"/>
        <w:gridCol w:w="5670"/>
      </w:tblGrid>
      <w:tr w:rsidR="008412D1" w:rsidRPr="00C71ACE" w14:paraId="765EAED2" w14:textId="77777777" w:rsidTr="001D7DD2">
        <w:trPr>
          <w:tblHeader/>
        </w:trPr>
        <w:tc>
          <w:tcPr>
            <w:tcW w:w="1166" w:type="dxa"/>
            <w:shd w:val="clear" w:color="auto" w:fill="auto"/>
          </w:tcPr>
          <w:p w14:paraId="3A381948" w14:textId="77777777" w:rsidR="008412D1" w:rsidRPr="00B01E7F" w:rsidRDefault="008412D1" w:rsidP="001D7DD2">
            <w:pPr>
              <w:rPr>
                <w:rFonts w:cstheme="minorHAnsi"/>
                <w:b/>
                <w:sz w:val="18"/>
                <w:szCs w:val="18"/>
              </w:rPr>
            </w:pPr>
            <w:r w:rsidRPr="00B01E7F">
              <w:rPr>
                <w:rFonts w:cstheme="minorHAnsi"/>
                <w:b/>
                <w:sz w:val="18"/>
                <w:szCs w:val="18"/>
              </w:rPr>
              <w:t>Author (year)</w:t>
            </w:r>
          </w:p>
        </w:tc>
        <w:tc>
          <w:tcPr>
            <w:tcW w:w="2520" w:type="dxa"/>
            <w:shd w:val="clear" w:color="auto" w:fill="auto"/>
          </w:tcPr>
          <w:p w14:paraId="152EB82D" w14:textId="77777777" w:rsidR="008412D1" w:rsidRPr="00B01E7F" w:rsidRDefault="008412D1" w:rsidP="001D7DD2">
            <w:pPr>
              <w:rPr>
                <w:rFonts w:cstheme="minorHAnsi"/>
                <w:b/>
                <w:sz w:val="18"/>
                <w:szCs w:val="18"/>
              </w:rPr>
            </w:pPr>
            <w:r w:rsidRPr="00B01E7F">
              <w:rPr>
                <w:rFonts w:cstheme="minorHAnsi"/>
                <w:b/>
                <w:sz w:val="18"/>
                <w:szCs w:val="18"/>
              </w:rPr>
              <w:t>Participant characteristics</w:t>
            </w:r>
          </w:p>
        </w:tc>
        <w:tc>
          <w:tcPr>
            <w:tcW w:w="5670" w:type="dxa"/>
            <w:shd w:val="clear" w:color="auto" w:fill="auto"/>
          </w:tcPr>
          <w:p w14:paraId="3C5C41BB" w14:textId="77777777" w:rsidR="008412D1" w:rsidRPr="00B01E7F" w:rsidRDefault="008412D1" w:rsidP="001D7DD2">
            <w:pPr>
              <w:rPr>
                <w:rFonts w:cstheme="minorHAnsi"/>
                <w:b/>
                <w:sz w:val="18"/>
                <w:szCs w:val="18"/>
              </w:rPr>
            </w:pPr>
            <w:r w:rsidRPr="00B01E7F">
              <w:rPr>
                <w:rFonts w:cstheme="minorHAnsi"/>
                <w:b/>
                <w:sz w:val="18"/>
                <w:szCs w:val="18"/>
              </w:rPr>
              <w:t>Intervention</w:t>
            </w:r>
          </w:p>
        </w:tc>
        <w:tc>
          <w:tcPr>
            <w:tcW w:w="5670" w:type="dxa"/>
            <w:shd w:val="clear" w:color="auto" w:fill="auto"/>
          </w:tcPr>
          <w:p w14:paraId="3A52834B" w14:textId="77777777" w:rsidR="008412D1" w:rsidRPr="00B01E7F" w:rsidRDefault="008412D1" w:rsidP="001D7DD2">
            <w:pPr>
              <w:rPr>
                <w:rFonts w:cstheme="minorHAnsi"/>
                <w:b/>
                <w:sz w:val="18"/>
                <w:szCs w:val="18"/>
              </w:rPr>
            </w:pPr>
            <w:r w:rsidRPr="00B01E7F">
              <w:rPr>
                <w:rFonts w:cstheme="minorHAnsi"/>
                <w:b/>
                <w:sz w:val="18"/>
                <w:szCs w:val="18"/>
              </w:rPr>
              <w:t>Comparator/control conditions</w:t>
            </w:r>
          </w:p>
        </w:tc>
      </w:tr>
      <w:tr w:rsidR="008412D1" w:rsidRPr="00216E82" w14:paraId="53966BF4" w14:textId="77777777" w:rsidTr="008412D1">
        <w:tc>
          <w:tcPr>
            <w:tcW w:w="1166" w:type="dxa"/>
          </w:tcPr>
          <w:p w14:paraId="29659D1C" w14:textId="77777777" w:rsidR="008412D1" w:rsidRPr="00216E82" w:rsidRDefault="008412D1" w:rsidP="001D7DD2">
            <w:pPr>
              <w:rPr>
                <w:rFonts w:cstheme="minorHAnsi"/>
                <w:sz w:val="16"/>
                <w:szCs w:val="16"/>
              </w:rPr>
            </w:pPr>
            <w:r w:rsidRPr="00216E82">
              <w:rPr>
                <w:rFonts w:cstheme="minorHAnsi"/>
                <w:sz w:val="16"/>
                <w:szCs w:val="16"/>
              </w:rPr>
              <w:t xml:space="preserve">Barata et al., (2017)  </w:t>
            </w:r>
          </w:p>
        </w:tc>
        <w:tc>
          <w:tcPr>
            <w:tcW w:w="2520" w:type="dxa"/>
          </w:tcPr>
          <w:p w14:paraId="3A490786" w14:textId="77777777" w:rsidR="008412D1" w:rsidRPr="00216E82" w:rsidRDefault="008412D1" w:rsidP="001D7DD2">
            <w:pPr>
              <w:rPr>
                <w:rFonts w:cstheme="minorHAnsi"/>
                <w:sz w:val="16"/>
                <w:szCs w:val="16"/>
              </w:rPr>
            </w:pPr>
            <w:r w:rsidRPr="00216E82">
              <w:rPr>
                <w:rFonts w:cstheme="minorHAnsi"/>
                <w:sz w:val="16"/>
                <w:szCs w:val="16"/>
              </w:rPr>
              <w:t>Participants were aged 12-70 years old; in most studies individuals were older than 18 years; six studies surveyed adolescents and young adults aged 13 and 21.</w:t>
            </w:r>
          </w:p>
        </w:tc>
        <w:tc>
          <w:tcPr>
            <w:tcW w:w="5670" w:type="dxa"/>
          </w:tcPr>
          <w:p w14:paraId="1EB27D0B" w14:textId="77777777" w:rsidR="008412D1" w:rsidRPr="00216E82" w:rsidRDefault="008412D1" w:rsidP="001D7DD2">
            <w:pPr>
              <w:rPr>
                <w:rFonts w:cstheme="minorHAnsi"/>
                <w:sz w:val="16"/>
                <w:szCs w:val="16"/>
              </w:rPr>
            </w:pPr>
            <w:r w:rsidRPr="00216E82">
              <w:rPr>
                <w:rFonts w:cstheme="minorHAnsi"/>
                <w:sz w:val="16"/>
                <w:szCs w:val="16"/>
              </w:rPr>
              <w:t xml:space="preserve">Most studies employed a face-to-face BI delivered by healthcare personnel (nurses, doctors, or social workers) who had received specialised training. </w:t>
            </w:r>
          </w:p>
          <w:p w14:paraId="35D59829" w14:textId="77777777" w:rsidR="008412D1" w:rsidRPr="00216E82" w:rsidRDefault="008412D1" w:rsidP="001D7DD2">
            <w:pPr>
              <w:rPr>
                <w:rFonts w:cstheme="minorHAnsi"/>
                <w:sz w:val="16"/>
                <w:szCs w:val="16"/>
              </w:rPr>
            </w:pPr>
            <w:r w:rsidRPr="00216E82">
              <w:rPr>
                <w:rFonts w:cstheme="minorHAnsi"/>
                <w:sz w:val="16"/>
                <w:szCs w:val="16"/>
              </w:rPr>
              <w:t xml:space="preserve">A few studies used booster sessions delivered after the initial BI.  </w:t>
            </w:r>
          </w:p>
          <w:p w14:paraId="219591A0" w14:textId="77777777" w:rsidR="008412D1" w:rsidRPr="00216E82" w:rsidRDefault="008412D1" w:rsidP="001D7DD2">
            <w:pPr>
              <w:rPr>
                <w:rFonts w:cstheme="minorHAnsi"/>
                <w:sz w:val="16"/>
                <w:szCs w:val="16"/>
              </w:rPr>
            </w:pPr>
            <w:r w:rsidRPr="00216E82">
              <w:rPr>
                <w:rStyle w:val="A6"/>
                <w:rFonts w:cstheme="minorHAnsi"/>
                <w:sz w:val="16"/>
                <w:szCs w:val="16"/>
              </w:rPr>
              <w:t xml:space="preserve">Patients were screened in ED and referred to an alcohol health worker (AHW) for 30 minutes assessment and discussion about drinking behaviour (1 study). </w:t>
            </w:r>
          </w:p>
        </w:tc>
        <w:tc>
          <w:tcPr>
            <w:tcW w:w="5670" w:type="dxa"/>
          </w:tcPr>
          <w:p w14:paraId="020069BE" w14:textId="77777777" w:rsidR="008412D1" w:rsidRPr="00216E82" w:rsidRDefault="008412D1" w:rsidP="001D7DD2">
            <w:pPr>
              <w:rPr>
                <w:rFonts w:cstheme="minorHAnsi"/>
                <w:sz w:val="16"/>
                <w:szCs w:val="16"/>
              </w:rPr>
            </w:pPr>
            <w:r w:rsidRPr="00216E82">
              <w:rPr>
                <w:rFonts w:cstheme="minorHAnsi"/>
                <w:sz w:val="16"/>
                <w:szCs w:val="16"/>
              </w:rPr>
              <w:t xml:space="preserve">Examples included: </w:t>
            </w:r>
          </w:p>
          <w:p w14:paraId="64E53D7E" w14:textId="023DE136" w:rsidR="008412D1" w:rsidRPr="00216E82" w:rsidRDefault="008412D1" w:rsidP="001D7DD2">
            <w:pPr>
              <w:rPr>
                <w:rFonts w:cstheme="minorHAnsi"/>
                <w:sz w:val="16"/>
                <w:szCs w:val="16"/>
              </w:rPr>
            </w:pPr>
            <w:r w:rsidRPr="00216E82">
              <w:rPr>
                <w:rFonts w:cstheme="minorHAnsi"/>
                <w:sz w:val="16"/>
                <w:szCs w:val="16"/>
              </w:rPr>
              <w:t xml:space="preserve">Standard care; no intervention; screening only; written handout with advice about alcohol-related risks; health information pack, brochure or leaflet; booklet (tailored or standard messages); a verbal </w:t>
            </w:r>
            <w:r w:rsidR="00541145" w:rsidRPr="00216E82">
              <w:rPr>
                <w:rFonts w:cstheme="minorHAnsi"/>
                <w:sz w:val="16"/>
                <w:szCs w:val="16"/>
              </w:rPr>
              <w:t>5-minute</w:t>
            </w:r>
            <w:r w:rsidRPr="00216E82">
              <w:rPr>
                <w:rFonts w:cstheme="minorHAnsi"/>
                <w:sz w:val="16"/>
                <w:szCs w:val="16"/>
              </w:rPr>
              <w:t xml:space="preserve"> minimal intervention; 1 month telephone follow-up; weekly reminder for 12 weeks to complete follow-up survey; graphic illustration of alcohol use; information on local resources</w:t>
            </w:r>
          </w:p>
        </w:tc>
      </w:tr>
      <w:tr w:rsidR="008412D1" w:rsidRPr="00216E82" w14:paraId="50BA8C0F" w14:textId="77777777" w:rsidTr="008412D1">
        <w:tc>
          <w:tcPr>
            <w:tcW w:w="1166" w:type="dxa"/>
          </w:tcPr>
          <w:p w14:paraId="4CB83F97" w14:textId="77777777" w:rsidR="008412D1" w:rsidRPr="00216E82" w:rsidRDefault="008412D1" w:rsidP="001D7DD2">
            <w:pPr>
              <w:rPr>
                <w:rFonts w:cstheme="minorHAnsi"/>
                <w:sz w:val="16"/>
                <w:szCs w:val="16"/>
              </w:rPr>
            </w:pPr>
            <w:proofErr w:type="spellStart"/>
            <w:r w:rsidRPr="00216E82">
              <w:rPr>
                <w:rFonts w:cstheme="minorHAnsi"/>
                <w:sz w:val="16"/>
                <w:szCs w:val="16"/>
              </w:rPr>
              <w:t>Diestelkamp</w:t>
            </w:r>
            <w:proofErr w:type="spellEnd"/>
            <w:r w:rsidRPr="00216E82">
              <w:rPr>
                <w:rFonts w:cstheme="minorHAnsi"/>
                <w:sz w:val="16"/>
                <w:szCs w:val="16"/>
              </w:rPr>
              <w:t xml:space="preserve"> et al., (2016)  </w:t>
            </w:r>
          </w:p>
        </w:tc>
        <w:tc>
          <w:tcPr>
            <w:tcW w:w="2520" w:type="dxa"/>
          </w:tcPr>
          <w:p w14:paraId="536C566D" w14:textId="77777777" w:rsidR="008412D1" w:rsidRPr="00216E82" w:rsidRDefault="008412D1" w:rsidP="001D7DD2">
            <w:pPr>
              <w:rPr>
                <w:rFonts w:cstheme="minorHAnsi"/>
                <w:sz w:val="16"/>
                <w:szCs w:val="16"/>
              </w:rPr>
            </w:pPr>
            <w:r w:rsidRPr="00216E82">
              <w:rPr>
                <w:rFonts w:cstheme="minorHAnsi"/>
                <w:sz w:val="16"/>
                <w:szCs w:val="16"/>
              </w:rPr>
              <w:t>All except one study showed similar patterns of gender distribution with a weighted mean of 60.2% of participants being male.</w:t>
            </w:r>
          </w:p>
        </w:tc>
        <w:tc>
          <w:tcPr>
            <w:tcW w:w="5670" w:type="dxa"/>
          </w:tcPr>
          <w:p w14:paraId="7E3C73E1" w14:textId="77777777" w:rsidR="008412D1" w:rsidRPr="00216E82" w:rsidRDefault="008412D1" w:rsidP="001D7DD2">
            <w:pPr>
              <w:rPr>
                <w:rFonts w:cstheme="minorHAnsi"/>
                <w:sz w:val="16"/>
                <w:szCs w:val="16"/>
              </w:rPr>
            </w:pPr>
            <w:r w:rsidRPr="00216E82">
              <w:rPr>
                <w:rFonts w:cstheme="minorHAnsi"/>
                <w:sz w:val="16"/>
                <w:szCs w:val="16"/>
              </w:rPr>
              <w:t xml:space="preserve">Interventions lasted between 30 and 60 minutes; one study delivered 2 additional sessions, 1 addressing adolescents and parents together and 1 addressing parents only; of the remaining 6 studies, 1 offered counselling to parents in addition to the BI for the patients; six studies tested the effectiveness of a brief motivational intervention (BMI).   </w:t>
            </w:r>
          </w:p>
          <w:p w14:paraId="7036683C" w14:textId="77777777" w:rsidR="008412D1" w:rsidRPr="00216E82" w:rsidRDefault="008412D1" w:rsidP="001D7DD2">
            <w:pPr>
              <w:rPr>
                <w:rFonts w:cstheme="minorHAnsi"/>
                <w:sz w:val="16"/>
                <w:szCs w:val="16"/>
              </w:rPr>
            </w:pPr>
          </w:p>
          <w:p w14:paraId="7249BC68" w14:textId="77777777" w:rsidR="008412D1" w:rsidRPr="00216E82" w:rsidRDefault="008412D1" w:rsidP="001D7DD2">
            <w:pPr>
              <w:rPr>
                <w:rFonts w:cstheme="minorHAnsi"/>
                <w:b/>
                <w:sz w:val="16"/>
                <w:szCs w:val="16"/>
              </w:rPr>
            </w:pPr>
            <w:r w:rsidRPr="00216E82">
              <w:rPr>
                <w:rFonts w:cstheme="minorHAnsi"/>
                <w:i/>
                <w:sz w:val="16"/>
                <w:szCs w:val="16"/>
              </w:rPr>
              <w:t>Booster Sessions</w:t>
            </w:r>
            <w:r w:rsidRPr="00216E82">
              <w:rPr>
                <w:rFonts w:cstheme="minorHAnsi"/>
                <w:b/>
                <w:sz w:val="16"/>
                <w:szCs w:val="16"/>
              </w:rPr>
              <w:t xml:space="preserve">: </w:t>
            </w:r>
          </w:p>
          <w:p w14:paraId="11CDD04E" w14:textId="77777777" w:rsidR="008412D1" w:rsidRPr="00216E82" w:rsidRDefault="008412D1" w:rsidP="001D7DD2">
            <w:pPr>
              <w:rPr>
                <w:rFonts w:cstheme="minorHAnsi"/>
                <w:sz w:val="16"/>
                <w:szCs w:val="16"/>
              </w:rPr>
            </w:pPr>
            <w:r w:rsidRPr="00216E82">
              <w:rPr>
                <w:rFonts w:cstheme="minorHAnsi"/>
                <w:sz w:val="16"/>
                <w:szCs w:val="16"/>
              </w:rPr>
              <w:t xml:space="preserve">Four studies included BIs with booster sessions delivered by telephone, online, or in person. Frequency and durations varied from one booster (no duration provided) to two 20–30 min telephone boosters including assessment and counselling to 3 weekly web-based boosters lasting 10 min each. </w:t>
            </w:r>
          </w:p>
        </w:tc>
        <w:tc>
          <w:tcPr>
            <w:tcW w:w="5670" w:type="dxa"/>
          </w:tcPr>
          <w:p w14:paraId="1FBCF0D1" w14:textId="77777777" w:rsidR="008412D1" w:rsidRPr="00216E82" w:rsidRDefault="008412D1" w:rsidP="001D7DD2">
            <w:pPr>
              <w:rPr>
                <w:rFonts w:cstheme="minorHAnsi"/>
                <w:sz w:val="16"/>
                <w:szCs w:val="16"/>
              </w:rPr>
            </w:pPr>
            <w:r w:rsidRPr="00216E82">
              <w:rPr>
                <w:rFonts w:cstheme="minorHAnsi"/>
                <w:sz w:val="16"/>
                <w:szCs w:val="16"/>
              </w:rPr>
              <w:t>Minimal active control groups such as standard care, educational brochures or feedback only (5 studies); BI compared with an enhanced BI (2 studies): an individual-level intervention plus family intervention and an individual-level intervention plus computer-delivered exercises based on drinking motives</w:t>
            </w:r>
          </w:p>
        </w:tc>
      </w:tr>
      <w:tr w:rsidR="008412D1" w:rsidRPr="00216E82" w14:paraId="6DE0E850" w14:textId="77777777" w:rsidTr="008412D1">
        <w:tc>
          <w:tcPr>
            <w:tcW w:w="1166" w:type="dxa"/>
          </w:tcPr>
          <w:p w14:paraId="1F9BEE19" w14:textId="77777777" w:rsidR="008412D1" w:rsidRPr="00216E82" w:rsidRDefault="008412D1" w:rsidP="001D7DD2">
            <w:pPr>
              <w:rPr>
                <w:rFonts w:cstheme="minorHAnsi"/>
                <w:sz w:val="16"/>
                <w:szCs w:val="16"/>
              </w:rPr>
            </w:pPr>
            <w:proofErr w:type="spellStart"/>
            <w:r w:rsidRPr="00216E82">
              <w:rPr>
                <w:rFonts w:cstheme="minorHAnsi"/>
                <w:sz w:val="16"/>
                <w:szCs w:val="16"/>
              </w:rPr>
              <w:t>Elzerbi</w:t>
            </w:r>
            <w:proofErr w:type="spellEnd"/>
            <w:r w:rsidRPr="00216E82">
              <w:rPr>
                <w:rFonts w:cstheme="minorHAnsi"/>
                <w:sz w:val="16"/>
                <w:szCs w:val="16"/>
              </w:rPr>
              <w:t xml:space="preserve"> et al., (2015)</w:t>
            </w:r>
          </w:p>
        </w:tc>
        <w:tc>
          <w:tcPr>
            <w:tcW w:w="2520" w:type="dxa"/>
          </w:tcPr>
          <w:p w14:paraId="3C09F5F8" w14:textId="77777777" w:rsidR="008412D1" w:rsidRPr="00216E82" w:rsidRDefault="008412D1" w:rsidP="001D7DD2">
            <w:pPr>
              <w:rPr>
                <w:rFonts w:cstheme="minorHAnsi"/>
                <w:sz w:val="16"/>
                <w:szCs w:val="16"/>
              </w:rPr>
            </w:pPr>
            <w:r w:rsidRPr="00216E82">
              <w:rPr>
                <w:rFonts w:cstheme="minorHAnsi"/>
                <w:sz w:val="16"/>
                <w:szCs w:val="16"/>
              </w:rPr>
              <w:t xml:space="preserve">No data  </w:t>
            </w:r>
          </w:p>
        </w:tc>
        <w:tc>
          <w:tcPr>
            <w:tcW w:w="5670" w:type="dxa"/>
          </w:tcPr>
          <w:p w14:paraId="652E1078" w14:textId="77777777" w:rsidR="008412D1" w:rsidRPr="00216E82" w:rsidRDefault="008412D1" w:rsidP="001D7DD2">
            <w:pPr>
              <w:rPr>
                <w:rFonts w:cstheme="minorHAnsi"/>
                <w:i/>
                <w:sz w:val="16"/>
                <w:szCs w:val="16"/>
              </w:rPr>
            </w:pPr>
            <w:r w:rsidRPr="00216E82">
              <w:rPr>
                <w:rFonts w:cstheme="minorHAnsi"/>
                <w:i/>
                <w:sz w:val="16"/>
                <w:szCs w:val="16"/>
              </w:rPr>
              <w:t xml:space="preserve">Examples: </w:t>
            </w:r>
          </w:p>
          <w:p w14:paraId="333AC295" w14:textId="77777777" w:rsidR="008412D1" w:rsidRPr="00216E82" w:rsidRDefault="008412D1" w:rsidP="001D7DD2">
            <w:pPr>
              <w:rPr>
                <w:rFonts w:cstheme="minorHAnsi"/>
                <w:sz w:val="16"/>
                <w:szCs w:val="16"/>
              </w:rPr>
            </w:pPr>
            <w:r w:rsidRPr="00216E82">
              <w:rPr>
                <w:rFonts w:cstheme="minorHAnsi"/>
                <w:sz w:val="16"/>
                <w:szCs w:val="16"/>
              </w:rPr>
              <w:t xml:space="preserve">Brief advice interview (lasting from 10 minutes to 30 minutes); referral to counselling; tailored/generic booklet; booster telephone call  </w:t>
            </w:r>
          </w:p>
        </w:tc>
        <w:tc>
          <w:tcPr>
            <w:tcW w:w="5670" w:type="dxa"/>
          </w:tcPr>
          <w:p w14:paraId="704792B0" w14:textId="070B2D06" w:rsidR="008412D1" w:rsidRPr="00216E82" w:rsidRDefault="008412D1" w:rsidP="001D7DD2">
            <w:pPr>
              <w:rPr>
                <w:rFonts w:cstheme="minorHAnsi"/>
                <w:sz w:val="16"/>
                <w:szCs w:val="16"/>
              </w:rPr>
            </w:pPr>
            <w:r w:rsidRPr="00216E82">
              <w:rPr>
                <w:rFonts w:cstheme="minorHAnsi"/>
                <w:sz w:val="16"/>
                <w:szCs w:val="16"/>
              </w:rPr>
              <w:t>Screening only; assessment only; treatment as usual; evaluation only; or minimal intervention e.g.</w:t>
            </w:r>
            <w:r w:rsidR="00174AB4">
              <w:rPr>
                <w:rFonts w:cstheme="minorHAnsi"/>
                <w:sz w:val="16"/>
                <w:szCs w:val="16"/>
              </w:rPr>
              <w:t>,</w:t>
            </w:r>
            <w:r w:rsidRPr="00216E82">
              <w:rPr>
                <w:rFonts w:cstheme="minorHAnsi"/>
                <w:sz w:val="16"/>
                <w:szCs w:val="16"/>
              </w:rPr>
              <w:t xml:space="preserve"> an information leaflet</w:t>
            </w:r>
          </w:p>
        </w:tc>
      </w:tr>
      <w:tr w:rsidR="008412D1" w:rsidRPr="00216E82" w14:paraId="138C52A2" w14:textId="77777777" w:rsidTr="008412D1">
        <w:tc>
          <w:tcPr>
            <w:tcW w:w="1166" w:type="dxa"/>
          </w:tcPr>
          <w:p w14:paraId="683D2532" w14:textId="77777777" w:rsidR="008412D1" w:rsidRPr="00216E82" w:rsidRDefault="008412D1" w:rsidP="001D7DD2">
            <w:pPr>
              <w:rPr>
                <w:rFonts w:cstheme="minorHAnsi"/>
                <w:sz w:val="16"/>
                <w:szCs w:val="16"/>
              </w:rPr>
            </w:pPr>
            <w:proofErr w:type="spellStart"/>
            <w:r w:rsidRPr="00216E82">
              <w:rPr>
                <w:rFonts w:cstheme="minorHAnsi"/>
                <w:sz w:val="16"/>
                <w:szCs w:val="16"/>
              </w:rPr>
              <w:t>Elzerbi</w:t>
            </w:r>
            <w:proofErr w:type="spellEnd"/>
            <w:r w:rsidRPr="00216E82">
              <w:rPr>
                <w:rFonts w:cstheme="minorHAnsi"/>
                <w:sz w:val="16"/>
                <w:szCs w:val="16"/>
              </w:rPr>
              <w:t xml:space="preserve"> et al., (2017)</w:t>
            </w:r>
          </w:p>
        </w:tc>
        <w:tc>
          <w:tcPr>
            <w:tcW w:w="2520" w:type="dxa"/>
          </w:tcPr>
          <w:p w14:paraId="0CC8CACE" w14:textId="77777777" w:rsidR="008412D1" w:rsidRPr="00216E82" w:rsidRDefault="008412D1" w:rsidP="001D7DD2">
            <w:pPr>
              <w:rPr>
                <w:rFonts w:cstheme="minorHAnsi"/>
                <w:sz w:val="16"/>
                <w:szCs w:val="16"/>
              </w:rPr>
            </w:pPr>
            <w:r w:rsidRPr="00216E82">
              <w:rPr>
                <w:rFonts w:cstheme="minorHAnsi"/>
                <w:sz w:val="16"/>
                <w:szCs w:val="16"/>
              </w:rPr>
              <w:t xml:space="preserve">No data </w:t>
            </w:r>
          </w:p>
        </w:tc>
        <w:tc>
          <w:tcPr>
            <w:tcW w:w="5670" w:type="dxa"/>
          </w:tcPr>
          <w:p w14:paraId="0E18F9EF" w14:textId="77777777" w:rsidR="008412D1" w:rsidRPr="00216E82" w:rsidRDefault="008412D1" w:rsidP="001D7DD2">
            <w:pPr>
              <w:rPr>
                <w:rFonts w:cstheme="minorHAnsi"/>
                <w:i/>
                <w:sz w:val="16"/>
                <w:szCs w:val="16"/>
              </w:rPr>
            </w:pPr>
            <w:r w:rsidRPr="00216E82">
              <w:rPr>
                <w:rFonts w:cstheme="minorHAnsi"/>
                <w:i/>
                <w:sz w:val="16"/>
                <w:szCs w:val="16"/>
              </w:rPr>
              <w:t xml:space="preserve">Examples: </w:t>
            </w:r>
          </w:p>
          <w:p w14:paraId="6F390908" w14:textId="019ECE06" w:rsidR="008412D1" w:rsidRPr="00216E82" w:rsidRDefault="008412D1" w:rsidP="001D7DD2">
            <w:pPr>
              <w:rPr>
                <w:rFonts w:cstheme="minorHAnsi"/>
                <w:sz w:val="16"/>
                <w:szCs w:val="16"/>
              </w:rPr>
            </w:pPr>
            <w:r w:rsidRPr="00216E82">
              <w:rPr>
                <w:rFonts w:cstheme="minorHAnsi"/>
                <w:sz w:val="16"/>
                <w:szCs w:val="16"/>
              </w:rPr>
              <w:t xml:space="preserve">Self-help booklets; tailored/ generic message booklet; brief advice/counselling (5-60 minutes) – including a mixture of feedback, reviewing alcohol guidelines, discussing motivation and goals; single sessions and multiple sessions; telephone BI; computer generated feedback booster telephone call; personalised mailed feedback; specialised action plans  </w:t>
            </w:r>
          </w:p>
        </w:tc>
        <w:tc>
          <w:tcPr>
            <w:tcW w:w="5670" w:type="dxa"/>
          </w:tcPr>
          <w:p w14:paraId="7A1C757C" w14:textId="52CAEFCF" w:rsidR="008412D1" w:rsidRPr="00216E82" w:rsidRDefault="008412D1" w:rsidP="001D7DD2">
            <w:pPr>
              <w:rPr>
                <w:rFonts w:cstheme="minorHAnsi"/>
                <w:sz w:val="16"/>
                <w:szCs w:val="16"/>
              </w:rPr>
            </w:pPr>
            <w:r w:rsidRPr="00216E82">
              <w:rPr>
                <w:rFonts w:cstheme="minorHAnsi"/>
                <w:sz w:val="16"/>
                <w:szCs w:val="16"/>
              </w:rPr>
              <w:t>Screening only; assessment only; treatment as usual; evaluation only; or minimal intervention e.g.</w:t>
            </w:r>
            <w:r w:rsidR="00174AB4">
              <w:rPr>
                <w:rFonts w:cstheme="minorHAnsi"/>
                <w:sz w:val="16"/>
                <w:szCs w:val="16"/>
              </w:rPr>
              <w:t>,</w:t>
            </w:r>
            <w:r w:rsidRPr="00216E82">
              <w:rPr>
                <w:rFonts w:cstheme="minorHAnsi"/>
                <w:sz w:val="16"/>
                <w:szCs w:val="16"/>
              </w:rPr>
              <w:t xml:space="preserve"> an information leaflet </w:t>
            </w:r>
          </w:p>
        </w:tc>
      </w:tr>
      <w:tr w:rsidR="008412D1" w:rsidRPr="00216E82" w14:paraId="07C9B3A9" w14:textId="77777777" w:rsidTr="008412D1">
        <w:tc>
          <w:tcPr>
            <w:tcW w:w="1166" w:type="dxa"/>
          </w:tcPr>
          <w:p w14:paraId="094ADCE8" w14:textId="77777777" w:rsidR="008412D1" w:rsidRPr="00216E82" w:rsidRDefault="008412D1" w:rsidP="001D7DD2">
            <w:pPr>
              <w:rPr>
                <w:rFonts w:cstheme="minorHAnsi"/>
                <w:sz w:val="16"/>
                <w:szCs w:val="16"/>
              </w:rPr>
            </w:pPr>
            <w:proofErr w:type="spellStart"/>
            <w:r w:rsidRPr="00216E82">
              <w:rPr>
                <w:rFonts w:cstheme="minorHAnsi"/>
                <w:sz w:val="16"/>
                <w:szCs w:val="16"/>
              </w:rPr>
              <w:t>Kodadek</w:t>
            </w:r>
            <w:proofErr w:type="spellEnd"/>
            <w:r w:rsidRPr="00216E82">
              <w:rPr>
                <w:rFonts w:cstheme="minorHAnsi"/>
                <w:sz w:val="16"/>
                <w:szCs w:val="16"/>
              </w:rPr>
              <w:t xml:space="preserve"> et al., (2020)  </w:t>
            </w:r>
          </w:p>
        </w:tc>
        <w:tc>
          <w:tcPr>
            <w:tcW w:w="2520" w:type="dxa"/>
          </w:tcPr>
          <w:p w14:paraId="180971C5" w14:textId="77777777" w:rsidR="008412D1" w:rsidRPr="00216E82" w:rsidRDefault="008412D1" w:rsidP="001D7DD2">
            <w:pPr>
              <w:rPr>
                <w:rFonts w:cstheme="minorHAnsi"/>
                <w:sz w:val="16"/>
                <w:szCs w:val="16"/>
              </w:rPr>
            </w:pPr>
            <w:r w:rsidRPr="00216E82">
              <w:rPr>
                <w:rFonts w:cstheme="minorHAnsi"/>
                <w:sz w:val="16"/>
                <w:szCs w:val="16"/>
              </w:rPr>
              <w:t>No data</w:t>
            </w:r>
            <w:r w:rsidRPr="00216E82">
              <w:rPr>
                <w:rFonts w:cstheme="minorHAnsi"/>
                <w:sz w:val="16"/>
                <w:szCs w:val="16"/>
              </w:rPr>
              <w:tab/>
            </w:r>
          </w:p>
        </w:tc>
        <w:tc>
          <w:tcPr>
            <w:tcW w:w="5670" w:type="dxa"/>
          </w:tcPr>
          <w:p w14:paraId="3D5E62F7" w14:textId="77777777" w:rsidR="008412D1" w:rsidRPr="00216E82" w:rsidRDefault="008412D1" w:rsidP="001D7DD2">
            <w:pPr>
              <w:rPr>
                <w:rFonts w:cstheme="minorHAnsi"/>
                <w:sz w:val="16"/>
                <w:szCs w:val="16"/>
              </w:rPr>
            </w:pPr>
            <w:r w:rsidRPr="00216E82">
              <w:rPr>
                <w:rFonts w:cstheme="minorHAnsi"/>
                <w:sz w:val="16"/>
                <w:szCs w:val="16"/>
              </w:rPr>
              <w:t xml:space="preserve">Screening, BI and referral to treatment (SBIRT) (9 studies)  </w:t>
            </w:r>
          </w:p>
        </w:tc>
        <w:tc>
          <w:tcPr>
            <w:tcW w:w="5670" w:type="dxa"/>
          </w:tcPr>
          <w:p w14:paraId="690773BF" w14:textId="77777777" w:rsidR="008412D1" w:rsidRPr="00216E82" w:rsidRDefault="008412D1" w:rsidP="001D7DD2">
            <w:pPr>
              <w:rPr>
                <w:rFonts w:cstheme="minorHAnsi"/>
                <w:sz w:val="16"/>
                <w:szCs w:val="16"/>
              </w:rPr>
            </w:pPr>
            <w:r w:rsidRPr="00216E82">
              <w:rPr>
                <w:rFonts w:cstheme="minorHAnsi"/>
                <w:sz w:val="16"/>
                <w:szCs w:val="16"/>
              </w:rPr>
              <w:t>Usual care (8 studies); no control group (3 studies)</w:t>
            </w:r>
          </w:p>
          <w:p w14:paraId="1C29A965" w14:textId="77777777" w:rsidR="008412D1" w:rsidRPr="00216E82" w:rsidRDefault="008412D1" w:rsidP="001D7DD2">
            <w:pPr>
              <w:jc w:val="right"/>
              <w:rPr>
                <w:rFonts w:cstheme="minorHAnsi"/>
                <w:sz w:val="16"/>
                <w:szCs w:val="16"/>
              </w:rPr>
            </w:pPr>
          </w:p>
        </w:tc>
      </w:tr>
      <w:tr w:rsidR="008412D1" w:rsidRPr="00216E82" w14:paraId="0BD76459" w14:textId="77777777" w:rsidTr="008412D1">
        <w:tc>
          <w:tcPr>
            <w:tcW w:w="1166" w:type="dxa"/>
          </w:tcPr>
          <w:p w14:paraId="5FFE19EF" w14:textId="77777777" w:rsidR="008412D1" w:rsidRPr="00216E82" w:rsidRDefault="008412D1" w:rsidP="001D7DD2">
            <w:pPr>
              <w:rPr>
                <w:rFonts w:cstheme="minorHAnsi"/>
                <w:sz w:val="16"/>
                <w:szCs w:val="16"/>
              </w:rPr>
            </w:pPr>
            <w:r w:rsidRPr="00216E82">
              <w:rPr>
                <w:rFonts w:cstheme="minorHAnsi"/>
                <w:sz w:val="16"/>
                <w:szCs w:val="16"/>
              </w:rPr>
              <w:t>Kohler &amp; Hofmann (2015)</w:t>
            </w:r>
          </w:p>
        </w:tc>
        <w:tc>
          <w:tcPr>
            <w:tcW w:w="2520" w:type="dxa"/>
          </w:tcPr>
          <w:p w14:paraId="3235C0DD" w14:textId="77777777" w:rsidR="008412D1" w:rsidRPr="00216E82" w:rsidRDefault="008412D1" w:rsidP="001D7DD2">
            <w:pPr>
              <w:rPr>
                <w:rFonts w:cstheme="minorHAnsi"/>
                <w:sz w:val="16"/>
                <w:szCs w:val="16"/>
              </w:rPr>
            </w:pPr>
            <w:r w:rsidRPr="00216E82">
              <w:rPr>
                <w:rFonts w:cstheme="minorHAnsi"/>
                <w:sz w:val="16"/>
                <w:szCs w:val="16"/>
              </w:rPr>
              <w:t>Age of participants ranged from 13 to 25 years; females 9.7% to 67.8%.</w:t>
            </w:r>
          </w:p>
        </w:tc>
        <w:tc>
          <w:tcPr>
            <w:tcW w:w="5670" w:type="dxa"/>
          </w:tcPr>
          <w:p w14:paraId="5334AC5C" w14:textId="77777777" w:rsidR="008412D1" w:rsidRPr="00216E82" w:rsidRDefault="008412D1" w:rsidP="001D7DD2">
            <w:pPr>
              <w:rPr>
                <w:rFonts w:cstheme="minorHAnsi"/>
                <w:sz w:val="16"/>
                <w:szCs w:val="16"/>
              </w:rPr>
            </w:pPr>
            <w:r w:rsidRPr="00216E82">
              <w:rPr>
                <w:rFonts w:cstheme="minorHAnsi"/>
                <w:sz w:val="16"/>
                <w:szCs w:val="16"/>
              </w:rPr>
              <w:t xml:space="preserve">Interventions lasted from 5 to 45 min and were usually longer than 20 min, or had a median length of 37 min  </w:t>
            </w:r>
          </w:p>
          <w:p w14:paraId="74D9CD29" w14:textId="77777777" w:rsidR="008412D1" w:rsidRPr="00216E82" w:rsidRDefault="008412D1" w:rsidP="001D7DD2">
            <w:pPr>
              <w:rPr>
                <w:rFonts w:cstheme="minorHAnsi"/>
                <w:color w:val="000000"/>
                <w:sz w:val="16"/>
                <w:szCs w:val="16"/>
              </w:rPr>
            </w:pPr>
            <w:r>
              <w:rPr>
                <w:rFonts w:cstheme="minorHAnsi"/>
                <w:color w:val="000000"/>
                <w:sz w:val="16"/>
                <w:szCs w:val="16"/>
              </w:rPr>
              <w:t>M</w:t>
            </w:r>
            <w:r w:rsidRPr="00216E82">
              <w:rPr>
                <w:rFonts w:cstheme="minorHAnsi"/>
                <w:color w:val="000000"/>
                <w:sz w:val="16"/>
                <w:szCs w:val="16"/>
              </w:rPr>
              <w:t>I interventions included a treatment similar to the control intervention plus MI</w:t>
            </w:r>
          </w:p>
          <w:p w14:paraId="47CF6BF7" w14:textId="77777777" w:rsidR="008412D1" w:rsidRPr="00216E82" w:rsidRDefault="008412D1" w:rsidP="001D7DD2">
            <w:pPr>
              <w:rPr>
                <w:rFonts w:cstheme="minorHAnsi"/>
                <w:color w:val="000000"/>
                <w:sz w:val="16"/>
                <w:szCs w:val="16"/>
              </w:rPr>
            </w:pPr>
            <w:r w:rsidRPr="00216E82">
              <w:rPr>
                <w:rFonts w:cstheme="minorHAnsi"/>
                <w:color w:val="000000"/>
                <w:sz w:val="16"/>
                <w:szCs w:val="16"/>
              </w:rPr>
              <w:t>MI groups also received additional ‘booster’ phone calls after 10 days, or after 1 and 3 months that were not part of the control interventions (2 studies)</w:t>
            </w:r>
          </w:p>
          <w:p w14:paraId="3CBF9503" w14:textId="77777777" w:rsidR="008412D1" w:rsidRPr="00216E82" w:rsidRDefault="008412D1" w:rsidP="001D7DD2">
            <w:pPr>
              <w:rPr>
                <w:rFonts w:cstheme="minorHAnsi"/>
                <w:sz w:val="16"/>
                <w:szCs w:val="16"/>
              </w:rPr>
            </w:pPr>
            <w:r w:rsidRPr="00216E82">
              <w:rPr>
                <w:rFonts w:cstheme="minorHAnsi"/>
                <w:sz w:val="16"/>
                <w:szCs w:val="16"/>
              </w:rPr>
              <w:t>Two trials included booster phone calls</w:t>
            </w:r>
          </w:p>
        </w:tc>
        <w:tc>
          <w:tcPr>
            <w:tcW w:w="5670" w:type="dxa"/>
          </w:tcPr>
          <w:p w14:paraId="1CC46B62" w14:textId="2EF5BF99" w:rsidR="008412D1" w:rsidRPr="00216E82" w:rsidRDefault="008412D1" w:rsidP="001D7DD2">
            <w:pPr>
              <w:rPr>
                <w:rFonts w:cstheme="minorHAnsi"/>
                <w:sz w:val="16"/>
                <w:szCs w:val="16"/>
              </w:rPr>
            </w:pPr>
            <w:r w:rsidRPr="00216E82">
              <w:rPr>
                <w:rFonts w:cstheme="minorHAnsi"/>
                <w:sz w:val="16"/>
                <w:szCs w:val="16"/>
              </w:rPr>
              <w:t>Standard care, included written information (e.g.</w:t>
            </w:r>
            <w:r w:rsidR="00174AB4">
              <w:rPr>
                <w:rFonts w:cstheme="minorHAnsi"/>
                <w:sz w:val="16"/>
                <w:szCs w:val="16"/>
              </w:rPr>
              <w:t>,</w:t>
            </w:r>
            <w:r w:rsidRPr="00216E82">
              <w:rPr>
                <w:rFonts w:cstheme="minorHAnsi"/>
                <w:sz w:val="16"/>
                <w:szCs w:val="16"/>
              </w:rPr>
              <w:t xml:space="preserve"> alcohol-use risk handout, educational brochure), a contact list (e.g.</w:t>
            </w:r>
            <w:r w:rsidR="00127033">
              <w:rPr>
                <w:rFonts w:cstheme="minorHAnsi"/>
                <w:sz w:val="16"/>
                <w:szCs w:val="16"/>
              </w:rPr>
              <w:t>,</w:t>
            </w:r>
            <w:r w:rsidRPr="00216E82">
              <w:rPr>
                <w:rFonts w:cstheme="minorHAnsi"/>
                <w:sz w:val="16"/>
                <w:szCs w:val="16"/>
              </w:rPr>
              <w:t xml:space="preserve"> community resources, adolescent treatment facilities), a phone follow-up, or personal feedback</w:t>
            </w:r>
          </w:p>
        </w:tc>
      </w:tr>
      <w:tr w:rsidR="008412D1" w:rsidRPr="00216E82" w14:paraId="4E07C59B" w14:textId="77777777" w:rsidTr="008412D1">
        <w:tc>
          <w:tcPr>
            <w:tcW w:w="1166" w:type="dxa"/>
          </w:tcPr>
          <w:p w14:paraId="61316766" w14:textId="77777777" w:rsidR="008412D1" w:rsidRPr="00216E82" w:rsidRDefault="008412D1" w:rsidP="001D7DD2">
            <w:pPr>
              <w:rPr>
                <w:rFonts w:cstheme="minorHAnsi"/>
                <w:sz w:val="16"/>
                <w:szCs w:val="16"/>
              </w:rPr>
            </w:pPr>
            <w:r w:rsidRPr="00216E82">
              <w:rPr>
                <w:rFonts w:cstheme="minorHAnsi"/>
                <w:sz w:val="16"/>
                <w:szCs w:val="16"/>
              </w:rPr>
              <w:t xml:space="preserve">Landy et al, (2016)  </w:t>
            </w:r>
          </w:p>
        </w:tc>
        <w:tc>
          <w:tcPr>
            <w:tcW w:w="2520" w:type="dxa"/>
          </w:tcPr>
          <w:p w14:paraId="3F588F51" w14:textId="77777777" w:rsidR="008412D1" w:rsidRPr="00216E82" w:rsidRDefault="008412D1" w:rsidP="001D7DD2">
            <w:pPr>
              <w:rPr>
                <w:rFonts w:cstheme="minorHAnsi"/>
                <w:sz w:val="16"/>
                <w:szCs w:val="16"/>
              </w:rPr>
            </w:pPr>
            <w:r w:rsidRPr="00216E82">
              <w:rPr>
                <w:rFonts w:cstheme="minorHAnsi"/>
                <w:sz w:val="16"/>
                <w:szCs w:val="16"/>
              </w:rPr>
              <w:t xml:space="preserve">No data  </w:t>
            </w:r>
          </w:p>
        </w:tc>
        <w:tc>
          <w:tcPr>
            <w:tcW w:w="5670" w:type="dxa"/>
          </w:tcPr>
          <w:p w14:paraId="437EF968" w14:textId="77777777" w:rsidR="008412D1" w:rsidRPr="00216E82" w:rsidRDefault="008412D1" w:rsidP="001D7DD2">
            <w:pPr>
              <w:rPr>
                <w:rFonts w:cstheme="minorHAnsi"/>
                <w:i/>
                <w:sz w:val="16"/>
                <w:szCs w:val="16"/>
              </w:rPr>
            </w:pPr>
            <w:r w:rsidRPr="00216E82">
              <w:rPr>
                <w:rFonts w:cstheme="minorHAnsi"/>
                <w:i/>
                <w:sz w:val="16"/>
                <w:szCs w:val="16"/>
              </w:rPr>
              <w:t xml:space="preserve">Examples: </w:t>
            </w:r>
          </w:p>
          <w:p w14:paraId="1C753C8C" w14:textId="77777777" w:rsidR="008412D1" w:rsidRDefault="008412D1" w:rsidP="001D7DD2">
            <w:pPr>
              <w:rPr>
                <w:rFonts w:cstheme="minorHAnsi"/>
                <w:sz w:val="16"/>
                <w:szCs w:val="16"/>
              </w:rPr>
            </w:pPr>
            <w:r>
              <w:rPr>
                <w:rFonts w:cstheme="minorHAnsi"/>
                <w:sz w:val="16"/>
                <w:szCs w:val="16"/>
              </w:rPr>
              <w:t xml:space="preserve">Combinations of: </w:t>
            </w:r>
            <w:r w:rsidRPr="00216E82">
              <w:rPr>
                <w:rFonts w:cstheme="minorHAnsi"/>
                <w:sz w:val="16"/>
                <w:szCs w:val="16"/>
              </w:rPr>
              <w:t xml:space="preserve">BIs (5-30 minutes); motivational interviewing; use of FRAMES; tailored or generic booklets; computer generated feedback; written information about behaviour change; patient /health information leaflet; personalised feedback given verbally or by text message; action plans; list of contacts; graphic illustrations of risks of weekly alcohol consumption; referral to treatment  </w:t>
            </w:r>
          </w:p>
          <w:p w14:paraId="20B2B935" w14:textId="77777777" w:rsidR="00190FAD" w:rsidRDefault="00190FAD" w:rsidP="00190FAD">
            <w:pPr>
              <w:rPr>
                <w:rFonts w:cstheme="minorHAnsi"/>
                <w:sz w:val="16"/>
                <w:szCs w:val="16"/>
              </w:rPr>
            </w:pPr>
          </w:p>
          <w:p w14:paraId="7932E298" w14:textId="0377F0D0" w:rsidR="00190FAD" w:rsidRPr="00190FAD" w:rsidRDefault="00190FAD" w:rsidP="00190FAD">
            <w:pPr>
              <w:tabs>
                <w:tab w:val="left" w:pos="3857"/>
              </w:tabs>
              <w:rPr>
                <w:rFonts w:cstheme="minorHAnsi"/>
                <w:sz w:val="16"/>
                <w:szCs w:val="16"/>
              </w:rPr>
            </w:pPr>
            <w:r>
              <w:rPr>
                <w:rFonts w:cstheme="minorHAnsi"/>
                <w:sz w:val="16"/>
                <w:szCs w:val="16"/>
              </w:rPr>
              <w:tab/>
            </w:r>
          </w:p>
        </w:tc>
        <w:tc>
          <w:tcPr>
            <w:tcW w:w="5670" w:type="dxa"/>
          </w:tcPr>
          <w:p w14:paraId="302BDCED" w14:textId="77777777" w:rsidR="008412D1" w:rsidRPr="00216E82" w:rsidRDefault="008412D1" w:rsidP="001D7DD2">
            <w:pPr>
              <w:rPr>
                <w:rFonts w:cstheme="minorHAnsi"/>
                <w:i/>
                <w:sz w:val="16"/>
                <w:szCs w:val="16"/>
              </w:rPr>
            </w:pPr>
            <w:r w:rsidRPr="00216E82">
              <w:rPr>
                <w:rFonts w:cstheme="minorHAnsi"/>
                <w:i/>
                <w:sz w:val="16"/>
                <w:szCs w:val="16"/>
              </w:rPr>
              <w:t xml:space="preserve">Examples: </w:t>
            </w:r>
          </w:p>
          <w:p w14:paraId="1DC745BE" w14:textId="77777777" w:rsidR="008412D1" w:rsidRPr="00216E82" w:rsidRDefault="008412D1" w:rsidP="001D7DD2">
            <w:pPr>
              <w:rPr>
                <w:rFonts w:cstheme="minorHAnsi"/>
                <w:sz w:val="16"/>
                <w:szCs w:val="16"/>
              </w:rPr>
            </w:pPr>
            <w:r w:rsidRPr="00216E82">
              <w:rPr>
                <w:rFonts w:cstheme="minorHAnsi"/>
                <w:sz w:val="16"/>
                <w:szCs w:val="16"/>
              </w:rPr>
              <w:t>None; screening only, screening and additional information; a list of resources; referral list; 5 minutes advice; help for drinking when requested; questionnaire and referral.</w:t>
            </w:r>
          </w:p>
        </w:tc>
      </w:tr>
      <w:tr w:rsidR="008412D1" w:rsidRPr="00216E82" w14:paraId="580CD24E" w14:textId="77777777" w:rsidTr="008412D1">
        <w:tc>
          <w:tcPr>
            <w:tcW w:w="1166" w:type="dxa"/>
          </w:tcPr>
          <w:p w14:paraId="1B349783" w14:textId="77777777" w:rsidR="008412D1" w:rsidRPr="00216E82" w:rsidRDefault="008412D1" w:rsidP="001D7DD2">
            <w:pPr>
              <w:rPr>
                <w:rFonts w:cstheme="minorHAnsi"/>
                <w:sz w:val="16"/>
                <w:szCs w:val="16"/>
              </w:rPr>
            </w:pPr>
            <w:proofErr w:type="spellStart"/>
            <w:r w:rsidRPr="00216E82">
              <w:rPr>
                <w:rFonts w:cstheme="minorHAnsi"/>
                <w:sz w:val="16"/>
                <w:szCs w:val="16"/>
              </w:rPr>
              <w:lastRenderedPageBreak/>
              <w:t>McGinnes</w:t>
            </w:r>
            <w:proofErr w:type="spellEnd"/>
            <w:r w:rsidRPr="00216E82">
              <w:rPr>
                <w:rFonts w:cstheme="minorHAnsi"/>
                <w:sz w:val="16"/>
                <w:szCs w:val="16"/>
              </w:rPr>
              <w:t xml:space="preserve"> et al., (2016)  </w:t>
            </w:r>
          </w:p>
        </w:tc>
        <w:tc>
          <w:tcPr>
            <w:tcW w:w="2520" w:type="dxa"/>
          </w:tcPr>
          <w:p w14:paraId="4BA54C03" w14:textId="77777777" w:rsidR="008412D1" w:rsidRPr="00216E82" w:rsidRDefault="008412D1" w:rsidP="001D7DD2">
            <w:pPr>
              <w:rPr>
                <w:rFonts w:cstheme="minorHAnsi"/>
                <w:sz w:val="16"/>
                <w:szCs w:val="16"/>
              </w:rPr>
            </w:pPr>
            <w:r w:rsidRPr="00216E82">
              <w:rPr>
                <w:rFonts w:cstheme="minorHAnsi"/>
                <w:sz w:val="16"/>
                <w:szCs w:val="16"/>
              </w:rPr>
              <w:t>Age ranged from 14 years to 75 years; two studies included 18- to 25-year-olds; higher prevalence of males (up to 79%)</w:t>
            </w:r>
          </w:p>
        </w:tc>
        <w:tc>
          <w:tcPr>
            <w:tcW w:w="5670" w:type="dxa"/>
          </w:tcPr>
          <w:p w14:paraId="1F61FD9D" w14:textId="77777777" w:rsidR="008412D1" w:rsidRPr="00216E82" w:rsidRDefault="008412D1" w:rsidP="001D7DD2">
            <w:pPr>
              <w:rPr>
                <w:rFonts w:cstheme="minorHAnsi"/>
                <w:sz w:val="16"/>
                <w:szCs w:val="16"/>
              </w:rPr>
            </w:pPr>
            <w:r w:rsidRPr="00216E82">
              <w:rPr>
                <w:rFonts w:cstheme="minorHAnsi"/>
                <w:sz w:val="16"/>
                <w:szCs w:val="16"/>
              </w:rPr>
              <w:t>Ultra-BI with a face-to-face interaction of 10min or less (6 studies); computer intervention (3 studies); mobile phone intervention (2 studies); pamphlet only (2 studies).</w:t>
            </w:r>
            <w:r w:rsidRPr="00216E82">
              <w:rPr>
                <w:rFonts w:cstheme="minorHAnsi"/>
                <w:b/>
                <w:sz w:val="16"/>
                <w:szCs w:val="16"/>
              </w:rPr>
              <w:t xml:space="preserve">  </w:t>
            </w:r>
          </w:p>
        </w:tc>
        <w:tc>
          <w:tcPr>
            <w:tcW w:w="5670" w:type="dxa"/>
          </w:tcPr>
          <w:p w14:paraId="0D4B2071" w14:textId="77777777" w:rsidR="008412D1" w:rsidRPr="00216E82" w:rsidRDefault="008412D1" w:rsidP="001D7DD2">
            <w:pPr>
              <w:rPr>
                <w:rFonts w:cstheme="minorHAnsi"/>
                <w:i/>
                <w:sz w:val="16"/>
                <w:szCs w:val="16"/>
              </w:rPr>
            </w:pPr>
            <w:r w:rsidRPr="00216E82">
              <w:rPr>
                <w:rFonts w:cstheme="minorHAnsi"/>
                <w:i/>
                <w:sz w:val="16"/>
                <w:szCs w:val="16"/>
              </w:rPr>
              <w:t>Examples:</w:t>
            </w:r>
          </w:p>
          <w:p w14:paraId="16284F91" w14:textId="77777777" w:rsidR="008412D1" w:rsidRPr="00216E82" w:rsidRDefault="008412D1" w:rsidP="001D7DD2">
            <w:pPr>
              <w:rPr>
                <w:rFonts w:cstheme="minorHAnsi"/>
                <w:sz w:val="16"/>
                <w:szCs w:val="16"/>
              </w:rPr>
            </w:pPr>
            <w:r w:rsidRPr="00216E82">
              <w:rPr>
                <w:rFonts w:cstheme="minorHAnsi"/>
                <w:sz w:val="16"/>
                <w:szCs w:val="16"/>
              </w:rPr>
              <w:t xml:space="preserve">Standard care; booklet; brochure; phone numbers for community organisations; referral to community resources; handout; assessment with no feedback; short feedback </w:t>
            </w:r>
          </w:p>
        </w:tc>
      </w:tr>
      <w:tr w:rsidR="008412D1" w:rsidRPr="00216E82" w14:paraId="11E01EE2" w14:textId="77777777" w:rsidTr="008412D1">
        <w:tc>
          <w:tcPr>
            <w:tcW w:w="1166" w:type="dxa"/>
          </w:tcPr>
          <w:p w14:paraId="7EECD419" w14:textId="77777777" w:rsidR="008412D1" w:rsidRPr="00216E82" w:rsidRDefault="008412D1" w:rsidP="001D7DD2">
            <w:pPr>
              <w:rPr>
                <w:rFonts w:cstheme="minorHAnsi"/>
                <w:sz w:val="16"/>
                <w:szCs w:val="16"/>
              </w:rPr>
            </w:pPr>
            <w:r w:rsidRPr="00216E82">
              <w:rPr>
                <w:rFonts w:cstheme="minorHAnsi"/>
                <w:sz w:val="16"/>
                <w:szCs w:val="16"/>
              </w:rPr>
              <w:t xml:space="preserve">Newton et al., (2013)   </w:t>
            </w:r>
          </w:p>
        </w:tc>
        <w:tc>
          <w:tcPr>
            <w:tcW w:w="2520" w:type="dxa"/>
          </w:tcPr>
          <w:p w14:paraId="5E91B426" w14:textId="77777777" w:rsidR="008412D1" w:rsidRPr="00216E82" w:rsidRDefault="008412D1" w:rsidP="001D7DD2">
            <w:pPr>
              <w:rPr>
                <w:rFonts w:cstheme="minorHAnsi"/>
                <w:sz w:val="16"/>
                <w:szCs w:val="16"/>
              </w:rPr>
            </w:pPr>
            <w:r w:rsidRPr="00216E82">
              <w:rPr>
                <w:rFonts w:cstheme="minorHAnsi"/>
                <w:sz w:val="16"/>
                <w:szCs w:val="16"/>
              </w:rPr>
              <w:t>34%-67% male; age ranged from 12 to 21 years</w:t>
            </w:r>
          </w:p>
        </w:tc>
        <w:tc>
          <w:tcPr>
            <w:tcW w:w="5670" w:type="dxa"/>
          </w:tcPr>
          <w:p w14:paraId="16B8F365" w14:textId="77777777" w:rsidR="008412D1" w:rsidRPr="00216E82" w:rsidRDefault="008412D1" w:rsidP="001D7DD2">
            <w:pPr>
              <w:rPr>
                <w:rFonts w:cstheme="minorHAnsi"/>
                <w:sz w:val="16"/>
                <w:szCs w:val="16"/>
              </w:rPr>
            </w:pPr>
            <w:r w:rsidRPr="00216E82">
              <w:rPr>
                <w:rFonts w:cstheme="minorHAnsi"/>
                <w:sz w:val="16"/>
                <w:szCs w:val="16"/>
              </w:rPr>
              <w:t xml:space="preserve">A targeted approach (BIs for alcohol-positive youth) (4 studies); a universal approach (BIs for youth with a recent history of alcohol or other drug use) (5 studies); Seven studies included MI;  </w:t>
            </w:r>
          </w:p>
          <w:p w14:paraId="505E1825" w14:textId="77777777" w:rsidR="008412D1" w:rsidRPr="00216E82" w:rsidRDefault="008412D1" w:rsidP="001D7DD2">
            <w:pPr>
              <w:rPr>
                <w:rFonts w:cstheme="minorHAnsi"/>
                <w:sz w:val="16"/>
                <w:szCs w:val="16"/>
              </w:rPr>
            </w:pPr>
          </w:p>
          <w:p w14:paraId="44D134F5" w14:textId="77777777" w:rsidR="008412D1" w:rsidRPr="00216E82" w:rsidRDefault="008412D1" w:rsidP="001D7DD2">
            <w:pPr>
              <w:rPr>
                <w:rFonts w:cstheme="minorHAnsi"/>
                <w:sz w:val="16"/>
                <w:szCs w:val="16"/>
              </w:rPr>
            </w:pPr>
            <w:r w:rsidRPr="00216E82">
              <w:rPr>
                <w:rFonts w:cstheme="minorHAnsi"/>
                <w:sz w:val="16"/>
                <w:szCs w:val="16"/>
              </w:rPr>
              <w:t xml:space="preserve">Interventions primarily delivered one-on-one (youth + intervention deliverer); 1 study included parental involvement; 1 study included computer delivery   </w:t>
            </w:r>
          </w:p>
        </w:tc>
        <w:tc>
          <w:tcPr>
            <w:tcW w:w="5670" w:type="dxa"/>
          </w:tcPr>
          <w:p w14:paraId="28E97BF6" w14:textId="77777777" w:rsidR="008412D1" w:rsidRPr="00216E82" w:rsidRDefault="008412D1" w:rsidP="001D7DD2">
            <w:pPr>
              <w:rPr>
                <w:rFonts w:cstheme="minorHAnsi"/>
                <w:sz w:val="16"/>
                <w:szCs w:val="16"/>
              </w:rPr>
            </w:pPr>
            <w:r w:rsidRPr="00216E82">
              <w:rPr>
                <w:rFonts w:cstheme="minorHAnsi"/>
                <w:sz w:val="16"/>
                <w:szCs w:val="16"/>
              </w:rPr>
              <w:t xml:space="preserve">Information handout and list of community resources (3 studies); a handout on community resources only (1 study); comparison of one-on-one MI (control group) to one-on-one MI, followed by a family-based MI ‘‘check-up’’ (intervention group) (1 study); brief (5 minutes) advice (termed standard care) to youth in the control group (1 study); standard medical care (3 studies)  </w:t>
            </w:r>
          </w:p>
        </w:tc>
      </w:tr>
      <w:tr w:rsidR="008412D1" w:rsidRPr="00216E82" w14:paraId="65379EDD" w14:textId="77777777" w:rsidTr="008412D1">
        <w:tc>
          <w:tcPr>
            <w:tcW w:w="1166" w:type="dxa"/>
          </w:tcPr>
          <w:p w14:paraId="5E0D9014" w14:textId="77777777" w:rsidR="008412D1" w:rsidRPr="00216E82" w:rsidRDefault="008412D1" w:rsidP="001D7DD2">
            <w:pPr>
              <w:rPr>
                <w:rFonts w:cstheme="minorHAnsi"/>
                <w:sz w:val="16"/>
                <w:szCs w:val="16"/>
              </w:rPr>
            </w:pPr>
            <w:r w:rsidRPr="00216E82">
              <w:rPr>
                <w:rFonts w:cstheme="minorHAnsi"/>
                <w:sz w:val="16"/>
                <w:szCs w:val="16"/>
              </w:rPr>
              <w:t>Schmidt et al., (2016)</w:t>
            </w:r>
          </w:p>
        </w:tc>
        <w:tc>
          <w:tcPr>
            <w:tcW w:w="2520" w:type="dxa"/>
          </w:tcPr>
          <w:p w14:paraId="495D3026" w14:textId="089F057D" w:rsidR="008412D1" w:rsidRPr="00216E82" w:rsidRDefault="008412D1" w:rsidP="001D7DD2">
            <w:pPr>
              <w:rPr>
                <w:rFonts w:cstheme="minorHAnsi"/>
                <w:sz w:val="16"/>
                <w:szCs w:val="16"/>
              </w:rPr>
            </w:pPr>
            <w:r w:rsidRPr="00216E82">
              <w:rPr>
                <w:rFonts w:cstheme="minorHAnsi"/>
                <w:sz w:val="16"/>
                <w:szCs w:val="16"/>
              </w:rPr>
              <w:t>Participants aged 13 years or older; 5 studies included adolescents under 18 years</w:t>
            </w:r>
            <w:r w:rsidR="00F71DED">
              <w:rPr>
                <w:rFonts w:cstheme="minorHAnsi"/>
                <w:sz w:val="16"/>
                <w:szCs w:val="16"/>
              </w:rPr>
              <w:t xml:space="preserve">; </w:t>
            </w:r>
            <w:r w:rsidRPr="00216E82">
              <w:rPr>
                <w:rFonts w:cstheme="minorHAnsi"/>
                <w:sz w:val="16"/>
                <w:szCs w:val="16"/>
              </w:rPr>
              <w:t>All studies included both genders, except for one investigating only men.</w:t>
            </w:r>
          </w:p>
        </w:tc>
        <w:tc>
          <w:tcPr>
            <w:tcW w:w="5670" w:type="dxa"/>
          </w:tcPr>
          <w:p w14:paraId="170CF654" w14:textId="77777777" w:rsidR="008412D1" w:rsidRPr="00216E82" w:rsidRDefault="008412D1" w:rsidP="001D7DD2">
            <w:pPr>
              <w:rPr>
                <w:rFonts w:cstheme="minorHAnsi"/>
                <w:sz w:val="16"/>
                <w:szCs w:val="16"/>
              </w:rPr>
            </w:pPr>
            <w:r w:rsidRPr="00216E82">
              <w:rPr>
                <w:rFonts w:cstheme="minorHAnsi"/>
                <w:sz w:val="16"/>
                <w:szCs w:val="16"/>
              </w:rPr>
              <w:t>Face</w:t>
            </w:r>
            <w:r>
              <w:rPr>
                <w:rFonts w:cstheme="minorHAnsi"/>
                <w:sz w:val="16"/>
                <w:szCs w:val="16"/>
              </w:rPr>
              <w:t>-</w:t>
            </w:r>
            <w:r w:rsidRPr="00216E82">
              <w:rPr>
                <w:rFonts w:cstheme="minorHAnsi"/>
                <w:sz w:val="16"/>
                <w:szCs w:val="16"/>
              </w:rPr>
              <w:t>to</w:t>
            </w:r>
            <w:r>
              <w:rPr>
                <w:rFonts w:cstheme="minorHAnsi"/>
                <w:sz w:val="16"/>
                <w:szCs w:val="16"/>
              </w:rPr>
              <w:t>-</w:t>
            </w:r>
            <w:r w:rsidRPr="00216E82">
              <w:rPr>
                <w:rFonts w:cstheme="minorHAnsi"/>
                <w:sz w:val="16"/>
                <w:szCs w:val="16"/>
              </w:rPr>
              <w:t xml:space="preserve">face intervention (22 studies): included 'brief' BI (8 studies/9 publications) and extended BI (14 studies/18 publications) </w:t>
            </w:r>
          </w:p>
          <w:p w14:paraId="6752A3CB" w14:textId="77777777" w:rsidR="008412D1" w:rsidRPr="00216E82" w:rsidRDefault="008412D1" w:rsidP="001D7DD2">
            <w:pPr>
              <w:rPr>
                <w:rFonts w:cstheme="minorHAnsi"/>
                <w:sz w:val="16"/>
                <w:szCs w:val="16"/>
              </w:rPr>
            </w:pPr>
          </w:p>
          <w:p w14:paraId="6862942F" w14:textId="77777777" w:rsidR="008412D1" w:rsidRPr="00216E82" w:rsidRDefault="008412D1" w:rsidP="001D7DD2">
            <w:pPr>
              <w:rPr>
                <w:rFonts w:cstheme="minorHAnsi"/>
                <w:sz w:val="16"/>
                <w:szCs w:val="16"/>
              </w:rPr>
            </w:pPr>
            <w:r w:rsidRPr="00216E82">
              <w:rPr>
                <w:rFonts w:cstheme="minorHAnsi"/>
                <w:sz w:val="16"/>
                <w:szCs w:val="16"/>
              </w:rPr>
              <w:t>Brief BI = 5-10 minutes (median 5) and included individual feedback with brief advice or a brief motivational interview; extended BI = 15-40 minutes (median 30), with a stronger focus on motivational elements</w:t>
            </w:r>
          </w:p>
          <w:p w14:paraId="28DBCF6E" w14:textId="77777777" w:rsidR="008412D1" w:rsidRPr="00216E82" w:rsidRDefault="008412D1" w:rsidP="001D7DD2">
            <w:pPr>
              <w:rPr>
                <w:rFonts w:cstheme="minorHAnsi"/>
                <w:sz w:val="16"/>
                <w:szCs w:val="16"/>
              </w:rPr>
            </w:pPr>
          </w:p>
          <w:p w14:paraId="13B16836" w14:textId="77777777" w:rsidR="008412D1" w:rsidRPr="00216E82" w:rsidRDefault="008412D1" w:rsidP="001D7DD2">
            <w:pPr>
              <w:rPr>
                <w:rFonts w:cstheme="minorHAnsi"/>
                <w:sz w:val="16"/>
                <w:szCs w:val="16"/>
              </w:rPr>
            </w:pPr>
            <w:r w:rsidRPr="00216E82">
              <w:rPr>
                <w:rFonts w:cstheme="minorHAnsi"/>
                <w:sz w:val="16"/>
                <w:szCs w:val="16"/>
              </w:rPr>
              <w:t>Booster sessions: One booster session 5-30 minutes duration (median 15) between 2 weeks and 3 months after discharge (8 studies),</w:t>
            </w:r>
          </w:p>
          <w:p w14:paraId="17F78A67" w14:textId="77777777" w:rsidR="008412D1" w:rsidRPr="00216E82" w:rsidRDefault="008412D1" w:rsidP="001D7DD2">
            <w:pPr>
              <w:rPr>
                <w:rFonts w:cstheme="minorHAnsi"/>
                <w:sz w:val="16"/>
                <w:szCs w:val="16"/>
              </w:rPr>
            </w:pPr>
          </w:p>
          <w:p w14:paraId="0E856065" w14:textId="77777777" w:rsidR="008412D1" w:rsidRPr="00216E82" w:rsidRDefault="008412D1" w:rsidP="001D7DD2">
            <w:pPr>
              <w:rPr>
                <w:rFonts w:cstheme="minorHAnsi"/>
                <w:sz w:val="16"/>
                <w:szCs w:val="16"/>
              </w:rPr>
            </w:pPr>
            <w:r w:rsidRPr="00216E82">
              <w:rPr>
                <w:rFonts w:cstheme="minorHAnsi"/>
                <w:sz w:val="16"/>
                <w:szCs w:val="16"/>
              </w:rPr>
              <w:t>Non-face</w:t>
            </w:r>
            <w:r>
              <w:rPr>
                <w:rFonts w:cstheme="minorHAnsi"/>
                <w:sz w:val="16"/>
                <w:szCs w:val="16"/>
              </w:rPr>
              <w:t>-</w:t>
            </w:r>
            <w:r w:rsidRPr="00216E82">
              <w:rPr>
                <w:rFonts w:cstheme="minorHAnsi"/>
                <w:sz w:val="16"/>
                <w:szCs w:val="16"/>
              </w:rPr>
              <w:t>to</w:t>
            </w:r>
            <w:r>
              <w:rPr>
                <w:rFonts w:cstheme="minorHAnsi"/>
                <w:sz w:val="16"/>
                <w:szCs w:val="16"/>
              </w:rPr>
              <w:t>-</w:t>
            </w:r>
            <w:r w:rsidRPr="00216E82">
              <w:rPr>
                <w:rFonts w:cstheme="minorHAnsi"/>
                <w:sz w:val="16"/>
                <w:szCs w:val="16"/>
              </w:rPr>
              <w:t>face interventions (6 studies): included interactive computer programme (1 study), printer computer-generated feedback (2 studies), leaflets (1 study), text messages (2 studies)</w:t>
            </w:r>
          </w:p>
          <w:p w14:paraId="2DCFC767" w14:textId="77777777" w:rsidR="008412D1" w:rsidRPr="00216E82" w:rsidRDefault="008412D1" w:rsidP="001D7DD2">
            <w:pPr>
              <w:rPr>
                <w:rFonts w:cstheme="minorHAnsi"/>
                <w:sz w:val="16"/>
                <w:szCs w:val="16"/>
              </w:rPr>
            </w:pPr>
          </w:p>
          <w:p w14:paraId="1721838D" w14:textId="77777777" w:rsidR="008412D1" w:rsidRPr="00216E82" w:rsidRDefault="008412D1" w:rsidP="001D7DD2">
            <w:pPr>
              <w:rPr>
                <w:rFonts w:cstheme="minorHAnsi"/>
                <w:sz w:val="16"/>
                <w:szCs w:val="16"/>
              </w:rPr>
            </w:pPr>
            <w:r w:rsidRPr="00216E82">
              <w:rPr>
                <w:rFonts w:cstheme="minorHAnsi"/>
                <w:sz w:val="16"/>
                <w:szCs w:val="16"/>
              </w:rPr>
              <w:t xml:space="preserve">Most BI conducted after assessment, before patients discharged from ED; 7 studies BI scheduled for separate appointment </w:t>
            </w:r>
          </w:p>
        </w:tc>
        <w:tc>
          <w:tcPr>
            <w:tcW w:w="5670" w:type="dxa"/>
          </w:tcPr>
          <w:p w14:paraId="7BC0767C" w14:textId="24C42C39" w:rsidR="008412D1" w:rsidRPr="00216E82" w:rsidRDefault="008412D1" w:rsidP="001D7DD2">
            <w:pPr>
              <w:autoSpaceDE w:val="0"/>
              <w:autoSpaceDN w:val="0"/>
              <w:adjustRightInd w:val="0"/>
              <w:rPr>
                <w:rFonts w:cstheme="minorHAnsi"/>
                <w:sz w:val="16"/>
                <w:szCs w:val="16"/>
              </w:rPr>
            </w:pPr>
            <w:r w:rsidRPr="00216E82">
              <w:rPr>
                <w:rFonts w:cstheme="minorHAnsi"/>
                <w:sz w:val="16"/>
                <w:szCs w:val="16"/>
              </w:rPr>
              <w:t>Four categories: treatment as usual or no intervention (15 publications); provision of general information leaflets (10 publications); specific intervention (7 publications) comprises either handout plus brief counsellor contact (e.g.</w:t>
            </w:r>
            <w:r w:rsidR="00127033">
              <w:rPr>
                <w:rFonts w:cstheme="minorHAnsi"/>
                <w:sz w:val="16"/>
                <w:szCs w:val="16"/>
              </w:rPr>
              <w:t>,</w:t>
            </w:r>
            <w:r w:rsidRPr="00216E82">
              <w:rPr>
                <w:rFonts w:cstheme="minorHAnsi"/>
                <w:sz w:val="16"/>
                <w:szCs w:val="16"/>
              </w:rPr>
              <w:t xml:space="preserve"> unspecific, empathic advice), weekly text message reminders or personalized feedback; short form of BI (brief advice) (1 publication) </w:t>
            </w:r>
          </w:p>
          <w:p w14:paraId="218E7114" w14:textId="77777777" w:rsidR="008412D1" w:rsidRPr="00216E82" w:rsidRDefault="008412D1" w:rsidP="001D7DD2">
            <w:pPr>
              <w:autoSpaceDE w:val="0"/>
              <w:autoSpaceDN w:val="0"/>
              <w:adjustRightInd w:val="0"/>
              <w:rPr>
                <w:rFonts w:cstheme="minorHAnsi"/>
                <w:sz w:val="16"/>
                <w:szCs w:val="16"/>
              </w:rPr>
            </w:pPr>
          </w:p>
          <w:p w14:paraId="7094D3D2" w14:textId="7ED44631" w:rsidR="008412D1" w:rsidRPr="00216E82" w:rsidRDefault="008412D1" w:rsidP="001D7DD2">
            <w:pPr>
              <w:autoSpaceDE w:val="0"/>
              <w:autoSpaceDN w:val="0"/>
              <w:adjustRightInd w:val="0"/>
              <w:rPr>
                <w:rFonts w:cstheme="minorHAnsi"/>
                <w:sz w:val="16"/>
                <w:szCs w:val="16"/>
              </w:rPr>
            </w:pPr>
            <w:r w:rsidRPr="00216E82">
              <w:rPr>
                <w:rFonts w:cstheme="minorHAnsi"/>
                <w:sz w:val="16"/>
                <w:szCs w:val="16"/>
              </w:rPr>
              <w:t xml:space="preserve">To investigate potential screening reactivity effects, five of the 28 studies additionally employed </w:t>
            </w:r>
            <w:r w:rsidR="00777C67">
              <w:rPr>
                <w:rFonts w:cstheme="minorHAnsi"/>
                <w:sz w:val="16"/>
                <w:szCs w:val="16"/>
              </w:rPr>
              <w:t>‘</w:t>
            </w:r>
            <w:r w:rsidRPr="00216E82">
              <w:rPr>
                <w:rFonts w:cstheme="minorHAnsi"/>
                <w:sz w:val="16"/>
                <w:szCs w:val="16"/>
              </w:rPr>
              <w:t>not-assessed</w:t>
            </w:r>
            <w:r w:rsidR="00777C67">
              <w:rPr>
                <w:rFonts w:cstheme="minorHAnsi"/>
                <w:sz w:val="16"/>
                <w:szCs w:val="16"/>
              </w:rPr>
              <w:t>’</w:t>
            </w:r>
            <w:r w:rsidRPr="00216E82">
              <w:rPr>
                <w:rFonts w:cstheme="minorHAnsi"/>
                <w:sz w:val="16"/>
                <w:szCs w:val="16"/>
              </w:rPr>
              <w:t xml:space="preserve"> or minimally assessed control groups.  </w:t>
            </w:r>
          </w:p>
        </w:tc>
      </w:tr>
      <w:tr w:rsidR="008412D1" w:rsidRPr="00216E82" w14:paraId="7F439E2C" w14:textId="77777777" w:rsidTr="008412D1">
        <w:tc>
          <w:tcPr>
            <w:tcW w:w="1166" w:type="dxa"/>
          </w:tcPr>
          <w:p w14:paraId="1AA37DA4" w14:textId="77777777" w:rsidR="008412D1" w:rsidRPr="00216E82" w:rsidRDefault="008412D1" w:rsidP="001D7DD2">
            <w:pPr>
              <w:rPr>
                <w:rFonts w:cstheme="minorHAnsi"/>
                <w:sz w:val="16"/>
                <w:szCs w:val="16"/>
              </w:rPr>
            </w:pPr>
            <w:proofErr w:type="spellStart"/>
            <w:r w:rsidRPr="00216E82">
              <w:rPr>
                <w:rFonts w:cstheme="minorHAnsi"/>
                <w:sz w:val="16"/>
                <w:szCs w:val="16"/>
              </w:rPr>
              <w:t>Simioni</w:t>
            </w:r>
            <w:proofErr w:type="spellEnd"/>
            <w:r w:rsidRPr="00216E82">
              <w:rPr>
                <w:rFonts w:cstheme="minorHAnsi"/>
                <w:sz w:val="16"/>
                <w:szCs w:val="16"/>
              </w:rPr>
              <w:t xml:space="preserve"> et al., (2015)   </w:t>
            </w:r>
          </w:p>
        </w:tc>
        <w:tc>
          <w:tcPr>
            <w:tcW w:w="2520" w:type="dxa"/>
          </w:tcPr>
          <w:p w14:paraId="0D17C197" w14:textId="77777777" w:rsidR="008412D1" w:rsidRPr="00216E82" w:rsidRDefault="008412D1" w:rsidP="001D7DD2">
            <w:pPr>
              <w:rPr>
                <w:rFonts w:cstheme="minorHAnsi"/>
                <w:sz w:val="16"/>
                <w:szCs w:val="16"/>
              </w:rPr>
            </w:pPr>
            <w:r w:rsidRPr="00216E82">
              <w:rPr>
                <w:rFonts w:cstheme="minorHAnsi"/>
                <w:sz w:val="16"/>
                <w:szCs w:val="16"/>
              </w:rPr>
              <w:t xml:space="preserve">No data  </w:t>
            </w:r>
          </w:p>
        </w:tc>
        <w:tc>
          <w:tcPr>
            <w:tcW w:w="5670" w:type="dxa"/>
          </w:tcPr>
          <w:p w14:paraId="636A7C7E" w14:textId="436C95ED" w:rsidR="008412D1" w:rsidRPr="00216E82" w:rsidRDefault="008412D1" w:rsidP="001D7DD2">
            <w:pPr>
              <w:rPr>
                <w:rFonts w:cstheme="minorHAnsi"/>
                <w:sz w:val="16"/>
                <w:szCs w:val="16"/>
              </w:rPr>
            </w:pPr>
            <w:r w:rsidRPr="00216E82">
              <w:rPr>
                <w:rFonts w:cstheme="minorHAnsi"/>
                <w:sz w:val="16"/>
                <w:szCs w:val="16"/>
              </w:rPr>
              <w:t>Onsite extended BI (2 studies, CCTs); onsite brief advice (2 studies, 1RCT, 1NRCT); onsite brief advice with direct referral to a post-discharge single-session BI (1 study, RCT); a post-discharge letter without onsite intervention (1 study, RCT); referrals to a post-discharge two session BI and to an extended post-discharge intervention, without onsite intervention (1 study, RCT)</w:t>
            </w:r>
            <w:r w:rsidRPr="00216E82">
              <w:rPr>
                <w:rFonts w:cstheme="minorHAnsi"/>
                <w:b/>
                <w:sz w:val="16"/>
                <w:szCs w:val="16"/>
              </w:rPr>
              <w:t xml:space="preserve"> </w:t>
            </w:r>
          </w:p>
        </w:tc>
        <w:tc>
          <w:tcPr>
            <w:tcW w:w="5670" w:type="dxa"/>
          </w:tcPr>
          <w:p w14:paraId="0736E849" w14:textId="77777777" w:rsidR="008412D1" w:rsidRPr="00216E82" w:rsidRDefault="008412D1" w:rsidP="001D7DD2">
            <w:pPr>
              <w:rPr>
                <w:rFonts w:cstheme="minorHAnsi"/>
                <w:sz w:val="16"/>
                <w:szCs w:val="16"/>
              </w:rPr>
            </w:pPr>
            <w:r w:rsidRPr="00216E82">
              <w:rPr>
                <w:rFonts w:cstheme="minorHAnsi"/>
                <w:sz w:val="16"/>
                <w:szCs w:val="16"/>
              </w:rPr>
              <w:t>No active control conditions (four studies); active control conditions such as leaflets (three studies)</w:t>
            </w:r>
          </w:p>
        </w:tc>
      </w:tr>
      <w:tr w:rsidR="008412D1" w:rsidRPr="00216E82" w14:paraId="2BBF1FC4" w14:textId="77777777" w:rsidTr="008412D1">
        <w:tc>
          <w:tcPr>
            <w:tcW w:w="1166" w:type="dxa"/>
          </w:tcPr>
          <w:p w14:paraId="7B602544" w14:textId="77777777" w:rsidR="008412D1" w:rsidRPr="00216E82" w:rsidRDefault="008412D1" w:rsidP="001D7DD2">
            <w:pPr>
              <w:rPr>
                <w:rFonts w:cstheme="minorHAnsi"/>
                <w:sz w:val="16"/>
                <w:szCs w:val="16"/>
              </w:rPr>
            </w:pPr>
            <w:r w:rsidRPr="00216E82">
              <w:rPr>
                <w:rFonts w:cstheme="minorHAnsi"/>
                <w:sz w:val="16"/>
                <w:szCs w:val="16"/>
              </w:rPr>
              <w:t xml:space="preserve">Taggart et al., (2013)  </w:t>
            </w:r>
          </w:p>
        </w:tc>
        <w:tc>
          <w:tcPr>
            <w:tcW w:w="2520" w:type="dxa"/>
          </w:tcPr>
          <w:p w14:paraId="32829A0A" w14:textId="77777777" w:rsidR="008412D1" w:rsidRPr="00216E82" w:rsidRDefault="008412D1" w:rsidP="001D7DD2">
            <w:pPr>
              <w:rPr>
                <w:rFonts w:cstheme="minorHAnsi"/>
                <w:sz w:val="16"/>
                <w:szCs w:val="16"/>
              </w:rPr>
            </w:pPr>
            <w:r w:rsidRPr="00216E82">
              <w:rPr>
                <w:rFonts w:cstheme="minorHAnsi"/>
                <w:sz w:val="16"/>
                <w:szCs w:val="16"/>
              </w:rPr>
              <w:t xml:space="preserve">No data </w:t>
            </w:r>
          </w:p>
        </w:tc>
        <w:tc>
          <w:tcPr>
            <w:tcW w:w="5670" w:type="dxa"/>
          </w:tcPr>
          <w:p w14:paraId="575C40AE" w14:textId="77777777" w:rsidR="008412D1" w:rsidRPr="00216E82" w:rsidRDefault="008412D1" w:rsidP="001D7DD2">
            <w:pPr>
              <w:rPr>
                <w:rFonts w:cstheme="minorHAnsi"/>
                <w:sz w:val="16"/>
                <w:szCs w:val="16"/>
              </w:rPr>
            </w:pPr>
            <w:r w:rsidRPr="00216E82">
              <w:rPr>
                <w:rFonts w:cstheme="minorHAnsi"/>
                <w:sz w:val="16"/>
                <w:szCs w:val="16"/>
              </w:rPr>
              <w:t xml:space="preserve">MI (four studies); other forms of BIs (3 studies); interventions varied in type, length, who administered the intervention, and inclusion of booster sessions.  </w:t>
            </w:r>
          </w:p>
        </w:tc>
        <w:tc>
          <w:tcPr>
            <w:tcW w:w="5670" w:type="dxa"/>
          </w:tcPr>
          <w:p w14:paraId="092A4541" w14:textId="77777777" w:rsidR="008412D1" w:rsidRPr="00216E82" w:rsidRDefault="008412D1" w:rsidP="001D7DD2">
            <w:pPr>
              <w:rPr>
                <w:rFonts w:cstheme="minorHAnsi"/>
                <w:sz w:val="16"/>
                <w:szCs w:val="16"/>
              </w:rPr>
            </w:pPr>
            <w:r w:rsidRPr="00216E82">
              <w:rPr>
                <w:rFonts w:cstheme="minorHAnsi"/>
                <w:i/>
                <w:sz w:val="16"/>
                <w:szCs w:val="16"/>
              </w:rPr>
              <w:t>Examples included</w:t>
            </w:r>
            <w:r w:rsidRPr="00216E82">
              <w:rPr>
                <w:rFonts w:cstheme="minorHAnsi"/>
                <w:sz w:val="16"/>
                <w:szCs w:val="16"/>
              </w:rPr>
              <w:t>: standard care; weekly text messages; brochure in ED; assessments and brief handout; personalised feedback (1-3 mins) with a 5-10 min telephone booster at 1 and 3 months</w:t>
            </w:r>
          </w:p>
        </w:tc>
      </w:tr>
      <w:tr w:rsidR="008412D1" w:rsidRPr="00216E82" w14:paraId="577C5A52" w14:textId="77777777" w:rsidTr="008412D1">
        <w:tc>
          <w:tcPr>
            <w:tcW w:w="1166" w:type="dxa"/>
          </w:tcPr>
          <w:p w14:paraId="5E327659" w14:textId="77777777" w:rsidR="008412D1" w:rsidRPr="00216E82" w:rsidRDefault="008412D1" w:rsidP="001D7DD2">
            <w:pPr>
              <w:rPr>
                <w:rFonts w:cstheme="minorHAnsi"/>
                <w:sz w:val="16"/>
                <w:szCs w:val="16"/>
              </w:rPr>
            </w:pPr>
            <w:r w:rsidRPr="00216E82">
              <w:rPr>
                <w:rFonts w:cstheme="minorHAnsi"/>
                <w:sz w:val="16"/>
                <w:szCs w:val="16"/>
              </w:rPr>
              <w:t xml:space="preserve">Yuma-Guerrero et al., (2012)   </w:t>
            </w:r>
          </w:p>
        </w:tc>
        <w:tc>
          <w:tcPr>
            <w:tcW w:w="2520" w:type="dxa"/>
          </w:tcPr>
          <w:p w14:paraId="50F30D7F" w14:textId="77777777" w:rsidR="008412D1" w:rsidRPr="00216E82" w:rsidRDefault="008412D1" w:rsidP="001D7DD2">
            <w:pPr>
              <w:rPr>
                <w:rFonts w:cstheme="minorHAnsi"/>
                <w:sz w:val="16"/>
                <w:szCs w:val="16"/>
              </w:rPr>
            </w:pPr>
            <w:r w:rsidRPr="00216E82">
              <w:rPr>
                <w:rFonts w:cstheme="minorHAnsi"/>
                <w:sz w:val="16"/>
                <w:szCs w:val="16"/>
              </w:rPr>
              <w:t xml:space="preserve">Ages of patients varied; study with youngest age boundary included patients 12 to 20 years of age; study with highest age boundary included patients 18 to 24 years of age.  </w:t>
            </w:r>
          </w:p>
        </w:tc>
        <w:tc>
          <w:tcPr>
            <w:tcW w:w="5670" w:type="dxa"/>
          </w:tcPr>
          <w:p w14:paraId="1759A0D3" w14:textId="77777777" w:rsidR="008412D1" w:rsidRPr="00216E82" w:rsidRDefault="008412D1" w:rsidP="001D7DD2">
            <w:pPr>
              <w:autoSpaceDE w:val="0"/>
              <w:autoSpaceDN w:val="0"/>
              <w:adjustRightInd w:val="0"/>
              <w:rPr>
                <w:rFonts w:cstheme="minorHAnsi"/>
                <w:sz w:val="16"/>
                <w:szCs w:val="16"/>
              </w:rPr>
            </w:pPr>
            <w:r w:rsidRPr="00216E82">
              <w:rPr>
                <w:rFonts w:cstheme="minorHAnsi"/>
                <w:sz w:val="16"/>
                <w:szCs w:val="16"/>
              </w:rPr>
              <w:t>MI used as the foundation for the intervention (six out of seven studies); examples of additional intervention content:  List of treatment resources; personalised feedback sheet; laptop-based interactive programme; worksheets; telephone booster at 10 days or 1 and 3 months; referral to community resources/ treatment</w:t>
            </w:r>
          </w:p>
        </w:tc>
        <w:tc>
          <w:tcPr>
            <w:tcW w:w="5670" w:type="dxa"/>
          </w:tcPr>
          <w:p w14:paraId="647B7067" w14:textId="77777777" w:rsidR="008412D1" w:rsidRPr="00216E82" w:rsidRDefault="008412D1" w:rsidP="001D7DD2">
            <w:pPr>
              <w:rPr>
                <w:rFonts w:cstheme="minorHAnsi"/>
                <w:sz w:val="16"/>
                <w:szCs w:val="16"/>
              </w:rPr>
            </w:pPr>
            <w:r w:rsidRPr="00216E82">
              <w:rPr>
                <w:rFonts w:cstheme="minorHAnsi"/>
                <w:i/>
                <w:sz w:val="16"/>
                <w:szCs w:val="16"/>
              </w:rPr>
              <w:t xml:space="preserve">Examples included: </w:t>
            </w:r>
            <w:r w:rsidRPr="00216E82">
              <w:rPr>
                <w:rFonts w:cstheme="minorHAnsi"/>
                <w:sz w:val="16"/>
                <w:szCs w:val="16"/>
              </w:rPr>
              <w:t>handout on avoiding drinking and driving and a list of resources for treatment; standard medical care; standard care (defined as five minutes of brief advice and written resources); feedback only; screening survey only; additional assessments</w:t>
            </w:r>
          </w:p>
        </w:tc>
      </w:tr>
    </w:tbl>
    <w:p w14:paraId="3079CE08" w14:textId="62756D9C" w:rsidR="00735855" w:rsidRDefault="00735855" w:rsidP="001D7DD2">
      <w:pPr>
        <w:ind w:left="-284"/>
        <w:rPr>
          <w:rFonts w:cstheme="minorHAnsi"/>
        </w:rPr>
      </w:pPr>
      <w:r>
        <w:rPr>
          <w:rFonts w:cstheme="minorHAnsi"/>
          <w:sz w:val="18"/>
          <w:szCs w:val="18"/>
        </w:rPr>
        <w:t>AHW = Alcohol Health Worker; AUD = Alcohol use disorder;</w:t>
      </w:r>
      <w:r w:rsidRPr="00F5344E">
        <w:rPr>
          <w:rFonts w:cstheme="minorHAnsi"/>
          <w:sz w:val="18"/>
          <w:szCs w:val="18"/>
        </w:rPr>
        <w:t xml:space="preserve"> </w:t>
      </w:r>
      <w:r>
        <w:rPr>
          <w:rFonts w:cstheme="minorHAnsi"/>
          <w:sz w:val="18"/>
          <w:szCs w:val="18"/>
        </w:rPr>
        <w:t xml:space="preserve">BI = Brief intervention; COM-B = Capability, Opportunity, Motivation – Behaviour; ED = Emergency Department; </w:t>
      </w:r>
      <w:r w:rsidRPr="00F5344E">
        <w:rPr>
          <w:rFonts w:cstheme="minorHAnsi"/>
          <w:sz w:val="18"/>
          <w:szCs w:val="18"/>
        </w:rPr>
        <w:t>RCTs = Randomised control trials</w:t>
      </w:r>
      <w:r>
        <w:rPr>
          <w:rFonts w:cstheme="minorHAnsi"/>
          <w:sz w:val="18"/>
          <w:szCs w:val="18"/>
        </w:rPr>
        <w:t>; SBIRT = screening, brief intervention and referral to treatment</w:t>
      </w:r>
      <w:r w:rsidR="00B15BFD">
        <w:rPr>
          <w:rFonts w:cstheme="minorHAnsi"/>
          <w:sz w:val="18"/>
          <w:szCs w:val="18"/>
        </w:rPr>
        <w:t xml:space="preserve">; SMD = standardised mean differences </w:t>
      </w:r>
      <w:bookmarkStart w:id="0" w:name="_GoBack"/>
      <w:bookmarkEnd w:id="0"/>
    </w:p>
    <w:sectPr w:rsidR="00735855" w:rsidSect="00190FAD">
      <w:pgSz w:w="16838" w:h="11906" w:orient="landscape"/>
      <w:pgMar w:top="993" w:right="1134" w:bottom="993"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C7C7B" w14:textId="77777777" w:rsidR="007C1D25" w:rsidRDefault="007C1D25" w:rsidP="00265FC2">
      <w:pPr>
        <w:spacing w:after="0" w:line="240" w:lineRule="auto"/>
      </w:pPr>
      <w:r>
        <w:separator/>
      </w:r>
    </w:p>
  </w:endnote>
  <w:endnote w:type="continuationSeparator" w:id="0">
    <w:p w14:paraId="58DE8005" w14:textId="77777777" w:rsidR="007C1D25" w:rsidRDefault="007C1D25" w:rsidP="00265FC2">
      <w:pPr>
        <w:spacing w:after="0" w:line="240" w:lineRule="auto"/>
      </w:pPr>
      <w:r>
        <w:continuationSeparator/>
      </w:r>
    </w:p>
  </w:endnote>
  <w:endnote w:type="continuationNotice" w:id="1">
    <w:p w14:paraId="02438E13" w14:textId="77777777" w:rsidR="007C1D25" w:rsidRDefault="007C1D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LELD+AdvTTc7ad1622">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EBE8E" w14:textId="77777777" w:rsidR="007C1D25" w:rsidRDefault="007C1D25" w:rsidP="00265FC2">
      <w:pPr>
        <w:spacing w:after="0" w:line="240" w:lineRule="auto"/>
      </w:pPr>
      <w:r>
        <w:separator/>
      </w:r>
    </w:p>
  </w:footnote>
  <w:footnote w:type="continuationSeparator" w:id="0">
    <w:p w14:paraId="79769CDF" w14:textId="77777777" w:rsidR="007C1D25" w:rsidRDefault="007C1D25" w:rsidP="00265FC2">
      <w:pPr>
        <w:spacing w:after="0" w:line="240" w:lineRule="auto"/>
      </w:pPr>
      <w:r>
        <w:continuationSeparator/>
      </w:r>
    </w:p>
  </w:footnote>
  <w:footnote w:type="continuationNotice" w:id="1">
    <w:p w14:paraId="30F5782E" w14:textId="77777777" w:rsidR="007C1D25" w:rsidRDefault="007C1D2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5EF"/>
    <w:multiLevelType w:val="hybridMultilevel"/>
    <w:tmpl w:val="A51E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6354C2"/>
    <w:multiLevelType w:val="hybridMultilevel"/>
    <w:tmpl w:val="ABFE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EF30A2"/>
    <w:multiLevelType w:val="hybridMultilevel"/>
    <w:tmpl w:val="0C56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3D32DF"/>
    <w:multiLevelType w:val="hybridMultilevel"/>
    <w:tmpl w:val="9036E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A55043"/>
    <w:multiLevelType w:val="hybridMultilevel"/>
    <w:tmpl w:val="93EC4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264A28"/>
    <w:multiLevelType w:val="hybridMultilevel"/>
    <w:tmpl w:val="6F325402"/>
    <w:lvl w:ilvl="0" w:tplc="0809000F">
      <w:start w:val="1"/>
      <w:numFmt w:val="decimal"/>
      <w:lvlText w:val="%1."/>
      <w:lvlJc w:val="left"/>
      <w:pPr>
        <w:tabs>
          <w:tab w:val="num" w:pos="720"/>
        </w:tabs>
        <w:ind w:left="720" w:hanging="360"/>
      </w:pPr>
      <w:rPr>
        <w:rFonts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6">
    <w:nsid w:val="156E506E"/>
    <w:multiLevelType w:val="hybridMultilevel"/>
    <w:tmpl w:val="B50C0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0A4208"/>
    <w:multiLevelType w:val="hybridMultilevel"/>
    <w:tmpl w:val="8CEE2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2A7FDE"/>
    <w:multiLevelType w:val="hybridMultilevel"/>
    <w:tmpl w:val="8B941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350B54"/>
    <w:multiLevelType w:val="hybridMultilevel"/>
    <w:tmpl w:val="B02C3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9C65A8"/>
    <w:multiLevelType w:val="hybridMultilevel"/>
    <w:tmpl w:val="C4A8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B5782E"/>
    <w:multiLevelType w:val="hybridMultilevel"/>
    <w:tmpl w:val="94A03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FAC4806"/>
    <w:multiLevelType w:val="hybridMultilevel"/>
    <w:tmpl w:val="C87A6CA8"/>
    <w:lvl w:ilvl="0" w:tplc="F8E86762">
      <w:start w:val="1"/>
      <w:numFmt w:val="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nsid w:val="204A5E6F"/>
    <w:multiLevelType w:val="hybridMultilevel"/>
    <w:tmpl w:val="3836C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1851623"/>
    <w:multiLevelType w:val="hybridMultilevel"/>
    <w:tmpl w:val="EF64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1ED381D"/>
    <w:multiLevelType w:val="hybridMultilevel"/>
    <w:tmpl w:val="ABC08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33147F7"/>
    <w:multiLevelType w:val="hybridMultilevel"/>
    <w:tmpl w:val="1DF24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D60B0F"/>
    <w:multiLevelType w:val="hybridMultilevel"/>
    <w:tmpl w:val="0200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E51FF2"/>
    <w:multiLevelType w:val="hybridMultilevel"/>
    <w:tmpl w:val="606E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5816CA8"/>
    <w:multiLevelType w:val="hybridMultilevel"/>
    <w:tmpl w:val="C700D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7D84D1B"/>
    <w:multiLevelType w:val="hybridMultilevel"/>
    <w:tmpl w:val="74AA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B383930"/>
    <w:multiLevelType w:val="hybridMultilevel"/>
    <w:tmpl w:val="4684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BA76A53"/>
    <w:multiLevelType w:val="hybridMultilevel"/>
    <w:tmpl w:val="6BF8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C0B5D19"/>
    <w:multiLevelType w:val="hybridMultilevel"/>
    <w:tmpl w:val="B9FE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EDB43FB"/>
    <w:multiLevelType w:val="hybridMultilevel"/>
    <w:tmpl w:val="625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16D551B"/>
    <w:multiLevelType w:val="hybridMultilevel"/>
    <w:tmpl w:val="1320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18E4579"/>
    <w:multiLevelType w:val="hybridMultilevel"/>
    <w:tmpl w:val="EC76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3701216"/>
    <w:multiLevelType w:val="hybridMultilevel"/>
    <w:tmpl w:val="F65C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D2203FF"/>
    <w:multiLevelType w:val="hybridMultilevel"/>
    <w:tmpl w:val="0D4C8F68"/>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29">
    <w:nsid w:val="3D3B3D83"/>
    <w:multiLevelType w:val="hybridMultilevel"/>
    <w:tmpl w:val="08CA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3EC12F15"/>
    <w:multiLevelType w:val="hybridMultilevel"/>
    <w:tmpl w:val="32E2767C"/>
    <w:lvl w:ilvl="0" w:tplc="57DAA970">
      <w:start w:val="1"/>
      <w:numFmt w:val="bullet"/>
      <w:lvlText w:val="•"/>
      <w:lvlJc w:val="left"/>
      <w:pPr>
        <w:tabs>
          <w:tab w:val="num" w:pos="720"/>
        </w:tabs>
        <w:ind w:left="720" w:hanging="360"/>
      </w:pPr>
      <w:rPr>
        <w:rFonts w:ascii="Arial" w:hAnsi="Arial"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31">
    <w:nsid w:val="3ED772AC"/>
    <w:multiLevelType w:val="hybridMultilevel"/>
    <w:tmpl w:val="1BBA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4187DCF"/>
    <w:multiLevelType w:val="hybridMultilevel"/>
    <w:tmpl w:val="95E04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4C02D73"/>
    <w:multiLevelType w:val="hybridMultilevel"/>
    <w:tmpl w:val="90D2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673651A"/>
    <w:multiLevelType w:val="hybridMultilevel"/>
    <w:tmpl w:val="DE9E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6E869AF"/>
    <w:multiLevelType w:val="hybridMultilevel"/>
    <w:tmpl w:val="44026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76A709A"/>
    <w:multiLevelType w:val="hybridMultilevel"/>
    <w:tmpl w:val="3A367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48354B36"/>
    <w:multiLevelType w:val="hybridMultilevel"/>
    <w:tmpl w:val="5758623C"/>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38">
    <w:nsid w:val="48B93123"/>
    <w:multiLevelType w:val="hybridMultilevel"/>
    <w:tmpl w:val="7FD80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493703E1"/>
    <w:multiLevelType w:val="hybridMultilevel"/>
    <w:tmpl w:val="FBEC1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4A0D1CDE"/>
    <w:multiLevelType w:val="hybridMultilevel"/>
    <w:tmpl w:val="2132C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D336B74"/>
    <w:multiLevelType w:val="hybridMultilevel"/>
    <w:tmpl w:val="7124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917E71"/>
    <w:multiLevelType w:val="hybridMultilevel"/>
    <w:tmpl w:val="FE58FF7A"/>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43">
    <w:nsid w:val="4EE85F4C"/>
    <w:multiLevelType w:val="hybridMultilevel"/>
    <w:tmpl w:val="5D6A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3936A48"/>
    <w:multiLevelType w:val="hybridMultilevel"/>
    <w:tmpl w:val="1C24F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53D30692"/>
    <w:multiLevelType w:val="hybridMultilevel"/>
    <w:tmpl w:val="9C82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87C614B"/>
    <w:multiLevelType w:val="hybridMultilevel"/>
    <w:tmpl w:val="63D07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B0227A5"/>
    <w:multiLevelType w:val="hybridMultilevel"/>
    <w:tmpl w:val="D954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DE7349F"/>
    <w:multiLevelType w:val="hybridMultilevel"/>
    <w:tmpl w:val="D37E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5FD363E9"/>
    <w:multiLevelType w:val="hybridMultilevel"/>
    <w:tmpl w:val="3C0AA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5FD528EE"/>
    <w:multiLevelType w:val="hybridMultilevel"/>
    <w:tmpl w:val="E45E8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61996D0C"/>
    <w:multiLevelType w:val="hybridMultilevel"/>
    <w:tmpl w:val="424E04A6"/>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52">
    <w:nsid w:val="644C7ECD"/>
    <w:multiLevelType w:val="hybridMultilevel"/>
    <w:tmpl w:val="A8D2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6F5235E"/>
    <w:multiLevelType w:val="hybridMultilevel"/>
    <w:tmpl w:val="FAF40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689E51F4"/>
    <w:multiLevelType w:val="hybridMultilevel"/>
    <w:tmpl w:val="9308FC2A"/>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55">
    <w:nsid w:val="6D231A1A"/>
    <w:multiLevelType w:val="hybridMultilevel"/>
    <w:tmpl w:val="35C42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6E58687C"/>
    <w:multiLevelType w:val="hybridMultilevel"/>
    <w:tmpl w:val="45B00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6EC3085C"/>
    <w:multiLevelType w:val="hybridMultilevel"/>
    <w:tmpl w:val="A25E7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721845C4"/>
    <w:multiLevelType w:val="hybridMultilevel"/>
    <w:tmpl w:val="C9FEB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7486165B"/>
    <w:multiLevelType w:val="hybridMultilevel"/>
    <w:tmpl w:val="A6687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78466FCF"/>
    <w:multiLevelType w:val="hybridMultilevel"/>
    <w:tmpl w:val="484E6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C7F7A72"/>
    <w:multiLevelType w:val="hybridMultilevel"/>
    <w:tmpl w:val="6C30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7CCB5346"/>
    <w:multiLevelType w:val="hybridMultilevel"/>
    <w:tmpl w:val="E7A89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16"/>
  </w:num>
  <w:num w:numId="4">
    <w:abstractNumId w:val="31"/>
  </w:num>
  <w:num w:numId="5">
    <w:abstractNumId w:val="23"/>
  </w:num>
  <w:num w:numId="6">
    <w:abstractNumId w:val="3"/>
  </w:num>
  <w:num w:numId="7">
    <w:abstractNumId w:val="52"/>
  </w:num>
  <w:num w:numId="8">
    <w:abstractNumId w:val="21"/>
  </w:num>
  <w:num w:numId="9">
    <w:abstractNumId w:val="10"/>
  </w:num>
  <w:num w:numId="10">
    <w:abstractNumId w:val="48"/>
  </w:num>
  <w:num w:numId="11">
    <w:abstractNumId w:val="13"/>
  </w:num>
  <w:num w:numId="12">
    <w:abstractNumId w:val="29"/>
  </w:num>
  <w:num w:numId="13">
    <w:abstractNumId w:val="49"/>
  </w:num>
  <w:num w:numId="14">
    <w:abstractNumId w:val="18"/>
  </w:num>
  <w:num w:numId="15">
    <w:abstractNumId w:val="6"/>
  </w:num>
  <w:num w:numId="16">
    <w:abstractNumId w:val="38"/>
  </w:num>
  <w:num w:numId="17">
    <w:abstractNumId w:val="2"/>
  </w:num>
  <w:num w:numId="18">
    <w:abstractNumId w:val="0"/>
  </w:num>
  <w:num w:numId="19">
    <w:abstractNumId w:val="1"/>
  </w:num>
  <w:num w:numId="20">
    <w:abstractNumId w:val="47"/>
  </w:num>
  <w:num w:numId="21">
    <w:abstractNumId w:val="7"/>
  </w:num>
  <w:num w:numId="22">
    <w:abstractNumId w:val="33"/>
  </w:num>
  <w:num w:numId="23">
    <w:abstractNumId w:val="41"/>
  </w:num>
  <w:num w:numId="24">
    <w:abstractNumId w:val="4"/>
  </w:num>
  <w:num w:numId="25">
    <w:abstractNumId w:val="15"/>
  </w:num>
  <w:num w:numId="26">
    <w:abstractNumId w:val="19"/>
  </w:num>
  <w:num w:numId="27">
    <w:abstractNumId w:val="59"/>
  </w:num>
  <w:num w:numId="28">
    <w:abstractNumId w:val="50"/>
  </w:num>
  <w:num w:numId="29">
    <w:abstractNumId w:val="39"/>
  </w:num>
  <w:num w:numId="30">
    <w:abstractNumId w:val="17"/>
  </w:num>
  <w:num w:numId="31">
    <w:abstractNumId w:val="24"/>
  </w:num>
  <w:num w:numId="32">
    <w:abstractNumId w:val="62"/>
  </w:num>
  <w:num w:numId="33">
    <w:abstractNumId w:val="26"/>
  </w:num>
  <w:num w:numId="34">
    <w:abstractNumId w:val="45"/>
  </w:num>
  <w:num w:numId="35">
    <w:abstractNumId w:val="40"/>
  </w:num>
  <w:num w:numId="36">
    <w:abstractNumId w:val="61"/>
  </w:num>
  <w:num w:numId="37">
    <w:abstractNumId w:val="58"/>
  </w:num>
  <w:num w:numId="38">
    <w:abstractNumId w:val="14"/>
  </w:num>
  <w:num w:numId="39">
    <w:abstractNumId w:val="27"/>
  </w:num>
  <w:num w:numId="40">
    <w:abstractNumId w:val="57"/>
  </w:num>
  <w:num w:numId="41">
    <w:abstractNumId w:val="56"/>
  </w:num>
  <w:num w:numId="42">
    <w:abstractNumId w:val="36"/>
  </w:num>
  <w:num w:numId="43">
    <w:abstractNumId w:val="11"/>
  </w:num>
  <w:num w:numId="44">
    <w:abstractNumId w:val="25"/>
  </w:num>
  <w:num w:numId="45">
    <w:abstractNumId w:val="32"/>
  </w:num>
  <w:num w:numId="46">
    <w:abstractNumId w:val="9"/>
  </w:num>
  <w:num w:numId="47">
    <w:abstractNumId w:val="46"/>
  </w:num>
  <w:num w:numId="48">
    <w:abstractNumId w:val="44"/>
  </w:num>
  <w:num w:numId="49">
    <w:abstractNumId w:val="53"/>
  </w:num>
  <w:num w:numId="50">
    <w:abstractNumId w:val="8"/>
  </w:num>
  <w:num w:numId="51">
    <w:abstractNumId w:val="34"/>
  </w:num>
  <w:num w:numId="52">
    <w:abstractNumId w:val="55"/>
  </w:num>
  <w:num w:numId="53">
    <w:abstractNumId w:val="60"/>
  </w:num>
  <w:num w:numId="54">
    <w:abstractNumId w:val="43"/>
  </w:num>
  <w:num w:numId="55">
    <w:abstractNumId w:val="22"/>
  </w:num>
  <w:num w:numId="56">
    <w:abstractNumId w:val="30"/>
  </w:num>
  <w:num w:numId="57">
    <w:abstractNumId w:val="42"/>
  </w:num>
  <w:num w:numId="58">
    <w:abstractNumId w:val="51"/>
  </w:num>
  <w:num w:numId="59">
    <w:abstractNumId w:val="5"/>
  </w:num>
  <w:num w:numId="60">
    <w:abstractNumId w:val="37"/>
  </w:num>
  <w:num w:numId="61">
    <w:abstractNumId w:val="12"/>
  </w:num>
  <w:num w:numId="62">
    <w:abstractNumId w:val="28"/>
  </w:num>
  <w:num w:numId="63">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A71BF0"/>
    <w:rsid w:val="00003FAF"/>
    <w:rsid w:val="00004396"/>
    <w:rsid w:val="00005911"/>
    <w:rsid w:val="00006690"/>
    <w:rsid w:val="000139CA"/>
    <w:rsid w:val="00013DF5"/>
    <w:rsid w:val="00020757"/>
    <w:rsid w:val="00021018"/>
    <w:rsid w:val="000221B2"/>
    <w:rsid w:val="00023EBF"/>
    <w:rsid w:val="00025D96"/>
    <w:rsid w:val="000275D9"/>
    <w:rsid w:val="000310EB"/>
    <w:rsid w:val="00031BB2"/>
    <w:rsid w:val="00032C49"/>
    <w:rsid w:val="00034EFB"/>
    <w:rsid w:val="000355E5"/>
    <w:rsid w:val="00040F66"/>
    <w:rsid w:val="000433F9"/>
    <w:rsid w:val="00044B60"/>
    <w:rsid w:val="000462DD"/>
    <w:rsid w:val="000471C3"/>
    <w:rsid w:val="0004758D"/>
    <w:rsid w:val="00053B22"/>
    <w:rsid w:val="00054424"/>
    <w:rsid w:val="00054474"/>
    <w:rsid w:val="00064124"/>
    <w:rsid w:val="000902AE"/>
    <w:rsid w:val="00091B87"/>
    <w:rsid w:val="0009337A"/>
    <w:rsid w:val="00095E41"/>
    <w:rsid w:val="000A165F"/>
    <w:rsid w:val="000A1DF5"/>
    <w:rsid w:val="000A5424"/>
    <w:rsid w:val="000A65AA"/>
    <w:rsid w:val="000B116B"/>
    <w:rsid w:val="000B19E7"/>
    <w:rsid w:val="000B1BBC"/>
    <w:rsid w:val="000B1FEB"/>
    <w:rsid w:val="000B205A"/>
    <w:rsid w:val="000B6918"/>
    <w:rsid w:val="000C21CC"/>
    <w:rsid w:val="000C2ABD"/>
    <w:rsid w:val="000C3E4D"/>
    <w:rsid w:val="000C50C7"/>
    <w:rsid w:val="000C6E4B"/>
    <w:rsid w:val="000D77FA"/>
    <w:rsid w:val="000E4142"/>
    <w:rsid w:val="000E6D7D"/>
    <w:rsid w:val="000E7282"/>
    <w:rsid w:val="000F70D2"/>
    <w:rsid w:val="001005A4"/>
    <w:rsid w:val="00106564"/>
    <w:rsid w:val="00106DCC"/>
    <w:rsid w:val="00110D10"/>
    <w:rsid w:val="00114D16"/>
    <w:rsid w:val="00117B68"/>
    <w:rsid w:val="00120FC9"/>
    <w:rsid w:val="001212B0"/>
    <w:rsid w:val="00122E09"/>
    <w:rsid w:val="00127033"/>
    <w:rsid w:val="00133D09"/>
    <w:rsid w:val="00134681"/>
    <w:rsid w:val="0014367E"/>
    <w:rsid w:val="00145ACA"/>
    <w:rsid w:val="00145DBD"/>
    <w:rsid w:val="0014716C"/>
    <w:rsid w:val="001478CA"/>
    <w:rsid w:val="00156249"/>
    <w:rsid w:val="00157059"/>
    <w:rsid w:val="001660C5"/>
    <w:rsid w:val="00170DA8"/>
    <w:rsid w:val="00171E03"/>
    <w:rsid w:val="00174AB4"/>
    <w:rsid w:val="00176CCF"/>
    <w:rsid w:val="0018403F"/>
    <w:rsid w:val="00190FAD"/>
    <w:rsid w:val="001943D4"/>
    <w:rsid w:val="00195ACB"/>
    <w:rsid w:val="00197FF3"/>
    <w:rsid w:val="001A3723"/>
    <w:rsid w:val="001A5DE4"/>
    <w:rsid w:val="001B3DEB"/>
    <w:rsid w:val="001C1956"/>
    <w:rsid w:val="001C30F4"/>
    <w:rsid w:val="001C4C15"/>
    <w:rsid w:val="001D0E6A"/>
    <w:rsid w:val="001D2CEF"/>
    <w:rsid w:val="001D649B"/>
    <w:rsid w:val="001D7DD2"/>
    <w:rsid w:val="001F1D60"/>
    <w:rsid w:val="0020179F"/>
    <w:rsid w:val="00206AF3"/>
    <w:rsid w:val="00210F0C"/>
    <w:rsid w:val="00211831"/>
    <w:rsid w:val="0021335A"/>
    <w:rsid w:val="0022051E"/>
    <w:rsid w:val="00222C10"/>
    <w:rsid w:val="00225937"/>
    <w:rsid w:val="002266B8"/>
    <w:rsid w:val="00234DC1"/>
    <w:rsid w:val="002360CD"/>
    <w:rsid w:val="002371F9"/>
    <w:rsid w:val="00237BCF"/>
    <w:rsid w:val="00237E32"/>
    <w:rsid w:val="0024050A"/>
    <w:rsid w:val="002478E2"/>
    <w:rsid w:val="0025266C"/>
    <w:rsid w:val="00255E30"/>
    <w:rsid w:val="002572BD"/>
    <w:rsid w:val="0025780E"/>
    <w:rsid w:val="002629AC"/>
    <w:rsid w:val="00265FC2"/>
    <w:rsid w:val="00270172"/>
    <w:rsid w:val="002740DE"/>
    <w:rsid w:val="00280062"/>
    <w:rsid w:val="002806D5"/>
    <w:rsid w:val="002811BF"/>
    <w:rsid w:val="00282FD5"/>
    <w:rsid w:val="00283074"/>
    <w:rsid w:val="00297AD7"/>
    <w:rsid w:val="002A26DB"/>
    <w:rsid w:val="002B00E7"/>
    <w:rsid w:val="002B3D48"/>
    <w:rsid w:val="002B54C2"/>
    <w:rsid w:val="002B6A29"/>
    <w:rsid w:val="002C35A1"/>
    <w:rsid w:val="002D1E33"/>
    <w:rsid w:val="002D4CF0"/>
    <w:rsid w:val="002D768D"/>
    <w:rsid w:val="002F0438"/>
    <w:rsid w:val="002F0C4F"/>
    <w:rsid w:val="002F1228"/>
    <w:rsid w:val="002F765E"/>
    <w:rsid w:val="003049F5"/>
    <w:rsid w:val="00305572"/>
    <w:rsid w:val="00307BAF"/>
    <w:rsid w:val="00310392"/>
    <w:rsid w:val="00311CFC"/>
    <w:rsid w:val="003150FC"/>
    <w:rsid w:val="00315C85"/>
    <w:rsid w:val="003173B3"/>
    <w:rsid w:val="00322ECF"/>
    <w:rsid w:val="00327D86"/>
    <w:rsid w:val="003313DD"/>
    <w:rsid w:val="00333F77"/>
    <w:rsid w:val="00336F98"/>
    <w:rsid w:val="00341093"/>
    <w:rsid w:val="00344944"/>
    <w:rsid w:val="00347F39"/>
    <w:rsid w:val="0035559B"/>
    <w:rsid w:val="00363B57"/>
    <w:rsid w:val="0038586B"/>
    <w:rsid w:val="00386608"/>
    <w:rsid w:val="00390AC2"/>
    <w:rsid w:val="00397B0D"/>
    <w:rsid w:val="003A14CF"/>
    <w:rsid w:val="003B0155"/>
    <w:rsid w:val="003B49A2"/>
    <w:rsid w:val="003B61D3"/>
    <w:rsid w:val="003B7FE2"/>
    <w:rsid w:val="003C19B0"/>
    <w:rsid w:val="003C3385"/>
    <w:rsid w:val="003D1044"/>
    <w:rsid w:val="003D1080"/>
    <w:rsid w:val="003D40AD"/>
    <w:rsid w:val="003E289F"/>
    <w:rsid w:val="003E37F8"/>
    <w:rsid w:val="003E7962"/>
    <w:rsid w:val="003F548E"/>
    <w:rsid w:val="003F7EFC"/>
    <w:rsid w:val="004046EA"/>
    <w:rsid w:val="00411652"/>
    <w:rsid w:val="004120BA"/>
    <w:rsid w:val="0041246B"/>
    <w:rsid w:val="00415103"/>
    <w:rsid w:val="00421E76"/>
    <w:rsid w:val="00424A98"/>
    <w:rsid w:val="004260FE"/>
    <w:rsid w:val="00431CF9"/>
    <w:rsid w:val="0043288A"/>
    <w:rsid w:val="00436E8B"/>
    <w:rsid w:val="00457BE8"/>
    <w:rsid w:val="00473C5B"/>
    <w:rsid w:val="00477209"/>
    <w:rsid w:val="00482FEB"/>
    <w:rsid w:val="0048418C"/>
    <w:rsid w:val="00487682"/>
    <w:rsid w:val="00490536"/>
    <w:rsid w:val="004930AA"/>
    <w:rsid w:val="0049618E"/>
    <w:rsid w:val="0049635B"/>
    <w:rsid w:val="004A5384"/>
    <w:rsid w:val="004B1A0E"/>
    <w:rsid w:val="004B2C3F"/>
    <w:rsid w:val="004B3331"/>
    <w:rsid w:val="004C19C3"/>
    <w:rsid w:val="004C344A"/>
    <w:rsid w:val="004C6BA8"/>
    <w:rsid w:val="004C77B3"/>
    <w:rsid w:val="004C7E00"/>
    <w:rsid w:val="004D028A"/>
    <w:rsid w:val="004F12BC"/>
    <w:rsid w:val="004F2D35"/>
    <w:rsid w:val="004F3921"/>
    <w:rsid w:val="004F4FC4"/>
    <w:rsid w:val="004F66A9"/>
    <w:rsid w:val="00500A35"/>
    <w:rsid w:val="005054F1"/>
    <w:rsid w:val="0051188E"/>
    <w:rsid w:val="00512EF6"/>
    <w:rsid w:val="00517508"/>
    <w:rsid w:val="0052054F"/>
    <w:rsid w:val="00522FB4"/>
    <w:rsid w:val="00530D22"/>
    <w:rsid w:val="005369EE"/>
    <w:rsid w:val="00541145"/>
    <w:rsid w:val="00554122"/>
    <w:rsid w:val="00556F90"/>
    <w:rsid w:val="0055700C"/>
    <w:rsid w:val="0055755A"/>
    <w:rsid w:val="00560B79"/>
    <w:rsid w:val="00572F30"/>
    <w:rsid w:val="005743E2"/>
    <w:rsid w:val="0057463F"/>
    <w:rsid w:val="005754DF"/>
    <w:rsid w:val="005773C3"/>
    <w:rsid w:val="00581184"/>
    <w:rsid w:val="005867C5"/>
    <w:rsid w:val="0058773C"/>
    <w:rsid w:val="00591787"/>
    <w:rsid w:val="005926E2"/>
    <w:rsid w:val="00596C94"/>
    <w:rsid w:val="005A1B7F"/>
    <w:rsid w:val="005B3725"/>
    <w:rsid w:val="005B53C0"/>
    <w:rsid w:val="005C30A1"/>
    <w:rsid w:val="005C4BF5"/>
    <w:rsid w:val="005C7D3D"/>
    <w:rsid w:val="005D2589"/>
    <w:rsid w:val="005D4F3A"/>
    <w:rsid w:val="005D7E74"/>
    <w:rsid w:val="005E6562"/>
    <w:rsid w:val="005F3204"/>
    <w:rsid w:val="005F65E0"/>
    <w:rsid w:val="006129A9"/>
    <w:rsid w:val="00613129"/>
    <w:rsid w:val="00625BA1"/>
    <w:rsid w:val="00627F32"/>
    <w:rsid w:val="006439D0"/>
    <w:rsid w:val="00645AEF"/>
    <w:rsid w:val="00647228"/>
    <w:rsid w:val="006515F3"/>
    <w:rsid w:val="006516FF"/>
    <w:rsid w:val="00654373"/>
    <w:rsid w:val="0066230B"/>
    <w:rsid w:val="00663157"/>
    <w:rsid w:val="00674000"/>
    <w:rsid w:val="0067721B"/>
    <w:rsid w:val="0068038C"/>
    <w:rsid w:val="00684675"/>
    <w:rsid w:val="00687921"/>
    <w:rsid w:val="00690638"/>
    <w:rsid w:val="006A0745"/>
    <w:rsid w:val="006A1948"/>
    <w:rsid w:val="006B2CA0"/>
    <w:rsid w:val="006B3E7E"/>
    <w:rsid w:val="006B623B"/>
    <w:rsid w:val="006C2540"/>
    <w:rsid w:val="006C3C44"/>
    <w:rsid w:val="006C600B"/>
    <w:rsid w:val="006C7084"/>
    <w:rsid w:val="006D0FFF"/>
    <w:rsid w:val="006D15CF"/>
    <w:rsid w:val="006D3602"/>
    <w:rsid w:val="006D6871"/>
    <w:rsid w:val="006D7AA0"/>
    <w:rsid w:val="006E020D"/>
    <w:rsid w:val="006E13BA"/>
    <w:rsid w:val="006E19AB"/>
    <w:rsid w:val="006E4B89"/>
    <w:rsid w:val="006E66D2"/>
    <w:rsid w:val="006E6A8E"/>
    <w:rsid w:val="006F0246"/>
    <w:rsid w:val="006F1773"/>
    <w:rsid w:val="006F2D14"/>
    <w:rsid w:val="006F4A17"/>
    <w:rsid w:val="00704327"/>
    <w:rsid w:val="0070458B"/>
    <w:rsid w:val="0071082F"/>
    <w:rsid w:val="00710A02"/>
    <w:rsid w:val="00712B32"/>
    <w:rsid w:val="00715F78"/>
    <w:rsid w:val="0071735A"/>
    <w:rsid w:val="00726EC1"/>
    <w:rsid w:val="007273E8"/>
    <w:rsid w:val="00732C2C"/>
    <w:rsid w:val="007334DB"/>
    <w:rsid w:val="00733B05"/>
    <w:rsid w:val="00733F05"/>
    <w:rsid w:val="0073501D"/>
    <w:rsid w:val="00735855"/>
    <w:rsid w:val="00740437"/>
    <w:rsid w:val="007470F3"/>
    <w:rsid w:val="007516F7"/>
    <w:rsid w:val="007618EC"/>
    <w:rsid w:val="00770F61"/>
    <w:rsid w:val="007730E8"/>
    <w:rsid w:val="00774E9D"/>
    <w:rsid w:val="00777719"/>
    <w:rsid w:val="00777C67"/>
    <w:rsid w:val="00781559"/>
    <w:rsid w:val="00784EFF"/>
    <w:rsid w:val="00785C1C"/>
    <w:rsid w:val="00786A7F"/>
    <w:rsid w:val="007913DC"/>
    <w:rsid w:val="007A51DD"/>
    <w:rsid w:val="007B0D53"/>
    <w:rsid w:val="007B18D0"/>
    <w:rsid w:val="007B2A8D"/>
    <w:rsid w:val="007B576D"/>
    <w:rsid w:val="007B5822"/>
    <w:rsid w:val="007C04D5"/>
    <w:rsid w:val="007C1D25"/>
    <w:rsid w:val="007C4786"/>
    <w:rsid w:val="007D39DC"/>
    <w:rsid w:val="007D5AE2"/>
    <w:rsid w:val="007E4F3D"/>
    <w:rsid w:val="007F0B35"/>
    <w:rsid w:val="007F70D3"/>
    <w:rsid w:val="007F73D8"/>
    <w:rsid w:val="007F7953"/>
    <w:rsid w:val="008069E0"/>
    <w:rsid w:val="00821A39"/>
    <w:rsid w:val="00822D7E"/>
    <w:rsid w:val="00823973"/>
    <w:rsid w:val="00825DD2"/>
    <w:rsid w:val="00831E68"/>
    <w:rsid w:val="0083527C"/>
    <w:rsid w:val="00835BE9"/>
    <w:rsid w:val="008412D1"/>
    <w:rsid w:val="0084156F"/>
    <w:rsid w:val="00850CEE"/>
    <w:rsid w:val="008542C2"/>
    <w:rsid w:val="00854F48"/>
    <w:rsid w:val="0085519D"/>
    <w:rsid w:val="00856250"/>
    <w:rsid w:val="00860B5A"/>
    <w:rsid w:val="00863F6E"/>
    <w:rsid w:val="00867581"/>
    <w:rsid w:val="00874B59"/>
    <w:rsid w:val="0087553E"/>
    <w:rsid w:val="00883B66"/>
    <w:rsid w:val="00883D2D"/>
    <w:rsid w:val="00886C9B"/>
    <w:rsid w:val="008911AB"/>
    <w:rsid w:val="008936B7"/>
    <w:rsid w:val="00894485"/>
    <w:rsid w:val="00895DA1"/>
    <w:rsid w:val="008B2466"/>
    <w:rsid w:val="008B2CEB"/>
    <w:rsid w:val="008B310E"/>
    <w:rsid w:val="008B31B2"/>
    <w:rsid w:val="008B334A"/>
    <w:rsid w:val="008B3C28"/>
    <w:rsid w:val="008B440C"/>
    <w:rsid w:val="008B464F"/>
    <w:rsid w:val="008C2217"/>
    <w:rsid w:val="008C3596"/>
    <w:rsid w:val="008D0271"/>
    <w:rsid w:val="008D1EA1"/>
    <w:rsid w:val="008D2A3C"/>
    <w:rsid w:val="008E1E29"/>
    <w:rsid w:val="008E3360"/>
    <w:rsid w:val="008E4741"/>
    <w:rsid w:val="008E5649"/>
    <w:rsid w:val="008F43C8"/>
    <w:rsid w:val="008F4C76"/>
    <w:rsid w:val="008F5482"/>
    <w:rsid w:val="0090216C"/>
    <w:rsid w:val="00904D71"/>
    <w:rsid w:val="00907E68"/>
    <w:rsid w:val="009159BD"/>
    <w:rsid w:val="009178D8"/>
    <w:rsid w:val="00917A09"/>
    <w:rsid w:val="0092003D"/>
    <w:rsid w:val="00923B74"/>
    <w:rsid w:val="009253BD"/>
    <w:rsid w:val="00931AA0"/>
    <w:rsid w:val="00932043"/>
    <w:rsid w:val="009339A1"/>
    <w:rsid w:val="00934223"/>
    <w:rsid w:val="009343AA"/>
    <w:rsid w:val="00944C3D"/>
    <w:rsid w:val="009564C1"/>
    <w:rsid w:val="00962532"/>
    <w:rsid w:val="00962837"/>
    <w:rsid w:val="009634F8"/>
    <w:rsid w:val="00964096"/>
    <w:rsid w:val="00970954"/>
    <w:rsid w:val="00971E41"/>
    <w:rsid w:val="009735D3"/>
    <w:rsid w:val="009755CC"/>
    <w:rsid w:val="00976FE7"/>
    <w:rsid w:val="00977DC8"/>
    <w:rsid w:val="009835A9"/>
    <w:rsid w:val="00983B86"/>
    <w:rsid w:val="00990605"/>
    <w:rsid w:val="009951FC"/>
    <w:rsid w:val="00996B99"/>
    <w:rsid w:val="009A6512"/>
    <w:rsid w:val="009A6A29"/>
    <w:rsid w:val="009B272E"/>
    <w:rsid w:val="009B403B"/>
    <w:rsid w:val="009B471D"/>
    <w:rsid w:val="009C6887"/>
    <w:rsid w:val="009D150F"/>
    <w:rsid w:val="009D5E93"/>
    <w:rsid w:val="009D605B"/>
    <w:rsid w:val="009D6E73"/>
    <w:rsid w:val="009E0DE3"/>
    <w:rsid w:val="009F073B"/>
    <w:rsid w:val="009F1BCB"/>
    <w:rsid w:val="009F3C15"/>
    <w:rsid w:val="00A006B4"/>
    <w:rsid w:val="00A11DBB"/>
    <w:rsid w:val="00A15A75"/>
    <w:rsid w:val="00A27964"/>
    <w:rsid w:val="00A30841"/>
    <w:rsid w:val="00A31F20"/>
    <w:rsid w:val="00A33F89"/>
    <w:rsid w:val="00A35489"/>
    <w:rsid w:val="00A35CBE"/>
    <w:rsid w:val="00A430D6"/>
    <w:rsid w:val="00A44DD1"/>
    <w:rsid w:val="00A45B20"/>
    <w:rsid w:val="00A47D08"/>
    <w:rsid w:val="00A53261"/>
    <w:rsid w:val="00A53CCB"/>
    <w:rsid w:val="00A55BE9"/>
    <w:rsid w:val="00A6009A"/>
    <w:rsid w:val="00A61331"/>
    <w:rsid w:val="00A708A9"/>
    <w:rsid w:val="00A71BF0"/>
    <w:rsid w:val="00A736D3"/>
    <w:rsid w:val="00A74DF0"/>
    <w:rsid w:val="00A84D6B"/>
    <w:rsid w:val="00A912BA"/>
    <w:rsid w:val="00A944AB"/>
    <w:rsid w:val="00A967D2"/>
    <w:rsid w:val="00AA68B4"/>
    <w:rsid w:val="00AB07F2"/>
    <w:rsid w:val="00AB0E9A"/>
    <w:rsid w:val="00AB30F8"/>
    <w:rsid w:val="00AB6583"/>
    <w:rsid w:val="00AB794A"/>
    <w:rsid w:val="00AC1218"/>
    <w:rsid w:val="00AC290F"/>
    <w:rsid w:val="00AC4287"/>
    <w:rsid w:val="00AC43E1"/>
    <w:rsid w:val="00AC4C1A"/>
    <w:rsid w:val="00AC7C97"/>
    <w:rsid w:val="00AD0070"/>
    <w:rsid w:val="00AD1F1B"/>
    <w:rsid w:val="00AD386D"/>
    <w:rsid w:val="00AD5737"/>
    <w:rsid w:val="00AE4076"/>
    <w:rsid w:val="00AE6924"/>
    <w:rsid w:val="00AF36D5"/>
    <w:rsid w:val="00AF3ADE"/>
    <w:rsid w:val="00AF5376"/>
    <w:rsid w:val="00AF7033"/>
    <w:rsid w:val="00B038B3"/>
    <w:rsid w:val="00B063FA"/>
    <w:rsid w:val="00B06ECA"/>
    <w:rsid w:val="00B1091C"/>
    <w:rsid w:val="00B10D06"/>
    <w:rsid w:val="00B116E8"/>
    <w:rsid w:val="00B1421F"/>
    <w:rsid w:val="00B15BFD"/>
    <w:rsid w:val="00B20410"/>
    <w:rsid w:val="00B20887"/>
    <w:rsid w:val="00B27178"/>
    <w:rsid w:val="00B31D80"/>
    <w:rsid w:val="00B34124"/>
    <w:rsid w:val="00B351FF"/>
    <w:rsid w:val="00B41212"/>
    <w:rsid w:val="00B4252E"/>
    <w:rsid w:val="00B447BD"/>
    <w:rsid w:val="00B45C40"/>
    <w:rsid w:val="00B500F6"/>
    <w:rsid w:val="00B5688B"/>
    <w:rsid w:val="00B57589"/>
    <w:rsid w:val="00B60D41"/>
    <w:rsid w:val="00B630A9"/>
    <w:rsid w:val="00B64CEE"/>
    <w:rsid w:val="00B70488"/>
    <w:rsid w:val="00B746D8"/>
    <w:rsid w:val="00B86BDA"/>
    <w:rsid w:val="00B9225C"/>
    <w:rsid w:val="00B944C8"/>
    <w:rsid w:val="00BA0B79"/>
    <w:rsid w:val="00BA7A4D"/>
    <w:rsid w:val="00BB378D"/>
    <w:rsid w:val="00BC57A8"/>
    <w:rsid w:val="00BD3098"/>
    <w:rsid w:val="00BD37F8"/>
    <w:rsid w:val="00BD5383"/>
    <w:rsid w:val="00BD6E70"/>
    <w:rsid w:val="00BD74D7"/>
    <w:rsid w:val="00BE0B2D"/>
    <w:rsid w:val="00BE68D9"/>
    <w:rsid w:val="00BF30B5"/>
    <w:rsid w:val="00BF32D2"/>
    <w:rsid w:val="00BF4F85"/>
    <w:rsid w:val="00BF63E8"/>
    <w:rsid w:val="00C02320"/>
    <w:rsid w:val="00C0336D"/>
    <w:rsid w:val="00C1678C"/>
    <w:rsid w:val="00C23114"/>
    <w:rsid w:val="00C24A4F"/>
    <w:rsid w:val="00C26D68"/>
    <w:rsid w:val="00C32E52"/>
    <w:rsid w:val="00C37181"/>
    <w:rsid w:val="00C50591"/>
    <w:rsid w:val="00C54BFF"/>
    <w:rsid w:val="00C6430E"/>
    <w:rsid w:val="00C67821"/>
    <w:rsid w:val="00C7136F"/>
    <w:rsid w:val="00C733DD"/>
    <w:rsid w:val="00C81258"/>
    <w:rsid w:val="00C8162A"/>
    <w:rsid w:val="00C82221"/>
    <w:rsid w:val="00C82C0B"/>
    <w:rsid w:val="00C833E4"/>
    <w:rsid w:val="00C85358"/>
    <w:rsid w:val="00C85687"/>
    <w:rsid w:val="00C94F46"/>
    <w:rsid w:val="00C97F13"/>
    <w:rsid w:val="00CA0AB7"/>
    <w:rsid w:val="00CA3014"/>
    <w:rsid w:val="00CA5D5F"/>
    <w:rsid w:val="00CA62EF"/>
    <w:rsid w:val="00CB44ED"/>
    <w:rsid w:val="00CB7DC5"/>
    <w:rsid w:val="00CC3D1C"/>
    <w:rsid w:val="00CC43AF"/>
    <w:rsid w:val="00CD0B31"/>
    <w:rsid w:val="00CD7AEF"/>
    <w:rsid w:val="00CE2436"/>
    <w:rsid w:val="00CE7737"/>
    <w:rsid w:val="00CF32D1"/>
    <w:rsid w:val="00CF4529"/>
    <w:rsid w:val="00D17A06"/>
    <w:rsid w:val="00D21DDE"/>
    <w:rsid w:val="00D2611C"/>
    <w:rsid w:val="00D26D8A"/>
    <w:rsid w:val="00D27C79"/>
    <w:rsid w:val="00D31DA0"/>
    <w:rsid w:val="00D32F4E"/>
    <w:rsid w:val="00D52876"/>
    <w:rsid w:val="00D5406C"/>
    <w:rsid w:val="00D542FA"/>
    <w:rsid w:val="00D54B10"/>
    <w:rsid w:val="00D554FF"/>
    <w:rsid w:val="00D65E64"/>
    <w:rsid w:val="00D71EE5"/>
    <w:rsid w:val="00D75D55"/>
    <w:rsid w:val="00D7605D"/>
    <w:rsid w:val="00D76537"/>
    <w:rsid w:val="00D8258A"/>
    <w:rsid w:val="00D83B58"/>
    <w:rsid w:val="00D84419"/>
    <w:rsid w:val="00D90FF9"/>
    <w:rsid w:val="00D927F1"/>
    <w:rsid w:val="00D94B77"/>
    <w:rsid w:val="00D979C2"/>
    <w:rsid w:val="00DA3550"/>
    <w:rsid w:val="00DA3FB7"/>
    <w:rsid w:val="00DA494E"/>
    <w:rsid w:val="00DB3136"/>
    <w:rsid w:val="00DB5DB1"/>
    <w:rsid w:val="00DB5F46"/>
    <w:rsid w:val="00DB6070"/>
    <w:rsid w:val="00DB7632"/>
    <w:rsid w:val="00DD06F0"/>
    <w:rsid w:val="00DD5575"/>
    <w:rsid w:val="00DD6CEE"/>
    <w:rsid w:val="00DE0ED7"/>
    <w:rsid w:val="00DE30B8"/>
    <w:rsid w:val="00DE4C9C"/>
    <w:rsid w:val="00DE5D06"/>
    <w:rsid w:val="00DF1B74"/>
    <w:rsid w:val="00DF26A1"/>
    <w:rsid w:val="00DF7B9C"/>
    <w:rsid w:val="00E0234B"/>
    <w:rsid w:val="00E05E0B"/>
    <w:rsid w:val="00E2739F"/>
    <w:rsid w:val="00E3448B"/>
    <w:rsid w:val="00E40906"/>
    <w:rsid w:val="00E40D4D"/>
    <w:rsid w:val="00E41107"/>
    <w:rsid w:val="00E4587A"/>
    <w:rsid w:val="00E50A96"/>
    <w:rsid w:val="00E52DA1"/>
    <w:rsid w:val="00E53944"/>
    <w:rsid w:val="00E540B0"/>
    <w:rsid w:val="00E62F4B"/>
    <w:rsid w:val="00E657ED"/>
    <w:rsid w:val="00E6585B"/>
    <w:rsid w:val="00E66782"/>
    <w:rsid w:val="00E73430"/>
    <w:rsid w:val="00E84707"/>
    <w:rsid w:val="00E86773"/>
    <w:rsid w:val="00E86DE3"/>
    <w:rsid w:val="00E87B84"/>
    <w:rsid w:val="00E87E01"/>
    <w:rsid w:val="00E91870"/>
    <w:rsid w:val="00E925D7"/>
    <w:rsid w:val="00E946AD"/>
    <w:rsid w:val="00E95C38"/>
    <w:rsid w:val="00EA1BBF"/>
    <w:rsid w:val="00EA2B0D"/>
    <w:rsid w:val="00EB0951"/>
    <w:rsid w:val="00EC07EF"/>
    <w:rsid w:val="00EC192D"/>
    <w:rsid w:val="00EC1B7B"/>
    <w:rsid w:val="00EC2276"/>
    <w:rsid w:val="00EC4429"/>
    <w:rsid w:val="00EC5334"/>
    <w:rsid w:val="00ED546F"/>
    <w:rsid w:val="00ED77F0"/>
    <w:rsid w:val="00EE5099"/>
    <w:rsid w:val="00EF01FB"/>
    <w:rsid w:val="00EF0AAB"/>
    <w:rsid w:val="00EF272B"/>
    <w:rsid w:val="00EF7089"/>
    <w:rsid w:val="00F023C7"/>
    <w:rsid w:val="00F03812"/>
    <w:rsid w:val="00F04D36"/>
    <w:rsid w:val="00F06CAA"/>
    <w:rsid w:val="00F1184F"/>
    <w:rsid w:val="00F124FC"/>
    <w:rsid w:val="00F12731"/>
    <w:rsid w:val="00F17557"/>
    <w:rsid w:val="00F17D4A"/>
    <w:rsid w:val="00F22834"/>
    <w:rsid w:val="00F23198"/>
    <w:rsid w:val="00F239BD"/>
    <w:rsid w:val="00F25A65"/>
    <w:rsid w:val="00F30020"/>
    <w:rsid w:val="00F3210C"/>
    <w:rsid w:val="00F3658B"/>
    <w:rsid w:val="00F43265"/>
    <w:rsid w:val="00F44D7F"/>
    <w:rsid w:val="00F51C1B"/>
    <w:rsid w:val="00F54F5C"/>
    <w:rsid w:val="00F64190"/>
    <w:rsid w:val="00F668B8"/>
    <w:rsid w:val="00F71DED"/>
    <w:rsid w:val="00F74103"/>
    <w:rsid w:val="00F81600"/>
    <w:rsid w:val="00F81EB7"/>
    <w:rsid w:val="00F8220B"/>
    <w:rsid w:val="00F83CE1"/>
    <w:rsid w:val="00F86DC4"/>
    <w:rsid w:val="00F91007"/>
    <w:rsid w:val="00F96717"/>
    <w:rsid w:val="00FA05CF"/>
    <w:rsid w:val="00FA18E9"/>
    <w:rsid w:val="00FA5018"/>
    <w:rsid w:val="00FC584D"/>
    <w:rsid w:val="00FD493B"/>
    <w:rsid w:val="00FD6585"/>
    <w:rsid w:val="00FE4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3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1093"/>
    <w:pPr>
      <w:ind w:left="720"/>
      <w:contextualSpacing/>
    </w:pPr>
  </w:style>
  <w:style w:type="paragraph" w:customStyle="1" w:styleId="Default">
    <w:name w:val="Default"/>
    <w:rsid w:val="00931AA0"/>
    <w:pPr>
      <w:autoSpaceDE w:val="0"/>
      <w:autoSpaceDN w:val="0"/>
      <w:adjustRightInd w:val="0"/>
      <w:spacing w:after="0" w:line="240" w:lineRule="auto"/>
    </w:pPr>
    <w:rPr>
      <w:rFonts w:ascii="GOLELD+AdvTTc7ad1622" w:hAnsi="GOLELD+AdvTTc7ad1622" w:cs="GOLELD+AdvTTc7ad1622"/>
      <w:color w:val="000000"/>
      <w:sz w:val="24"/>
      <w:szCs w:val="24"/>
    </w:rPr>
  </w:style>
  <w:style w:type="character" w:customStyle="1" w:styleId="A6">
    <w:name w:val="A6"/>
    <w:uiPriority w:val="99"/>
    <w:rsid w:val="003E7962"/>
    <w:rPr>
      <w:color w:val="000000"/>
      <w:sz w:val="21"/>
      <w:szCs w:val="21"/>
    </w:rPr>
  </w:style>
  <w:style w:type="paragraph" w:styleId="Header">
    <w:name w:val="header"/>
    <w:basedOn w:val="Normal"/>
    <w:link w:val="HeaderChar"/>
    <w:uiPriority w:val="99"/>
    <w:unhideWhenUsed/>
    <w:rsid w:val="00265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FC2"/>
  </w:style>
  <w:style w:type="paragraph" w:styleId="Footer">
    <w:name w:val="footer"/>
    <w:basedOn w:val="Normal"/>
    <w:link w:val="FooterChar"/>
    <w:uiPriority w:val="99"/>
    <w:unhideWhenUsed/>
    <w:rsid w:val="00265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FC2"/>
  </w:style>
  <w:style w:type="character" w:customStyle="1" w:styleId="A7">
    <w:name w:val="A7"/>
    <w:uiPriority w:val="99"/>
    <w:rsid w:val="00F30020"/>
    <w:rPr>
      <w:color w:val="000000"/>
      <w:sz w:val="12"/>
      <w:szCs w:val="12"/>
    </w:rPr>
  </w:style>
  <w:style w:type="character" w:styleId="Hyperlink">
    <w:name w:val="Hyperlink"/>
    <w:basedOn w:val="DefaultParagraphFont"/>
    <w:uiPriority w:val="99"/>
    <w:unhideWhenUsed/>
    <w:rsid w:val="0070458B"/>
    <w:rPr>
      <w:color w:val="0563C1" w:themeColor="hyperlink"/>
      <w:u w:val="single"/>
    </w:rPr>
  </w:style>
  <w:style w:type="paragraph" w:styleId="BalloonText">
    <w:name w:val="Balloon Text"/>
    <w:basedOn w:val="Normal"/>
    <w:link w:val="BalloonTextChar"/>
    <w:uiPriority w:val="99"/>
    <w:semiHidden/>
    <w:unhideWhenUsed/>
    <w:rsid w:val="00A9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AB"/>
    <w:rPr>
      <w:rFonts w:ascii="Segoe UI" w:hAnsi="Segoe UI" w:cs="Segoe UI"/>
      <w:sz w:val="18"/>
      <w:szCs w:val="18"/>
    </w:rPr>
  </w:style>
  <w:style w:type="paragraph" w:styleId="Revision">
    <w:name w:val="Revision"/>
    <w:hidden/>
    <w:uiPriority w:val="99"/>
    <w:semiHidden/>
    <w:rsid w:val="006D0FF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1093"/>
    <w:pPr>
      <w:ind w:left="720"/>
      <w:contextualSpacing/>
    </w:pPr>
  </w:style>
  <w:style w:type="paragraph" w:customStyle="1" w:styleId="Default">
    <w:name w:val="Default"/>
    <w:rsid w:val="00931AA0"/>
    <w:pPr>
      <w:autoSpaceDE w:val="0"/>
      <w:autoSpaceDN w:val="0"/>
      <w:adjustRightInd w:val="0"/>
      <w:spacing w:after="0" w:line="240" w:lineRule="auto"/>
    </w:pPr>
    <w:rPr>
      <w:rFonts w:ascii="GOLELD+AdvTTc7ad1622" w:hAnsi="GOLELD+AdvTTc7ad1622" w:cs="GOLELD+AdvTTc7ad1622"/>
      <w:color w:val="000000"/>
      <w:sz w:val="24"/>
      <w:szCs w:val="24"/>
    </w:rPr>
  </w:style>
  <w:style w:type="character" w:customStyle="1" w:styleId="A6">
    <w:name w:val="A6"/>
    <w:uiPriority w:val="99"/>
    <w:rsid w:val="003E7962"/>
    <w:rPr>
      <w:color w:val="000000"/>
      <w:sz w:val="21"/>
      <w:szCs w:val="21"/>
    </w:rPr>
  </w:style>
  <w:style w:type="paragraph" w:styleId="Header">
    <w:name w:val="header"/>
    <w:basedOn w:val="Normal"/>
    <w:link w:val="HeaderChar"/>
    <w:uiPriority w:val="99"/>
    <w:unhideWhenUsed/>
    <w:rsid w:val="00265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FC2"/>
  </w:style>
  <w:style w:type="paragraph" w:styleId="Footer">
    <w:name w:val="footer"/>
    <w:basedOn w:val="Normal"/>
    <w:link w:val="FooterChar"/>
    <w:uiPriority w:val="99"/>
    <w:unhideWhenUsed/>
    <w:rsid w:val="00265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FC2"/>
  </w:style>
  <w:style w:type="character" w:customStyle="1" w:styleId="A7">
    <w:name w:val="A7"/>
    <w:uiPriority w:val="99"/>
    <w:rsid w:val="00F30020"/>
    <w:rPr>
      <w:color w:val="000000"/>
      <w:sz w:val="12"/>
      <w:szCs w:val="12"/>
    </w:rPr>
  </w:style>
  <w:style w:type="character" w:styleId="Hyperlink">
    <w:name w:val="Hyperlink"/>
    <w:basedOn w:val="DefaultParagraphFont"/>
    <w:uiPriority w:val="99"/>
    <w:unhideWhenUsed/>
    <w:rsid w:val="0070458B"/>
    <w:rPr>
      <w:color w:val="0563C1" w:themeColor="hyperlink"/>
      <w:u w:val="single"/>
    </w:rPr>
  </w:style>
  <w:style w:type="paragraph" w:styleId="BalloonText">
    <w:name w:val="Balloon Text"/>
    <w:basedOn w:val="Normal"/>
    <w:link w:val="BalloonTextChar"/>
    <w:uiPriority w:val="99"/>
    <w:semiHidden/>
    <w:unhideWhenUsed/>
    <w:rsid w:val="00A9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AB"/>
    <w:rPr>
      <w:rFonts w:ascii="Segoe UI" w:hAnsi="Segoe UI" w:cs="Segoe UI"/>
      <w:sz w:val="18"/>
      <w:szCs w:val="18"/>
    </w:rPr>
  </w:style>
  <w:style w:type="paragraph" w:styleId="Revision">
    <w:name w:val="Revision"/>
    <w:hidden/>
    <w:uiPriority w:val="99"/>
    <w:semiHidden/>
    <w:rsid w:val="006D0F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056880">
      <w:bodyDiv w:val="1"/>
      <w:marLeft w:val="0"/>
      <w:marRight w:val="0"/>
      <w:marTop w:val="0"/>
      <w:marBottom w:val="0"/>
      <w:divBdr>
        <w:top w:val="none" w:sz="0" w:space="0" w:color="auto"/>
        <w:left w:val="none" w:sz="0" w:space="0" w:color="auto"/>
        <w:bottom w:val="none" w:sz="0" w:space="0" w:color="auto"/>
        <w:right w:val="none" w:sz="0" w:space="0" w:color="auto"/>
      </w:divBdr>
      <w:divsChild>
        <w:div w:id="908418349">
          <w:marLeft w:val="274"/>
          <w:marRight w:val="0"/>
          <w:marTop w:val="0"/>
          <w:marBottom w:val="0"/>
          <w:divBdr>
            <w:top w:val="none" w:sz="0" w:space="0" w:color="auto"/>
            <w:left w:val="none" w:sz="0" w:space="0" w:color="auto"/>
            <w:bottom w:val="none" w:sz="0" w:space="0" w:color="auto"/>
            <w:right w:val="none" w:sz="0" w:space="0" w:color="auto"/>
          </w:divBdr>
        </w:div>
        <w:div w:id="1951814795">
          <w:marLeft w:val="274"/>
          <w:marRight w:val="0"/>
          <w:marTop w:val="0"/>
          <w:marBottom w:val="0"/>
          <w:divBdr>
            <w:top w:val="none" w:sz="0" w:space="0" w:color="auto"/>
            <w:left w:val="none" w:sz="0" w:space="0" w:color="auto"/>
            <w:bottom w:val="none" w:sz="0" w:space="0" w:color="auto"/>
            <w:right w:val="none" w:sz="0" w:space="0" w:color="auto"/>
          </w:divBdr>
        </w:div>
        <w:div w:id="969020097">
          <w:marLeft w:val="274"/>
          <w:marRight w:val="0"/>
          <w:marTop w:val="0"/>
          <w:marBottom w:val="0"/>
          <w:divBdr>
            <w:top w:val="none" w:sz="0" w:space="0" w:color="auto"/>
            <w:left w:val="none" w:sz="0" w:space="0" w:color="auto"/>
            <w:bottom w:val="none" w:sz="0" w:space="0" w:color="auto"/>
            <w:right w:val="none" w:sz="0" w:space="0" w:color="auto"/>
          </w:divBdr>
        </w:div>
        <w:div w:id="348067182">
          <w:marLeft w:val="274"/>
          <w:marRight w:val="0"/>
          <w:marTop w:val="0"/>
          <w:marBottom w:val="0"/>
          <w:divBdr>
            <w:top w:val="none" w:sz="0" w:space="0" w:color="auto"/>
            <w:left w:val="none" w:sz="0" w:space="0" w:color="auto"/>
            <w:bottom w:val="none" w:sz="0" w:space="0" w:color="auto"/>
            <w:right w:val="none" w:sz="0" w:space="0" w:color="auto"/>
          </w:divBdr>
        </w:div>
        <w:div w:id="192502165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6CB1E07397304E8FD5D72D6FC06625" ma:contentTypeVersion="14" ma:contentTypeDescription="Create a new document." ma:contentTypeScope="" ma:versionID="61830a7fa261abff6709ea89300556fc">
  <xsd:schema xmlns:xsd="http://www.w3.org/2001/XMLSchema" xmlns:xs="http://www.w3.org/2001/XMLSchema" xmlns:p="http://schemas.microsoft.com/office/2006/metadata/properties" xmlns:ns3="40520779-d534-460b-9eaf-3ed7a30721d3" xmlns:ns4="f9f1c003-2dce-4d8a-b0ca-c79446dbefe8" targetNamespace="http://schemas.microsoft.com/office/2006/metadata/properties" ma:root="true" ma:fieldsID="9835c3e43146eb63c723482d75909ad6" ns3:_="" ns4:_="">
    <xsd:import namespace="40520779-d534-460b-9eaf-3ed7a30721d3"/>
    <xsd:import namespace="f9f1c003-2dce-4d8a-b0ca-c79446dbefe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20779-d534-460b-9eaf-3ed7a3072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f1c003-2dce-4d8a-b0ca-c79446dbefe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FDC09-BFE8-4C21-8A82-C41ABB017A94}">
  <ds:schemaRefs>
    <ds:schemaRef ds:uri="http://schemas.microsoft.com/sharepoint/v3/contenttype/forms"/>
  </ds:schemaRefs>
</ds:datastoreItem>
</file>

<file path=customXml/itemProps2.xml><?xml version="1.0" encoding="utf-8"?>
<ds:datastoreItem xmlns:ds="http://schemas.openxmlformats.org/officeDocument/2006/customXml" ds:itemID="{570E66DF-9337-4411-90A6-435B2D2A9E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2608B1-99C5-4738-A0A7-E3AC000E3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20779-d534-460b-9eaf-3ed7a30721d3"/>
    <ds:schemaRef ds:uri="f9f1c003-2dce-4d8a-b0ca-c79446dbef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1475</Words>
  <Characters>7952</Characters>
  <Application>Microsoft Office Word</Application>
  <DocSecurity>0</DocSecurity>
  <Lines>441</Lines>
  <Paragraphs>325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9102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Adams</dc:creator>
  <cp:lastModifiedBy>E743394</cp:lastModifiedBy>
  <cp:revision>2</cp:revision>
  <cp:lastPrinted>2022-07-28T08:39:00Z</cp:lastPrinted>
  <dcterms:created xsi:type="dcterms:W3CDTF">2023-04-05T16:01:00Z</dcterms:created>
  <dcterms:modified xsi:type="dcterms:W3CDTF">2023-04-05T16:01:00Z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0x010100416CB1E07397304E8FD5D72D6FC06625</vt:lpwstr>
  </property>
</Properties>
</file>