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3361F" w14:textId="77777777" w:rsidR="00D66381" w:rsidRPr="00327F52" w:rsidRDefault="00D66381" w:rsidP="00D66381">
      <w:pPr>
        <w:spacing w:line="360" w:lineRule="auto"/>
        <w:ind w:left="720" w:hanging="360"/>
        <w:rPr>
          <w:rFonts w:ascii="Times New Roman" w:hAnsi="Times New Roman" w:cs="Times New Roman"/>
        </w:rPr>
      </w:pPr>
      <w:r w:rsidRPr="00327F52">
        <w:rPr>
          <w:rFonts w:ascii="Times New Roman" w:hAnsi="Times New Roman" w:cs="Times New Roman"/>
          <w:b/>
        </w:rPr>
        <w:t>App</w:t>
      </w:r>
      <w:bookmarkStart w:id="0" w:name="_GoBack"/>
      <w:bookmarkEnd w:id="0"/>
      <w:r w:rsidRPr="00327F52">
        <w:rPr>
          <w:rFonts w:ascii="Times New Roman" w:hAnsi="Times New Roman" w:cs="Times New Roman"/>
          <w:b/>
        </w:rPr>
        <w:t xml:space="preserve">endix 2. </w:t>
      </w:r>
      <w:r w:rsidRPr="00327F52">
        <w:rPr>
          <w:rFonts w:ascii="Times New Roman" w:hAnsi="Times New Roman" w:cs="Times New Roman"/>
        </w:rPr>
        <w:t>GRADE Framework</w:t>
      </w:r>
    </w:p>
    <w:p w14:paraId="417FFDDB" w14:textId="77777777" w:rsidR="00D66381" w:rsidRPr="00327F52" w:rsidRDefault="00D66381" w:rsidP="00D66381">
      <w:pPr>
        <w:pStyle w:val="NormalWeb"/>
        <w:numPr>
          <w:ilvl w:val="0"/>
          <w:numId w:val="2"/>
        </w:numPr>
        <w:spacing w:line="360" w:lineRule="auto"/>
        <w:rPr>
          <w:color w:val="000000" w:themeColor="text1"/>
          <w:sz w:val="20"/>
          <w:szCs w:val="20"/>
        </w:rPr>
      </w:pPr>
      <w:r w:rsidRPr="00327F52">
        <w:rPr>
          <w:color w:val="000000" w:themeColor="text1"/>
          <w:sz w:val="20"/>
          <w:szCs w:val="20"/>
        </w:rPr>
        <w:t>Risk of bias: downgrade by one level if most information is from studies at high risk of bias (i.e. PEDro score &lt;7).</w:t>
      </w:r>
      <w:r w:rsidRPr="00327F52">
        <w:rPr>
          <w:color w:val="000000" w:themeColor="text1"/>
          <w:position w:val="8"/>
          <w:sz w:val="12"/>
          <w:szCs w:val="12"/>
        </w:rPr>
        <w:t>1</w:t>
      </w:r>
    </w:p>
    <w:p w14:paraId="663A960B" w14:textId="77777777" w:rsidR="00D66381" w:rsidRPr="00327F52" w:rsidRDefault="00D66381" w:rsidP="00D66381">
      <w:pPr>
        <w:pStyle w:val="NormalWeb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327F52">
        <w:rPr>
          <w:sz w:val="20"/>
          <w:szCs w:val="20"/>
        </w:rPr>
        <w:t>Inconsistency: for pooled analyses downgrade by one level if heterogeneity was large (I</w:t>
      </w:r>
      <w:r w:rsidRPr="00327F52">
        <w:rPr>
          <w:position w:val="8"/>
          <w:sz w:val="12"/>
          <w:szCs w:val="12"/>
        </w:rPr>
        <w:t xml:space="preserve">2 </w:t>
      </w:r>
      <w:r w:rsidRPr="00327F52">
        <w:rPr>
          <w:sz w:val="20"/>
          <w:szCs w:val="20"/>
        </w:rPr>
        <w:t>statistic value &gt;50%, representing potentially substantial heterogeneity).</w:t>
      </w:r>
      <w:r w:rsidRPr="00327F52">
        <w:rPr>
          <w:position w:val="8"/>
          <w:sz w:val="12"/>
          <w:szCs w:val="12"/>
        </w:rPr>
        <w:t>2</w:t>
      </w:r>
      <w:r w:rsidRPr="00327F52">
        <w:rPr>
          <w:sz w:val="20"/>
          <w:szCs w:val="20"/>
        </w:rPr>
        <w:t xml:space="preserve"> Tau</w:t>
      </w:r>
      <w:r w:rsidRPr="00327F52">
        <w:rPr>
          <w:sz w:val="20"/>
          <w:szCs w:val="20"/>
          <w:vertAlign w:val="superscript"/>
        </w:rPr>
        <w:t>2</w:t>
      </w:r>
      <w:r w:rsidRPr="00327F52">
        <w:rPr>
          <w:sz w:val="20"/>
          <w:szCs w:val="20"/>
        </w:rPr>
        <w:t xml:space="preserve"> statistic was used to assist in describing heterogeneity of the study results (i.e. between-study variance).</w:t>
      </w:r>
      <w:r w:rsidRPr="00327F52">
        <w:rPr>
          <w:sz w:val="20"/>
          <w:szCs w:val="20"/>
          <w:vertAlign w:val="superscript"/>
        </w:rPr>
        <w:t>3</w:t>
      </w:r>
    </w:p>
    <w:p w14:paraId="709B1BE1" w14:textId="77777777" w:rsidR="00D66381" w:rsidRPr="00327F52" w:rsidRDefault="00D66381" w:rsidP="00D66381">
      <w:pPr>
        <w:pStyle w:val="NormalWeb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327F52">
        <w:rPr>
          <w:sz w:val="20"/>
          <w:szCs w:val="20"/>
        </w:rPr>
        <w:t>Indirectness: We did not assess indirectness as patients, interventions and comparators were similar across studies.</w:t>
      </w:r>
      <w:r w:rsidRPr="00327F52">
        <w:rPr>
          <w:sz w:val="20"/>
          <w:szCs w:val="20"/>
          <w:vertAlign w:val="superscript"/>
        </w:rPr>
        <w:t>4</w:t>
      </w:r>
      <w:r w:rsidRPr="00327F52">
        <w:rPr>
          <w:sz w:val="20"/>
          <w:szCs w:val="20"/>
        </w:rPr>
        <w:t xml:space="preserve"> </w:t>
      </w:r>
    </w:p>
    <w:p w14:paraId="0989788F" w14:textId="77777777" w:rsidR="00D66381" w:rsidRPr="00327F52" w:rsidRDefault="00D66381" w:rsidP="00D66381">
      <w:pPr>
        <w:pStyle w:val="NormalWeb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327F52">
        <w:rPr>
          <w:sz w:val="20"/>
          <w:szCs w:val="20"/>
        </w:rPr>
        <w:t>Imprecision: Continuous outcomes: downgrade by one level if the limits of the 95% confidence interval are excessively wide (i.e. 20 points different to the point estimate; twice the minimal clinically important difference of 10 points on a 100-point scale), or sample size was less than 400.</w:t>
      </w:r>
      <w:r w:rsidRPr="00327F52">
        <w:rPr>
          <w:sz w:val="20"/>
          <w:szCs w:val="20"/>
          <w:vertAlign w:val="superscript"/>
        </w:rPr>
        <w:t>4,5</w:t>
      </w:r>
    </w:p>
    <w:p w14:paraId="79E2B620" w14:textId="77777777" w:rsidR="00D66381" w:rsidRPr="00327F52" w:rsidRDefault="00D66381" w:rsidP="00D66381">
      <w:pPr>
        <w:pStyle w:val="NormalWeb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327F52">
        <w:rPr>
          <w:sz w:val="20"/>
          <w:szCs w:val="20"/>
        </w:rPr>
        <w:t>Small study effects: downgrade by one level if more than 25% of participants were from small studies (&lt; 100 participants per arm).</w:t>
      </w:r>
      <w:r w:rsidRPr="00327F52">
        <w:rPr>
          <w:sz w:val="20"/>
          <w:szCs w:val="20"/>
          <w:vertAlign w:val="superscript"/>
        </w:rPr>
        <w:t>6</w:t>
      </w:r>
    </w:p>
    <w:p w14:paraId="0971E1F7" w14:textId="77777777" w:rsidR="00D66381" w:rsidRPr="00327F52" w:rsidRDefault="00D66381" w:rsidP="00D66381">
      <w:pPr>
        <w:pStyle w:val="NormalWeb"/>
        <w:rPr>
          <w:sz w:val="20"/>
          <w:szCs w:val="20"/>
        </w:rPr>
      </w:pPr>
    </w:p>
    <w:p w14:paraId="70F6696A" w14:textId="77777777" w:rsidR="00D66381" w:rsidRPr="00327F52" w:rsidRDefault="00D66381" w:rsidP="00D66381">
      <w:pPr>
        <w:pStyle w:val="NormalWeb"/>
      </w:pPr>
      <w:r w:rsidRPr="00327F52">
        <w:rPr>
          <w:sz w:val="20"/>
          <w:szCs w:val="20"/>
        </w:rPr>
        <w:t xml:space="preserve">REFERENCES </w:t>
      </w:r>
    </w:p>
    <w:p w14:paraId="3836F98D" w14:textId="77777777" w:rsidR="00D66381" w:rsidRPr="00327F52" w:rsidRDefault="00D66381" w:rsidP="00D66381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327F52">
        <w:rPr>
          <w:sz w:val="20"/>
          <w:szCs w:val="20"/>
          <w:lang w:val="da-DK"/>
        </w:rPr>
        <w:t xml:space="preserve">Guyatt GH, Oxman AD, Vist G, et al. </w:t>
      </w:r>
      <w:r w:rsidRPr="00327F52">
        <w:rPr>
          <w:sz w:val="20"/>
          <w:szCs w:val="20"/>
        </w:rPr>
        <w:t xml:space="preserve">GRADE guidelines: 4. Rating the quality of evidence - study limitations (risk of bias). </w:t>
      </w:r>
      <w:r w:rsidRPr="00327F52">
        <w:rPr>
          <w:i/>
          <w:iCs/>
          <w:sz w:val="20"/>
          <w:szCs w:val="20"/>
        </w:rPr>
        <w:t xml:space="preserve">J Clin Epidemiol. </w:t>
      </w:r>
      <w:r w:rsidRPr="00327F52">
        <w:rPr>
          <w:sz w:val="20"/>
          <w:szCs w:val="20"/>
        </w:rPr>
        <w:t xml:space="preserve">2011;64(4):407-415. </w:t>
      </w:r>
    </w:p>
    <w:p w14:paraId="30105B62" w14:textId="77777777" w:rsidR="00D66381" w:rsidRPr="00327F52" w:rsidRDefault="00D66381" w:rsidP="00D66381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327F52">
        <w:rPr>
          <w:sz w:val="20"/>
          <w:szCs w:val="20"/>
          <w:lang w:val="da-DK"/>
        </w:rPr>
        <w:t xml:space="preserve">Guyatt GH, Oxman AD, Kunz R, et al. </w:t>
      </w:r>
      <w:r w:rsidRPr="00327F52">
        <w:rPr>
          <w:sz w:val="20"/>
          <w:szCs w:val="20"/>
        </w:rPr>
        <w:t xml:space="preserve">GRADE guidelines: 7. Rating the quality of evidence- inconsistency. </w:t>
      </w:r>
      <w:r w:rsidRPr="00327F52">
        <w:rPr>
          <w:i/>
          <w:iCs/>
          <w:sz w:val="20"/>
          <w:szCs w:val="20"/>
        </w:rPr>
        <w:t xml:space="preserve">J Clin Epidemiol. </w:t>
      </w:r>
      <w:r w:rsidRPr="00327F52">
        <w:rPr>
          <w:sz w:val="20"/>
          <w:szCs w:val="20"/>
        </w:rPr>
        <w:t xml:space="preserve">2011;64(12):1294-1302. </w:t>
      </w:r>
    </w:p>
    <w:p w14:paraId="7E8E8B2D" w14:textId="77777777" w:rsidR="00D66381" w:rsidRPr="00327F52" w:rsidRDefault="00D66381" w:rsidP="00D66381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327F52">
        <w:rPr>
          <w:sz w:val="20"/>
          <w:szCs w:val="20"/>
        </w:rPr>
        <w:t>Borenstein M. Research Note: In a meta-analysis, the I2 index does not tell us how much the effect size varies across studies. Journal of Physiotherapy. 2020;66(2):135-9.</w:t>
      </w:r>
    </w:p>
    <w:p w14:paraId="3D7E2F9D" w14:textId="77777777" w:rsidR="00D66381" w:rsidRPr="00327F52" w:rsidRDefault="00D66381" w:rsidP="00D66381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327F52">
        <w:rPr>
          <w:sz w:val="20"/>
          <w:szCs w:val="20"/>
          <w:lang w:val="da-DK"/>
        </w:rPr>
        <w:t xml:space="preserve">Guyatt GH, Oxman AD, Kunz R, et al. </w:t>
      </w:r>
      <w:r w:rsidRPr="00327F52">
        <w:rPr>
          <w:sz w:val="20"/>
          <w:szCs w:val="20"/>
        </w:rPr>
        <w:t xml:space="preserve">GRADE guidelines: 8. Rating the quality of evidence- indirectness. </w:t>
      </w:r>
      <w:r w:rsidRPr="00327F52">
        <w:rPr>
          <w:i/>
          <w:iCs/>
          <w:sz w:val="20"/>
          <w:szCs w:val="20"/>
        </w:rPr>
        <w:t xml:space="preserve">J Clin Epidemiol. </w:t>
      </w:r>
      <w:r w:rsidRPr="00327F52">
        <w:rPr>
          <w:sz w:val="20"/>
          <w:szCs w:val="20"/>
        </w:rPr>
        <w:t xml:space="preserve">2011;64(12):1303-1310. </w:t>
      </w:r>
    </w:p>
    <w:p w14:paraId="2CF57407" w14:textId="77777777" w:rsidR="00D66381" w:rsidRPr="00327F52" w:rsidRDefault="00D66381" w:rsidP="00D66381">
      <w:pPr>
        <w:pStyle w:val="NormalWeb"/>
        <w:numPr>
          <w:ilvl w:val="0"/>
          <w:numId w:val="1"/>
        </w:numPr>
        <w:rPr>
          <w:sz w:val="20"/>
          <w:szCs w:val="20"/>
        </w:rPr>
      </w:pPr>
      <w:r w:rsidRPr="00327F52">
        <w:rPr>
          <w:sz w:val="20"/>
          <w:szCs w:val="20"/>
          <w:lang w:val="da-DK"/>
        </w:rPr>
        <w:t xml:space="preserve">Guyatt GH, Oxman AD, Kunz R, et al. </w:t>
      </w:r>
      <w:r w:rsidRPr="00327F52">
        <w:rPr>
          <w:sz w:val="20"/>
          <w:szCs w:val="20"/>
        </w:rPr>
        <w:t xml:space="preserve">GRADE guidelines 6. Rating the quality of evidence- imprecision. </w:t>
      </w:r>
      <w:r w:rsidRPr="00327F52">
        <w:rPr>
          <w:i/>
          <w:iCs/>
          <w:sz w:val="20"/>
          <w:szCs w:val="20"/>
        </w:rPr>
        <w:t xml:space="preserve">J Clin Epidemiol. </w:t>
      </w:r>
      <w:r w:rsidRPr="00327F52">
        <w:rPr>
          <w:sz w:val="20"/>
          <w:szCs w:val="20"/>
        </w:rPr>
        <w:t xml:space="preserve">2011;64(12):1283-1293. </w:t>
      </w:r>
    </w:p>
    <w:p w14:paraId="5F70E9C9" w14:textId="77777777" w:rsidR="00732290" w:rsidRPr="00327F52" w:rsidRDefault="00D66381" w:rsidP="00D66381">
      <w:pPr>
        <w:rPr>
          <w:rFonts w:ascii="Times New Roman" w:hAnsi="Times New Roman" w:cs="Times New Roman"/>
        </w:rPr>
      </w:pPr>
      <w:r w:rsidRPr="00327F52">
        <w:rPr>
          <w:rFonts w:ascii="Times New Roman" w:hAnsi="Times New Roman" w:cs="Times New Roman"/>
          <w:sz w:val="20"/>
          <w:szCs w:val="20"/>
          <w:lang w:val="da-DK"/>
        </w:rPr>
        <w:t xml:space="preserve">Guyatt GH, Oxman AD, Montori V, et al. </w:t>
      </w:r>
      <w:r w:rsidRPr="00327F52">
        <w:rPr>
          <w:rFonts w:ascii="Times New Roman" w:hAnsi="Times New Roman" w:cs="Times New Roman"/>
          <w:sz w:val="20"/>
          <w:szCs w:val="20"/>
        </w:rPr>
        <w:t xml:space="preserve">GRADE guidelines: 5. Rating the quality of evidence- publication bias. </w:t>
      </w:r>
      <w:r w:rsidRPr="00327F52">
        <w:rPr>
          <w:rFonts w:ascii="Times New Roman" w:hAnsi="Times New Roman" w:cs="Times New Roman"/>
          <w:i/>
          <w:iCs/>
          <w:sz w:val="20"/>
          <w:szCs w:val="20"/>
        </w:rPr>
        <w:t xml:space="preserve">J Clin Epidemiol. </w:t>
      </w:r>
      <w:r w:rsidRPr="00327F52">
        <w:rPr>
          <w:rFonts w:ascii="Times New Roman" w:hAnsi="Times New Roman" w:cs="Times New Roman"/>
          <w:sz w:val="20"/>
          <w:szCs w:val="20"/>
        </w:rPr>
        <w:t>2011;64(12):1277-1282</w:t>
      </w:r>
    </w:p>
    <w:sectPr w:rsidR="00732290" w:rsidRPr="00327F52" w:rsidSect="009B0A6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6509A"/>
    <w:multiLevelType w:val="hybridMultilevel"/>
    <w:tmpl w:val="E848AD98"/>
    <w:lvl w:ilvl="0" w:tplc="4BB6E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46A6F"/>
    <w:multiLevelType w:val="multilevel"/>
    <w:tmpl w:val="D652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81"/>
    <w:rsid w:val="000061E5"/>
    <w:rsid w:val="000100E2"/>
    <w:rsid w:val="0005302E"/>
    <w:rsid w:val="000539FA"/>
    <w:rsid w:val="000776B1"/>
    <w:rsid w:val="00083891"/>
    <w:rsid w:val="000A3A38"/>
    <w:rsid w:val="000C5EB3"/>
    <w:rsid w:val="000D5565"/>
    <w:rsid w:val="000E061A"/>
    <w:rsid w:val="000F7E17"/>
    <w:rsid w:val="001015A0"/>
    <w:rsid w:val="00116E40"/>
    <w:rsid w:val="00127651"/>
    <w:rsid w:val="00134F42"/>
    <w:rsid w:val="001404E0"/>
    <w:rsid w:val="00153C72"/>
    <w:rsid w:val="001576C7"/>
    <w:rsid w:val="00167A76"/>
    <w:rsid w:val="00171C30"/>
    <w:rsid w:val="00175E75"/>
    <w:rsid w:val="00177EDA"/>
    <w:rsid w:val="00183ADE"/>
    <w:rsid w:val="00192A35"/>
    <w:rsid w:val="001A1B22"/>
    <w:rsid w:val="001C4B08"/>
    <w:rsid w:val="001F5D8C"/>
    <w:rsid w:val="0020311B"/>
    <w:rsid w:val="002278D0"/>
    <w:rsid w:val="00230D0D"/>
    <w:rsid w:val="002347F3"/>
    <w:rsid w:val="00246130"/>
    <w:rsid w:val="00270B70"/>
    <w:rsid w:val="002777A9"/>
    <w:rsid w:val="002871CD"/>
    <w:rsid w:val="00291CBB"/>
    <w:rsid w:val="002F0B41"/>
    <w:rsid w:val="002F0CEB"/>
    <w:rsid w:val="00312C56"/>
    <w:rsid w:val="00321733"/>
    <w:rsid w:val="0032185C"/>
    <w:rsid w:val="00327F52"/>
    <w:rsid w:val="003366EA"/>
    <w:rsid w:val="0034611D"/>
    <w:rsid w:val="003525AE"/>
    <w:rsid w:val="003636A9"/>
    <w:rsid w:val="00364179"/>
    <w:rsid w:val="003B7857"/>
    <w:rsid w:val="003C290D"/>
    <w:rsid w:val="003E3F97"/>
    <w:rsid w:val="003F19B6"/>
    <w:rsid w:val="00400A69"/>
    <w:rsid w:val="0041196D"/>
    <w:rsid w:val="00414668"/>
    <w:rsid w:val="004210D2"/>
    <w:rsid w:val="004365BD"/>
    <w:rsid w:val="00445EDE"/>
    <w:rsid w:val="00450CA1"/>
    <w:rsid w:val="00450EB3"/>
    <w:rsid w:val="004526F4"/>
    <w:rsid w:val="00462D3C"/>
    <w:rsid w:val="00465E1A"/>
    <w:rsid w:val="0049729E"/>
    <w:rsid w:val="004A50B3"/>
    <w:rsid w:val="004C38E0"/>
    <w:rsid w:val="004D2CB2"/>
    <w:rsid w:val="004F6A30"/>
    <w:rsid w:val="0051218A"/>
    <w:rsid w:val="00512EBC"/>
    <w:rsid w:val="005173B0"/>
    <w:rsid w:val="0053157A"/>
    <w:rsid w:val="00532D5A"/>
    <w:rsid w:val="00536223"/>
    <w:rsid w:val="005466D1"/>
    <w:rsid w:val="005578C5"/>
    <w:rsid w:val="00566E93"/>
    <w:rsid w:val="005702A9"/>
    <w:rsid w:val="00584467"/>
    <w:rsid w:val="0059085E"/>
    <w:rsid w:val="00592AAF"/>
    <w:rsid w:val="005B4503"/>
    <w:rsid w:val="005C25C1"/>
    <w:rsid w:val="005C3AB6"/>
    <w:rsid w:val="005C4325"/>
    <w:rsid w:val="005F067A"/>
    <w:rsid w:val="005F6F6D"/>
    <w:rsid w:val="00600D9E"/>
    <w:rsid w:val="0064200C"/>
    <w:rsid w:val="00644ABA"/>
    <w:rsid w:val="00661DE7"/>
    <w:rsid w:val="00667AFF"/>
    <w:rsid w:val="006804F7"/>
    <w:rsid w:val="006E2A61"/>
    <w:rsid w:val="007140EB"/>
    <w:rsid w:val="00721506"/>
    <w:rsid w:val="00732290"/>
    <w:rsid w:val="007332E8"/>
    <w:rsid w:val="00774402"/>
    <w:rsid w:val="00774E59"/>
    <w:rsid w:val="007801B6"/>
    <w:rsid w:val="00780FE7"/>
    <w:rsid w:val="00785D80"/>
    <w:rsid w:val="007A2C28"/>
    <w:rsid w:val="007C0001"/>
    <w:rsid w:val="007C1977"/>
    <w:rsid w:val="007C4F3E"/>
    <w:rsid w:val="007D3329"/>
    <w:rsid w:val="007D5E43"/>
    <w:rsid w:val="007E74AA"/>
    <w:rsid w:val="007F7EAC"/>
    <w:rsid w:val="00813FFB"/>
    <w:rsid w:val="008147D4"/>
    <w:rsid w:val="0083340A"/>
    <w:rsid w:val="00854209"/>
    <w:rsid w:val="00856063"/>
    <w:rsid w:val="0087459A"/>
    <w:rsid w:val="008810F1"/>
    <w:rsid w:val="008836E6"/>
    <w:rsid w:val="00896DBC"/>
    <w:rsid w:val="008A1208"/>
    <w:rsid w:val="008A3D9D"/>
    <w:rsid w:val="008B0838"/>
    <w:rsid w:val="008B5643"/>
    <w:rsid w:val="008B6FDA"/>
    <w:rsid w:val="008D7EBA"/>
    <w:rsid w:val="008F1D09"/>
    <w:rsid w:val="008F7770"/>
    <w:rsid w:val="00904A6E"/>
    <w:rsid w:val="00921457"/>
    <w:rsid w:val="00926E7C"/>
    <w:rsid w:val="00935B92"/>
    <w:rsid w:val="00936EF2"/>
    <w:rsid w:val="00944BA9"/>
    <w:rsid w:val="00956BDA"/>
    <w:rsid w:val="00980A42"/>
    <w:rsid w:val="009A03F4"/>
    <w:rsid w:val="009B0A63"/>
    <w:rsid w:val="009C5BDC"/>
    <w:rsid w:val="009D0762"/>
    <w:rsid w:val="009D1C65"/>
    <w:rsid w:val="009D39D9"/>
    <w:rsid w:val="00A01A33"/>
    <w:rsid w:val="00A04CDB"/>
    <w:rsid w:val="00A15A58"/>
    <w:rsid w:val="00A21CC8"/>
    <w:rsid w:val="00A37210"/>
    <w:rsid w:val="00A418D6"/>
    <w:rsid w:val="00A5252A"/>
    <w:rsid w:val="00A63FFB"/>
    <w:rsid w:val="00A819DD"/>
    <w:rsid w:val="00AA0058"/>
    <w:rsid w:val="00AB77EE"/>
    <w:rsid w:val="00AD27E0"/>
    <w:rsid w:val="00AD55C0"/>
    <w:rsid w:val="00B10C3F"/>
    <w:rsid w:val="00B17C04"/>
    <w:rsid w:val="00B254CC"/>
    <w:rsid w:val="00B26EE0"/>
    <w:rsid w:val="00B32C9B"/>
    <w:rsid w:val="00B44522"/>
    <w:rsid w:val="00B46E52"/>
    <w:rsid w:val="00B47CDA"/>
    <w:rsid w:val="00B84E9D"/>
    <w:rsid w:val="00B863F2"/>
    <w:rsid w:val="00BA3FC3"/>
    <w:rsid w:val="00BA4948"/>
    <w:rsid w:val="00BB1ED7"/>
    <w:rsid w:val="00BD3100"/>
    <w:rsid w:val="00BE64D1"/>
    <w:rsid w:val="00BF5B40"/>
    <w:rsid w:val="00C01033"/>
    <w:rsid w:val="00C128F8"/>
    <w:rsid w:val="00C1370F"/>
    <w:rsid w:val="00C14A81"/>
    <w:rsid w:val="00C31A02"/>
    <w:rsid w:val="00C33A20"/>
    <w:rsid w:val="00C648B2"/>
    <w:rsid w:val="00C768BF"/>
    <w:rsid w:val="00C85560"/>
    <w:rsid w:val="00C92E79"/>
    <w:rsid w:val="00C93226"/>
    <w:rsid w:val="00CB638B"/>
    <w:rsid w:val="00CC07B8"/>
    <w:rsid w:val="00CC47B9"/>
    <w:rsid w:val="00CF7DB8"/>
    <w:rsid w:val="00D121CA"/>
    <w:rsid w:val="00D20B51"/>
    <w:rsid w:val="00D22AD9"/>
    <w:rsid w:val="00D57F8D"/>
    <w:rsid w:val="00D64F74"/>
    <w:rsid w:val="00D66381"/>
    <w:rsid w:val="00D67598"/>
    <w:rsid w:val="00D748D8"/>
    <w:rsid w:val="00D80D74"/>
    <w:rsid w:val="00D90168"/>
    <w:rsid w:val="00D97B37"/>
    <w:rsid w:val="00DB442C"/>
    <w:rsid w:val="00DC56D2"/>
    <w:rsid w:val="00DD0B46"/>
    <w:rsid w:val="00DF361E"/>
    <w:rsid w:val="00DF6373"/>
    <w:rsid w:val="00E1238C"/>
    <w:rsid w:val="00E315B8"/>
    <w:rsid w:val="00E336DA"/>
    <w:rsid w:val="00E41AEA"/>
    <w:rsid w:val="00E45F05"/>
    <w:rsid w:val="00E46A79"/>
    <w:rsid w:val="00E50F51"/>
    <w:rsid w:val="00E91726"/>
    <w:rsid w:val="00EC70B9"/>
    <w:rsid w:val="00ED4E97"/>
    <w:rsid w:val="00EE3BDB"/>
    <w:rsid w:val="00EF6562"/>
    <w:rsid w:val="00F02FA3"/>
    <w:rsid w:val="00F279C8"/>
    <w:rsid w:val="00F3176A"/>
    <w:rsid w:val="00F33D6A"/>
    <w:rsid w:val="00F34823"/>
    <w:rsid w:val="00F34847"/>
    <w:rsid w:val="00F40E57"/>
    <w:rsid w:val="00F52EA7"/>
    <w:rsid w:val="00F54428"/>
    <w:rsid w:val="00F55640"/>
    <w:rsid w:val="00F747C4"/>
    <w:rsid w:val="00FB0E16"/>
    <w:rsid w:val="00FB0E4C"/>
    <w:rsid w:val="00FC1209"/>
    <w:rsid w:val="00FD1D7A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CF8FEE"/>
  <w15:chartTrackingRefBased/>
  <w15:docId w15:val="{975F21F5-BB5F-EE43-8B0E-56E2BF4E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638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D6638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D66381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2023-10-10T23:41:00Z</dcterms:created>
  <dcterms:modified xsi:type="dcterms:W3CDTF">2023-10-10T23:41:00Z</dcterms:modified>
</cp:coreProperties>
</file>