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EF65A" w14:textId="28184350" w:rsidR="005D0C58" w:rsidRPr="005D0C58" w:rsidRDefault="005D0C58" w:rsidP="005D0C58">
      <w:pPr>
        <w:spacing w:line="480" w:lineRule="auto"/>
        <w:rPr>
          <w:rFonts w:ascii="Times New Roman" w:hAnsi="Times New Roman" w:cs="Times New Roman"/>
        </w:rPr>
      </w:pPr>
      <w:r>
        <w:rPr>
          <w:rFonts w:ascii="Times New Roman" w:hAnsi="Times New Roman" w:cs="Times New Roman"/>
          <w:b/>
          <w:bCs/>
        </w:rPr>
        <w:t>Supplemental Material</w:t>
      </w:r>
    </w:p>
    <w:p w14:paraId="28F0FBBC" w14:textId="5FD03778" w:rsidR="005D0C58" w:rsidRDefault="00F34C3E" w:rsidP="00F34C3E">
      <w:pPr>
        <w:spacing w:line="480" w:lineRule="auto"/>
        <w:ind w:firstLine="720"/>
        <w:rPr>
          <w:rFonts w:ascii="Times New Roman" w:hAnsi="Times New Roman" w:cs="Times New Roman"/>
        </w:rPr>
      </w:pPr>
      <w:r>
        <w:rPr>
          <w:rFonts w:ascii="Times New Roman" w:hAnsi="Times New Roman" w:cs="Times New Roman"/>
        </w:rPr>
        <w:t>To supplement the descriptive trend analysis, i</w:t>
      </w:r>
      <w:r w:rsidR="005D0C58">
        <w:rPr>
          <w:rFonts w:ascii="Times New Roman" w:hAnsi="Times New Roman" w:cs="Times New Roman"/>
        </w:rPr>
        <w:t>nterrupted time series (ITS) models were estimated in each state for both the visit-level and person-level ED utilization outcome. ITS is a method of longitudinal analysis that allows examination of trends in healthcare utilization before and after a clearly defined intervention point and has been frequently used to study how the COVID-19 pandemic impacted changes in a variety of health-related outcomes.</w:t>
      </w:r>
      <w:r w:rsidR="002E4FE3">
        <w:rPr>
          <w:rFonts w:ascii="Times New Roman" w:hAnsi="Times New Roman" w:cs="Times New Roman"/>
        </w:rPr>
        <w:t>(1-3)</w:t>
      </w:r>
      <w:r w:rsidR="005D0C58">
        <w:rPr>
          <w:rFonts w:ascii="Times New Roman" w:hAnsi="Times New Roman" w:cs="Times New Roman"/>
        </w:rPr>
        <w:t xml:space="preserve">  In the current study ITS was utilized to specifically quantify the following: 1) the monthly baseline trend in ED utilization before the COVID-19 pandemic; 2) the immediate change in ED utilization following the introduction of the pandemic; and 3) the monthly trend in ED utilization following the start of the pandemic. </w:t>
      </w:r>
    </w:p>
    <w:p w14:paraId="3FF6349D" w14:textId="793BA78B" w:rsidR="005D0C58" w:rsidRDefault="005D0C58" w:rsidP="005D0C58">
      <w:pPr>
        <w:spacing w:line="480" w:lineRule="auto"/>
        <w:ind w:firstLine="720"/>
        <w:rPr>
          <w:rFonts w:ascii="Times New Roman" w:hAnsi="Times New Roman" w:cs="Times New Roman"/>
        </w:rPr>
      </w:pPr>
      <w:r>
        <w:rPr>
          <w:rFonts w:ascii="Times New Roman" w:hAnsi="Times New Roman" w:cs="Times New Roman"/>
        </w:rPr>
        <w:t>Drawing from studies in the broader literature that have examined overall changes in healthcare utilization before and during the pandemic in the general population</w:t>
      </w:r>
      <w:r w:rsidR="002E4FE3">
        <w:rPr>
          <w:rFonts w:ascii="Times New Roman" w:hAnsi="Times New Roman" w:cs="Times New Roman"/>
        </w:rPr>
        <w:t xml:space="preserve"> (4-6)</w:t>
      </w:r>
      <w:r>
        <w:rPr>
          <w:rFonts w:ascii="Times New Roman" w:hAnsi="Times New Roman" w:cs="Times New Roman"/>
        </w:rPr>
        <w:t>, we specified a level and slope impact model.</w:t>
      </w:r>
      <w:r w:rsidR="002E4FE3">
        <w:rPr>
          <w:rFonts w:ascii="Times New Roman" w:hAnsi="Times New Roman" w:cs="Times New Roman"/>
        </w:rPr>
        <w:t>(7)</w:t>
      </w:r>
      <w:r>
        <w:rPr>
          <w:rFonts w:ascii="Times New Roman" w:hAnsi="Times New Roman" w:cs="Times New Roman"/>
        </w:rPr>
        <w:t xml:space="preserve"> Specifically, we hypothesized that the pre-pandemic trend in ED utilization would be immediately disrupted by the start of the pandemic (a level change), and that the trend in ED utilization during the pandemic would differ from the trend before the pandemic began (a slope change). For each state, we estimated the following general model:</w:t>
      </w:r>
    </w:p>
    <w:p w14:paraId="634D324A" w14:textId="77777777" w:rsidR="005D0C58" w:rsidRPr="004034C0" w:rsidRDefault="005D0C58" w:rsidP="005D0C58">
      <w:pPr>
        <w:spacing w:line="480" w:lineRule="auto"/>
        <w:jc w:val="center"/>
        <w:rPr>
          <w:rFonts w:ascii="Times New Roman" w:hAnsi="Times New Roman" w:cs="Times New Roman"/>
        </w:rPr>
      </w:pPr>
      <m:oMath>
        <m:r>
          <m:rPr>
            <m:sty m:val="p"/>
          </m:rPr>
          <w:rPr>
            <w:rFonts w:ascii="Cambria Math" w:hAnsi="Cambria Math" w:cs="Times New Roman"/>
          </w:rPr>
          <m:t>ln</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m:rPr>
            <m:nor/>
          </m:rPr>
          <w:rPr>
            <w:rFonts w:ascii="Cambria Math" w:hAnsi="Cambria Math" w:cs="Times New Roman"/>
          </w:rPr>
          <m:t>Time</m:t>
        </m:r>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2</m:t>
            </m:r>
          </m:sub>
        </m:s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3</m:t>
            </m:r>
          </m:sub>
        </m:sSub>
        <m:sSub>
          <m:sSubPr>
            <m:ctrlPr>
              <w:rPr>
                <w:rFonts w:ascii="Cambria Math" w:eastAsiaTheme="minorEastAsia" w:hAnsi="Cambria Math" w:cs="Times New Roman"/>
                <w:i/>
              </w:rPr>
            </m:ctrlPr>
          </m:sSubPr>
          <m:e>
            <m:r>
              <w:rPr>
                <w:rFonts w:ascii="Cambria Math" w:eastAsiaTheme="minorEastAsia" w:hAnsi="Cambria Math" w:cs="Times New Roman"/>
              </w:rPr>
              <m:t>TX</m:t>
            </m:r>
          </m:e>
          <m:sub>
            <m:r>
              <w:rPr>
                <w:rFonts w:ascii="Cambria Math" w:eastAsiaTheme="minorEastAsia" w:hAnsi="Cambria Math" w:cs="Times New Roman"/>
              </w:rPr>
              <m:t>t</m:t>
            </m:r>
          </m:sub>
        </m:sSub>
      </m:oMath>
      <w:r>
        <w:rPr>
          <w:rFonts w:ascii="Times New Roman" w:eastAsiaTheme="minorEastAsia" w:hAnsi="Times New Roman" w:cs="Times New Roman"/>
        </w:rPr>
        <w:t>,</w:t>
      </w:r>
    </w:p>
    <w:p w14:paraId="238F371F" w14:textId="77777777" w:rsidR="005D0C58" w:rsidRDefault="005D0C58" w:rsidP="005D0C58">
      <w:pPr>
        <w:spacing w:line="480" w:lineRule="auto"/>
        <w:rPr>
          <w:rFonts w:ascii="Times New Roman" w:eastAsiaTheme="minorEastAsia" w:hAnsi="Times New Roman" w:cs="Times New Roman"/>
        </w:rPr>
      </w:pPr>
      <w:r>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oMath>
      <w:r>
        <w:rPr>
          <w:rFonts w:ascii="Times New Roman" w:eastAsiaTheme="minorEastAsia" w:hAnsi="Times New Roman" w:cs="Times New Roman"/>
        </w:rPr>
        <w:t xml:space="preserve"> represents the person- or visit-level ED utilization outcome at time </w:t>
      </w:r>
      <m:oMath>
        <m:r>
          <w:rPr>
            <w:rFonts w:ascii="Cambria Math" w:eastAsiaTheme="minorEastAsia" w:hAnsi="Cambria Math" w:cs="Times New Roman"/>
          </w:rPr>
          <m:t>t</m:t>
        </m:r>
      </m:oMath>
      <w:r>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oMath>
      <w:r>
        <w:rPr>
          <w:rFonts w:ascii="Times New Roman" w:eastAsiaTheme="minorEastAsia" w:hAnsi="Times New Roman" w:cs="Times New Roman"/>
        </w:rPr>
        <w:t xml:space="preserve"> represents the baseline ED utilization in January 2019,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Pr>
          <w:rFonts w:ascii="Times New Roman" w:eastAsiaTheme="minorEastAsia" w:hAnsi="Times New Roman" w:cs="Times New Roman"/>
        </w:rPr>
        <w:t xml:space="preserve"> represents the monthly utilization slope before COVID-19,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2</m:t>
            </m:r>
          </m:sub>
        </m:sSub>
      </m:oMath>
      <w:r>
        <w:rPr>
          <w:rFonts w:ascii="Times New Roman" w:eastAsiaTheme="minorEastAsia" w:hAnsi="Times New Roman" w:cs="Times New Roman"/>
        </w:rPr>
        <w:t xml:space="preserve"> represents the level change in ED utilization following the pandemic, and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3</m:t>
            </m:r>
          </m:sub>
        </m:sSub>
      </m:oMath>
      <w:r>
        <w:rPr>
          <w:rFonts w:ascii="Times New Roman" w:eastAsiaTheme="minorEastAsia" w:hAnsi="Times New Roman" w:cs="Times New Roman"/>
        </w:rPr>
        <w:t xml:space="preserve"> represents the slope change in the monthly utilization following the start of the pandemic. </w:t>
      </w:r>
    </w:p>
    <w:p w14:paraId="48426BDD" w14:textId="6AB10017" w:rsidR="005D0C58" w:rsidRDefault="005D0C58" w:rsidP="005D0C58">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lastRenderedPageBreak/>
        <w:t>In the ITS models, a Poisson link function was utilized to account for the outcome variables representing counts and the models were offset using the log of the cohort size in each state. Seasonal variation in monthly ED utilization was accounted for using Fourier terms (pairs of sine and cosine waves).</w:t>
      </w:r>
      <w:r w:rsidR="002E4FE3">
        <w:rPr>
          <w:rFonts w:ascii="Times New Roman" w:eastAsiaTheme="minorEastAsia" w:hAnsi="Times New Roman" w:cs="Times New Roman"/>
        </w:rPr>
        <w:t xml:space="preserve"> (8)</w:t>
      </w:r>
      <w:r>
        <w:rPr>
          <w:rFonts w:ascii="Times New Roman" w:eastAsiaTheme="minorEastAsia" w:hAnsi="Times New Roman" w:cs="Times New Roman"/>
        </w:rPr>
        <w:t xml:space="preserve"> Durbin-Watson statistics alongside inspection of partial autocorrelation plots and model residual plots indicated no evidence of autocorrelation in the time-series data. </w:t>
      </w:r>
      <w:r w:rsidR="00F34C3E">
        <w:rPr>
          <w:rFonts w:ascii="Times New Roman" w:eastAsiaTheme="minorEastAsia" w:hAnsi="Times New Roman" w:cs="Times New Roman"/>
        </w:rPr>
        <w:t>As described in the full study results (see main manuscript) descriptive</w:t>
      </w:r>
      <w:r>
        <w:rPr>
          <w:rFonts w:ascii="Times New Roman" w:eastAsiaTheme="minorEastAsia" w:hAnsi="Times New Roman" w:cs="Times New Roman"/>
        </w:rPr>
        <w:t xml:space="preserve"> analysis of the monthly rates warranted a one-month lag associated with the level change term in the model</w:t>
      </w:r>
      <w:r w:rsidR="00F34C3E">
        <w:rPr>
          <w:rFonts w:ascii="Times New Roman" w:eastAsiaTheme="minorEastAsia" w:hAnsi="Times New Roman" w:cs="Times New Roman"/>
        </w:rPr>
        <w:t>, therefore “starting” the impact of the pandemic in April 2024 for the purposes of the analysis</w:t>
      </w:r>
      <w:r>
        <w:rPr>
          <w:rFonts w:ascii="Times New Roman" w:eastAsiaTheme="minorEastAsia" w:hAnsi="Times New Roman" w:cs="Times New Roman"/>
        </w:rPr>
        <w:t>. To aid in interpretation of results, model coefficients were exponentiated to represent rates of utilization.</w:t>
      </w:r>
    </w:p>
    <w:p w14:paraId="6A37E7CC" w14:textId="33B8777A" w:rsidR="00F34C3E" w:rsidRDefault="00F34C3E" w:rsidP="00F34C3E">
      <w:pPr>
        <w:spacing w:line="480" w:lineRule="auto"/>
        <w:ind w:firstLine="720"/>
        <w:rPr>
          <w:rFonts w:ascii="Times New Roman" w:hAnsi="Times New Roman" w:cs="Times New Roman"/>
          <w:b/>
          <w:bCs/>
        </w:rPr>
      </w:pPr>
      <w:r>
        <w:rPr>
          <w:rFonts w:ascii="Times New Roman" w:hAnsi="Times New Roman" w:cs="Times New Roman"/>
        </w:rPr>
        <w:t xml:space="preserve">Results of the trend analysis for the number of ED visits across all individuals with SCD are reported in </w:t>
      </w:r>
      <w:r>
        <w:rPr>
          <w:rFonts w:ascii="Times New Roman" w:hAnsi="Times New Roman" w:cs="Times New Roman"/>
        </w:rPr>
        <w:t>Supplemental Table 1</w:t>
      </w:r>
      <w:r>
        <w:rPr>
          <w:rFonts w:ascii="Times New Roman" w:hAnsi="Times New Roman" w:cs="Times New Roman"/>
        </w:rPr>
        <w:t xml:space="preserve"> and visually displayed in</w:t>
      </w:r>
      <w:r>
        <w:rPr>
          <w:rFonts w:ascii="Times New Roman" w:hAnsi="Times New Roman" w:cs="Times New Roman"/>
        </w:rPr>
        <w:t xml:space="preserve"> Supplemental</w:t>
      </w:r>
      <w:r>
        <w:rPr>
          <w:rFonts w:ascii="Times New Roman" w:hAnsi="Times New Roman" w:cs="Times New Roman"/>
        </w:rPr>
        <w:t xml:space="preserve"> Figure 1. At the start of the study, compared with a rate of 0, there was a significant estimated rate of ED utilization exhibited across all states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oMath>
      <w:r>
        <w:rPr>
          <w:rFonts w:ascii="Times New Roman" w:eastAsiaTheme="minorEastAsia" w:hAnsi="Times New Roman" w:cs="Times New Roman"/>
        </w:rPr>
        <w:t>)</w:t>
      </w:r>
      <w:r>
        <w:rPr>
          <w:rFonts w:ascii="Times New Roman" w:hAnsi="Times New Roman" w:cs="Times New Roman"/>
        </w:rPr>
        <w:t>, ranging from 250 visits/1,000 individuals in Tennessee to as high as 290 visits/1,000 individuals in Georgia. Accounting for seasonal variation in ED visits, the linear trend in visit rates before the start of the pandemic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Pr>
          <w:rFonts w:ascii="Times New Roman" w:eastAsiaTheme="minorEastAsia" w:hAnsi="Times New Roman" w:cs="Times New Roman"/>
        </w:rPr>
        <w:t>)</w:t>
      </w:r>
      <w:r>
        <w:rPr>
          <w:rFonts w:ascii="Times New Roman" w:hAnsi="Times New Roman" w:cs="Times New Roman"/>
        </w:rPr>
        <w:t xml:space="preserve"> was essentially flat and negligible across all states. The immediate effect of the pandemic on visit rates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oMath>
      <w:r>
        <w:rPr>
          <w:rFonts w:ascii="Times New Roman" w:eastAsiaTheme="minorEastAsia" w:hAnsi="Times New Roman" w:cs="Times New Roman"/>
        </w:rPr>
        <w:t>) was a statistically significant drop in estimated visits, ranging from a 10% decrease in the number of visits/1,000 individuals in California to as much as a 36% decrease in Michigan. Following the immediate decline in the visit rate and accounting for seasonal variability, Georgia, Michigan, and Tennessee experienced a significant increase in ED visits rate ranging from 2% to 3% per month beginning in April 2020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oMath>
      <w:r>
        <w:rPr>
          <w:rFonts w:ascii="Times New Roman" w:eastAsiaTheme="minorEastAsia" w:hAnsi="Times New Roman" w:cs="Times New Roman"/>
        </w:rPr>
        <w:t>). Conversely, California experienced a 3% decrease in the visit rate per month beginning in April 2020.</w:t>
      </w:r>
    </w:p>
    <w:p w14:paraId="7DC47451" w14:textId="6AA864E0" w:rsidR="00F34C3E" w:rsidRDefault="00F34C3E" w:rsidP="00F34C3E">
      <w:pPr>
        <w:spacing w:line="480" w:lineRule="auto"/>
        <w:ind w:firstLine="720"/>
        <w:rPr>
          <w:rFonts w:ascii="Times New Roman" w:eastAsiaTheme="minorEastAsia" w:hAnsi="Times New Roman" w:cs="Times New Roman"/>
        </w:rPr>
      </w:pPr>
      <w:r>
        <w:rPr>
          <w:rFonts w:ascii="Times New Roman" w:hAnsi="Times New Roman" w:cs="Times New Roman"/>
        </w:rPr>
        <w:lastRenderedPageBreak/>
        <w:t xml:space="preserve">Results of the trend analysis for the number of individuals with one or more ED visits are reported in </w:t>
      </w:r>
      <w:r>
        <w:rPr>
          <w:rFonts w:ascii="Times New Roman" w:hAnsi="Times New Roman" w:cs="Times New Roman"/>
        </w:rPr>
        <w:t>Supplemental Table 1</w:t>
      </w:r>
      <w:r>
        <w:rPr>
          <w:rFonts w:ascii="Times New Roman" w:hAnsi="Times New Roman" w:cs="Times New Roman"/>
        </w:rPr>
        <w:t xml:space="preserve"> and visually displayed in </w:t>
      </w:r>
      <w:r>
        <w:rPr>
          <w:rFonts w:ascii="Times New Roman" w:hAnsi="Times New Roman" w:cs="Times New Roman"/>
        </w:rPr>
        <w:t xml:space="preserve">Supplemental </w:t>
      </w:r>
      <w:r>
        <w:rPr>
          <w:rFonts w:ascii="Times New Roman" w:hAnsi="Times New Roman" w:cs="Times New Roman"/>
        </w:rPr>
        <w:t>Figure 2. At the start of the study, compared with a rate of 0, there was a significant estimated rate of person-level ED utilization exhibited across all states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oMath>
      <w:r>
        <w:rPr>
          <w:rFonts w:ascii="Times New Roman" w:eastAsiaTheme="minorEastAsia" w:hAnsi="Times New Roman" w:cs="Times New Roman"/>
        </w:rPr>
        <w:t>)</w:t>
      </w:r>
      <w:r>
        <w:rPr>
          <w:rFonts w:ascii="Times New Roman" w:hAnsi="Times New Roman" w:cs="Times New Roman"/>
        </w:rPr>
        <w:t>, ranging from 140 individuals with utilization/1,000 individuals in Michigan to as high as 170 individuals with utilization/1,000 individuals in Georgia. Accounting for seasonal variation in ED visits, the linear trend in the rate of individuals with any utilization before the start of the pandemic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Pr>
          <w:rFonts w:ascii="Times New Roman" w:eastAsiaTheme="minorEastAsia" w:hAnsi="Times New Roman" w:cs="Times New Roman"/>
        </w:rPr>
        <w:t>)</w:t>
      </w:r>
      <w:r>
        <w:rPr>
          <w:rFonts w:ascii="Times New Roman" w:hAnsi="Times New Roman" w:cs="Times New Roman"/>
        </w:rPr>
        <w:t xml:space="preserve"> was essentially flat and negligible across all states. The immediate effect of the pandemic on person-level visit rates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oMath>
      <w:r>
        <w:rPr>
          <w:rFonts w:ascii="Times New Roman" w:eastAsiaTheme="minorEastAsia" w:hAnsi="Times New Roman" w:cs="Times New Roman"/>
        </w:rPr>
        <w:t>) was a statistically significant drop in estimated person-level visits, ranging from a 20% decrease in the number of individuals with any utilization/1,000 individuals in California to as much as a 44% decrease in Michigan. Following the immediate decline in the utilization rate and accounting for seasonal variability, Georgia and Michigan experienced a significant increase in the person-level ED visit rate, indicating a 2% to 3% increase in the number of individuals with ED utilization per month beginning in April 2020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oMath>
      <w:r>
        <w:rPr>
          <w:rFonts w:ascii="Times New Roman" w:eastAsiaTheme="minorEastAsia" w:hAnsi="Times New Roman" w:cs="Times New Roman"/>
        </w:rPr>
        <w:t>). Conversely, California experienced no change in monthly utilization following the initial decline, while in Tennessee a positive but not statistically significant increase of 2% per month was found.</w:t>
      </w:r>
    </w:p>
    <w:p w14:paraId="10EBCCF3" w14:textId="0D222C4F" w:rsidR="00F34C3E" w:rsidRDefault="00F34C3E" w:rsidP="00F34C3E">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The results of this supplemental analysis using interrupted time series demonstrated that our descriptive analysis of ED utilization trends were robust after accounting for potential seasonal variation in ED utilization among individuals with SCD.  </w:t>
      </w:r>
      <w:r w:rsidR="002468FA">
        <w:rPr>
          <w:rFonts w:ascii="Times New Roman" w:eastAsiaTheme="minorEastAsia" w:hAnsi="Times New Roman" w:cs="Times New Roman"/>
        </w:rPr>
        <w:t xml:space="preserve">At the same time, however, we warrant strong caution in the use and causal interpretation of these results.  The overall observation for this analysis (24 months total) was relatively short.  This particularly limits our ability to accurately estimate the pre-pandemic seasonal trends in ED utilization, given only 15 </w:t>
      </w:r>
      <w:r w:rsidR="002468FA">
        <w:rPr>
          <w:rFonts w:ascii="Times New Roman" w:eastAsiaTheme="minorEastAsia" w:hAnsi="Times New Roman" w:cs="Times New Roman"/>
        </w:rPr>
        <w:lastRenderedPageBreak/>
        <w:t xml:space="preserve">months of pre-pandemic utilization data.  We therefore encourage readers to utilize the descriptive analysis presented in the main manuscript file. </w:t>
      </w:r>
    </w:p>
    <w:p w14:paraId="73AA6029" w14:textId="77777777" w:rsidR="00F34C3E" w:rsidRDefault="00F34C3E" w:rsidP="002E4FE3">
      <w:pPr>
        <w:spacing w:line="480" w:lineRule="auto"/>
        <w:rPr>
          <w:rFonts w:ascii="Times New Roman" w:hAnsi="Times New Roman" w:cs="Times New Roman"/>
        </w:rPr>
      </w:pPr>
    </w:p>
    <w:p w14:paraId="1BBB5007" w14:textId="77777777" w:rsidR="002E4FE3" w:rsidRDefault="002E4FE3" w:rsidP="002E4FE3">
      <w:pPr>
        <w:spacing w:line="480" w:lineRule="auto"/>
        <w:rPr>
          <w:rFonts w:ascii="Times New Roman" w:hAnsi="Times New Roman" w:cs="Times New Roman"/>
          <w:b/>
          <w:bCs/>
        </w:rPr>
      </w:pPr>
    </w:p>
    <w:p w14:paraId="392147D3" w14:textId="77777777" w:rsidR="002E4FE3" w:rsidRDefault="002E4FE3" w:rsidP="002E4FE3">
      <w:pPr>
        <w:spacing w:line="480" w:lineRule="auto"/>
        <w:rPr>
          <w:rFonts w:ascii="Times New Roman" w:hAnsi="Times New Roman" w:cs="Times New Roman"/>
          <w:b/>
          <w:bCs/>
        </w:rPr>
      </w:pPr>
    </w:p>
    <w:p w14:paraId="7B18B9A1" w14:textId="77777777" w:rsidR="002E4FE3" w:rsidRDefault="002E4FE3" w:rsidP="002E4FE3">
      <w:pPr>
        <w:spacing w:line="480" w:lineRule="auto"/>
        <w:rPr>
          <w:rFonts w:ascii="Times New Roman" w:hAnsi="Times New Roman" w:cs="Times New Roman"/>
          <w:b/>
          <w:bCs/>
        </w:rPr>
      </w:pPr>
    </w:p>
    <w:p w14:paraId="6884B77E" w14:textId="77777777" w:rsidR="002E4FE3" w:rsidRDefault="002E4FE3" w:rsidP="002E4FE3">
      <w:pPr>
        <w:spacing w:line="480" w:lineRule="auto"/>
        <w:rPr>
          <w:rFonts w:ascii="Times New Roman" w:hAnsi="Times New Roman" w:cs="Times New Roman"/>
          <w:b/>
          <w:bCs/>
        </w:rPr>
      </w:pPr>
    </w:p>
    <w:p w14:paraId="44CF3C40" w14:textId="77777777" w:rsidR="002E4FE3" w:rsidRDefault="002E4FE3" w:rsidP="002E4FE3">
      <w:pPr>
        <w:spacing w:line="480" w:lineRule="auto"/>
        <w:rPr>
          <w:rFonts w:ascii="Times New Roman" w:hAnsi="Times New Roman" w:cs="Times New Roman"/>
          <w:b/>
          <w:bCs/>
        </w:rPr>
      </w:pPr>
    </w:p>
    <w:p w14:paraId="137D9052" w14:textId="77777777" w:rsidR="002E4FE3" w:rsidRDefault="002E4FE3" w:rsidP="002E4FE3">
      <w:pPr>
        <w:spacing w:line="480" w:lineRule="auto"/>
        <w:rPr>
          <w:rFonts w:ascii="Times New Roman" w:hAnsi="Times New Roman" w:cs="Times New Roman"/>
          <w:b/>
          <w:bCs/>
        </w:rPr>
      </w:pPr>
    </w:p>
    <w:p w14:paraId="1A6DF211" w14:textId="77777777" w:rsidR="002E4FE3" w:rsidRDefault="002E4FE3" w:rsidP="002E4FE3">
      <w:pPr>
        <w:spacing w:line="480" w:lineRule="auto"/>
        <w:rPr>
          <w:rFonts w:ascii="Times New Roman" w:hAnsi="Times New Roman" w:cs="Times New Roman"/>
          <w:b/>
          <w:bCs/>
        </w:rPr>
      </w:pPr>
    </w:p>
    <w:p w14:paraId="2E7C6C87" w14:textId="77777777" w:rsidR="002E4FE3" w:rsidRDefault="002E4FE3" w:rsidP="002E4FE3">
      <w:pPr>
        <w:spacing w:line="480" w:lineRule="auto"/>
        <w:rPr>
          <w:rFonts w:ascii="Times New Roman" w:hAnsi="Times New Roman" w:cs="Times New Roman"/>
          <w:b/>
          <w:bCs/>
        </w:rPr>
      </w:pPr>
    </w:p>
    <w:p w14:paraId="4EBA3E39" w14:textId="77777777" w:rsidR="002E4FE3" w:rsidRDefault="002E4FE3" w:rsidP="002E4FE3">
      <w:pPr>
        <w:spacing w:line="480" w:lineRule="auto"/>
        <w:rPr>
          <w:rFonts w:ascii="Times New Roman" w:hAnsi="Times New Roman" w:cs="Times New Roman"/>
          <w:b/>
          <w:bCs/>
        </w:rPr>
      </w:pPr>
    </w:p>
    <w:p w14:paraId="2F0AE231" w14:textId="77777777" w:rsidR="002E4FE3" w:rsidRDefault="002E4FE3" w:rsidP="002E4FE3">
      <w:pPr>
        <w:spacing w:line="480" w:lineRule="auto"/>
        <w:rPr>
          <w:rFonts w:ascii="Times New Roman" w:hAnsi="Times New Roman" w:cs="Times New Roman"/>
          <w:b/>
          <w:bCs/>
        </w:rPr>
      </w:pPr>
    </w:p>
    <w:p w14:paraId="03389185" w14:textId="77777777" w:rsidR="002E4FE3" w:rsidRDefault="002E4FE3" w:rsidP="002E4FE3">
      <w:pPr>
        <w:spacing w:line="480" w:lineRule="auto"/>
        <w:rPr>
          <w:rFonts w:ascii="Times New Roman" w:hAnsi="Times New Roman" w:cs="Times New Roman"/>
          <w:b/>
          <w:bCs/>
        </w:rPr>
      </w:pPr>
    </w:p>
    <w:p w14:paraId="45012ED6" w14:textId="77777777" w:rsidR="002E4FE3" w:rsidRDefault="002E4FE3" w:rsidP="002E4FE3">
      <w:pPr>
        <w:spacing w:line="480" w:lineRule="auto"/>
        <w:rPr>
          <w:rFonts w:ascii="Times New Roman" w:hAnsi="Times New Roman" w:cs="Times New Roman"/>
          <w:b/>
          <w:bCs/>
        </w:rPr>
      </w:pPr>
    </w:p>
    <w:p w14:paraId="064D6AE1" w14:textId="77777777" w:rsidR="002E4FE3" w:rsidRDefault="002E4FE3" w:rsidP="002E4FE3">
      <w:pPr>
        <w:spacing w:line="480" w:lineRule="auto"/>
        <w:rPr>
          <w:rFonts w:ascii="Times New Roman" w:hAnsi="Times New Roman" w:cs="Times New Roman"/>
          <w:b/>
          <w:bCs/>
        </w:rPr>
      </w:pPr>
    </w:p>
    <w:p w14:paraId="0F87C106" w14:textId="77777777" w:rsidR="002E4FE3" w:rsidRDefault="002E4FE3" w:rsidP="002E4FE3">
      <w:pPr>
        <w:spacing w:line="480" w:lineRule="auto"/>
        <w:rPr>
          <w:rFonts w:ascii="Times New Roman" w:hAnsi="Times New Roman" w:cs="Times New Roman"/>
          <w:b/>
          <w:bCs/>
        </w:rPr>
      </w:pPr>
    </w:p>
    <w:p w14:paraId="619D51A3" w14:textId="77777777" w:rsidR="002E4FE3" w:rsidRDefault="002E4FE3" w:rsidP="002E4FE3">
      <w:pPr>
        <w:spacing w:line="480" w:lineRule="auto"/>
        <w:rPr>
          <w:rFonts w:ascii="Times New Roman" w:hAnsi="Times New Roman" w:cs="Times New Roman"/>
          <w:b/>
          <w:bCs/>
        </w:rPr>
      </w:pPr>
    </w:p>
    <w:p w14:paraId="39B46067" w14:textId="77777777" w:rsidR="002E4FE3" w:rsidRDefault="002E4FE3" w:rsidP="002E4FE3">
      <w:pPr>
        <w:spacing w:line="480" w:lineRule="auto"/>
        <w:rPr>
          <w:rFonts w:ascii="Times New Roman" w:hAnsi="Times New Roman" w:cs="Times New Roman"/>
          <w:b/>
          <w:bCs/>
        </w:rPr>
      </w:pPr>
    </w:p>
    <w:p w14:paraId="41145640" w14:textId="77777777" w:rsidR="002E4FE3" w:rsidRDefault="002E4FE3" w:rsidP="002E4FE3">
      <w:pPr>
        <w:spacing w:line="480" w:lineRule="auto"/>
        <w:rPr>
          <w:rFonts w:ascii="Times New Roman" w:hAnsi="Times New Roman" w:cs="Times New Roman"/>
          <w:b/>
          <w:bCs/>
        </w:rPr>
      </w:pPr>
    </w:p>
    <w:p w14:paraId="0F6140C9" w14:textId="77777777" w:rsidR="002E4FE3" w:rsidRDefault="002E4FE3" w:rsidP="002E4FE3">
      <w:pPr>
        <w:spacing w:line="480" w:lineRule="auto"/>
        <w:rPr>
          <w:rFonts w:ascii="Times New Roman" w:hAnsi="Times New Roman" w:cs="Times New Roman"/>
          <w:b/>
          <w:bCs/>
        </w:rPr>
      </w:pPr>
    </w:p>
    <w:p w14:paraId="776681EC" w14:textId="77777777" w:rsidR="002E4FE3" w:rsidRDefault="002E4FE3" w:rsidP="002E4FE3">
      <w:pPr>
        <w:spacing w:line="480" w:lineRule="auto"/>
        <w:rPr>
          <w:rFonts w:ascii="Times New Roman" w:hAnsi="Times New Roman" w:cs="Times New Roman"/>
          <w:b/>
          <w:bCs/>
        </w:rPr>
      </w:pPr>
    </w:p>
    <w:p w14:paraId="5462E548" w14:textId="77777777" w:rsidR="002E4FE3" w:rsidRDefault="002E4FE3" w:rsidP="002E4FE3">
      <w:pPr>
        <w:spacing w:line="480" w:lineRule="auto"/>
        <w:rPr>
          <w:rFonts w:ascii="Times New Roman" w:hAnsi="Times New Roman" w:cs="Times New Roman"/>
          <w:b/>
          <w:bCs/>
        </w:rPr>
      </w:pPr>
    </w:p>
    <w:p w14:paraId="53512600" w14:textId="329334F2" w:rsidR="002E4FE3" w:rsidRPr="002E4FE3" w:rsidRDefault="002E4FE3" w:rsidP="002E4FE3">
      <w:pPr>
        <w:spacing w:line="480" w:lineRule="auto"/>
        <w:rPr>
          <w:rFonts w:ascii="Times New Roman" w:hAnsi="Times New Roman" w:cs="Times New Roman"/>
        </w:rPr>
      </w:pPr>
      <w:r>
        <w:rPr>
          <w:rFonts w:ascii="Times New Roman" w:hAnsi="Times New Roman" w:cs="Times New Roman"/>
          <w:b/>
          <w:bCs/>
        </w:rPr>
        <w:lastRenderedPageBreak/>
        <w:t>Supplemental References</w:t>
      </w:r>
    </w:p>
    <w:p w14:paraId="6E7A1E11" w14:textId="4F1A4CC7" w:rsidR="005A02AF" w:rsidRDefault="005A02AF" w:rsidP="005A02AF">
      <w:pPr>
        <w:pStyle w:val="Bibliography"/>
        <w:numPr>
          <w:ilvl w:val="0"/>
          <w:numId w:val="1"/>
        </w:numPr>
        <w:rPr>
          <w:rFonts w:ascii="Times New Roman" w:hAnsi="Times New Roman" w:cs="Times New Roman"/>
        </w:rPr>
      </w:pPr>
      <w:r w:rsidRPr="00964E97">
        <w:rPr>
          <w:rFonts w:ascii="Times New Roman" w:hAnsi="Times New Roman" w:cs="Times New Roman"/>
        </w:rPr>
        <w:t xml:space="preserve">Riley T, Nethery E, Chung EK, Souter V. Impact of the COVID‐19 pandemic on perinatal care and outcomes in the United States: An interrupted time series analysis. </w:t>
      </w:r>
      <w:r w:rsidRPr="00964E97">
        <w:rPr>
          <w:rFonts w:ascii="Times New Roman" w:hAnsi="Times New Roman" w:cs="Times New Roman"/>
          <w:i/>
          <w:iCs/>
        </w:rPr>
        <w:t>Birth</w:t>
      </w:r>
      <w:r w:rsidRPr="00964E97">
        <w:rPr>
          <w:rFonts w:ascii="Times New Roman" w:hAnsi="Times New Roman" w:cs="Times New Roman"/>
        </w:rPr>
        <w:t>. 2022;49(2):298-309.</w:t>
      </w:r>
    </w:p>
    <w:p w14:paraId="2009178E" w14:textId="77777777" w:rsidR="005A02AF" w:rsidRPr="005A02AF" w:rsidRDefault="005A02AF" w:rsidP="005A02AF"/>
    <w:p w14:paraId="5DE05860" w14:textId="2FAAE781" w:rsidR="005A02AF" w:rsidRDefault="005A02AF" w:rsidP="005A02AF">
      <w:pPr>
        <w:pStyle w:val="Bibliography"/>
        <w:numPr>
          <w:ilvl w:val="0"/>
          <w:numId w:val="1"/>
        </w:numPr>
        <w:rPr>
          <w:rFonts w:ascii="Times New Roman" w:hAnsi="Times New Roman" w:cs="Times New Roman"/>
        </w:rPr>
      </w:pPr>
      <w:r w:rsidRPr="00964E97">
        <w:rPr>
          <w:rFonts w:ascii="Times New Roman" w:hAnsi="Times New Roman" w:cs="Times New Roman"/>
        </w:rPr>
        <w:t xml:space="preserve">Shah SA, Brophy S, Kennedy J, et al. Impact of first UK COVID-19 lockdown on hospital admissions: Interrupted time series study of 32 million people. </w:t>
      </w:r>
      <w:r w:rsidRPr="00964E97">
        <w:rPr>
          <w:rFonts w:ascii="Times New Roman" w:hAnsi="Times New Roman" w:cs="Times New Roman"/>
          <w:i/>
          <w:iCs/>
        </w:rPr>
        <w:t>EClinicalMedicine</w:t>
      </w:r>
      <w:r w:rsidRPr="00964E97">
        <w:rPr>
          <w:rFonts w:ascii="Times New Roman" w:hAnsi="Times New Roman" w:cs="Times New Roman"/>
        </w:rPr>
        <w:t>. 2022;49:101462.</w:t>
      </w:r>
    </w:p>
    <w:p w14:paraId="0AAFF3FE" w14:textId="77777777" w:rsidR="005A02AF" w:rsidRPr="005A02AF" w:rsidRDefault="005A02AF" w:rsidP="005A02AF"/>
    <w:p w14:paraId="02AB51CA" w14:textId="180BDE7F" w:rsidR="005A02AF" w:rsidRDefault="005A02AF" w:rsidP="005A02AF">
      <w:pPr>
        <w:pStyle w:val="Bibliography"/>
        <w:numPr>
          <w:ilvl w:val="0"/>
          <w:numId w:val="1"/>
        </w:numPr>
        <w:rPr>
          <w:rFonts w:ascii="Times New Roman" w:hAnsi="Times New Roman" w:cs="Times New Roman"/>
        </w:rPr>
      </w:pPr>
      <w:r w:rsidRPr="00964E97">
        <w:rPr>
          <w:rFonts w:ascii="Times New Roman" w:hAnsi="Times New Roman" w:cs="Times New Roman"/>
        </w:rPr>
        <w:t xml:space="preserve">Larson PS, Bergmans RS. Impact of the COVID-19 pandemic on temporal patterns of mental health and substance abuse related mortality in Michigan: an interrupted time series analysis. </w:t>
      </w:r>
      <w:r w:rsidRPr="00964E97">
        <w:rPr>
          <w:rFonts w:ascii="Times New Roman" w:hAnsi="Times New Roman" w:cs="Times New Roman"/>
          <w:i/>
          <w:iCs/>
        </w:rPr>
        <w:t>Lancet Reg Health-Am</w:t>
      </w:r>
      <w:r w:rsidRPr="00964E97">
        <w:rPr>
          <w:rFonts w:ascii="Times New Roman" w:hAnsi="Times New Roman" w:cs="Times New Roman"/>
        </w:rPr>
        <w:t>. 2022;10:100218.</w:t>
      </w:r>
    </w:p>
    <w:p w14:paraId="0E025DB3" w14:textId="77777777" w:rsidR="002E4FE3" w:rsidRPr="002E4FE3" w:rsidRDefault="002E4FE3" w:rsidP="002E4FE3"/>
    <w:p w14:paraId="6B5D2CB2" w14:textId="77777777" w:rsidR="002E4FE3" w:rsidRDefault="002E4FE3" w:rsidP="002E4FE3">
      <w:pPr>
        <w:pStyle w:val="Bibliography"/>
        <w:numPr>
          <w:ilvl w:val="0"/>
          <w:numId w:val="1"/>
        </w:numPr>
        <w:rPr>
          <w:rFonts w:ascii="Times New Roman" w:hAnsi="Times New Roman" w:cs="Times New Roman"/>
        </w:rPr>
      </w:pPr>
      <w:r w:rsidRPr="00964E97">
        <w:rPr>
          <w:rFonts w:ascii="Times New Roman" w:hAnsi="Times New Roman" w:cs="Times New Roman"/>
        </w:rPr>
        <w:t xml:space="preserve">Adjemian J, Hartnett KP, Kite-Powell A, et al. Update: COVID-19 pandemic–associated changes in emergency department visits—United States, December 2020–January 2021. </w:t>
      </w:r>
      <w:r w:rsidRPr="00964E97">
        <w:rPr>
          <w:rFonts w:ascii="Times New Roman" w:hAnsi="Times New Roman" w:cs="Times New Roman"/>
          <w:i/>
          <w:iCs/>
        </w:rPr>
        <w:t>Morb Mortal Wkly Rep</w:t>
      </w:r>
      <w:r w:rsidRPr="00964E97">
        <w:rPr>
          <w:rFonts w:ascii="Times New Roman" w:hAnsi="Times New Roman" w:cs="Times New Roman"/>
        </w:rPr>
        <w:t>. 2021;70(15):552.</w:t>
      </w:r>
    </w:p>
    <w:p w14:paraId="7A17402F" w14:textId="77777777" w:rsidR="002E4FE3" w:rsidRPr="002E4FE3" w:rsidRDefault="002E4FE3" w:rsidP="002E4FE3"/>
    <w:p w14:paraId="7088A92A" w14:textId="51C5BE49" w:rsidR="002E4FE3" w:rsidRDefault="002E4FE3" w:rsidP="002E4FE3">
      <w:pPr>
        <w:pStyle w:val="Bibliography"/>
        <w:numPr>
          <w:ilvl w:val="0"/>
          <w:numId w:val="1"/>
        </w:numPr>
        <w:rPr>
          <w:rFonts w:ascii="Times New Roman" w:hAnsi="Times New Roman" w:cs="Times New Roman"/>
        </w:rPr>
      </w:pPr>
      <w:r w:rsidRPr="00964E97">
        <w:rPr>
          <w:rFonts w:ascii="Times New Roman" w:hAnsi="Times New Roman" w:cs="Times New Roman"/>
        </w:rPr>
        <w:t xml:space="preserve">Hartnett KP, Kite-Powell A, DeVies J, et al. Impact of the COVID-19 pandemic on emergency department visits—United States, January 1, 2019–May 30, 2020. </w:t>
      </w:r>
      <w:r w:rsidRPr="00964E97">
        <w:rPr>
          <w:rFonts w:ascii="Times New Roman" w:hAnsi="Times New Roman" w:cs="Times New Roman"/>
          <w:i/>
          <w:iCs/>
        </w:rPr>
        <w:t>Morb Mortal Wkly Rep</w:t>
      </w:r>
      <w:r w:rsidRPr="00964E97">
        <w:rPr>
          <w:rFonts w:ascii="Times New Roman" w:hAnsi="Times New Roman" w:cs="Times New Roman"/>
        </w:rPr>
        <w:t>. 2020;69(23):699.</w:t>
      </w:r>
    </w:p>
    <w:p w14:paraId="3120F8F0" w14:textId="77777777" w:rsidR="002E4FE3" w:rsidRPr="002E4FE3" w:rsidRDefault="002E4FE3" w:rsidP="002E4FE3"/>
    <w:p w14:paraId="45CE9DE1" w14:textId="085BFC22" w:rsidR="002E4FE3" w:rsidRDefault="002E4FE3" w:rsidP="002E4FE3">
      <w:pPr>
        <w:pStyle w:val="Bibliography"/>
        <w:numPr>
          <w:ilvl w:val="0"/>
          <w:numId w:val="1"/>
        </w:numPr>
        <w:rPr>
          <w:rFonts w:ascii="Times New Roman" w:hAnsi="Times New Roman" w:cs="Times New Roman"/>
        </w:rPr>
      </w:pPr>
      <w:r w:rsidRPr="00964E97">
        <w:rPr>
          <w:rFonts w:ascii="Times New Roman" w:hAnsi="Times New Roman" w:cs="Times New Roman"/>
        </w:rPr>
        <w:t xml:space="preserve">Kazakova SV, Baggs J, Parra G, et al. Declines in the utilization of hospital‐based care during COVID‐19 pandemic. </w:t>
      </w:r>
      <w:r w:rsidRPr="00964E97">
        <w:rPr>
          <w:rFonts w:ascii="Times New Roman" w:hAnsi="Times New Roman" w:cs="Times New Roman"/>
          <w:i/>
          <w:iCs/>
        </w:rPr>
        <w:t>J Hosp Med</w:t>
      </w:r>
      <w:r w:rsidRPr="00964E97">
        <w:rPr>
          <w:rFonts w:ascii="Times New Roman" w:hAnsi="Times New Roman" w:cs="Times New Roman"/>
        </w:rPr>
        <w:t>. 2022;17(12):984-989.</w:t>
      </w:r>
    </w:p>
    <w:p w14:paraId="1126F976" w14:textId="77777777" w:rsidR="002E4FE3" w:rsidRPr="002E4FE3" w:rsidRDefault="002E4FE3" w:rsidP="002E4FE3"/>
    <w:p w14:paraId="4866680D" w14:textId="43C00EA1" w:rsidR="002E4FE3" w:rsidRDefault="002E4FE3" w:rsidP="002E4FE3">
      <w:pPr>
        <w:pStyle w:val="Bibliography"/>
        <w:numPr>
          <w:ilvl w:val="0"/>
          <w:numId w:val="1"/>
        </w:numPr>
        <w:rPr>
          <w:rFonts w:ascii="Times New Roman" w:hAnsi="Times New Roman" w:cs="Times New Roman"/>
        </w:rPr>
      </w:pPr>
      <w:r w:rsidRPr="00964E97">
        <w:rPr>
          <w:rFonts w:ascii="Times New Roman" w:hAnsi="Times New Roman" w:cs="Times New Roman"/>
        </w:rPr>
        <w:t xml:space="preserve">Bernal JL, Cummins S, Gasparrini A. Interrupted time series regression for the evaluation of public health interventions: a tutorial. </w:t>
      </w:r>
      <w:r w:rsidRPr="00964E97">
        <w:rPr>
          <w:rFonts w:ascii="Times New Roman" w:hAnsi="Times New Roman" w:cs="Times New Roman"/>
          <w:i/>
          <w:iCs/>
        </w:rPr>
        <w:t>Int J Epidemiol</w:t>
      </w:r>
      <w:r w:rsidRPr="00964E97">
        <w:rPr>
          <w:rFonts w:ascii="Times New Roman" w:hAnsi="Times New Roman" w:cs="Times New Roman"/>
        </w:rPr>
        <w:t>. 2017;46(1):348-355.</w:t>
      </w:r>
    </w:p>
    <w:p w14:paraId="7AFBC9B3" w14:textId="77777777" w:rsidR="002E4FE3" w:rsidRPr="002E4FE3" w:rsidRDefault="002E4FE3" w:rsidP="002E4FE3"/>
    <w:p w14:paraId="1BB2922B" w14:textId="1C4B8BED" w:rsidR="002E4FE3" w:rsidRDefault="002E4FE3" w:rsidP="002E4FE3">
      <w:pPr>
        <w:pStyle w:val="Bibliography"/>
        <w:numPr>
          <w:ilvl w:val="0"/>
          <w:numId w:val="1"/>
        </w:numPr>
        <w:rPr>
          <w:rFonts w:ascii="Times New Roman" w:hAnsi="Times New Roman" w:cs="Times New Roman"/>
        </w:rPr>
      </w:pPr>
      <w:r w:rsidRPr="00964E97">
        <w:rPr>
          <w:rFonts w:ascii="Times New Roman" w:hAnsi="Times New Roman" w:cs="Times New Roman"/>
        </w:rPr>
        <w:t xml:space="preserve">Bhaskaran K, Gasparrini A, Hajat S, Smeeth L, Armstrong B. Time series regression studies in environmental epidemiology. </w:t>
      </w:r>
      <w:r w:rsidRPr="00964E97">
        <w:rPr>
          <w:rFonts w:ascii="Times New Roman" w:hAnsi="Times New Roman" w:cs="Times New Roman"/>
          <w:i/>
          <w:iCs/>
        </w:rPr>
        <w:t>Int J Epidemiol</w:t>
      </w:r>
      <w:r w:rsidRPr="00964E97">
        <w:rPr>
          <w:rFonts w:ascii="Times New Roman" w:hAnsi="Times New Roman" w:cs="Times New Roman"/>
        </w:rPr>
        <w:t>. 2013;42(4):1187-1195.</w:t>
      </w:r>
    </w:p>
    <w:p w14:paraId="59012261" w14:textId="77777777" w:rsidR="00AE3875" w:rsidRDefault="00AE3875" w:rsidP="00AE3875"/>
    <w:p w14:paraId="1B08B60F" w14:textId="77777777" w:rsidR="00AE3875" w:rsidRDefault="00AE3875" w:rsidP="00AE3875"/>
    <w:p w14:paraId="1E25F313" w14:textId="77777777" w:rsidR="00AE3875" w:rsidRDefault="00AE3875" w:rsidP="00AE3875"/>
    <w:p w14:paraId="40C987B7" w14:textId="77777777" w:rsidR="00AE3875" w:rsidRDefault="00AE3875" w:rsidP="00AE3875"/>
    <w:p w14:paraId="50FF1FBD" w14:textId="77777777" w:rsidR="00AE3875" w:rsidRDefault="00AE3875" w:rsidP="00AE3875"/>
    <w:p w14:paraId="2AAC7DB5" w14:textId="77777777" w:rsidR="00AE3875" w:rsidRDefault="00AE3875" w:rsidP="00AE3875"/>
    <w:p w14:paraId="7F7C6AC1" w14:textId="77777777" w:rsidR="00AE3875" w:rsidRDefault="00AE3875" w:rsidP="00AE3875"/>
    <w:p w14:paraId="3D91910D" w14:textId="77777777" w:rsidR="00AE3875" w:rsidRDefault="00AE3875" w:rsidP="00AE3875"/>
    <w:p w14:paraId="1D175E09" w14:textId="77777777" w:rsidR="00AE3875" w:rsidRDefault="00AE3875" w:rsidP="00AE3875"/>
    <w:p w14:paraId="3F5D3477" w14:textId="77777777" w:rsidR="00AE3875" w:rsidRDefault="00AE3875" w:rsidP="00AE3875"/>
    <w:p w14:paraId="5BEF6BAC" w14:textId="77777777" w:rsidR="00AE3875" w:rsidRDefault="00AE3875" w:rsidP="00AE3875"/>
    <w:p w14:paraId="799667ED" w14:textId="77777777" w:rsidR="00AE3875" w:rsidRDefault="00AE3875" w:rsidP="00AE3875"/>
    <w:p w14:paraId="06F40B6F" w14:textId="77777777" w:rsidR="00AE3875" w:rsidRDefault="00AE3875" w:rsidP="00AE3875"/>
    <w:p w14:paraId="2646ECFC" w14:textId="77777777" w:rsidR="00AE3875" w:rsidRDefault="00AE3875" w:rsidP="00AE3875"/>
    <w:p w14:paraId="7817DD6D" w14:textId="77777777" w:rsidR="00AE3875" w:rsidRDefault="00AE3875" w:rsidP="00AE3875"/>
    <w:p w14:paraId="4C0CA1A8" w14:textId="441F4FE5" w:rsidR="00AE3875" w:rsidRDefault="00AE3875" w:rsidP="00AE3875">
      <w:pPr>
        <w:rPr>
          <w:rFonts w:ascii="Times New Roman" w:hAnsi="Times New Roman" w:cs="Times New Roman"/>
        </w:rPr>
      </w:pPr>
      <w:r>
        <w:rPr>
          <w:rFonts w:ascii="Times New Roman" w:hAnsi="Times New Roman" w:cs="Times New Roman"/>
          <w:b/>
          <w:bCs/>
        </w:rPr>
        <w:lastRenderedPageBreak/>
        <w:t xml:space="preserve">Supplemental </w:t>
      </w:r>
      <w:r>
        <w:rPr>
          <w:rFonts w:ascii="Times New Roman" w:hAnsi="Times New Roman" w:cs="Times New Roman"/>
          <w:b/>
          <w:bCs/>
        </w:rPr>
        <w:t xml:space="preserve">Table </w:t>
      </w:r>
      <w:r>
        <w:rPr>
          <w:rFonts w:ascii="Times New Roman" w:hAnsi="Times New Roman" w:cs="Times New Roman"/>
          <w:b/>
          <w:bCs/>
        </w:rPr>
        <w:t>1</w:t>
      </w:r>
      <w:r>
        <w:rPr>
          <w:rFonts w:ascii="Times New Roman" w:hAnsi="Times New Roman" w:cs="Times New Roman"/>
          <w:b/>
          <w:bCs/>
        </w:rPr>
        <w:t>. Results of Interrupted Time Series Models</w:t>
      </w:r>
    </w:p>
    <w:tbl>
      <w:tblPr>
        <w:tblW w:w="0" w:type="auto"/>
        <w:tblLook w:val="04A0" w:firstRow="1" w:lastRow="0" w:firstColumn="1" w:lastColumn="0" w:noHBand="0" w:noVBand="1"/>
      </w:tblPr>
      <w:tblGrid>
        <w:gridCol w:w="2742"/>
        <w:gridCol w:w="1177"/>
        <w:gridCol w:w="726"/>
        <w:gridCol w:w="1327"/>
        <w:gridCol w:w="276"/>
        <w:gridCol w:w="1141"/>
        <w:gridCol w:w="656"/>
        <w:gridCol w:w="1315"/>
      </w:tblGrid>
      <w:tr w:rsidR="00AE3875" w:rsidRPr="00144822" w14:paraId="53BC97D6" w14:textId="77777777" w:rsidTr="00EE32B5">
        <w:trPr>
          <w:trHeight w:val="320"/>
        </w:trPr>
        <w:tc>
          <w:tcPr>
            <w:tcW w:w="2742" w:type="dxa"/>
            <w:tcBorders>
              <w:top w:val="single" w:sz="4" w:space="0" w:color="auto"/>
              <w:left w:val="nil"/>
              <w:right w:val="nil"/>
            </w:tcBorders>
            <w:shd w:val="clear" w:color="auto" w:fill="auto"/>
            <w:noWrap/>
            <w:vAlign w:val="bottom"/>
            <w:hideMark/>
          </w:tcPr>
          <w:p w14:paraId="1BA27988" w14:textId="77777777" w:rsidR="00AE3875" w:rsidRPr="00144822" w:rsidRDefault="00AE3875" w:rsidP="00EE32B5">
            <w:pPr>
              <w:rPr>
                <w:rFonts w:ascii="Times New Roman" w:hAnsi="Times New Roman" w:cs="Times New Roman"/>
              </w:rPr>
            </w:pPr>
          </w:p>
        </w:tc>
        <w:tc>
          <w:tcPr>
            <w:tcW w:w="3230" w:type="dxa"/>
            <w:gridSpan w:val="3"/>
            <w:tcBorders>
              <w:top w:val="single" w:sz="4" w:space="0" w:color="auto"/>
              <w:left w:val="nil"/>
              <w:bottom w:val="single" w:sz="4" w:space="0" w:color="auto"/>
              <w:right w:val="nil"/>
            </w:tcBorders>
            <w:shd w:val="clear" w:color="auto" w:fill="auto"/>
            <w:noWrap/>
            <w:vAlign w:val="bottom"/>
            <w:hideMark/>
          </w:tcPr>
          <w:p w14:paraId="431D2588" w14:textId="77777777" w:rsidR="00AE3875" w:rsidRPr="00144822" w:rsidRDefault="00AE3875" w:rsidP="00EE32B5">
            <w:pPr>
              <w:jc w:val="center"/>
              <w:rPr>
                <w:rFonts w:ascii="Times New Roman" w:hAnsi="Times New Roman" w:cs="Times New Roman"/>
              </w:rPr>
            </w:pPr>
            <w:r w:rsidRPr="00144822">
              <w:rPr>
                <w:rFonts w:ascii="Times New Roman" w:hAnsi="Times New Roman" w:cs="Times New Roman"/>
              </w:rPr>
              <w:t>Model 1 - Visit Level</w:t>
            </w:r>
          </w:p>
        </w:tc>
        <w:tc>
          <w:tcPr>
            <w:tcW w:w="276" w:type="dxa"/>
            <w:tcBorders>
              <w:top w:val="single" w:sz="4" w:space="0" w:color="auto"/>
              <w:left w:val="nil"/>
              <w:right w:val="nil"/>
            </w:tcBorders>
            <w:shd w:val="clear" w:color="auto" w:fill="auto"/>
            <w:noWrap/>
            <w:vAlign w:val="bottom"/>
            <w:hideMark/>
          </w:tcPr>
          <w:p w14:paraId="5035A50D" w14:textId="77777777" w:rsidR="00AE3875" w:rsidRPr="00144822" w:rsidRDefault="00AE3875" w:rsidP="00EE32B5">
            <w:pPr>
              <w:jc w:val="center"/>
              <w:rPr>
                <w:rFonts w:ascii="Times New Roman" w:hAnsi="Times New Roman" w:cs="Times New Roman"/>
              </w:rPr>
            </w:pPr>
          </w:p>
        </w:tc>
        <w:tc>
          <w:tcPr>
            <w:tcW w:w="3112" w:type="dxa"/>
            <w:gridSpan w:val="3"/>
            <w:tcBorders>
              <w:top w:val="single" w:sz="4" w:space="0" w:color="auto"/>
              <w:left w:val="nil"/>
              <w:bottom w:val="single" w:sz="4" w:space="0" w:color="auto"/>
              <w:right w:val="nil"/>
            </w:tcBorders>
            <w:shd w:val="clear" w:color="auto" w:fill="auto"/>
            <w:noWrap/>
            <w:vAlign w:val="bottom"/>
            <w:hideMark/>
          </w:tcPr>
          <w:p w14:paraId="3509CAFA" w14:textId="77777777" w:rsidR="00AE3875" w:rsidRPr="00144822" w:rsidRDefault="00AE3875" w:rsidP="00EE32B5">
            <w:pPr>
              <w:jc w:val="center"/>
              <w:rPr>
                <w:rFonts w:ascii="Times New Roman" w:hAnsi="Times New Roman" w:cs="Times New Roman"/>
              </w:rPr>
            </w:pPr>
            <w:r w:rsidRPr="00144822">
              <w:rPr>
                <w:rFonts w:ascii="Times New Roman" w:hAnsi="Times New Roman" w:cs="Times New Roman"/>
              </w:rPr>
              <w:t>Model 2 - Person Level</w:t>
            </w:r>
          </w:p>
        </w:tc>
      </w:tr>
      <w:tr w:rsidR="00AE3875" w:rsidRPr="00144822" w14:paraId="4999CE5E" w14:textId="77777777" w:rsidTr="00EE32B5">
        <w:trPr>
          <w:trHeight w:val="320"/>
        </w:trPr>
        <w:tc>
          <w:tcPr>
            <w:tcW w:w="2742" w:type="dxa"/>
            <w:tcBorders>
              <w:top w:val="nil"/>
              <w:left w:val="nil"/>
              <w:bottom w:val="single" w:sz="4" w:space="0" w:color="auto"/>
              <w:right w:val="nil"/>
            </w:tcBorders>
            <w:shd w:val="clear" w:color="auto" w:fill="auto"/>
            <w:noWrap/>
            <w:vAlign w:val="bottom"/>
            <w:hideMark/>
          </w:tcPr>
          <w:p w14:paraId="0519BD5E"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Model Term</w:t>
            </w:r>
          </w:p>
        </w:tc>
        <w:tc>
          <w:tcPr>
            <w:tcW w:w="1177" w:type="dxa"/>
            <w:tcBorders>
              <w:top w:val="single" w:sz="4" w:space="0" w:color="auto"/>
              <w:left w:val="nil"/>
              <w:bottom w:val="single" w:sz="4" w:space="0" w:color="auto"/>
              <w:right w:val="nil"/>
            </w:tcBorders>
            <w:shd w:val="clear" w:color="auto" w:fill="auto"/>
            <w:noWrap/>
            <w:vAlign w:val="bottom"/>
            <w:hideMark/>
          </w:tcPr>
          <w:p w14:paraId="478283B5"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Coef</w:t>
            </w:r>
            <w:r>
              <w:rPr>
                <w:rFonts w:ascii="Times New Roman" w:hAnsi="Times New Roman" w:cs="Times New Roman"/>
              </w:rPr>
              <w:t>f.</w:t>
            </w:r>
          </w:p>
        </w:tc>
        <w:tc>
          <w:tcPr>
            <w:tcW w:w="726" w:type="dxa"/>
            <w:tcBorders>
              <w:top w:val="single" w:sz="4" w:space="0" w:color="auto"/>
              <w:left w:val="nil"/>
              <w:bottom w:val="single" w:sz="4" w:space="0" w:color="auto"/>
              <w:right w:val="nil"/>
            </w:tcBorders>
            <w:shd w:val="clear" w:color="auto" w:fill="auto"/>
            <w:noWrap/>
            <w:vAlign w:val="bottom"/>
            <w:hideMark/>
          </w:tcPr>
          <w:p w14:paraId="7503984F"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Rate</w:t>
            </w:r>
          </w:p>
        </w:tc>
        <w:tc>
          <w:tcPr>
            <w:tcW w:w="1327" w:type="dxa"/>
            <w:tcBorders>
              <w:top w:val="single" w:sz="4" w:space="0" w:color="auto"/>
              <w:left w:val="nil"/>
              <w:bottom w:val="single" w:sz="4" w:space="0" w:color="auto"/>
              <w:right w:val="nil"/>
            </w:tcBorders>
            <w:shd w:val="clear" w:color="auto" w:fill="auto"/>
            <w:noWrap/>
            <w:vAlign w:val="bottom"/>
            <w:hideMark/>
          </w:tcPr>
          <w:p w14:paraId="25F6FB92"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95% CI</w:t>
            </w:r>
          </w:p>
        </w:tc>
        <w:tc>
          <w:tcPr>
            <w:tcW w:w="276" w:type="dxa"/>
            <w:tcBorders>
              <w:top w:val="nil"/>
              <w:left w:val="nil"/>
              <w:bottom w:val="single" w:sz="4" w:space="0" w:color="auto"/>
              <w:right w:val="nil"/>
            </w:tcBorders>
            <w:shd w:val="clear" w:color="auto" w:fill="auto"/>
            <w:noWrap/>
            <w:vAlign w:val="bottom"/>
            <w:hideMark/>
          </w:tcPr>
          <w:p w14:paraId="0F1DE709" w14:textId="77777777" w:rsidR="00AE3875" w:rsidRPr="00144822" w:rsidRDefault="00AE3875" w:rsidP="00EE32B5">
            <w:pPr>
              <w:rPr>
                <w:rFonts w:ascii="Times New Roman" w:hAnsi="Times New Roman" w:cs="Times New Roman"/>
              </w:rPr>
            </w:pPr>
          </w:p>
        </w:tc>
        <w:tc>
          <w:tcPr>
            <w:tcW w:w="1141" w:type="dxa"/>
            <w:tcBorders>
              <w:top w:val="single" w:sz="4" w:space="0" w:color="auto"/>
              <w:left w:val="nil"/>
              <w:bottom w:val="single" w:sz="4" w:space="0" w:color="auto"/>
              <w:right w:val="nil"/>
            </w:tcBorders>
            <w:shd w:val="clear" w:color="auto" w:fill="auto"/>
            <w:noWrap/>
            <w:vAlign w:val="bottom"/>
            <w:hideMark/>
          </w:tcPr>
          <w:p w14:paraId="0934F354"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Coeff</w:t>
            </w:r>
            <w:r>
              <w:rPr>
                <w:rFonts w:ascii="Times New Roman" w:hAnsi="Times New Roman" w:cs="Times New Roman"/>
              </w:rPr>
              <w:t>.</w:t>
            </w:r>
          </w:p>
        </w:tc>
        <w:tc>
          <w:tcPr>
            <w:tcW w:w="656" w:type="dxa"/>
            <w:tcBorders>
              <w:top w:val="single" w:sz="4" w:space="0" w:color="auto"/>
              <w:left w:val="nil"/>
              <w:bottom w:val="single" w:sz="4" w:space="0" w:color="auto"/>
              <w:right w:val="nil"/>
            </w:tcBorders>
            <w:shd w:val="clear" w:color="auto" w:fill="auto"/>
            <w:noWrap/>
            <w:vAlign w:val="bottom"/>
            <w:hideMark/>
          </w:tcPr>
          <w:p w14:paraId="4F6793B0"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Rate</w:t>
            </w:r>
          </w:p>
        </w:tc>
        <w:tc>
          <w:tcPr>
            <w:tcW w:w="1315" w:type="dxa"/>
            <w:tcBorders>
              <w:top w:val="single" w:sz="4" w:space="0" w:color="auto"/>
              <w:left w:val="nil"/>
              <w:bottom w:val="single" w:sz="4" w:space="0" w:color="auto"/>
              <w:right w:val="nil"/>
            </w:tcBorders>
            <w:shd w:val="clear" w:color="auto" w:fill="auto"/>
            <w:noWrap/>
            <w:vAlign w:val="bottom"/>
            <w:hideMark/>
          </w:tcPr>
          <w:p w14:paraId="5399AD4A"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95% CI</w:t>
            </w:r>
          </w:p>
        </w:tc>
      </w:tr>
      <w:tr w:rsidR="00AE3875" w:rsidRPr="00144822" w14:paraId="54B6B74C" w14:textId="77777777" w:rsidTr="00EE32B5">
        <w:trPr>
          <w:trHeight w:val="320"/>
        </w:trPr>
        <w:tc>
          <w:tcPr>
            <w:tcW w:w="2742" w:type="dxa"/>
            <w:tcBorders>
              <w:top w:val="single" w:sz="4" w:space="0" w:color="auto"/>
              <w:left w:val="nil"/>
              <w:bottom w:val="nil"/>
              <w:right w:val="nil"/>
            </w:tcBorders>
            <w:shd w:val="clear" w:color="auto" w:fill="auto"/>
            <w:noWrap/>
            <w:vAlign w:val="bottom"/>
            <w:hideMark/>
          </w:tcPr>
          <w:p w14:paraId="2C8EC7DD" w14:textId="77777777" w:rsidR="00AE3875" w:rsidRPr="00144822" w:rsidRDefault="00AE3875" w:rsidP="00EE32B5">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oMath>
            <w:r w:rsidRPr="00144822">
              <w:rPr>
                <w:rFonts w:ascii="Times New Roman" w:hAnsi="Times New Roman" w:cs="Times New Roman"/>
              </w:rPr>
              <w:t xml:space="preserve"> (</w:t>
            </w:r>
            <w:r>
              <w:rPr>
                <w:rFonts w:ascii="Times New Roman" w:hAnsi="Times New Roman" w:cs="Times New Roman"/>
              </w:rPr>
              <w:t>Baseline Utilization</w:t>
            </w:r>
            <w:r w:rsidRPr="00144822">
              <w:rPr>
                <w:rFonts w:ascii="Times New Roman" w:hAnsi="Times New Roman" w:cs="Times New Roman"/>
              </w:rPr>
              <w:t>)</w:t>
            </w:r>
          </w:p>
        </w:tc>
        <w:tc>
          <w:tcPr>
            <w:tcW w:w="1177" w:type="dxa"/>
            <w:tcBorders>
              <w:top w:val="single" w:sz="4" w:space="0" w:color="auto"/>
              <w:left w:val="nil"/>
              <w:bottom w:val="nil"/>
              <w:right w:val="nil"/>
            </w:tcBorders>
            <w:shd w:val="clear" w:color="auto" w:fill="auto"/>
            <w:noWrap/>
            <w:vAlign w:val="bottom"/>
            <w:hideMark/>
          </w:tcPr>
          <w:p w14:paraId="7C962958" w14:textId="77777777" w:rsidR="00AE3875" w:rsidRPr="00144822" w:rsidRDefault="00AE3875" w:rsidP="00EE32B5">
            <w:pPr>
              <w:rPr>
                <w:rFonts w:ascii="Times New Roman" w:hAnsi="Times New Roman" w:cs="Times New Roman"/>
              </w:rPr>
            </w:pPr>
          </w:p>
        </w:tc>
        <w:tc>
          <w:tcPr>
            <w:tcW w:w="726" w:type="dxa"/>
            <w:tcBorders>
              <w:top w:val="single" w:sz="4" w:space="0" w:color="auto"/>
              <w:left w:val="nil"/>
              <w:bottom w:val="nil"/>
              <w:right w:val="nil"/>
            </w:tcBorders>
            <w:shd w:val="clear" w:color="auto" w:fill="auto"/>
            <w:noWrap/>
            <w:vAlign w:val="bottom"/>
            <w:hideMark/>
          </w:tcPr>
          <w:p w14:paraId="27BD20C9" w14:textId="77777777" w:rsidR="00AE3875" w:rsidRPr="00144822" w:rsidRDefault="00AE3875" w:rsidP="00EE32B5">
            <w:pPr>
              <w:rPr>
                <w:rFonts w:ascii="Times New Roman" w:hAnsi="Times New Roman" w:cs="Times New Roman"/>
              </w:rPr>
            </w:pPr>
          </w:p>
        </w:tc>
        <w:tc>
          <w:tcPr>
            <w:tcW w:w="1327" w:type="dxa"/>
            <w:tcBorders>
              <w:top w:val="single" w:sz="4" w:space="0" w:color="auto"/>
              <w:left w:val="nil"/>
              <w:bottom w:val="nil"/>
              <w:right w:val="nil"/>
            </w:tcBorders>
            <w:shd w:val="clear" w:color="auto" w:fill="auto"/>
            <w:noWrap/>
            <w:vAlign w:val="bottom"/>
            <w:hideMark/>
          </w:tcPr>
          <w:p w14:paraId="1D9F96C3" w14:textId="77777777" w:rsidR="00AE3875" w:rsidRPr="00144822" w:rsidRDefault="00AE3875" w:rsidP="00EE32B5">
            <w:pPr>
              <w:rPr>
                <w:rFonts w:ascii="Times New Roman" w:hAnsi="Times New Roman" w:cs="Times New Roman"/>
              </w:rPr>
            </w:pPr>
          </w:p>
        </w:tc>
        <w:tc>
          <w:tcPr>
            <w:tcW w:w="276" w:type="dxa"/>
            <w:tcBorders>
              <w:top w:val="single" w:sz="4" w:space="0" w:color="auto"/>
              <w:left w:val="nil"/>
              <w:bottom w:val="nil"/>
              <w:right w:val="nil"/>
            </w:tcBorders>
            <w:shd w:val="clear" w:color="auto" w:fill="auto"/>
            <w:noWrap/>
            <w:vAlign w:val="bottom"/>
            <w:hideMark/>
          </w:tcPr>
          <w:p w14:paraId="0E678538" w14:textId="77777777" w:rsidR="00AE3875" w:rsidRPr="00144822" w:rsidRDefault="00AE3875" w:rsidP="00EE32B5">
            <w:pPr>
              <w:rPr>
                <w:rFonts w:ascii="Times New Roman" w:hAnsi="Times New Roman" w:cs="Times New Roman"/>
              </w:rPr>
            </w:pPr>
          </w:p>
        </w:tc>
        <w:tc>
          <w:tcPr>
            <w:tcW w:w="1141" w:type="dxa"/>
            <w:tcBorders>
              <w:top w:val="single" w:sz="4" w:space="0" w:color="auto"/>
              <w:left w:val="nil"/>
              <w:bottom w:val="nil"/>
              <w:right w:val="nil"/>
            </w:tcBorders>
            <w:shd w:val="clear" w:color="auto" w:fill="auto"/>
            <w:noWrap/>
            <w:vAlign w:val="bottom"/>
            <w:hideMark/>
          </w:tcPr>
          <w:p w14:paraId="346E68AC" w14:textId="77777777" w:rsidR="00AE3875" w:rsidRPr="00144822" w:rsidRDefault="00AE3875" w:rsidP="00EE32B5">
            <w:pPr>
              <w:rPr>
                <w:rFonts w:ascii="Times New Roman" w:hAnsi="Times New Roman" w:cs="Times New Roman"/>
              </w:rPr>
            </w:pPr>
          </w:p>
        </w:tc>
        <w:tc>
          <w:tcPr>
            <w:tcW w:w="656" w:type="dxa"/>
            <w:tcBorders>
              <w:top w:val="single" w:sz="4" w:space="0" w:color="auto"/>
              <w:left w:val="nil"/>
              <w:bottom w:val="nil"/>
              <w:right w:val="nil"/>
            </w:tcBorders>
            <w:shd w:val="clear" w:color="auto" w:fill="auto"/>
            <w:noWrap/>
            <w:vAlign w:val="bottom"/>
            <w:hideMark/>
          </w:tcPr>
          <w:p w14:paraId="0AB25239" w14:textId="77777777" w:rsidR="00AE3875" w:rsidRPr="00144822" w:rsidRDefault="00AE3875" w:rsidP="00EE32B5">
            <w:pPr>
              <w:rPr>
                <w:rFonts w:ascii="Times New Roman" w:hAnsi="Times New Roman" w:cs="Times New Roman"/>
              </w:rPr>
            </w:pPr>
          </w:p>
        </w:tc>
        <w:tc>
          <w:tcPr>
            <w:tcW w:w="1315" w:type="dxa"/>
            <w:tcBorders>
              <w:top w:val="single" w:sz="4" w:space="0" w:color="auto"/>
              <w:left w:val="nil"/>
              <w:bottom w:val="nil"/>
              <w:right w:val="nil"/>
            </w:tcBorders>
            <w:shd w:val="clear" w:color="auto" w:fill="auto"/>
            <w:noWrap/>
            <w:vAlign w:val="bottom"/>
            <w:hideMark/>
          </w:tcPr>
          <w:p w14:paraId="76090FF9" w14:textId="77777777" w:rsidR="00AE3875" w:rsidRPr="00144822" w:rsidRDefault="00AE3875" w:rsidP="00EE32B5">
            <w:pPr>
              <w:rPr>
                <w:rFonts w:ascii="Times New Roman" w:hAnsi="Times New Roman" w:cs="Times New Roman"/>
              </w:rPr>
            </w:pPr>
          </w:p>
        </w:tc>
      </w:tr>
      <w:tr w:rsidR="00AE3875" w:rsidRPr="00144822" w14:paraId="4184B9D9" w14:textId="77777777" w:rsidTr="00EE32B5">
        <w:trPr>
          <w:trHeight w:val="320"/>
        </w:trPr>
        <w:tc>
          <w:tcPr>
            <w:tcW w:w="2742" w:type="dxa"/>
            <w:tcBorders>
              <w:top w:val="nil"/>
              <w:left w:val="nil"/>
              <w:bottom w:val="nil"/>
              <w:right w:val="nil"/>
            </w:tcBorders>
            <w:shd w:val="clear" w:color="auto" w:fill="auto"/>
            <w:noWrap/>
            <w:vAlign w:val="bottom"/>
            <w:hideMark/>
          </w:tcPr>
          <w:p w14:paraId="00A2B18F"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California</w:t>
            </w:r>
          </w:p>
        </w:tc>
        <w:tc>
          <w:tcPr>
            <w:tcW w:w="1177" w:type="dxa"/>
            <w:tcBorders>
              <w:top w:val="nil"/>
              <w:left w:val="nil"/>
              <w:bottom w:val="nil"/>
              <w:right w:val="nil"/>
            </w:tcBorders>
            <w:shd w:val="clear" w:color="auto" w:fill="auto"/>
            <w:noWrap/>
            <w:vAlign w:val="bottom"/>
            <w:hideMark/>
          </w:tcPr>
          <w:p w14:paraId="7C827158"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-1.35</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3343383A"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0.26</w:t>
            </w:r>
          </w:p>
        </w:tc>
        <w:tc>
          <w:tcPr>
            <w:tcW w:w="1327" w:type="dxa"/>
            <w:tcBorders>
              <w:top w:val="nil"/>
              <w:left w:val="nil"/>
              <w:bottom w:val="nil"/>
              <w:right w:val="nil"/>
            </w:tcBorders>
            <w:shd w:val="clear" w:color="auto" w:fill="auto"/>
            <w:noWrap/>
            <w:vAlign w:val="bottom"/>
            <w:hideMark/>
          </w:tcPr>
          <w:p w14:paraId="34D0E6CE"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0.25 - 0.27</w:t>
            </w:r>
          </w:p>
        </w:tc>
        <w:tc>
          <w:tcPr>
            <w:tcW w:w="276" w:type="dxa"/>
            <w:tcBorders>
              <w:top w:val="nil"/>
              <w:left w:val="nil"/>
              <w:bottom w:val="nil"/>
              <w:right w:val="nil"/>
            </w:tcBorders>
            <w:shd w:val="clear" w:color="auto" w:fill="auto"/>
            <w:noWrap/>
            <w:vAlign w:val="bottom"/>
            <w:hideMark/>
          </w:tcPr>
          <w:p w14:paraId="4D334F97"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44813D21"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-1.90</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2D12FCB2"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0.15</w:t>
            </w:r>
          </w:p>
        </w:tc>
        <w:tc>
          <w:tcPr>
            <w:tcW w:w="1315" w:type="dxa"/>
            <w:tcBorders>
              <w:top w:val="nil"/>
              <w:left w:val="nil"/>
              <w:bottom w:val="nil"/>
              <w:right w:val="nil"/>
            </w:tcBorders>
            <w:shd w:val="clear" w:color="auto" w:fill="auto"/>
            <w:noWrap/>
            <w:vAlign w:val="bottom"/>
            <w:hideMark/>
          </w:tcPr>
          <w:p w14:paraId="4C750D1C"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0.14 - 0.16</w:t>
            </w:r>
          </w:p>
        </w:tc>
      </w:tr>
      <w:tr w:rsidR="00AE3875" w:rsidRPr="00144822" w14:paraId="13A0FB0C" w14:textId="77777777" w:rsidTr="00EE32B5">
        <w:trPr>
          <w:trHeight w:val="320"/>
        </w:trPr>
        <w:tc>
          <w:tcPr>
            <w:tcW w:w="2742" w:type="dxa"/>
            <w:tcBorders>
              <w:top w:val="nil"/>
              <w:left w:val="nil"/>
              <w:bottom w:val="nil"/>
              <w:right w:val="nil"/>
            </w:tcBorders>
            <w:shd w:val="clear" w:color="auto" w:fill="auto"/>
            <w:noWrap/>
            <w:vAlign w:val="bottom"/>
            <w:hideMark/>
          </w:tcPr>
          <w:p w14:paraId="1BDA8909"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Georgia</w:t>
            </w:r>
          </w:p>
        </w:tc>
        <w:tc>
          <w:tcPr>
            <w:tcW w:w="1177" w:type="dxa"/>
            <w:tcBorders>
              <w:top w:val="nil"/>
              <w:left w:val="nil"/>
              <w:bottom w:val="nil"/>
              <w:right w:val="nil"/>
            </w:tcBorders>
            <w:shd w:val="clear" w:color="auto" w:fill="auto"/>
            <w:noWrap/>
            <w:vAlign w:val="bottom"/>
            <w:hideMark/>
          </w:tcPr>
          <w:p w14:paraId="29C7D186"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-1.23</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71BDBE72"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0.29</w:t>
            </w:r>
          </w:p>
        </w:tc>
        <w:tc>
          <w:tcPr>
            <w:tcW w:w="1327" w:type="dxa"/>
            <w:tcBorders>
              <w:top w:val="nil"/>
              <w:left w:val="nil"/>
              <w:bottom w:val="nil"/>
              <w:right w:val="nil"/>
            </w:tcBorders>
            <w:shd w:val="clear" w:color="auto" w:fill="auto"/>
            <w:noWrap/>
            <w:vAlign w:val="bottom"/>
            <w:hideMark/>
          </w:tcPr>
          <w:p w14:paraId="1740012B"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0.28 - 0.30</w:t>
            </w:r>
          </w:p>
        </w:tc>
        <w:tc>
          <w:tcPr>
            <w:tcW w:w="276" w:type="dxa"/>
            <w:tcBorders>
              <w:top w:val="nil"/>
              <w:left w:val="nil"/>
              <w:bottom w:val="nil"/>
              <w:right w:val="nil"/>
            </w:tcBorders>
            <w:shd w:val="clear" w:color="auto" w:fill="auto"/>
            <w:noWrap/>
            <w:vAlign w:val="bottom"/>
            <w:hideMark/>
          </w:tcPr>
          <w:p w14:paraId="0D799BE0"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0D5D9E45"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-1.77</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5B8D71E4"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0.17</w:t>
            </w:r>
          </w:p>
        </w:tc>
        <w:tc>
          <w:tcPr>
            <w:tcW w:w="1315" w:type="dxa"/>
            <w:tcBorders>
              <w:top w:val="nil"/>
              <w:left w:val="nil"/>
              <w:bottom w:val="nil"/>
              <w:right w:val="nil"/>
            </w:tcBorders>
            <w:shd w:val="clear" w:color="auto" w:fill="auto"/>
            <w:noWrap/>
            <w:vAlign w:val="bottom"/>
            <w:hideMark/>
          </w:tcPr>
          <w:p w14:paraId="5C5713D7"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0.16 - 0.18</w:t>
            </w:r>
          </w:p>
        </w:tc>
      </w:tr>
      <w:tr w:rsidR="00AE3875" w:rsidRPr="00144822" w14:paraId="1410908F" w14:textId="77777777" w:rsidTr="00EE32B5">
        <w:trPr>
          <w:trHeight w:val="320"/>
        </w:trPr>
        <w:tc>
          <w:tcPr>
            <w:tcW w:w="2742" w:type="dxa"/>
            <w:tcBorders>
              <w:top w:val="nil"/>
              <w:left w:val="nil"/>
              <w:bottom w:val="nil"/>
              <w:right w:val="nil"/>
            </w:tcBorders>
            <w:shd w:val="clear" w:color="auto" w:fill="auto"/>
            <w:noWrap/>
            <w:vAlign w:val="bottom"/>
            <w:hideMark/>
          </w:tcPr>
          <w:p w14:paraId="21CBA9F8"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Michigan</w:t>
            </w:r>
          </w:p>
        </w:tc>
        <w:tc>
          <w:tcPr>
            <w:tcW w:w="1177" w:type="dxa"/>
            <w:tcBorders>
              <w:top w:val="nil"/>
              <w:left w:val="nil"/>
              <w:bottom w:val="nil"/>
              <w:right w:val="nil"/>
            </w:tcBorders>
            <w:shd w:val="clear" w:color="auto" w:fill="auto"/>
            <w:noWrap/>
            <w:vAlign w:val="bottom"/>
            <w:hideMark/>
          </w:tcPr>
          <w:p w14:paraId="1D4441D3"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-1.32</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5E9DEE01"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0.27</w:t>
            </w:r>
          </w:p>
        </w:tc>
        <w:tc>
          <w:tcPr>
            <w:tcW w:w="1327" w:type="dxa"/>
            <w:tcBorders>
              <w:top w:val="nil"/>
              <w:left w:val="nil"/>
              <w:bottom w:val="nil"/>
              <w:right w:val="nil"/>
            </w:tcBorders>
            <w:shd w:val="clear" w:color="auto" w:fill="auto"/>
            <w:noWrap/>
            <w:vAlign w:val="bottom"/>
            <w:hideMark/>
          </w:tcPr>
          <w:p w14:paraId="6BC07899"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0.25 - 0.28</w:t>
            </w:r>
          </w:p>
        </w:tc>
        <w:tc>
          <w:tcPr>
            <w:tcW w:w="276" w:type="dxa"/>
            <w:tcBorders>
              <w:top w:val="nil"/>
              <w:left w:val="nil"/>
              <w:bottom w:val="nil"/>
              <w:right w:val="nil"/>
            </w:tcBorders>
            <w:shd w:val="clear" w:color="auto" w:fill="auto"/>
            <w:noWrap/>
            <w:vAlign w:val="bottom"/>
            <w:hideMark/>
          </w:tcPr>
          <w:p w14:paraId="51DF766C"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04CEFC5B"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-1.93</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13B3F0D9"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0.14</w:t>
            </w:r>
          </w:p>
        </w:tc>
        <w:tc>
          <w:tcPr>
            <w:tcW w:w="1315" w:type="dxa"/>
            <w:tcBorders>
              <w:top w:val="nil"/>
              <w:left w:val="nil"/>
              <w:bottom w:val="nil"/>
              <w:right w:val="nil"/>
            </w:tcBorders>
            <w:shd w:val="clear" w:color="auto" w:fill="auto"/>
            <w:noWrap/>
            <w:vAlign w:val="bottom"/>
            <w:hideMark/>
          </w:tcPr>
          <w:p w14:paraId="792B7ABD"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0.14 - 0.15</w:t>
            </w:r>
          </w:p>
        </w:tc>
      </w:tr>
      <w:tr w:rsidR="00AE3875" w:rsidRPr="00144822" w14:paraId="2907024E" w14:textId="77777777" w:rsidTr="00EE32B5">
        <w:trPr>
          <w:trHeight w:val="320"/>
        </w:trPr>
        <w:tc>
          <w:tcPr>
            <w:tcW w:w="2742" w:type="dxa"/>
            <w:tcBorders>
              <w:top w:val="nil"/>
              <w:left w:val="nil"/>
              <w:bottom w:val="nil"/>
              <w:right w:val="nil"/>
            </w:tcBorders>
            <w:shd w:val="clear" w:color="auto" w:fill="auto"/>
            <w:noWrap/>
            <w:vAlign w:val="bottom"/>
            <w:hideMark/>
          </w:tcPr>
          <w:p w14:paraId="5A868701"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Tennessee</w:t>
            </w:r>
          </w:p>
        </w:tc>
        <w:tc>
          <w:tcPr>
            <w:tcW w:w="1177" w:type="dxa"/>
            <w:tcBorders>
              <w:top w:val="nil"/>
              <w:left w:val="nil"/>
              <w:bottom w:val="nil"/>
              <w:right w:val="nil"/>
            </w:tcBorders>
            <w:shd w:val="clear" w:color="auto" w:fill="auto"/>
            <w:noWrap/>
            <w:vAlign w:val="bottom"/>
            <w:hideMark/>
          </w:tcPr>
          <w:p w14:paraId="75F60F05"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-1.37</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7BAB34F7"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0.25</w:t>
            </w:r>
          </w:p>
        </w:tc>
        <w:tc>
          <w:tcPr>
            <w:tcW w:w="1327" w:type="dxa"/>
            <w:tcBorders>
              <w:top w:val="nil"/>
              <w:left w:val="nil"/>
              <w:bottom w:val="nil"/>
              <w:right w:val="nil"/>
            </w:tcBorders>
            <w:shd w:val="clear" w:color="auto" w:fill="auto"/>
            <w:noWrap/>
            <w:vAlign w:val="bottom"/>
            <w:hideMark/>
          </w:tcPr>
          <w:p w14:paraId="721BD533"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0.24 - 0.27</w:t>
            </w:r>
          </w:p>
        </w:tc>
        <w:tc>
          <w:tcPr>
            <w:tcW w:w="276" w:type="dxa"/>
            <w:tcBorders>
              <w:top w:val="nil"/>
              <w:left w:val="nil"/>
              <w:bottom w:val="nil"/>
              <w:right w:val="nil"/>
            </w:tcBorders>
            <w:shd w:val="clear" w:color="auto" w:fill="auto"/>
            <w:noWrap/>
            <w:vAlign w:val="bottom"/>
            <w:hideMark/>
          </w:tcPr>
          <w:p w14:paraId="30CEEDE7"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0D8991CF"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-1.81</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71AB7256"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0.16</w:t>
            </w:r>
          </w:p>
        </w:tc>
        <w:tc>
          <w:tcPr>
            <w:tcW w:w="1315" w:type="dxa"/>
            <w:tcBorders>
              <w:top w:val="nil"/>
              <w:left w:val="nil"/>
              <w:bottom w:val="nil"/>
              <w:right w:val="nil"/>
            </w:tcBorders>
            <w:shd w:val="clear" w:color="auto" w:fill="auto"/>
            <w:noWrap/>
            <w:vAlign w:val="bottom"/>
            <w:hideMark/>
          </w:tcPr>
          <w:p w14:paraId="594E39AA"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0.15 - 0.18</w:t>
            </w:r>
          </w:p>
        </w:tc>
      </w:tr>
      <w:tr w:rsidR="00AE3875" w:rsidRPr="00144822" w14:paraId="0B3BD705" w14:textId="77777777" w:rsidTr="00EE32B5">
        <w:trPr>
          <w:trHeight w:val="320"/>
        </w:trPr>
        <w:tc>
          <w:tcPr>
            <w:tcW w:w="2742" w:type="dxa"/>
            <w:tcBorders>
              <w:top w:val="nil"/>
              <w:left w:val="nil"/>
              <w:bottom w:val="nil"/>
              <w:right w:val="nil"/>
            </w:tcBorders>
            <w:shd w:val="clear" w:color="auto" w:fill="auto"/>
            <w:noWrap/>
            <w:vAlign w:val="bottom"/>
            <w:hideMark/>
          </w:tcPr>
          <w:p w14:paraId="0CF0321F" w14:textId="77777777" w:rsidR="00AE3875" w:rsidRPr="009626B6" w:rsidRDefault="00AE3875" w:rsidP="00EE32B5">
            <w:pPr>
              <w:rPr>
                <w:rFonts w:ascii="Times New Roman" w:eastAsiaTheme="minorEastAsia" w:hAnsi="Times New Roman" w:cs="Times New Roman"/>
                <w:sz w:val="10"/>
                <w:szCs w:val="10"/>
              </w:rPr>
            </w:pPr>
          </w:p>
          <w:p w14:paraId="75BF832F" w14:textId="77777777" w:rsidR="00AE3875" w:rsidRPr="00144822" w:rsidRDefault="00AE3875" w:rsidP="00EE32B5">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Pr="00144822">
              <w:rPr>
                <w:rFonts w:ascii="Times New Roman" w:hAnsi="Times New Roman" w:cs="Times New Roman"/>
              </w:rPr>
              <w:t xml:space="preserve"> (</w:t>
            </w:r>
            <w:r>
              <w:rPr>
                <w:rFonts w:ascii="Times New Roman" w:hAnsi="Times New Roman" w:cs="Times New Roman"/>
              </w:rPr>
              <w:t>Before-COVID</w:t>
            </w:r>
            <w:r>
              <w:rPr>
                <w:rFonts w:ascii="Times New Roman" w:hAnsi="Times New Roman" w:cs="Times New Roman"/>
                <w:vertAlign w:val="superscript"/>
              </w:rPr>
              <w:t>1</w:t>
            </w:r>
            <w:r>
              <w:rPr>
                <w:rFonts w:ascii="Times New Roman" w:hAnsi="Times New Roman" w:cs="Times New Roman"/>
              </w:rPr>
              <w:t xml:space="preserve"> Utilization Slope</w:t>
            </w:r>
            <w:r w:rsidRPr="00144822">
              <w:rPr>
                <w:rFonts w:ascii="Times New Roman" w:hAnsi="Times New Roman" w:cs="Times New Roman"/>
              </w:rPr>
              <w:t>)</w:t>
            </w:r>
          </w:p>
        </w:tc>
        <w:tc>
          <w:tcPr>
            <w:tcW w:w="1177" w:type="dxa"/>
            <w:tcBorders>
              <w:top w:val="nil"/>
              <w:left w:val="nil"/>
              <w:bottom w:val="nil"/>
              <w:right w:val="nil"/>
            </w:tcBorders>
            <w:shd w:val="clear" w:color="auto" w:fill="auto"/>
            <w:noWrap/>
            <w:vAlign w:val="bottom"/>
            <w:hideMark/>
          </w:tcPr>
          <w:p w14:paraId="4F189D8E" w14:textId="77777777" w:rsidR="00AE3875" w:rsidRPr="00144822" w:rsidRDefault="00AE3875" w:rsidP="00EE32B5">
            <w:pPr>
              <w:tabs>
                <w:tab w:val="decimal" w:pos="220"/>
              </w:tabs>
              <w:rPr>
                <w:rFonts w:ascii="Times New Roman" w:hAnsi="Times New Roman" w:cs="Times New Roman"/>
              </w:rPr>
            </w:pPr>
          </w:p>
        </w:tc>
        <w:tc>
          <w:tcPr>
            <w:tcW w:w="726" w:type="dxa"/>
            <w:tcBorders>
              <w:top w:val="nil"/>
              <w:left w:val="nil"/>
              <w:bottom w:val="nil"/>
              <w:right w:val="nil"/>
            </w:tcBorders>
            <w:shd w:val="clear" w:color="auto" w:fill="auto"/>
            <w:noWrap/>
            <w:vAlign w:val="bottom"/>
            <w:hideMark/>
          </w:tcPr>
          <w:p w14:paraId="7E61379C" w14:textId="77777777" w:rsidR="00AE3875" w:rsidRPr="00144822" w:rsidRDefault="00AE3875" w:rsidP="00EE32B5">
            <w:pPr>
              <w:tabs>
                <w:tab w:val="decimal" w:pos="210"/>
              </w:tabs>
              <w:rPr>
                <w:rFonts w:ascii="Times New Roman" w:hAnsi="Times New Roman" w:cs="Times New Roman"/>
              </w:rPr>
            </w:pPr>
          </w:p>
        </w:tc>
        <w:tc>
          <w:tcPr>
            <w:tcW w:w="1327" w:type="dxa"/>
            <w:tcBorders>
              <w:top w:val="nil"/>
              <w:left w:val="nil"/>
              <w:bottom w:val="nil"/>
              <w:right w:val="nil"/>
            </w:tcBorders>
            <w:shd w:val="clear" w:color="auto" w:fill="auto"/>
            <w:noWrap/>
            <w:vAlign w:val="bottom"/>
            <w:hideMark/>
          </w:tcPr>
          <w:p w14:paraId="729F5281" w14:textId="77777777" w:rsidR="00AE3875" w:rsidRPr="00144822" w:rsidRDefault="00AE3875" w:rsidP="00EE32B5">
            <w:pPr>
              <w:rPr>
                <w:rFonts w:ascii="Times New Roman" w:hAnsi="Times New Roman" w:cs="Times New Roman"/>
              </w:rPr>
            </w:pPr>
          </w:p>
        </w:tc>
        <w:tc>
          <w:tcPr>
            <w:tcW w:w="276" w:type="dxa"/>
            <w:tcBorders>
              <w:top w:val="nil"/>
              <w:left w:val="nil"/>
              <w:bottom w:val="nil"/>
              <w:right w:val="nil"/>
            </w:tcBorders>
            <w:shd w:val="clear" w:color="auto" w:fill="auto"/>
            <w:noWrap/>
            <w:vAlign w:val="bottom"/>
            <w:hideMark/>
          </w:tcPr>
          <w:p w14:paraId="652D225C"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0F8C1B3C" w14:textId="77777777" w:rsidR="00AE3875" w:rsidRPr="00144822" w:rsidRDefault="00AE3875" w:rsidP="00EE32B5">
            <w:pPr>
              <w:tabs>
                <w:tab w:val="decimal" w:pos="199"/>
              </w:tabs>
              <w:rPr>
                <w:rFonts w:ascii="Times New Roman" w:hAnsi="Times New Roman" w:cs="Times New Roman"/>
              </w:rPr>
            </w:pPr>
          </w:p>
        </w:tc>
        <w:tc>
          <w:tcPr>
            <w:tcW w:w="656" w:type="dxa"/>
            <w:tcBorders>
              <w:top w:val="nil"/>
              <w:left w:val="nil"/>
              <w:bottom w:val="nil"/>
              <w:right w:val="nil"/>
            </w:tcBorders>
            <w:shd w:val="clear" w:color="auto" w:fill="auto"/>
            <w:noWrap/>
            <w:vAlign w:val="bottom"/>
            <w:hideMark/>
          </w:tcPr>
          <w:p w14:paraId="0CFD9149" w14:textId="77777777" w:rsidR="00AE3875" w:rsidRPr="00144822" w:rsidRDefault="00AE3875" w:rsidP="00EE32B5">
            <w:pPr>
              <w:tabs>
                <w:tab w:val="decimal" w:pos="132"/>
              </w:tabs>
              <w:rPr>
                <w:rFonts w:ascii="Times New Roman" w:hAnsi="Times New Roman" w:cs="Times New Roman"/>
              </w:rPr>
            </w:pPr>
          </w:p>
        </w:tc>
        <w:tc>
          <w:tcPr>
            <w:tcW w:w="1315" w:type="dxa"/>
            <w:tcBorders>
              <w:top w:val="nil"/>
              <w:left w:val="nil"/>
              <w:bottom w:val="nil"/>
              <w:right w:val="nil"/>
            </w:tcBorders>
            <w:shd w:val="clear" w:color="auto" w:fill="auto"/>
            <w:noWrap/>
            <w:vAlign w:val="bottom"/>
            <w:hideMark/>
          </w:tcPr>
          <w:p w14:paraId="76BB51BE" w14:textId="77777777" w:rsidR="00AE3875" w:rsidRPr="00144822" w:rsidRDefault="00AE3875" w:rsidP="00EE32B5">
            <w:pPr>
              <w:rPr>
                <w:rFonts w:ascii="Times New Roman" w:hAnsi="Times New Roman" w:cs="Times New Roman"/>
              </w:rPr>
            </w:pPr>
          </w:p>
        </w:tc>
      </w:tr>
      <w:tr w:rsidR="00AE3875" w:rsidRPr="00144822" w14:paraId="490F5AB1" w14:textId="77777777" w:rsidTr="00EE32B5">
        <w:trPr>
          <w:trHeight w:val="320"/>
        </w:trPr>
        <w:tc>
          <w:tcPr>
            <w:tcW w:w="2742" w:type="dxa"/>
            <w:tcBorders>
              <w:top w:val="nil"/>
              <w:left w:val="nil"/>
              <w:bottom w:val="nil"/>
              <w:right w:val="nil"/>
            </w:tcBorders>
            <w:shd w:val="clear" w:color="auto" w:fill="auto"/>
            <w:noWrap/>
            <w:vAlign w:val="bottom"/>
            <w:hideMark/>
          </w:tcPr>
          <w:p w14:paraId="11B48B00"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California</w:t>
            </w:r>
          </w:p>
        </w:tc>
        <w:tc>
          <w:tcPr>
            <w:tcW w:w="1177" w:type="dxa"/>
            <w:tcBorders>
              <w:top w:val="nil"/>
              <w:left w:val="nil"/>
              <w:bottom w:val="nil"/>
              <w:right w:val="nil"/>
            </w:tcBorders>
            <w:shd w:val="clear" w:color="auto" w:fill="auto"/>
            <w:noWrap/>
            <w:vAlign w:val="bottom"/>
            <w:hideMark/>
          </w:tcPr>
          <w:p w14:paraId="56452A9B"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0.00</w:t>
            </w:r>
          </w:p>
        </w:tc>
        <w:tc>
          <w:tcPr>
            <w:tcW w:w="726" w:type="dxa"/>
            <w:tcBorders>
              <w:top w:val="nil"/>
              <w:left w:val="nil"/>
              <w:bottom w:val="nil"/>
              <w:right w:val="nil"/>
            </w:tcBorders>
            <w:shd w:val="clear" w:color="auto" w:fill="auto"/>
            <w:noWrap/>
            <w:vAlign w:val="bottom"/>
            <w:hideMark/>
          </w:tcPr>
          <w:p w14:paraId="36807193"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1.00</w:t>
            </w:r>
          </w:p>
        </w:tc>
        <w:tc>
          <w:tcPr>
            <w:tcW w:w="1327" w:type="dxa"/>
            <w:tcBorders>
              <w:top w:val="nil"/>
              <w:left w:val="nil"/>
              <w:bottom w:val="nil"/>
              <w:right w:val="nil"/>
            </w:tcBorders>
            <w:shd w:val="clear" w:color="auto" w:fill="auto"/>
            <w:noWrap/>
            <w:vAlign w:val="bottom"/>
            <w:hideMark/>
          </w:tcPr>
          <w:p w14:paraId="7891D224"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1.00 - 1.01</w:t>
            </w:r>
          </w:p>
        </w:tc>
        <w:tc>
          <w:tcPr>
            <w:tcW w:w="276" w:type="dxa"/>
            <w:tcBorders>
              <w:top w:val="nil"/>
              <w:left w:val="nil"/>
              <w:bottom w:val="nil"/>
              <w:right w:val="nil"/>
            </w:tcBorders>
            <w:shd w:val="clear" w:color="auto" w:fill="auto"/>
            <w:noWrap/>
            <w:vAlign w:val="bottom"/>
            <w:hideMark/>
          </w:tcPr>
          <w:p w14:paraId="0D37A2B2"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2A6944A2"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0.00</w:t>
            </w:r>
          </w:p>
        </w:tc>
        <w:tc>
          <w:tcPr>
            <w:tcW w:w="656" w:type="dxa"/>
            <w:tcBorders>
              <w:top w:val="nil"/>
              <w:left w:val="nil"/>
              <w:bottom w:val="nil"/>
              <w:right w:val="nil"/>
            </w:tcBorders>
            <w:shd w:val="clear" w:color="auto" w:fill="auto"/>
            <w:noWrap/>
            <w:vAlign w:val="bottom"/>
            <w:hideMark/>
          </w:tcPr>
          <w:p w14:paraId="237AB6A5"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1.00</w:t>
            </w:r>
          </w:p>
        </w:tc>
        <w:tc>
          <w:tcPr>
            <w:tcW w:w="1315" w:type="dxa"/>
            <w:tcBorders>
              <w:top w:val="nil"/>
              <w:left w:val="nil"/>
              <w:bottom w:val="nil"/>
              <w:right w:val="nil"/>
            </w:tcBorders>
            <w:shd w:val="clear" w:color="auto" w:fill="auto"/>
            <w:noWrap/>
            <w:vAlign w:val="bottom"/>
            <w:hideMark/>
          </w:tcPr>
          <w:p w14:paraId="35BDAFD5"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0.99 - 1.00</w:t>
            </w:r>
          </w:p>
        </w:tc>
      </w:tr>
      <w:tr w:rsidR="00AE3875" w:rsidRPr="00144822" w14:paraId="78E48404" w14:textId="77777777" w:rsidTr="00EE32B5">
        <w:trPr>
          <w:trHeight w:val="320"/>
        </w:trPr>
        <w:tc>
          <w:tcPr>
            <w:tcW w:w="2742" w:type="dxa"/>
            <w:tcBorders>
              <w:top w:val="nil"/>
              <w:left w:val="nil"/>
              <w:bottom w:val="nil"/>
              <w:right w:val="nil"/>
            </w:tcBorders>
            <w:shd w:val="clear" w:color="auto" w:fill="auto"/>
            <w:noWrap/>
            <w:vAlign w:val="bottom"/>
            <w:hideMark/>
          </w:tcPr>
          <w:p w14:paraId="6D1709BF"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Georgia</w:t>
            </w:r>
          </w:p>
        </w:tc>
        <w:tc>
          <w:tcPr>
            <w:tcW w:w="1177" w:type="dxa"/>
            <w:tcBorders>
              <w:top w:val="nil"/>
              <w:left w:val="nil"/>
              <w:bottom w:val="nil"/>
              <w:right w:val="nil"/>
            </w:tcBorders>
            <w:shd w:val="clear" w:color="auto" w:fill="auto"/>
            <w:noWrap/>
            <w:vAlign w:val="bottom"/>
            <w:hideMark/>
          </w:tcPr>
          <w:p w14:paraId="27DDCF3C"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0.00</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03640B8A"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1.00</w:t>
            </w:r>
          </w:p>
        </w:tc>
        <w:tc>
          <w:tcPr>
            <w:tcW w:w="1327" w:type="dxa"/>
            <w:tcBorders>
              <w:top w:val="nil"/>
              <w:left w:val="nil"/>
              <w:bottom w:val="nil"/>
              <w:right w:val="nil"/>
            </w:tcBorders>
            <w:shd w:val="clear" w:color="auto" w:fill="auto"/>
            <w:noWrap/>
            <w:vAlign w:val="bottom"/>
            <w:hideMark/>
          </w:tcPr>
          <w:p w14:paraId="301B5F56"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0.99 - 1.00</w:t>
            </w:r>
          </w:p>
        </w:tc>
        <w:tc>
          <w:tcPr>
            <w:tcW w:w="276" w:type="dxa"/>
            <w:tcBorders>
              <w:top w:val="nil"/>
              <w:left w:val="nil"/>
              <w:bottom w:val="nil"/>
              <w:right w:val="nil"/>
            </w:tcBorders>
            <w:shd w:val="clear" w:color="auto" w:fill="auto"/>
            <w:noWrap/>
            <w:vAlign w:val="bottom"/>
            <w:hideMark/>
          </w:tcPr>
          <w:p w14:paraId="2525348B"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1F5D8B38"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-0.01</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62B2AB33"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0.99</w:t>
            </w:r>
          </w:p>
        </w:tc>
        <w:tc>
          <w:tcPr>
            <w:tcW w:w="1315" w:type="dxa"/>
            <w:tcBorders>
              <w:top w:val="nil"/>
              <w:left w:val="nil"/>
              <w:bottom w:val="nil"/>
              <w:right w:val="nil"/>
            </w:tcBorders>
            <w:shd w:val="clear" w:color="auto" w:fill="auto"/>
            <w:noWrap/>
            <w:vAlign w:val="bottom"/>
            <w:hideMark/>
          </w:tcPr>
          <w:p w14:paraId="7B5EA4C8"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0.99 - 1.00</w:t>
            </w:r>
          </w:p>
        </w:tc>
      </w:tr>
      <w:tr w:rsidR="00AE3875" w:rsidRPr="00144822" w14:paraId="6EFECEDF" w14:textId="77777777" w:rsidTr="00EE32B5">
        <w:trPr>
          <w:trHeight w:val="320"/>
        </w:trPr>
        <w:tc>
          <w:tcPr>
            <w:tcW w:w="2742" w:type="dxa"/>
            <w:tcBorders>
              <w:top w:val="nil"/>
              <w:left w:val="nil"/>
              <w:bottom w:val="nil"/>
              <w:right w:val="nil"/>
            </w:tcBorders>
            <w:shd w:val="clear" w:color="auto" w:fill="auto"/>
            <w:noWrap/>
            <w:vAlign w:val="bottom"/>
            <w:hideMark/>
          </w:tcPr>
          <w:p w14:paraId="71A974ED"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Michigan</w:t>
            </w:r>
          </w:p>
        </w:tc>
        <w:tc>
          <w:tcPr>
            <w:tcW w:w="1177" w:type="dxa"/>
            <w:tcBorders>
              <w:top w:val="nil"/>
              <w:left w:val="nil"/>
              <w:bottom w:val="nil"/>
              <w:right w:val="nil"/>
            </w:tcBorders>
            <w:shd w:val="clear" w:color="auto" w:fill="auto"/>
            <w:noWrap/>
            <w:vAlign w:val="bottom"/>
            <w:hideMark/>
          </w:tcPr>
          <w:p w14:paraId="0CF7A276"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0.00</w:t>
            </w:r>
          </w:p>
        </w:tc>
        <w:tc>
          <w:tcPr>
            <w:tcW w:w="726" w:type="dxa"/>
            <w:tcBorders>
              <w:top w:val="nil"/>
              <w:left w:val="nil"/>
              <w:bottom w:val="nil"/>
              <w:right w:val="nil"/>
            </w:tcBorders>
            <w:shd w:val="clear" w:color="auto" w:fill="auto"/>
            <w:noWrap/>
            <w:vAlign w:val="bottom"/>
            <w:hideMark/>
          </w:tcPr>
          <w:p w14:paraId="13202DCF"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1.00</w:t>
            </w:r>
          </w:p>
        </w:tc>
        <w:tc>
          <w:tcPr>
            <w:tcW w:w="1327" w:type="dxa"/>
            <w:tcBorders>
              <w:top w:val="nil"/>
              <w:left w:val="nil"/>
              <w:bottom w:val="nil"/>
              <w:right w:val="nil"/>
            </w:tcBorders>
            <w:shd w:val="clear" w:color="auto" w:fill="auto"/>
            <w:noWrap/>
            <w:vAlign w:val="bottom"/>
            <w:hideMark/>
          </w:tcPr>
          <w:p w14:paraId="548A26BB"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1.00 - 1.01</w:t>
            </w:r>
          </w:p>
        </w:tc>
        <w:tc>
          <w:tcPr>
            <w:tcW w:w="276" w:type="dxa"/>
            <w:tcBorders>
              <w:top w:val="nil"/>
              <w:left w:val="nil"/>
              <w:bottom w:val="nil"/>
              <w:right w:val="nil"/>
            </w:tcBorders>
            <w:shd w:val="clear" w:color="auto" w:fill="auto"/>
            <w:noWrap/>
            <w:vAlign w:val="bottom"/>
            <w:hideMark/>
          </w:tcPr>
          <w:p w14:paraId="52FCA72E"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41A661FC"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0.00</w:t>
            </w:r>
          </w:p>
        </w:tc>
        <w:tc>
          <w:tcPr>
            <w:tcW w:w="656" w:type="dxa"/>
            <w:tcBorders>
              <w:top w:val="nil"/>
              <w:left w:val="nil"/>
              <w:bottom w:val="nil"/>
              <w:right w:val="nil"/>
            </w:tcBorders>
            <w:shd w:val="clear" w:color="auto" w:fill="auto"/>
            <w:noWrap/>
            <w:vAlign w:val="bottom"/>
            <w:hideMark/>
          </w:tcPr>
          <w:p w14:paraId="2709C4F5"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1.00</w:t>
            </w:r>
          </w:p>
        </w:tc>
        <w:tc>
          <w:tcPr>
            <w:tcW w:w="1315" w:type="dxa"/>
            <w:tcBorders>
              <w:top w:val="nil"/>
              <w:left w:val="nil"/>
              <w:bottom w:val="nil"/>
              <w:right w:val="nil"/>
            </w:tcBorders>
            <w:shd w:val="clear" w:color="auto" w:fill="auto"/>
            <w:noWrap/>
            <w:vAlign w:val="bottom"/>
            <w:hideMark/>
          </w:tcPr>
          <w:p w14:paraId="3CD5BEA0"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1.00 -</w:t>
            </w:r>
            <w:r>
              <w:rPr>
                <w:rFonts w:ascii="Times New Roman" w:hAnsi="Times New Roman" w:cs="Times New Roman"/>
              </w:rPr>
              <w:t xml:space="preserve"> </w:t>
            </w:r>
            <w:r w:rsidRPr="00144822">
              <w:rPr>
                <w:rFonts w:ascii="Times New Roman" w:hAnsi="Times New Roman" w:cs="Times New Roman"/>
              </w:rPr>
              <w:t>1.01</w:t>
            </w:r>
          </w:p>
        </w:tc>
      </w:tr>
      <w:tr w:rsidR="00AE3875" w:rsidRPr="00144822" w14:paraId="69846522" w14:textId="77777777" w:rsidTr="00EE32B5">
        <w:trPr>
          <w:trHeight w:val="320"/>
        </w:trPr>
        <w:tc>
          <w:tcPr>
            <w:tcW w:w="2742" w:type="dxa"/>
            <w:tcBorders>
              <w:top w:val="nil"/>
              <w:left w:val="nil"/>
              <w:bottom w:val="nil"/>
              <w:right w:val="nil"/>
            </w:tcBorders>
            <w:shd w:val="clear" w:color="auto" w:fill="auto"/>
            <w:noWrap/>
            <w:vAlign w:val="bottom"/>
            <w:hideMark/>
          </w:tcPr>
          <w:p w14:paraId="40533D8B"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Tennessee</w:t>
            </w:r>
          </w:p>
        </w:tc>
        <w:tc>
          <w:tcPr>
            <w:tcW w:w="1177" w:type="dxa"/>
            <w:tcBorders>
              <w:top w:val="nil"/>
              <w:left w:val="nil"/>
              <w:bottom w:val="nil"/>
              <w:right w:val="nil"/>
            </w:tcBorders>
            <w:shd w:val="clear" w:color="auto" w:fill="auto"/>
            <w:noWrap/>
            <w:vAlign w:val="bottom"/>
            <w:hideMark/>
          </w:tcPr>
          <w:p w14:paraId="546CD323"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-0.01</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6DECD727"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0.99</w:t>
            </w:r>
          </w:p>
        </w:tc>
        <w:tc>
          <w:tcPr>
            <w:tcW w:w="1327" w:type="dxa"/>
            <w:tcBorders>
              <w:top w:val="nil"/>
              <w:left w:val="nil"/>
              <w:bottom w:val="nil"/>
              <w:right w:val="nil"/>
            </w:tcBorders>
            <w:shd w:val="clear" w:color="auto" w:fill="auto"/>
            <w:noWrap/>
            <w:vAlign w:val="bottom"/>
            <w:hideMark/>
          </w:tcPr>
          <w:p w14:paraId="3206F385"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0.99 - 1.00</w:t>
            </w:r>
          </w:p>
        </w:tc>
        <w:tc>
          <w:tcPr>
            <w:tcW w:w="276" w:type="dxa"/>
            <w:tcBorders>
              <w:top w:val="nil"/>
              <w:left w:val="nil"/>
              <w:bottom w:val="nil"/>
              <w:right w:val="nil"/>
            </w:tcBorders>
            <w:shd w:val="clear" w:color="auto" w:fill="auto"/>
            <w:noWrap/>
            <w:vAlign w:val="bottom"/>
            <w:hideMark/>
          </w:tcPr>
          <w:p w14:paraId="4FB91500"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0A67791F"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-0.01</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3E9E3EC1"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0.99</w:t>
            </w:r>
          </w:p>
        </w:tc>
        <w:tc>
          <w:tcPr>
            <w:tcW w:w="1315" w:type="dxa"/>
            <w:tcBorders>
              <w:top w:val="nil"/>
              <w:left w:val="nil"/>
              <w:bottom w:val="nil"/>
              <w:right w:val="nil"/>
            </w:tcBorders>
            <w:shd w:val="clear" w:color="auto" w:fill="auto"/>
            <w:noWrap/>
            <w:vAlign w:val="bottom"/>
            <w:hideMark/>
          </w:tcPr>
          <w:p w14:paraId="57DA3732"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0.98 - 1.00</w:t>
            </w:r>
          </w:p>
        </w:tc>
      </w:tr>
      <w:tr w:rsidR="00AE3875" w:rsidRPr="00144822" w14:paraId="4CD84CAE" w14:textId="77777777" w:rsidTr="00EE32B5">
        <w:trPr>
          <w:trHeight w:val="320"/>
        </w:trPr>
        <w:tc>
          <w:tcPr>
            <w:tcW w:w="2742" w:type="dxa"/>
            <w:tcBorders>
              <w:top w:val="nil"/>
              <w:left w:val="nil"/>
              <w:bottom w:val="nil"/>
              <w:right w:val="nil"/>
            </w:tcBorders>
            <w:shd w:val="clear" w:color="auto" w:fill="auto"/>
            <w:noWrap/>
            <w:vAlign w:val="bottom"/>
            <w:hideMark/>
          </w:tcPr>
          <w:p w14:paraId="1728BFBE" w14:textId="77777777" w:rsidR="00AE3875" w:rsidRPr="009626B6" w:rsidRDefault="00AE3875" w:rsidP="00EE32B5">
            <w:pPr>
              <w:rPr>
                <w:rFonts w:ascii="Times New Roman" w:eastAsiaTheme="minorEastAsia" w:hAnsi="Times New Roman" w:cs="Times New Roman"/>
                <w:sz w:val="10"/>
                <w:szCs w:val="10"/>
              </w:rPr>
            </w:pPr>
          </w:p>
          <w:p w14:paraId="11508F34" w14:textId="77777777" w:rsidR="00AE3875" w:rsidRPr="00144822" w:rsidRDefault="00AE3875" w:rsidP="00EE32B5">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oMath>
            <w:r w:rsidRPr="00144822">
              <w:rPr>
                <w:rFonts w:ascii="Times New Roman" w:hAnsi="Times New Roman" w:cs="Times New Roman"/>
              </w:rPr>
              <w:t xml:space="preserve"> (COVID Level Change)</w:t>
            </w:r>
          </w:p>
        </w:tc>
        <w:tc>
          <w:tcPr>
            <w:tcW w:w="1177" w:type="dxa"/>
            <w:tcBorders>
              <w:top w:val="nil"/>
              <w:left w:val="nil"/>
              <w:bottom w:val="nil"/>
              <w:right w:val="nil"/>
            </w:tcBorders>
            <w:shd w:val="clear" w:color="auto" w:fill="auto"/>
            <w:noWrap/>
            <w:vAlign w:val="bottom"/>
            <w:hideMark/>
          </w:tcPr>
          <w:p w14:paraId="5A9273B0" w14:textId="77777777" w:rsidR="00AE3875" w:rsidRPr="00144822" w:rsidRDefault="00AE3875" w:rsidP="00EE32B5">
            <w:pPr>
              <w:tabs>
                <w:tab w:val="decimal" w:pos="220"/>
              </w:tabs>
              <w:rPr>
                <w:rFonts w:ascii="Times New Roman" w:hAnsi="Times New Roman" w:cs="Times New Roman"/>
              </w:rPr>
            </w:pPr>
          </w:p>
        </w:tc>
        <w:tc>
          <w:tcPr>
            <w:tcW w:w="726" w:type="dxa"/>
            <w:tcBorders>
              <w:top w:val="nil"/>
              <w:left w:val="nil"/>
              <w:bottom w:val="nil"/>
              <w:right w:val="nil"/>
            </w:tcBorders>
            <w:shd w:val="clear" w:color="auto" w:fill="auto"/>
            <w:noWrap/>
            <w:vAlign w:val="bottom"/>
            <w:hideMark/>
          </w:tcPr>
          <w:p w14:paraId="3F6D10D0" w14:textId="77777777" w:rsidR="00AE3875" w:rsidRPr="00144822" w:rsidRDefault="00AE3875" w:rsidP="00EE32B5">
            <w:pPr>
              <w:tabs>
                <w:tab w:val="decimal" w:pos="210"/>
              </w:tabs>
              <w:rPr>
                <w:rFonts w:ascii="Times New Roman" w:hAnsi="Times New Roman" w:cs="Times New Roman"/>
              </w:rPr>
            </w:pPr>
          </w:p>
        </w:tc>
        <w:tc>
          <w:tcPr>
            <w:tcW w:w="1327" w:type="dxa"/>
            <w:tcBorders>
              <w:top w:val="nil"/>
              <w:left w:val="nil"/>
              <w:bottom w:val="nil"/>
              <w:right w:val="nil"/>
            </w:tcBorders>
            <w:shd w:val="clear" w:color="auto" w:fill="auto"/>
            <w:noWrap/>
            <w:vAlign w:val="bottom"/>
            <w:hideMark/>
          </w:tcPr>
          <w:p w14:paraId="562AC84A" w14:textId="77777777" w:rsidR="00AE3875" w:rsidRPr="00144822" w:rsidRDefault="00AE3875" w:rsidP="00EE32B5">
            <w:pPr>
              <w:rPr>
                <w:rFonts w:ascii="Times New Roman" w:hAnsi="Times New Roman" w:cs="Times New Roman"/>
              </w:rPr>
            </w:pPr>
          </w:p>
        </w:tc>
        <w:tc>
          <w:tcPr>
            <w:tcW w:w="276" w:type="dxa"/>
            <w:tcBorders>
              <w:top w:val="nil"/>
              <w:left w:val="nil"/>
              <w:bottom w:val="nil"/>
              <w:right w:val="nil"/>
            </w:tcBorders>
            <w:shd w:val="clear" w:color="auto" w:fill="auto"/>
            <w:noWrap/>
            <w:vAlign w:val="bottom"/>
            <w:hideMark/>
          </w:tcPr>
          <w:p w14:paraId="425298B9"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75B9C2E0" w14:textId="77777777" w:rsidR="00AE3875" w:rsidRPr="00144822" w:rsidRDefault="00AE3875" w:rsidP="00EE32B5">
            <w:pPr>
              <w:tabs>
                <w:tab w:val="decimal" w:pos="199"/>
              </w:tabs>
              <w:rPr>
                <w:rFonts w:ascii="Times New Roman" w:hAnsi="Times New Roman" w:cs="Times New Roman"/>
              </w:rPr>
            </w:pPr>
          </w:p>
        </w:tc>
        <w:tc>
          <w:tcPr>
            <w:tcW w:w="656" w:type="dxa"/>
            <w:tcBorders>
              <w:top w:val="nil"/>
              <w:left w:val="nil"/>
              <w:bottom w:val="nil"/>
              <w:right w:val="nil"/>
            </w:tcBorders>
            <w:shd w:val="clear" w:color="auto" w:fill="auto"/>
            <w:noWrap/>
            <w:vAlign w:val="bottom"/>
            <w:hideMark/>
          </w:tcPr>
          <w:p w14:paraId="72760B20" w14:textId="77777777" w:rsidR="00AE3875" w:rsidRPr="00144822" w:rsidRDefault="00AE3875" w:rsidP="00EE32B5">
            <w:pPr>
              <w:tabs>
                <w:tab w:val="decimal" w:pos="132"/>
              </w:tabs>
              <w:rPr>
                <w:rFonts w:ascii="Times New Roman" w:hAnsi="Times New Roman" w:cs="Times New Roman"/>
              </w:rPr>
            </w:pPr>
          </w:p>
        </w:tc>
        <w:tc>
          <w:tcPr>
            <w:tcW w:w="1315" w:type="dxa"/>
            <w:tcBorders>
              <w:top w:val="nil"/>
              <w:left w:val="nil"/>
              <w:bottom w:val="nil"/>
              <w:right w:val="nil"/>
            </w:tcBorders>
            <w:shd w:val="clear" w:color="auto" w:fill="auto"/>
            <w:noWrap/>
            <w:vAlign w:val="bottom"/>
            <w:hideMark/>
          </w:tcPr>
          <w:p w14:paraId="3595BF4A" w14:textId="77777777" w:rsidR="00AE3875" w:rsidRPr="00144822" w:rsidRDefault="00AE3875" w:rsidP="00EE32B5">
            <w:pPr>
              <w:rPr>
                <w:rFonts w:ascii="Times New Roman" w:hAnsi="Times New Roman" w:cs="Times New Roman"/>
              </w:rPr>
            </w:pPr>
          </w:p>
        </w:tc>
      </w:tr>
      <w:tr w:rsidR="00AE3875" w:rsidRPr="00144822" w14:paraId="203F7F22" w14:textId="77777777" w:rsidTr="00EE32B5">
        <w:trPr>
          <w:trHeight w:val="320"/>
        </w:trPr>
        <w:tc>
          <w:tcPr>
            <w:tcW w:w="2742" w:type="dxa"/>
            <w:tcBorders>
              <w:top w:val="nil"/>
              <w:left w:val="nil"/>
              <w:bottom w:val="nil"/>
              <w:right w:val="nil"/>
            </w:tcBorders>
            <w:shd w:val="clear" w:color="auto" w:fill="auto"/>
            <w:noWrap/>
            <w:vAlign w:val="bottom"/>
            <w:hideMark/>
          </w:tcPr>
          <w:p w14:paraId="21027E0A"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California</w:t>
            </w:r>
          </w:p>
        </w:tc>
        <w:tc>
          <w:tcPr>
            <w:tcW w:w="1177" w:type="dxa"/>
            <w:tcBorders>
              <w:top w:val="nil"/>
              <w:left w:val="nil"/>
              <w:bottom w:val="nil"/>
              <w:right w:val="nil"/>
            </w:tcBorders>
            <w:shd w:val="clear" w:color="auto" w:fill="auto"/>
            <w:noWrap/>
            <w:vAlign w:val="bottom"/>
            <w:hideMark/>
          </w:tcPr>
          <w:p w14:paraId="77A9FC67" w14:textId="77777777" w:rsidR="00AE3875" w:rsidRPr="00144822" w:rsidRDefault="00AE3875" w:rsidP="00EE32B5">
            <w:pPr>
              <w:tabs>
                <w:tab w:val="decimal" w:pos="220"/>
              </w:tabs>
              <w:rPr>
                <w:rFonts w:ascii="Times New Roman" w:hAnsi="Times New Roman" w:cs="Times New Roman"/>
              </w:rPr>
            </w:pPr>
            <w:r>
              <w:rPr>
                <w:rFonts w:ascii="Times New Roman" w:hAnsi="Times New Roman" w:cs="Times New Roman"/>
              </w:rPr>
              <w:t>-0.11*</w:t>
            </w:r>
          </w:p>
        </w:tc>
        <w:tc>
          <w:tcPr>
            <w:tcW w:w="726" w:type="dxa"/>
            <w:tcBorders>
              <w:top w:val="nil"/>
              <w:left w:val="nil"/>
              <w:bottom w:val="nil"/>
              <w:right w:val="nil"/>
            </w:tcBorders>
            <w:shd w:val="clear" w:color="auto" w:fill="auto"/>
            <w:noWrap/>
            <w:vAlign w:val="bottom"/>
            <w:hideMark/>
          </w:tcPr>
          <w:p w14:paraId="4F44F327" w14:textId="77777777" w:rsidR="00AE3875" w:rsidRPr="00144822" w:rsidRDefault="00AE3875" w:rsidP="00EE32B5">
            <w:pPr>
              <w:tabs>
                <w:tab w:val="decimal" w:pos="210"/>
              </w:tabs>
              <w:rPr>
                <w:rFonts w:ascii="Times New Roman" w:hAnsi="Times New Roman" w:cs="Times New Roman"/>
              </w:rPr>
            </w:pPr>
            <w:r>
              <w:rPr>
                <w:rFonts w:ascii="Times New Roman" w:hAnsi="Times New Roman" w:cs="Times New Roman"/>
              </w:rPr>
              <w:t>0.90</w:t>
            </w:r>
          </w:p>
        </w:tc>
        <w:tc>
          <w:tcPr>
            <w:tcW w:w="1327" w:type="dxa"/>
            <w:tcBorders>
              <w:top w:val="nil"/>
              <w:left w:val="nil"/>
              <w:bottom w:val="nil"/>
              <w:right w:val="nil"/>
            </w:tcBorders>
            <w:shd w:val="clear" w:color="auto" w:fill="auto"/>
            <w:noWrap/>
            <w:vAlign w:val="bottom"/>
            <w:hideMark/>
          </w:tcPr>
          <w:p w14:paraId="23310333" w14:textId="77777777" w:rsidR="00AE3875" w:rsidRPr="00144822" w:rsidRDefault="00AE3875" w:rsidP="00EE32B5">
            <w:pPr>
              <w:rPr>
                <w:rFonts w:ascii="Times New Roman" w:hAnsi="Times New Roman" w:cs="Times New Roman"/>
              </w:rPr>
            </w:pPr>
            <w:r>
              <w:rPr>
                <w:rFonts w:ascii="Times New Roman" w:hAnsi="Times New Roman" w:cs="Times New Roman"/>
              </w:rPr>
              <w:t>0.81 - 0.99</w:t>
            </w:r>
          </w:p>
        </w:tc>
        <w:tc>
          <w:tcPr>
            <w:tcW w:w="276" w:type="dxa"/>
            <w:tcBorders>
              <w:top w:val="nil"/>
              <w:left w:val="nil"/>
              <w:bottom w:val="nil"/>
              <w:right w:val="nil"/>
            </w:tcBorders>
            <w:shd w:val="clear" w:color="auto" w:fill="auto"/>
            <w:noWrap/>
            <w:vAlign w:val="bottom"/>
            <w:hideMark/>
          </w:tcPr>
          <w:p w14:paraId="2A5481D0"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0704CA94"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23***</w:t>
            </w:r>
          </w:p>
        </w:tc>
        <w:tc>
          <w:tcPr>
            <w:tcW w:w="656" w:type="dxa"/>
            <w:tcBorders>
              <w:top w:val="nil"/>
              <w:left w:val="nil"/>
              <w:bottom w:val="nil"/>
              <w:right w:val="nil"/>
            </w:tcBorders>
            <w:shd w:val="clear" w:color="auto" w:fill="auto"/>
            <w:noWrap/>
            <w:vAlign w:val="bottom"/>
            <w:hideMark/>
          </w:tcPr>
          <w:p w14:paraId="5DDC4437"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0.8</w:t>
            </w:r>
            <w:r>
              <w:rPr>
                <w:rFonts w:ascii="Times New Roman" w:hAnsi="Times New Roman" w:cs="Times New Roman"/>
              </w:rPr>
              <w:t>0</w:t>
            </w:r>
          </w:p>
        </w:tc>
        <w:tc>
          <w:tcPr>
            <w:tcW w:w="1315" w:type="dxa"/>
            <w:tcBorders>
              <w:top w:val="nil"/>
              <w:left w:val="nil"/>
              <w:bottom w:val="nil"/>
              <w:right w:val="nil"/>
            </w:tcBorders>
            <w:shd w:val="clear" w:color="auto" w:fill="auto"/>
            <w:noWrap/>
            <w:vAlign w:val="bottom"/>
            <w:hideMark/>
          </w:tcPr>
          <w:p w14:paraId="6631D183"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69</w:t>
            </w:r>
            <w:r w:rsidRPr="00144822">
              <w:rPr>
                <w:rFonts w:ascii="Times New Roman" w:hAnsi="Times New Roman" w:cs="Times New Roman"/>
              </w:rPr>
              <w:t xml:space="preserve"> - </w:t>
            </w:r>
            <w:r>
              <w:rPr>
                <w:rFonts w:ascii="Times New Roman" w:hAnsi="Times New Roman" w:cs="Times New Roman"/>
              </w:rPr>
              <w:t>0.92</w:t>
            </w:r>
          </w:p>
        </w:tc>
      </w:tr>
      <w:tr w:rsidR="00AE3875" w:rsidRPr="00144822" w14:paraId="5179864E" w14:textId="77777777" w:rsidTr="00EE32B5">
        <w:trPr>
          <w:trHeight w:val="320"/>
        </w:trPr>
        <w:tc>
          <w:tcPr>
            <w:tcW w:w="2742" w:type="dxa"/>
            <w:tcBorders>
              <w:top w:val="nil"/>
              <w:left w:val="nil"/>
              <w:bottom w:val="nil"/>
              <w:right w:val="nil"/>
            </w:tcBorders>
            <w:shd w:val="clear" w:color="auto" w:fill="auto"/>
            <w:noWrap/>
            <w:vAlign w:val="bottom"/>
            <w:hideMark/>
          </w:tcPr>
          <w:p w14:paraId="3EFD0E73"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Georgia</w:t>
            </w:r>
          </w:p>
        </w:tc>
        <w:tc>
          <w:tcPr>
            <w:tcW w:w="1177" w:type="dxa"/>
            <w:tcBorders>
              <w:top w:val="nil"/>
              <w:left w:val="nil"/>
              <w:bottom w:val="nil"/>
              <w:right w:val="nil"/>
            </w:tcBorders>
            <w:shd w:val="clear" w:color="auto" w:fill="auto"/>
            <w:noWrap/>
            <w:vAlign w:val="bottom"/>
            <w:hideMark/>
          </w:tcPr>
          <w:p w14:paraId="0D20161E"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27***</w:t>
            </w:r>
          </w:p>
        </w:tc>
        <w:tc>
          <w:tcPr>
            <w:tcW w:w="726" w:type="dxa"/>
            <w:tcBorders>
              <w:top w:val="nil"/>
              <w:left w:val="nil"/>
              <w:bottom w:val="nil"/>
              <w:right w:val="nil"/>
            </w:tcBorders>
            <w:shd w:val="clear" w:color="auto" w:fill="auto"/>
            <w:noWrap/>
            <w:vAlign w:val="bottom"/>
            <w:hideMark/>
          </w:tcPr>
          <w:p w14:paraId="22FD2330"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76</w:t>
            </w:r>
          </w:p>
        </w:tc>
        <w:tc>
          <w:tcPr>
            <w:tcW w:w="1327" w:type="dxa"/>
            <w:tcBorders>
              <w:top w:val="nil"/>
              <w:left w:val="nil"/>
              <w:bottom w:val="nil"/>
              <w:right w:val="nil"/>
            </w:tcBorders>
            <w:shd w:val="clear" w:color="auto" w:fill="auto"/>
            <w:noWrap/>
            <w:vAlign w:val="bottom"/>
            <w:hideMark/>
          </w:tcPr>
          <w:p w14:paraId="643BBB4E"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71</w:t>
            </w:r>
            <w:r w:rsidRPr="00144822">
              <w:rPr>
                <w:rFonts w:ascii="Times New Roman" w:hAnsi="Times New Roman" w:cs="Times New Roman"/>
              </w:rPr>
              <w:t xml:space="preserve"> - 0.</w:t>
            </w:r>
            <w:r>
              <w:rPr>
                <w:rFonts w:ascii="Times New Roman" w:hAnsi="Times New Roman" w:cs="Times New Roman"/>
              </w:rPr>
              <w:t>82</w:t>
            </w:r>
          </w:p>
        </w:tc>
        <w:tc>
          <w:tcPr>
            <w:tcW w:w="276" w:type="dxa"/>
            <w:tcBorders>
              <w:top w:val="nil"/>
              <w:left w:val="nil"/>
              <w:bottom w:val="nil"/>
              <w:right w:val="nil"/>
            </w:tcBorders>
            <w:shd w:val="clear" w:color="auto" w:fill="auto"/>
            <w:noWrap/>
            <w:vAlign w:val="bottom"/>
            <w:hideMark/>
          </w:tcPr>
          <w:p w14:paraId="628D9B7E"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6D9309C9"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38***</w:t>
            </w:r>
          </w:p>
        </w:tc>
        <w:tc>
          <w:tcPr>
            <w:tcW w:w="656" w:type="dxa"/>
            <w:tcBorders>
              <w:top w:val="nil"/>
              <w:left w:val="nil"/>
              <w:bottom w:val="nil"/>
              <w:right w:val="nil"/>
            </w:tcBorders>
            <w:shd w:val="clear" w:color="auto" w:fill="auto"/>
            <w:noWrap/>
            <w:vAlign w:val="bottom"/>
            <w:hideMark/>
          </w:tcPr>
          <w:p w14:paraId="3CEB5C21"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68</w:t>
            </w:r>
          </w:p>
        </w:tc>
        <w:tc>
          <w:tcPr>
            <w:tcW w:w="1315" w:type="dxa"/>
            <w:tcBorders>
              <w:top w:val="nil"/>
              <w:left w:val="nil"/>
              <w:bottom w:val="nil"/>
              <w:right w:val="nil"/>
            </w:tcBorders>
            <w:shd w:val="clear" w:color="auto" w:fill="auto"/>
            <w:noWrap/>
            <w:vAlign w:val="bottom"/>
            <w:hideMark/>
          </w:tcPr>
          <w:p w14:paraId="2C3A3E6C"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62</w:t>
            </w:r>
            <w:r w:rsidRPr="00144822">
              <w:rPr>
                <w:rFonts w:ascii="Times New Roman" w:hAnsi="Times New Roman" w:cs="Times New Roman"/>
              </w:rPr>
              <w:t xml:space="preserve"> - 0.</w:t>
            </w:r>
            <w:r>
              <w:rPr>
                <w:rFonts w:ascii="Times New Roman" w:hAnsi="Times New Roman" w:cs="Times New Roman"/>
              </w:rPr>
              <w:t>75</w:t>
            </w:r>
          </w:p>
        </w:tc>
      </w:tr>
      <w:tr w:rsidR="00AE3875" w:rsidRPr="00144822" w14:paraId="6F090554" w14:textId="77777777" w:rsidTr="00EE32B5">
        <w:trPr>
          <w:trHeight w:val="320"/>
        </w:trPr>
        <w:tc>
          <w:tcPr>
            <w:tcW w:w="2742" w:type="dxa"/>
            <w:tcBorders>
              <w:top w:val="nil"/>
              <w:left w:val="nil"/>
              <w:bottom w:val="nil"/>
              <w:right w:val="nil"/>
            </w:tcBorders>
            <w:shd w:val="clear" w:color="auto" w:fill="auto"/>
            <w:noWrap/>
            <w:vAlign w:val="bottom"/>
            <w:hideMark/>
          </w:tcPr>
          <w:p w14:paraId="3E224CB5"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Michigan</w:t>
            </w:r>
          </w:p>
        </w:tc>
        <w:tc>
          <w:tcPr>
            <w:tcW w:w="1177" w:type="dxa"/>
            <w:tcBorders>
              <w:top w:val="nil"/>
              <w:left w:val="nil"/>
              <w:bottom w:val="nil"/>
              <w:right w:val="nil"/>
            </w:tcBorders>
            <w:shd w:val="clear" w:color="auto" w:fill="auto"/>
            <w:noWrap/>
            <w:vAlign w:val="bottom"/>
            <w:hideMark/>
          </w:tcPr>
          <w:p w14:paraId="44E58496"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45***</w:t>
            </w:r>
          </w:p>
        </w:tc>
        <w:tc>
          <w:tcPr>
            <w:tcW w:w="726" w:type="dxa"/>
            <w:tcBorders>
              <w:top w:val="nil"/>
              <w:left w:val="nil"/>
              <w:bottom w:val="nil"/>
              <w:right w:val="nil"/>
            </w:tcBorders>
            <w:shd w:val="clear" w:color="auto" w:fill="auto"/>
            <w:noWrap/>
            <w:vAlign w:val="bottom"/>
            <w:hideMark/>
          </w:tcPr>
          <w:p w14:paraId="341C3740"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64</w:t>
            </w:r>
          </w:p>
        </w:tc>
        <w:tc>
          <w:tcPr>
            <w:tcW w:w="1327" w:type="dxa"/>
            <w:tcBorders>
              <w:top w:val="nil"/>
              <w:left w:val="nil"/>
              <w:bottom w:val="nil"/>
              <w:right w:val="nil"/>
            </w:tcBorders>
            <w:shd w:val="clear" w:color="auto" w:fill="auto"/>
            <w:noWrap/>
            <w:vAlign w:val="bottom"/>
            <w:hideMark/>
          </w:tcPr>
          <w:p w14:paraId="3980540A"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58</w:t>
            </w:r>
            <w:r w:rsidRPr="00144822">
              <w:rPr>
                <w:rFonts w:ascii="Times New Roman" w:hAnsi="Times New Roman" w:cs="Times New Roman"/>
              </w:rPr>
              <w:t xml:space="preserve"> - 0.</w:t>
            </w:r>
            <w:r>
              <w:rPr>
                <w:rFonts w:ascii="Times New Roman" w:hAnsi="Times New Roman" w:cs="Times New Roman"/>
              </w:rPr>
              <w:t>71</w:t>
            </w:r>
          </w:p>
        </w:tc>
        <w:tc>
          <w:tcPr>
            <w:tcW w:w="276" w:type="dxa"/>
            <w:tcBorders>
              <w:top w:val="nil"/>
              <w:left w:val="nil"/>
              <w:bottom w:val="nil"/>
              <w:right w:val="nil"/>
            </w:tcBorders>
            <w:shd w:val="clear" w:color="auto" w:fill="auto"/>
            <w:noWrap/>
            <w:vAlign w:val="bottom"/>
            <w:hideMark/>
          </w:tcPr>
          <w:p w14:paraId="0B24C98B"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1D549F08"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w:t>
            </w:r>
            <w:r>
              <w:rPr>
                <w:rFonts w:ascii="Times New Roman" w:hAnsi="Times New Roman" w:cs="Times New Roman"/>
              </w:rPr>
              <w:t>0.59***</w:t>
            </w:r>
          </w:p>
        </w:tc>
        <w:tc>
          <w:tcPr>
            <w:tcW w:w="656" w:type="dxa"/>
            <w:tcBorders>
              <w:top w:val="nil"/>
              <w:left w:val="nil"/>
              <w:bottom w:val="nil"/>
              <w:right w:val="nil"/>
            </w:tcBorders>
            <w:shd w:val="clear" w:color="auto" w:fill="auto"/>
            <w:noWrap/>
            <w:vAlign w:val="bottom"/>
            <w:hideMark/>
          </w:tcPr>
          <w:p w14:paraId="5265BEF6"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56</w:t>
            </w:r>
          </w:p>
        </w:tc>
        <w:tc>
          <w:tcPr>
            <w:tcW w:w="1315" w:type="dxa"/>
            <w:tcBorders>
              <w:top w:val="nil"/>
              <w:left w:val="nil"/>
              <w:bottom w:val="nil"/>
              <w:right w:val="nil"/>
            </w:tcBorders>
            <w:shd w:val="clear" w:color="auto" w:fill="auto"/>
            <w:noWrap/>
            <w:vAlign w:val="bottom"/>
            <w:hideMark/>
          </w:tcPr>
          <w:p w14:paraId="245BC108"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48</w:t>
            </w:r>
            <w:r w:rsidRPr="00144822">
              <w:rPr>
                <w:rFonts w:ascii="Times New Roman" w:hAnsi="Times New Roman" w:cs="Times New Roman"/>
              </w:rPr>
              <w:t xml:space="preserve"> - 0.</w:t>
            </w:r>
            <w:r>
              <w:rPr>
                <w:rFonts w:ascii="Times New Roman" w:hAnsi="Times New Roman" w:cs="Times New Roman"/>
              </w:rPr>
              <w:t>64</w:t>
            </w:r>
          </w:p>
        </w:tc>
      </w:tr>
      <w:tr w:rsidR="00AE3875" w:rsidRPr="00144822" w14:paraId="648FEFE3" w14:textId="77777777" w:rsidTr="00EE32B5">
        <w:trPr>
          <w:trHeight w:val="320"/>
        </w:trPr>
        <w:tc>
          <w:tcPr>
            <w:tcW w:w="2742" w:type="dxa"/>
            <w:tcBorders>
              <w:top w:val="nil"/>
              <w:left w:val="nil"/>
              <w:bottom w:val="nil"/>
              <w:right w:val="nil"/>
            </w:tcBorders>
            <w:shd w:val="clear" w:color="auto" w:fill="auto"/>
            <w:noWrap/>
            <w:vAlign w:val="bottom"/>
            <w:hideMark/>
          </w:tcPr>
          <w:p w14:paraId="481E54E9"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Tennessee</w:t>
            </w:r>
          </w:p>
        </w:tc>
        <w:tc>
          <w:tcPr>
            <w:tcW w:w="1177" w:type="dxa"/>
            <w:tcBorders>
              <w:top w:val="nil"/>
              <w:left w:val="nil"/>
              <w:bottom w:val="nil"/>
              <w:right w:val="nil"/>
            </w:tcBorders>
            <w:shd w:val="clear" w:color="auto" w:fill="auto"/>
            <w:noWrap/>
            <w:vAlign w:val="bottom"/>
            <w:hideMark/>
          </w:tcPr>
          <w:p w14:paraId="4EAC4FFA"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3</w:t>
            </w:r>
            <w:r w:rsidRPr="00144822">
              <w:rPr>
                <w:rFonts w:ascii="Times New Roman" w:hAnsi="Times New Roman" w:cs="Times New Roman"/>
              </w:rPr>
              <w:t>4</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438501C9"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71</w:t>
            </w:r>
          </w:p>
        </w:tc>
        <w:tc>
          <w:tcPr>
            <w:tcW w:w="1327" w:type="dxa"/>
            <w:tcBorders>
              <w:top w:val="nil"/>
              <w:left w:val="nil"/>
              <w:bottom w:val="nil"/>
              <w:right w:val="nil"/>
            </w:tcBorders>
            <w:shd w:val="clear" w:color="auto" w:fill="auto"/>
            <w:noWrap/>
            <w:vAlign w:val="bottom"/>
            <w:hideMark/>
          </w:tcPr>
          <w:p w14:paraId="60A25F4C"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62</w:t>
            </w:r>
            <w:r w:rsidRPr="00144822">
              <w:rPr>
                <w:rFonts w:ascii="Times New Roman" w:hAnsi="Times New Roman" w:cs="Times New Roman"/>
              </w:rPr>
              <w:t xml:space="preserve"> - 0.</w:t>
            </w:r>
            <w:r>
              <w:rPr>
                <w:rFonts w:ascii="Times New Roman" w:hAnsi="Times New Roman" w:cs="Times New Roman"/>
              </w:rPr>
              <w:t>8</w:t>
            </w:r>
            <w:r w:rsidRPr="00144822">
              <w:rPr>
                <w:rFonts w:ascii="Times New Roman" w:hAnsi="Times New Roman" w:cs="Times New Roman"/>
              </w:rPr>
              <w:t>1</w:t>
            </w:r>
          </w:p>
        </w:tc>
        <w:tc>
          <w:tcPr>
            <w:tcW w:w="276" w:type="dxa"/>
            <w:tcBorders>
              <w:top w:val="nil"/>
              <w:left w:val="nil"/>
              <w:bottom w:val="nil"/>
              <w:right w:val="nil"/>
            </w:tcBorders>
            <w:shd w:val="clear" w:color="auto" w:fill="auto"/>
            <w:noWrap/>
            <w:vAlign w:val="bottom"/>
            <w:hideMark/>
          </w:tcPr>
          <w:p w14:paraId="502EDA4C"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307980D5"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32***</w:t>
            </w:r>
          </w:p>
        </w:tc>
        <w:tc>
          <w:tcPr>
            <w:tcW w:w="656" w:type="dxa"/>
            <w:tcBorders>
              <w:top w:val="nil"/>
              <w:left w:val="nil"/>
              <w:bottom w:val="nil"/>
              <w:right w:val="nil"/>
            </w:tcBorders>
            <w:shd w:val="clear" w:color="auto" w:fill="auto"/>
            <w:noWrap/>
            <w:vAlign w:val="bottom"/>
            <w:hideMark/>
          </w:tcPr>
          <w:p w14:paraId="40504272"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73</w:t>
            </w:r>
          </w:p>
        </w:tc>
        <w:tc>
          <w:tcPr>
            <w:tcW w:w="1315" w:type="dxa"/>
            <w:tcBorders>
              <w:top w:val="nil"/>
              <w:left w:val="nil"/>
              <w:bottom w:val="nil"/>
              <w:right w:val="nil"/>
            </w:tcBorders>
            <w:shd w:val="clear" w:color="auto" w:fill="auto"/>
            <w:noWrap/>
            <w:vAlign w:val="bottom"/>
            <w:hideMark/>
          </w:tcPr>
          <w:p w14:paraId="6211EBCD"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w:t>
            </w:r>
            <w:r>
              <w:rPr>
                <w:rFonts w:ascii="Times New Roman" w:hAnsi="Times New Roman" w:cs="Times New Roman"/>
              </w:rPr>
              <w:t>62</w:t>
            </w:r>
            <w:r w:rsidRPr="00144822">
              <w:rPr>
                <w:rFonts w:ascii="Times New Roman" w:hAnsi="Times New Roman" w:cs="Times New Roman"/>
              </w:rPr>
              <w:t xml:space="preserve"> - 0.</w:t>
            </w:r>
            <w:r>
              <w:rPr>
                <w:rFonts w:ascii="Times New Roman" w:hAnsi="Times New Roman" w:cs="Times New Roman"/>
              </w:rPr>
              <w:t>86</w:t>
            </w:r>
          </w:p>
        </w:tc>
      </w:tr>
      <w:tr w:rsidR="00AE3875" w:rsidRPr="00144822" w14:paraId="5F3EA036" w14:textId="77777777" w:rsidTr="00EE32B5">
        <w:trPr>
          <w:trHeight w:val="320"/>
        </w:trPr>
        <w:tc>
          <w:tcPr>
            <w:tcW w:w="2742" w:type="dxa"/>
            <w:tcBorders>
              <w:top w:val="nil"/>
              <w:left w:val="nil"/>
              <w:bottom w:val="nil"/>
              <w:right w:val="nil"/>
            </w:tcBorders>
            <w:shd w:val="clear" w:color="auto" w:fill="auto"/>
            <w:noWrap/>
            <w:vAlign w:val="bottom"/>
            <w:hideMark/>
          </w:tcPr>
          <w:p w14:paraId="00F2BE32" w14:textId="77777777" w:rsidR="00AE3875" w:rsidRPr="009626B6" w:rsidRDefault="00AE3875" w:rsidP="00EE32B5">
            <w:pPr>
              <w:rPr>
                <w:rFonts w:ascii="Times New Roman" w:eastAsiaTheme="minorEastAsia" w:hAnsi="Times New Roman" w:cs="Times New Roman"/>
                <w:sz w:val="10"/>
                <w:szCs w:val="10"/>
              </w:rPr>
            </w:pPr>
          </w:p>
          <w:p w14:paraId="7B7738C3" w14:textId="77777777" w:rsidR="00AE3875" w:rsidRPr="00144822" w:rsidRDefault="00AE3875" w:rsidP="00EE32B5">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oMath>
            <w:r w:rsidRPr="00144822">
              <w:rPr>
                <w:rFonts w:ascii="Times New Roman" w:hAnsi="Times New Roman" w:cs="Times New Roman"/>
              </w:rPr>
              <w:t xml:space="preserve"> (Change in slope </w:t>
            </w:r>
            <w:r>
              <w:rPr>
                <w:rFonts w:ascii="Times New Roman" w:hAnsi="Times New Roman" w:cs="Times New Roman"/>
              </w:rPr>
              <w:t>during</w:t>
            </w:r>
            <w:r w:rsidRPr="00144822">
              <w:rPr>
                <w:rFonts w:ascii="Times New Roman" w:hAnsi="Times New Roman" w:cs="Times New Roman"/>
              </w:rPr>
              <w:t xml:space="preserve"> COVID</w:t>
            </w:r>
            <w:r>
              <w:rPr>
                <w:rFonts w:ascii="Times New Roman" w:hAnsi="Times New Roman" w:cs="Times New Roman"/>
                <w:vertAlign w:val="superscript"/>
              </w:rPr>
              <w:t>2</w:t>
            </w:r>
            <w:r w:rsidRPr="00144822">
              <w:rPr>
                <w:rFonts w:ascii="Times New Roman" w:hAnsi="Times New Roman" w:cs="Times New Roman"/>
              </w:rPr>
              <w:t>)</w:t>
            </w:r>
          </w:p>
        </w:tc>
        <w:tc>
          <w:tcPr>
            <w:tcW w:w="1177" w:type="dxa"/>
            <w:tcBorders>
              <w:top w:val="nil"/>
              <w:left w:val="nil"/>
              <w:bottom w:val="nil"/>
              <w:right w:val="nil"/>
            </w:tcBorders>
            <w:shd w:val="clear" w:color="auto" w:fill="auto"/>
            <w:noWrap/>
            <w:vAlign w:val="bottom"/>
            <w:hideMark/>
          </w:tcPr>
          <w:p w14:paraId="27C97E50" w14:textId="77777777" w:rsidR="00AE3875" w:rsidRPr="00144822" w:rsidRDefault="00AE3875" w:rsidP="00EE32B5">
            <w:pPr>
              <w:tabs>
                <w:tab w:val="decimal" w:pos="220"/>
              </w:tabs>
              <w:rPr>
                <w:rFonts w:ascii="Times New Roman" w:hAnsi="Times New Roman" w:cs="Times New Roman"/>
              </w:rPr>
            </w:pPr>
          </w:p>
        </w:tc>
        <w:tc>
          <w:tcPr>
            <w:tcW w:w="726" w:type="dxa"/>
            <w:tcBorders>
              <w:top w:val="nil"/>
              <w:left w:val="nil"/>
              <w:bottom w:val="nil"/>
              <w:right w:val="nil"/>
            </w:tcBorders>
            <w:shd w:val="clear" w:color="auto" w:fill="auto"/>
            <w:noWrap/>
            <w:vAlign w:val="bottom"/>
            <w:hideMark/>
          </w:tcPr>
          <w:p w14:paraId="77FF909C" w14:textId="77777777" w:rsidR="00AE3875" w:rsidRPr="00144822" w:rsidRDefault="00AE3875" w:rsidP="00EE32B5">
            <w:pPr>
              <w:tabs>
                <w:tab w:val="decimal" w:pos="210"/>
              </w:tabs>
              <w:rPr>
                <w:rFonts w:ascii="Times New Roman" w:hAnsi="Times New Roman" w:cs="Times New Roman"/>
              </w:rPr>
            </w:pPr>
          </w:p>
        </w:tc>
        <w:tc>
          <w:tcPr>
            <w:tcW w:w="1327" w:type="dxa"/>
            <w:tcBorders>
              <w:top w:val="nil"/>
              <w:left w:val="nil"/>
              <w:bottom w:val="nil"/>
              <w:right w:val="nil"/>
            </w:tcBorders>
            <w:shd w:val="clear" w:color="auto" w:fill="auto"/>
            <w:noWrap/>
            <w:vAlign w:val="bottom"/>
            <w:hideMark/>
          </w:tcPr>
          <w:p w14:paraId="225BB0CD" w14:textId="77777777" w:rsidR="00AE3875" w:rsidRPr="00144822" w:rsidRDefault="00AE3875" w:rsidP="00EE32B5">
            <w:pPr>
              <w:rPr>
                <w:rFonts w:ascii="Times New Roman" w:hAnsi="Times New Roman" w:cs="Times New Roman"/>
              </w:rPr>
            </w:pPr>
          </w:p>
        </w:tc>
        <w:tc>
          <w:tcPr>
            <w:tcW w:w="276" w:type="dxa"/>
            <w:tcBorders>
              <w:top w:val="nil"/>
              <w:left w:val="nil"/>
              <w:bottom w:val="nil"/>
              <w:right w:val="nil"/>
            </w:tcBorders>
            <w:shd w:val="clear" w:color="auto" w:fill="auto"/>
            <w:noWrap/>
            <w:vAlign w:val="bottom"/>
            <w:hideMark/>
          </w:tcPr>
          <w:p w14:paraId="329A7354"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6A472299" w14:textId="77777777" w:rsidR="00AE3875" w:rsidRPr="00144822" w:rsidRDefault="00AE3875" w:rsidP="00EE32B5">
            <w:pPr>
              <w:tabs>
                <w:tab w:val="decimal" w:pos="199"/>
              </w:tabs>
              <w:rPr>
                <w:rFonts w:ascii="Times New Roman" w:hAnsi="Times New Roman" w:cs="Times New Roman"/>
              </w:rPr>
            </w:pPr>
          </w:p>
        </w:tc>
        <w:tc>
          <w:tcPr>
            <w:tcW w:w="656" w:type="dxa"/>
            <w:tcBorders>
              <w:top w:val="nil"/>
              <w:left w:val="nil"/>
              <w:bottom w:val="nil"/>
              <w:right w:val="nil"/>
            </w:tcBorders>
            <w:shd w:val="clear" w:color="auto" w:fill="auto"/>
            <w:noWrap/>
            <w:vAlign w:val="bottom"/>
            <w:hideMark/>
          </w:tcPr>
          <w:p w14:paraId="4607338E" w14:textId="77777777" w:rsidR="00AE3875" w:rsidRPr="00144822" w:rsidRDefault="00AE3875" w:rsidP="00EE32B5">
            <w:pPr>
              <w:tabs>
                <w:tab w:val="decimal" w:pos="132"/>
              </w:tabs>
              <w:rPr>
                <w:rFonts w:ascii="Times New Roman" w:hAnsi="Times New Roman" w:cs="Times New Roman"/>
              </w:rPr>
            </w:pPr>
          </w:p>
        </w:tc>
        <w:tc>
          <w:tcPr>
            <w:tcW w:w="1315" w:type="dxa"/>
            <w:tcBorders>
              <w:top w:val="nil"/>
              <w:left w:val="nil"/>
              <w:bottom w:val="nil"/>
              <w:right w:val="nil"/>
            </w:tcBorders>
            <w:shd w:val="clear" w:color="auto" w:fill="auto"/>
            <w:noWrap/>
            <w:vAlign w:val="bottom"/>
            <w:hideMark/>
          </w:tcPr>
          <w:p w14:paraId="1D519E9D" w14:textId="77777777" w:rsidR="00AE3875" w:rsidRPr="00144822" w:rsidRDefault="00AE3875" w:rsidP="00EE32B5">
            <w:pPr>
              <w:rPr>
                <w:rFonts w:ascii="Times New Roman" w:hAnsi="Times New Roman" w:cs="Times New Roman"/>
              </w:rPr>
            </w:pPr>
          </w:p>
        </w:tc>
      </w:tr>
      <w:tr w:rsidR="00AE3875" w:rsidRPr="00144822" w14:paraId="447AB895" w14:textId="77777777" w:rsidTr="00EE32B5">
        <w:trPr>
          <w:trHeight w:val="320"/>
        </w:trPr>
        <w:tc>
          <w:tcPr>
            <w:tcW w:w="2742" w:type="dxa"/>
            <w:tcBorders>
              <w:top w:val="nil"/>
              <w:left w:val="nil"/>
              <w:bottom w:val="nil"/>
              <w:right w:val="nil"/>
            </w:tcBorders>
            <w:shd w:val="clear" w:color="auto" w:fill="auto"/>
            <w:noWrap/>
            <w:vAlign w:val="bottom"/>
            <w:hideMark/>
          </w:tcPr>
          <w:p w14:paraId="009513C8"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California</w:t>
            </w:r>
          </w:p>
        </w:tc>
        <w:tc>
          <w:tcPr>
            <w:tcW w:w="1177" w:type="dxa"/>
            <w:tcBorders>
              <w:top w:val="nil"/>
              <w:left w:val="nil"/>
              <w:bottom w:val="nil"/>
              <w:right w:val="nil"/>
            </w:tcBorders>
            <w:shd w:val="clear" w:color="auto" w:fill="auto"/>
            <w:noWrap/>
            <w:vAlign w:val="bottom"/>
            <w:hideMark/>
          </w:tcPr>
          <w:p w14:paraId="7224A32A"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-0.03</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0294755A"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0.97</w:t>
            </w:r>
          </w:p>
        </w:tc>
        <w:tc>
          <w:tcPr>
            <w:tcW w:w="1327" w:type="dxa"/>
            <w:tcBorders>
              <w:top w:val="nil"/>
              <w:left w:val="nil"/>
              <w:bottom w:val="nil"/>
              <w:right w:val="nil"/>
            </w:tcBorders>
            <w:shd w:val="clear" w:color="auto" w:fill="auto"/>
            <w:noWrap/>
            <w:vAlign w:val="bottom"/>
            <w:hideMark/>
          </w:tcPr>
          <w:p w14:paraId="1466BCB7"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0.96 - 0.99</w:t>
            </w:r>
          </w:p>
        </w:tc>
        <w:tc>
          <w:tcPr>
            <w:tcW w:w="276" w:type="dxa"/>
            <w:tcBorders>
              <w:top w:val="nil"/>
              <w:left w:val="nil"/>
              <w:bottom w:val="nil"/>
              <w:right w:val="nil"/>
            </w:tcBorders>
            <w:shd w:val="clear" w:color="auto" w:fill="auto"/>
            <w:noWrap/>
            <w:vAlign w:val="bottom"/>
            <w:hideMark/>
          </w:tcPr>
          <w:p w14:paraId="446262BE"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0D72EE97"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0.00</w:t>
            </w:r>
          </w:p>
        </w:tc>
        <w:tc>
          <w:tcPr>
            <w:tcW w:w="656" w:type="dxa"/>
            <w:tcBorders>
              <w:top w:val="nil"/>
              <w:left w:val="nil"/>
              <w:bottom w:val="nil"/>
              <w:right w:val="nil"/>
            </w:tcBorders>
            <w:shd w:val="clear" w:color="auto" w:fill="auto"/>
            <w:noWrap/>
            <w:vAlign w:val="bottom"/>
            <w:hideMark/>
          </w:tcPr>
          <w:p w14:paraId="0D37C8FC"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1.00</w:t>
            </w:r>
          </w:p>
        </w:tc>
        <w:tc>
          <w:tcPr>
            <w:tcW w:w="1315" w:type="dxa"/>
            <w:tcBorders>
              <w:top w:val="nil"/>
              <w:left w:val="nil"/>
              <w:bottom w:val="nil"/>
              <w:right w:val="nil"/>
            </w:tcBorders>
            <w:shd w:val="clear" w:color="auto" w:fill="auto"/>
            <w:noWrap/>
            <w:vAlign w:val="bottom"/>
            <w:hideMark/>
          </w:tcPr>
          <w:p w14:paraId="302632E1"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0.98 - 1.02</w:t>
            </w:r>
          </w:p>
        </w:tc>
      </w:tr>
      <w:tr w:rsidR="00AE3875" w:rsidRPr="00144822" w14:paraId="1C087955" w14:textId="77777777" w:rsidTr="00EE32B5">
        <w:trPr>
          <w:trHeight w:val="320"/>
        </w:trPr>
        <w:tc>
          <w:tcPr>
            <w:tcW w:w="2742" w:type="dxa"/>
            <w:tcBorders>
              <w:top w:val="nil"/>
              <w:left w:val="nil"/>
              <w:bottom w:val="nil"/>
              <w:right w:val="nil"/>
            </w:tcBorders>
            <w:shd w:val="clear" w:color="auto" w:fill="auto"/>
            <w:noWrap/>
            <w:vAlign w:val="bottom"/>
            <w:hideMark/>
          </w:tcPr>
          <w:p w14:paraId="3307F39D"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Georgia</w:t>
            </w:r>
          </w:p>
        </w:tc>
        <w:tc>
          <w:tcPr>
            <w:tcW w:w="1177" w:type="dxa"/>
            <w:tcBorders>
              <w:top w:val="nil"/>
              <w:left w:val="nil"/>
              <w:bottom w:val="nil"/>
              <w:right w:val="nil"/>
            </w:tcBorders>
            <w:shd w:val="clear" w:color="auto" w:fill="auto"/>
            <w:noWrap/>
            <w:vAlign w:val="bottom"/>
            <w:hideMark/>
          </w:tcPr>
          <w:p w14:paraId="53198C73"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0.02</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162DFD62"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1.02</w:t>
            </w:r>
          </w:p>
        </w:tc>
        <w:tc>
          <w:tcPr>
            <w:tcW w:w="1327" w:type="dxa"/>
            <w:tcBorders>
              <w:top w:val="nil"/>
              <w:left w:val="nil"/>
              <w:bottom w:val="nil"/>
              <w:right w:val="nil"/>
            </w:tcBorders>
            <w:shd w:val="clear" w:color="auto" w:fill="auto"/>
            <w:noWrap/>
            <w:vAlign w:val="bottom"/>
            <w:hideMark/>
          </w:tcPr>
          <w:p w14:paraId="7D5E57C3"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1.01 - 1.03</w:t>
            </w:r>
          </w:p>
        </w:tc>
        <w:tc>
          <w:tcPr>
            <w:tcW w:w="276" w:type="dxa"/>
            <w:tcBorders>
              <w:top w:val="nil"/>
              <w:left w:val="nil"/>
              <w:bottom w:val="nil"/>
              <w:right w:val="nil"/>
            </w:tcBorders>
            <w:shd w:val="clear" w:color="auto" w:fill="auto"/>
            <w:noWrap/>
            <w:vAlign w:val="bottom"/>
            <w:hideMark/>
          </w:tcPr>
          <w:p w14:paraId="2759D8C4"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3CDD93AC"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0.02</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1B76F75E"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1.02</w:t>
            </w:r>
          </w:p>
        </w:tc>
        <w:tc>
          <w:tcPr>
            <w:tcW w:w="1315" w:type="dxa"/>
            <w:tcBorders>
              <w:top w:val="nil"/>
              <w:left w:val="nil"/>
              <w:bottom w:val="nil"/>
              <w:right w:val="nil"/>
            </w:tcBorders>
            <w:shd w:val="clear" w:color="auto" w:fill="auto"/>
            <w:noWrap/>
            <w:vAlign w:val="bottom"/>
            <w:hideMark/>
          </w:tcPr>
          <w:p w14:paraId="3DFC885F"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1.00 - 1.03</w:t>
            </w:r>
          </w:p>
        </w:tc>
      </w:tr>
      <w:tr w:rsidR="00AE3875" w:rsidRPr="00144822" w14:paraId="4223D2A4" w14:textId="77777777" w:rsidTr="00EE32B5">
        <w:trPr>
          <w:trHeight w:val="320"/>
        </w:trPr>
        <w:tc>
          <w:tcPr>
            <w:tcW w:w="2742" w:type="dxa"/>
            <w:tcBorders>
              <w:top w:val="nil"/>
              <w:left w:val="nil"/>
              <w:bottom w:val="nil"/>
              <w:right w:val="nil"/>
            </w:tcBorders>
            <w:shd w:val="clear" w:color="auto" w:fill="auto"/>
            <w:noWrap/>
            <w:vAlign w:val="bottom"/>
            <w:hideMark/>
          </w:tcPr>
          <w:p w14:paraId="0C237D09"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Michigan</w:t>
            </w:r>
          </w:p>
        </w:tc>
        <w:tc>
          <w:tcPr>
            <w:tcW w:w="1177" w:type="dxa"/>
            <w:tcBorders>
              <w:top w:val="nil"/>
              <w:left w:val="nil"/>
              <w:bottom w:val="nil"/>
              <w:right w:val="nil"/>
            </w:tcBorders>
            <w:shd w:val="clear" w:color="auto" w:fill="auto"/>
            <w:noWrap/>
            <w:vAlign w:val="bottom"/>
            <w:hideMark/>
          </w:tcPr>
          <w:p w14:paraId="48807CDD"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0.03</w:t>
            </w:r>
            <w:r>
              <w:rPr>
                <w:rFonts w:ascii="Times New Roman" w:hAnsi="Times New Roman" w:cs="Times New Roman"/>
              </w:rPr>
              <w:t>***</w:t>
            </w:r>
          </w:p>
        </w:tc>
        <w:tc>
          <w:tcPr>
            <w:tcW w:w="726" w:type="dxa"/>
            <w:tcBorders>
              <w:top w:val="nil"/>
              <w:left w:val="nil"/>
              <w:bottom w:val="nil"/>
              <w:right w:val="nil"/>
            </w:tcBorders>
            <w:shd w:val="clear" w:color="auto" w:fill="auto"/>
            <w:noWrap/>
            <w:vAlign w:val="bottom"/>
            <w:hideMark/>
          </w:tcPr>
          <w:p w14:paraId="044305C7"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1.03</w:t>
            </w:r>
          </w:p>
        </w:tc>
        <w:tc>
          <w:tcPr>
            <w:tcW w:w="1327" w:type="dxa"/>
            <w:tcBorders>
              <w:top w:val="nil"/>
              <w:left w:val="nil"/>
              <w:bottom w:val="nil"/>
              <w:right w:val="nil"/>
            </w:tcBorders>
            <w:shd w:val="clear" w:color="auto" w:fill="auto"/>
            <w:noWrap/>
            <w:vAlign w:val="bottom"/>
            <w:hideMark/>
          </w:tcPr>
          <w:p w14:paraId="1A414E74"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1.02 - 1.05</w:t>
            </w:r>
          </w:p>
        </w:tc>
        <w:tc>
          <w:tcPr>
            <w:tcW w:w="276" w:type="dxa"/>
            <w:tcBorders>
              <w:top w:val="nil"/>
              <w:left w:val="nil"/>
              <w:bottom w:val="nil"/>
              <w:right w:val="nil"/>
            </w:tcBorders>
            <w:shd w:val="clear" w:color="auto" w:fill="auto"/>
            <w:noWrap/>
            <w:vAlign w:val="bottom"/>
            <w:hideMark/>
          </w:tcPr>
          <w:p w14:paraId="566B8398" w14:textId="77777777" w:rsidR="00AE3875" w:rsidRPr="00144822" w:rsidRDefault="00AE3875" w:rsidP="00EE32B5">
            <w:pPr>
              <w:rPr>
                <w:rFonts w:ascii="Times New Roman" w:hAnsi="Times New Roman" w:cs="Times New Roman"/>
              </w:rPr>
            </w:pPr>
          </w:p>
        </w:tc>
        <w:tc>
          <w:tcPr>
            <w:tcW w:w="1141" w:type="dxa"/>
            <w:tcBorders>
              <w:top w:val="nil"/>
              <w:left w:val="nil"/>
              <w:bottom w:val="nil"/>
              <w:right w:val="nil"/>
            </w:tcBorders>
            <w:shd w:val="clear" w:color="auto" w:fill="auto"/>
            <w:noWrap/>
            <w:vAlign w:val="bottom"/>
            <w:hideMark/>
          </w:tcPr>
          <w:p w14:paraId="75A434AF"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0.03</w:t>
            </w:r>
            <w:r>
              <w:rPr>
                <w:rFonts w:ascii="Times New Roman" w:hAnsi="Times New Roman" w:cs="Times New Roman"/>
              </w:rPr>
              <w:t>**</w:t>
            </w:r>
          </w:p>
        </w:tc>
        <w:tc>
          <w:tcPr>
            <w:tcW w:w="656" w:type="dxa"/>
            <w:tcBorders>
              <w:top w:val="nil"/>
              <w:left w:val="nil"/>
              <w:bottom w:val="nil"/>
              <w:right w:val="nil"/>
            </w:tcBorders>
            <w:shd w:val="clear" w:color="auto" w:fill="auto"/>
            <w:noWrap/>
            <w:vAlign w:val="bottom"/>
            <w:hideMark/>
          </w:tcPr>
          <w:p w14:paraId="37860EF1"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1.03</w:t>
            </w:r>
          </w:p>
        </w:tc>
        <w:tc>
          <w:tcPr>
            <w:tcW w:w="1315" w:type="dxa"/>
            <w:tcBorders>
              <w:top w:val="nil"/>
              <w:left w:val="nil"/>
              <w:bottom w:val="nil"/>
              <w:right w:val="nil"/>
            </w:tcBorders>
            <w:shd w:val="clear" w:color="auto" w:fill="auto"/>
            <w:noWrap/>
            <w:vAlign w:val="bottom"/>
            <w:hideMark/>
          </w:tcPr>
          <w:p w14:paraId="2CF806A6"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1.01 - 1.05</w:t>
            </w:r>
          </w:p>
        </w:tc>
      </w:tr>
      <w:tr w:rsidR="00AE3875" w:rsidRPr="00144822" w14:paraId="6095CA7A" w14:textId="77777777" w:rsidTr="00EE32B5">
        <w:trPr>
          <w:trHeight w:val="320"/>
        </w:trPr>
        <w:tc>
          <w:tcPr>
            <w:tcW w:w="2742" w:type="dxa"/>
            <w:tcBorders>
              <w:top w:val="nil"/>
              <w:left w:val="nil"/>
              <w:bottom w:val="single" w:sz="4" w:space="0" w:color="auto"/>
              <w:right w:val="nil"/>
            </w:tcBorders>
            <w:shd w:val="clear" w:color="auto" w:fill="auto"/>
            <w:noWrap/>
            <w:vAlign w:val="bottom"/>
            <w:hideMark/>
          </w:tcPr>
          <w:p w14:paraId="7354AA3A"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xml:space="preserve">   Tennessee</w:t>
            </w:r>
          </w:p>
        </w:tc>
        <w:tc>
          <w:tcPr>
            <w:tcW w:w="1177" w:type="dxa"/>
            <w:tcBorders>
              <w:top w:val="nil"/>
              <w:left w:val="nil"/>
              <w:bottom w:val="single" w:sz="4" w:space="0" w:color="auto"/>
              <w:right w:val="nil"/>
            </w:tcBorders>
            <w:shd w:val="clear" w:color="auto" w:fill="auto"/>
            <w:noWrap/>
            <w:vAlign w:val="bottom"/>
            <w:hideMark/>
          </w:tcPr>
          <w:p w14:paraId="12136C4F" w14:textId="77777777" w:rsidR="00AE3875" w:rsidRPr="00144822" w:rsidRDefault="00AE3875" w:rsidP="00EE32B5">
            <w:pPr>
              <w:tabs>
                <w:tab w:val="decimal" w:pos="220"/>
              </w:tabs>
              <w:rPr>
                <w:rFonts w:ascii="Times New Roman" w:hAnsi="Times New Roman" w:cs="Times New Roman"/>
              </w:rPr>
            </w:pPr>
            <w:r w:rsidRPr="00144822">
              <w:rPr>
                <w:rFonts w:ascii="Times New Roman" w:hAnsi="Times New Roman" w:cs="Times New Roman"/>
              </w:rPr>
              <w:t>0.03</w:t>
            </w:r>
            <w:r>
              <w:rPr>
                <w:rFonts w:ascii="Times New Roman" w:hAnsi="Times New Roman" w:cs="Times New Roman"/>
              </w:rPr>
              <w:t>**</w:t>
            </w:r>
          </w:p>
        </w:tc>
        <w:tc>
          <w:tcPr>
            <w:tcW w:w="726" w:type="dxa"/>
            <w:tcBorders>
              <w:top w:val="nil"/>
              <w:left w:val="nil"/>
              <w:bottom w:val="single" w:sz="4" w:space="0" w:color="auto"/>
              <w:right w:val="nil"/>
            </w:tcBorders>
            <w:shd w:val="clear" w:color="auto" w:fill="auto"/>
            <w:noWrap/>
            <w:vAlign w:val="bottom"/>
            <w:hideMark/>
          </w:tcPr>
          <w:p w14:paraId="0E2EC248" w14:textId="77777777" w:rsidR="00AE3875" w:rsidRPr="00144822" w:rsidRDefault="00AE3875" w:rsidP="00EE32B5">
            <w:pPr>
              <w:tabs>
                <w:tab w:val="decimal" w:pos="210"/>
              </w:tabs>
              <w:rPr>
                <w:rFonts w:ascii="Times New Roman" w:hAnsi="Times New Roman" w:cs="Times New Roman"/>
              </w:rPr>
            </w:pPr>
            <w:r w:rsidRPr="00144822">
              <w:rPr>
                <w:rFonts w:ascii="Times New Roman" w:hAnsi="Times New Roman" w:cs="Times New Roman"/>
              </w:rPr>
              <w:t>1.03</w:t>
            </w:r>
          </w:p>
        </w:tc>
        <w:tc>
          <w:tcPr>
            <w:tcW w:w="1327" w:type="dxa"/>
            <w:tcBorders>
              <w:top w:val="nil"/>
              <w:left w:val="nil"/>
              <w:bottom w:val="single" w:sz="4" w:space="0" w:color="auto"/>
              <w:right w:val="nil"/>
            </w:tcBorders>
            <w:shd w:val="clear" w:color="auto" w:fill="auto"/>
            <w:noWrap/>
            <w:vAlign w:val="bottom"/>
            <w:hideMark/>
          </w:tcPr>
          <w:p w14:paraId="32E004BF"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1.01 - 1.05</w:t>
            </w:r>
          </w:p>
        </w:tc>
        <w:tc>
          <w:tcPr>
            <w:tcW w:w="276" w:type="dxa"/>
            <w:tcBorders>
              <w:top w:val="nil"/>
              <w:left w:val="nil"/>
              <w:bottom w:val="single" w:sz="4" w:space="0" w:color="auto"/>
              <w:right w:val="nil"/>
            </w:tcBorders>
            <w:shd w:val="clear" w:color="auto" w:fill="auto"/>
            <w:noWrap/>
            <w:vAlign w:val="bottom"/>
            <w:hideMark/>
          </w:tcPr>
          <w:p w14:paraId="5722DCE4"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 </w:t>
            </w:r>
          </w:p>
        </w:tc>
        <w:tc>
          <w:tcPr>
            <w:tcW w:w="1141" w:type="dxa"/>
            <w:tcBorders>
              <w:top w:val="nil"/>
              <w:left w:val="nil"/>
              <w:bottom w:val="single" w:sz="4" w:space="0" w:color="auto"/>
              <w:right w:val="nil"/>
            </w:tcBorders>
            <w:shd w:val="clear" w:color="auto" w:fill="auto"/>
            <w:noWrap/>
            <w:vAlign w:val="bottom"/>
            <w:hideMark/>
          </w:tcPr>
          <w:p w14:paraId="6F80F7EF" w14:textId="77777777" w:rsidR="00AE3875" w:rsidRPr="00144822" w:rsidRDefault="00AE3875" w:rsidP="00EE32B5">
            <w:pPr>
              <w:tabs>
                <w:tab w:val="decimal" w:pos="199"/>
              </w:tabs>
              <w:rPr>
                <w:rFonts w:ascii="Times New Roman" w:hAnsi="Times New Roman" w:cs="Times New Roman"/>
              </w:rPr>
            </w:pPr>
            <w:r w:rsidRPr="00144822">
              <w:rPr>
                <w:rFonts w:ascii="Times New Roman" w:hAnsi="Times New Roman" w:cs="Times New Roman"/>
              </w:rPr>
              <w:t>0.02</w:t>
            </w:r>
          </w:p>
        </w:tc>
        <w:tc>
          <w:tcPr>
            <w:tcW w:w="656" w:type="dxa"/>
            <w:tcBorders>
              <w:top w:val="nil"/>
              <w:left w:val="nil"/>
              <w:bottom w:val="single" w:sz="4" w:space="0" w:color="auto"/>
              <w:right w:val="nil"/>
            </w:tcBorders>
            <w:shd w:val="clear" w:color="auto" w:fill="auto"/>
            <w:noWrap/>
            <w:vAlign w:val="bottom"/>
            <w:hideMark/>
          </w:tcPr>
          <w:p w14:paraId="41B47540" w14:textId="77777777" w:rsidR="00AE3875" w:rsidRPr="00144822" w:rsidRDefault="00AE3875" w:rsidP="00EE32B5">
            <w:pPr>
              <w:tabs>
                <w:tab w:val="decimal" w:pos="132"/>
              </w:tabs>
              <w:rPr>
                <w:rFonts w:ascii="Times New Roman" w:hAnsi="Times New Roman" w:cs="Times New Roman"/>
              </w:rPr>
            </w:pPr>
            <w:r w:rsidRPr="00144822">
              <w:rPr>
                <w:rFonts w:ascii="Times New Roman" w:hAnsi="Times New Roman" w:cs="Times New Roman"/>
              </w:rPr>
              <w:t>1.02</w:t>
            </w:r>
          </w:p>
        </w:tc>
        <w:tc>
          <w:tcPr>
            <w:tcW w:w="1315" w:type="dxa"/>
            <w:tcBorders>
              <w:top w:val="nil"/>
              <w:left w:val="nil"/>
              <w:bottom w:val="single" w:sz="4" w:space="0" w:color="auto"/>
              <w:right w:val="nil"/>
            </w:tcBorders>
            <w:shd w:val="clear" w:color="auto" w:fill="auto"/>
            <w:noWrap/>
            <w:vAlign w:val="bottom"/>
            <w:hideMark/>
          </w:tcPr>
          <w:p w14:paraId="4302E19B" w14:textId="77777777" w:rsidR="00AE3875" w:rsidRPr="00144822" w:rsidRDefault="00AE3875" w:rsidP="00EE32B5">
            <w:pPr>
              <w:rPr>
                <w:rFonts w:ascii="Times New Roman" w:hAnsi="Times New Roman" w:cs="Times New Roman"/>
              </w:rPr>
            </w:pPr>
            <w:r w:rsidRPr="00144822">
              <w:rPr>
                <w:rFonts w:ascii="Times New Roman" w:hAnsi="Times New Roman" w:cs="Times New Roman"/>
              </w:rPr>
              <w:t>0.99 - 1.05</w:t>
            </w:r>
          </w:p>
        </w:tc>
      </w:tr>
    </w:tbl>
    <w:p w14:paraId="6D859BFC" w14:textId="77777777" w:rsidR="00AE3875" w:rsidRDefault="00AE3875" w:rsidP="00AE3875">
      <w:pPr>
        <w:rPr>
          <w:rFonts w:ascii="Times New Roman" w:eastAsiaTheme="minorEastAsia" w:hAnsi="Times New Roman" w:cs="Times New Roman"/>
        </w:rPr>
      </w:pPr>
      <w:r>
        <w:rPr>
          <w:rFonts w:ascii="Times New Roman" w:hAnsi="Times New Roman" w:cs="Times New Roman"/>
        </w:rPr>
        <w:t xml:space="preserve">Note: all models control for seasonal variability. * </w:t>
      </w:r>
      <w:r>
        <w:rPr>
          <w:rFonts w:ascii="Times New Roman" w:hAnsi="Times New Roman" w:cs="Times New Roman"/>
          <w:i/>
          <w:iCs/>
        </w:rPr>
        <w:t>p</w:t>
      </w:r>
      <w:r>
        <w:rPr>
          <w:rFonts w:ascii="Times New Roman" w:hAnsi="Times New Roman" w:cs="Times New Roman"/>
        </w:rPr>
        <w:t xml:space="preserve"> </w:t>
      </w:r>
      <m:oMath>
        <m:r>
          <w:rPr>
            <w:rFonts w:ascii="Cambria Math" w:hAnsi="Cambria Math" w:cs="Times New Roman"/>
          </w:rPr>
          <m:t>≤</m:t>
        </m:r>
      </m:oMath>
      <w:r>
        <w:rPr>
          <w:rFonts w:ascii="Times New Roman" w:eastAsiaTheme="minorEastAsia" w:hAnsi="Times New Roman" w:cs="Times New Roman"/>
        </w:rPr>
        <w:t xml:space="preserve"> .05, </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w:t>
      </w:r>
      <m:oMath>
        <m:r>
          <w:rPr>
            <w:rFonts w:ascii="Cambria Math" w:hAnsi="Cambria Math" w:cs="Times New Roman"/>
          </w:rPr>
          <m:t>≤</m:t>
        </m:r>
      </m:oMath>
      <w:r>
        <w:rPr>
          <w:rFonts w:ascii="Times New Roman" w:eastAsiaTheme="minorEastAsia" w:hAnsi="Times New Roman" w:cs="Times New Roman"/>
        </w:rPr>
        <w:t xml:space="preserve"> .01, </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w:t>
      </w:r>
      <m:oMath>
        <m:r>
          <w:rPr>
            <w:rFonts w:ascii="Cambria Math" w:hAnsi="Cambria Math" w:cs="Times New Roman"/>
          </w:rPr>
          <m:t>≤</m:t>
        </m:r>
      </m:oMath>
      <w:r>
        <w:rPr>
          <w:rFonts w:ascii="Times New Roman" w:eastAsiaTheme="minorEastAsia" w:hAnsi="Times New Roman" w:cs="Times New Roman"/>
        </w:rPr>
        <w:t xml:space="preserve"> .001.</w:t>
      </w:r>
    </w:p>
    <w:p w14:paraId="39BE0171" w14:textId="77777777" w:rsidR="00AE3875" w:rsidRDefault="00AE3875" w:rsidP="00AE3875">
      <w:pPr>
        <w:rPr>
          <w:rFonts w:ascii="Times New Roman" w:eastAsiaTheme="minorEastAsia" w:hAnsi="Times New Roman" w:cs="Times New Roman"/>
        </w:rPr>
      </w:pPr>
      <w:r>
        <w:rPr>
          <w:rFonts w:ascii="Times New Roman" w:eastAsiaTheme="minorEastAsia" w:hAnsi="Times New Roman" w:cs="Times New Roman"/>
        </w:rPr>
        <w:t>1.  Before COVID timeline = January 2019 through February 2020</w:t>
      </w:r>
    </w:p>
    <w:p w14:paraId="1A3A5CF3" w14:textId="494A1F4C" w:rsidR="00AE3875" w:rsidRPr="00AE3875" w:rsidRDefault="00AE3875" w:rsidP="00AE3875">
      <w:r>
        <w:rPr>
          <w:rFonts w:ascii="Times New Roman" w:eastAsiaTheme="minorEastAsia" w:hAnsi="Times New Roman" w:cs="Times New Roman"/>
        </w:rPr>
        <w:t>2.  During COVID timeline = March 2020 through December 2020 (with one-month lag)</w:t>
      </w:r>
    </w:p>
    <w:p w14:paraId="498D2F8F" w14:textId="77777777" w:rsidR="002E4FE3" w:rsidRPr="002E4FE3" w:rsidRDefault="002E4FE3" w:rsidP="002E4FE3"/>
    <w:p w14:paraId="22C4A98C" w14:textId="77777777" w:rsidR="002E4FE3" w:rsidRDefault="002E4FE3" w:rsidP="002E4FE3"/>
    <w:p w14:paraId="41E1D05A" w14:textId="77777777" w:rsidR="003A18E8" w:rsidRDefault="003A18E8" w:rsidP="002E4FE3"/>
    <w:p w14:paraId="7A61C952" w14:textId="77777777" w:rsidR="003A18E8" w:rsidRDefault="003A18E8" w:rsidP="002E4FE3"/>
    <w:p w14:paraId="7427AF39" w14:textId="77777777" w:rsidR="003A18E8" w:rsidRDefault="003A18E8" w:rsidP="002E4FE3"/>
    <w:p w14:paraId="3413EE64" w14:textId="77777777" w:rsidR="003A18E8" w:rsidRDefault="003A18E8" w:rsidP="002E4FE3"/>
    <w:p w14:paraId="40F40EF1" w14:textId="77777777" w:rsidR="003A18E8" w:rsidRDefault="003A18E8" w:rsidP="002E4FE3"/>
    <w:p w14:paraId="607347C6" w14:textId="77777777" w:rsidR="003A18E8" w:rsidRDefault="003A18E8" w:rsidP="002E4FE3"/>
    <w:p w14:paraId="1BEBBD57" w14:textId="77777777" w:rsidR="003A18E8" w:rsidRDefault="003A18E8" w:rsidP="002E4FE3"/>
    <w:p w14:paraId="40263925" w14:textId="77777777" w:rsidR="003A18E8" w:rsidRDefault="003A18E8" w:rsidP="002E4FE3"/>
    <w:p w14:paraId="483B1512" w14:textId="77777777" w:rsidR="003A18E8" w:rsidRDefault="003A18E8" w:rsidP="002E4FE3"/>
    <w:p w14:paraId="3E7373A7" w14:textId="77777777" w:rsidR="003A18E8" w:rsidRDefault="003A18E8" w:rsidP="002E4FE3"/>
    <w:p w14:paraId="276186E7" w14:textId="638110C6" w:rsidR="003A18E8" w:rsidRDefault="003A18E8" w:rsidP="002E4FE3">
      <w:r w:rsidRPr="004967A3">
        <w:rPr>
          <w:rFonts w:ascii="Times New Roman" w:hAnsi="Times New Roman" w:cs="Times New Roman"/>
          <w:b/>
          <w:bCs/>
          <w:noProof/>
        </w:rPr>
        <w:lastRenderedPageBreak/>
        <w:drawing>
          <wp:inline distT="0" distB="0" distL="0" distR="0" wp14:anchorId="696D795C" wp14:editId="5D074F49">
            <wp:extent cx="5934144" cy="5579110"/>
            <wp:effectExtent l="0" t="0" r="0" b="0"/>
            <wp:docPr id="6" name="Picture 6" descr="A graph of the number of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the number of states&#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934144" cy="5579110"/>
                    </a:xfrm>
                    <a:prstGeom prst="rect">
                      <a:avLst/>
                    </a:prstGeom>
                  </pic:spPr>
                </pic:pic>
              </a:graphicData>
            </a:graphic>
          </wp:inline>
        </w:drawing>
      </w:r>
    </w:p>
    <w:p w14:paraId="5925EBAA" w14:textId="77777777" w:rsidR="003A18E8" w:rsidRDefault="003A18E8" w:rsidP="003A18E8">
      <w:pPr>
        <w:rPr>
          <w:rFonts w:ascii="Times New Roman" w:hAnsi="Times New Roman" w:cs="Times New Roman"/>
          <w:b/>
          <w:bCs/>
        </w:rPr>
      </w:pPr>
    </w:p>
    <w:p w14:paraId="3B7CE14A" w14:textId="1C969D86" w:rsidR="003A18E8" w:rsidRDefault="003A18E8" w:rsidP="003A18E8">
      <w:pPr>
        <w:rPr>
          <w:rFonts w:ascii="Times New Roman" w:hAnsi="Times New Roman" w:cs="Times New Roman"/>
        </w:rPr>
      </w:pPr>
      <w:r>
        <w:rPr>
          <w:rFonts w:ascii="Times New Roman" w:hAnsi="Times New Roman" w:cs="Times New Roman"/>
          <w:b/>
          <w:bCs/>
        </w:rPr>
        <w:t xml:space="preserve">Supplemental </w:t>
      </w:r>
      <w:r>
        <w:rPr>
          <w:rFonts w:ascii="Times New Roman" w:hAnsi="Times New Roman" w:cs="Times New Roman"/>
          <w:b/>
          <w:bCs/>
        </w:rPr>
        <w:t xml:space="preserve">Figure 1. Monthly Trends in Emergency Department Visits per 1,000 Individuals with Sickle Cell Disease. </w:t>
      </w:r>
      <w:r>
        <w:rPr>
          <w:rFonts w:ascii="Times New Roman" w:hAnsi="Times New Roman" w:cs="Times New Roman"/>
        </w:rPr>
        <w:t>Black and red points represent the observed rate during the pre-pandemic and pandemic periods, respectively. Solid black lines represent the model-predicted rate before the start of the pandemic, solid red lines represent the model-predicted rate during the pandemic, and grey bands represent 95% confidence intervals. The grey shaded region represents the one-month lag associated with the model level change term. The purple shaded region represents the pandemic period.</w:t>
      </w:r>
    </w:p>
    <w:p w14:paraId="7D7958C3" w14:textId="77777777" w:rsidR="003A18E8" w:rsidRDefault="003A18E8" w:rsidP="003A18E8">
      <w:pPr>
        <w:rPr>
          <w:rFonts w:ascii="Times New Roman" w:hAnsi="Times New Roman" w:cs="Times New Roman"/>
        </w:rPr>
      </w:pPr>
    </w:p>
    <w:p w14:paraId="0075409C" w14:textId="77777777" w:rsidR="003A18E8" w:rsidRDefault="003A18E8" w:rsidP="003A18E8">
      <w:pPr>
        <w:rPr>
          <w:rFonts w:ascii="Times New Roman" w:hAnsi="Times New Roman" w:cs="Times New Roman"/>
        </w:rPr>
      </w:pPr>
    </w:p>
    <w:p w14:paraId="7CEB3931" w14:textId="77777777" w:rsidR="003A18E8" w:rsidRDefault="003A18E8" w:rsidP="003A18E8">
      <w:pPr>
        <w:rPr>
          <w:rFonts w:ascii="Times New Roman" w:hAnsi="Times New Roman" w:cs="Times New Roman"/>
        </w:rPr>
      </w:pPr>
    </w:p>
    <w:p w14:paraId="3B4CE0C0" w14:textId="77777777" w:rsidR="003A18E8" w:rsidRDefault="003A18E8" w:rsidP="003A18E8">
      <w:pPr>
        <w:rPr>
          <w:rFonts w:ascii="Times New Roman" w:hAnsi="Times New Roman" w:cs="Times New Roman"/>
        </w:rPr>
      </w:pPr>
    </w:p>
    <w:p w14:paraId="16814213" w14:textId="77777777" w:rsidR="003A18E8" w:rsidRDefault="003A18E8" w:rsidP="003A18E8">
      <w:pPr>
        <w:rPr>
          <w:rFonts w:ascii="Times New Roman" w:hAnsi="Times New Roman" w:cs="Times New Roman"/>
        </w:rPr>
      </w:pPr>
    </w:p>
    <w:p w14:paraId="1818CDE2" w14:textId="77777777" w:rsidR="003A18E8" w:rsidRDefault="003A18E8" w:rsidP="003A18E8">
      <w:pPr>
        <w:rPr>
          <w:rFonts w:ascii="Times New Roman" w:hAnsi="Times New Roman" w:cs="Times New Roman"/>
        </w:rPr>
      </w:pPr>
    </w:p>
    <w:p w14:paraId="157EFDBF" w14:textId="77777777" w:rsidR="003A18E8" w:rsidRDefault="003A18E8" w:rsidP="003A18E8">
      <w:pPr>
        <w:rPr>
          <w:rFonts w:ascii="Times New Roman" w:hAnsi="Times New Roman" w:cs="Times New Roman"/>
        </w:rPr>
      </w:pPr>
    </w:p>
    <w:p w14:paraId="01CE8875" w14:textId="511CC2F1" w:rsidR="003A18E8" w:rsidRDefault="003A18E8" w:rsidP="003A18E8">
      <w:pPr>
        <w:rPr>
          <w:rFonts w:ascii="Times New Roman" w:hAnsi="Times New Roman" w:cs="Times New Roman"/>
        </w:rPr>
      </w:pPr>
      <w:r w:rsidRPr="00CF5BF2">
        <w:rPr>
          <w:rFonts w:ascii="Times New Roman" w:hAnsi="Times New Roman" w:cs="Times New Roman"/>
          <w:b/>
          <w:bCs/>
          <w:noProof/>
        </w:rPr>
        <w:lastRenderedPageBreak/>
        <w:drawing>
          <wp:inline distT="0" distB="0" distL="0" distR="0" wp14:anchorId="576F7E34" wp14:editId="4A91DB22">
            <wp:extent cx="5937507" cy="5569585"/>
            <wp:effectExtent l="0" t="0" r="6350" b="5715"/>
            <wp:docPr id="7" name="Picture 7" descr="A graph of the number of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the number of states&#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937507" cy="5569585"/>
                    </a:xfrm>
                    <a:prstGeom prst="rect">
                      <a:avLst/>
                    </a:prstGeom>
                  </pic:spPr>
                </pic:pic>
              </a:graphicData>
            </a:graphic>
          </wp:inline>
        </w:drawing>
      </w:r>
    </w:p>
    <w:p w14:paraId="72C7C751" w14:textId="60672FDF" w:rsidR="003A18E8" w:rsidRDefault="003A18E8" w:rsidP="003A18E8">
      <w:pPr>
        <w:rPr>
          <w:rFonts w:ascii="Times New Roman" w:hAnsi="Times New Roman" w:cs="Times New Roman"/>
        </w:rPr>
      </w:pPr>
      <w:r>
        <w:rPr>
          <w:rFonts w:ascii="Times New Roman" w:hAnsi="Times New Roman" w:cs="Times New Roman"/>
          <w:b/>
          <w:bCs/>
        </w:rPr>
        <w:t xml:space="preserve">Supplemental </w:t>
      </w:r>
      <w:r>
        <w:rPr>
          <w:rFonts w:ascii="Times New Roman" w:hAnsi="Times New Roman" w:cs="Times New Roman"/>
          <w:b/>
          <w:bCs/>
        </w:rPr>
        <w:t xml:space="preserve">Figure 2. Monthly Trends in the Number of Individuals with One or More Emergency Department Visits, per 1,000 Individuals with Sickle Cell Disease. </w:t>
      </w:r>
      <w:r>
        <w:rPr>
          <w:rFonts w:ascii="Times New Roman" w:hAnsi="Times New Roman" w:cs="Times New Roman"/>
        </w:rPr>
        <w:t>Black and red points represent the observed rate during the pre-pandemic and pandemic periods, respectively. Solid black lines represent the model-predicted rate before the start of the pandemic, solid red lines represent the model-predicted rate during the pandemic, and grey bands represent 95% confidence intervals. The grey shaded region represents the one-month lag associated with the model level change term. The purple shaded region represents the pandemic period.</w:t>
      </w:r>
    </w:p>
    <w:p w14:paraId="44B51A89" w14:textId="77777777" w:rsidR="003A18E8" w:rsidRPr="00E55CFB" w:rsidRDefault="003A18E8" w:rsidP="003A18E8">
      <w:pPr>
        <w:rPr>
          <w:rFonts w:ascii="Times New Roman" w:hAnsi="Times New Roman" w:cs="Times New Roman"/>
        </w:rPr>
      </w:pPr>
    </w:p>
    <w:p w14:paraId="2EC44AF8" w14:textId="77777777" w:rsidR="003A18E8" w:rsidRPr="002E4FE3" w:rsidRDefault="003A18E8" w:rsidP="002E4FE3"/>
    <w:p w14:paraId="6DD5360A" w14:textId="77777777" w:rsidR="00850458" w:rsidRDefault="00850458"/>
    <w:sectPr w:rsidR="00850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FF07A8"/>
    <w:multiLevelType w:val="hybridMultilevel"/>
    <w:tmpl w:val="5AE67D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830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58"/>
    <w:rsid w:val="002468FA"/>
    <w:rsid w:val="002E4FE3"/>
    <w:rsid w:val="003A18E8"/>
    <w:rsid w:val="005A02AF"/>
    <w:rsid w:val="005D0C58"/>
    <w:rsid w:val="00850458"/>
    <w:rsid w:val="00A459CD"/>
    <w:rsid w:val="00AE3875"/>
    <w:rsid w:val="00D748C4"/>
    <w:rsid w:val="00D977B7"/>
    <w:rsid w:val="00F34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3E40"/>
  <w15:chartTrackingRefBased/>
  <w15:docId w15:val="{B6083B4A-DF6F-4FFB-9C7E-36FA1247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C58"/>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5D0C5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D0C5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D0C58"/>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D0C58"/>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D0C58"/>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D0C58"/>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D0C58"/>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D0C58"/>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D0C58"/>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C58"/>
    <w:rPr>
      <w:rFonts w:eastAsiaTheme="majorEastAsia" w:cstheme="majorBidi"/>
      <w:color w:val="272727" w:themeColor="text1" w:themeTint="D8"/>
    </w:rPr>
  </w:style>
  <w:style w:type="paragraph" w:styleId="Title">
    <w:name w:val="Title"/>
    <w:basedOn w:val="Normal"/>
    <w:next w:val="Normal"/>
    <w:link w:val="TitleChar"/>
    <w:uiPriority w:val="10"/>
    <w:qFormat/>
    <w:rsid w:val="005D0C5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D0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C58"/>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D0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C58"/>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D0C58"/>
    <w:rPr>
      <w:i/>
      <w:iCs/>
      <w:color w:val="404040" w:themeColor="text1" w:themeTint="BF"/>
    </w:rPr>
  </w:style>
  <w:style w:type="paragraph" w:styleId="ListParagraph">
    <w:name w:val="List Paragraph"/>
    <w:basedOn w:val="Normal"/>
    <w:uiPriority w:val="34"/>
    <w:qFormat/>
    <w:rsid w:val="005D0C58"/>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5D0C58"/>
    <w:rPr>
      <w:i/>
      <w:iCs/>
      <w:color w:val="0F4761" w:themeColor="accent1" w:themeShade="BF"/>
    </w:rPr>
  </w:style>
  <w:style w:type="paragraph" w:styleId="IntenseQuote">
    <w:name w:val="Intense Quote"/>
    <w:basedOn w:val="Normal"/>
    <w:next w:val="Normal"/>
    <w:link w:val="IntenseQuoteChar"/>
    <w:uiPriority w:val="30"/>
    <w:qFormat/>
    <w:rsid w:val="005D0C5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D0C58"/>
    <w:rPr>
      <w:i/>
      <w:iCs/>
      <w:color w:val="0F4761" w:themeColor="accent1" w:themeShade="BF"/>
    </w:rPr>
  </w:style>
  <w:style w:type="character" w:styleId="IntenseReference">
    <w:name w:val="Intense Reference"/>
    <w:basedOn w:val="DefaultParagraphFont"/>
    <w:uiPriority w:val="32"/>
    <w:qFormat/>
    <w:rsid w:val="005D0C58"/>
    <w:rPr>
      <w:b/>
      <w:bCs/>
      <w:smallCaps/>
      <w:color w:val="0F4761" w:themeColor="accent1" w:themeShade="BF"/>
      <w:spacing w:val="5"/>
    </w:rPr>
  </w:style>
  <w:style w:type="paragraph" w:styleId="Bibliography">
    <w:name w:val="Bibliography"/>
    <w:basedOn w:val="Normal"/>
    <w:next w:val="Normal"/>
    <w:uiPriority w:val="37"/>
    <w:semiHidden/>
    <w:unhideWhenUsed/>
    <w:rsid w:val="005A0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1566</Words>
  <Characters>8930</Characters>
  <Application>Microsoft Office Word</Application>
  <DocSecurity>0</DocSecurity>
  <Lines>74</Lines>
  <Paragraphs>20</Paragraphs>
  <ScaleCrop>false</ScaleCrop>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Kyle Attell</dc:creator>
  <cp:keywords/>
  <dc:description/>
  <cp:lastModifiedBy>Brandon Kyle Attell</cp:lastModifiedBy>
  <cp:revision>7</cp:revision>
  <dcterms:created xsi:type="dcterms:W3CDTF">2024-05-31T13:09:00Z</dcterms:created>
  <dcterms:modified xsi:type="dcterms:W3CDTF">2024-05-31T13:29:00Z</dcterms:modified>
</cp:coreProperties>
</file>