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AA9" w:rsidRDefault="00906AA9"/>
    <w:p w:rsidR="00906AA9" w:rsidRDefault="00906AA9" w:rsidP="00906AA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ciTBI overall:</w:t>
      </w:r>
      <w:r>
        <w:t xml:space="preserve"> 2/77 = </w:t>
      </w:r>
      <w:r>
        <w:rPr>
          <w:rStyle w:val="Strong"/>
        </w:rPr>
        <w:t>2.6%</w:t>
      </w:r>
      <w:r>
        <w:t xml:space="preserve"> (95% CI </w:t>
      </w:r>
      <w:r>
        <w:rPr>
          <w:rStyle w:val="Strong"/>
        </w:rPr>
        <w:t>0.3–9.1%</w:t>
      </w:r>
      <w:r>
        <w:t>).</w:t>
      </w:r>
    </w:p>
    <w:p w:rsidR="00906AA9" w:rsidRDefault="00906AA9" w:rsidP="00906AA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TBI among CT-imaged:</w:t>
      </w:r>
      <w:r>
        <w:t xml:space="preserve"> 18/23 = </w:t>
      </w:r>
      <w:r>
        <w:rPr>
          <w:rStyle w:val="Strong"/>
        </w:rPr>
        <w:t>78.3%</w:t>
      </w:r>
      <w:r>
        <w:t xml:space="preserve"> (95% CI </w:t>
      </w:r>
      <w:r>
        <w:rPr>
          <w:rStyle w:val="Strong"/>
        </w:rPr>
        <w:t>56.3–92.5%</w:t>
      </w:r>
      <w:r>
        <w:t>).</w:t>
      </w:r>
    </w:p>
    <w:p w:rsidR="00906AA9" w:rsidRDefault="00906AA9" w:rsidP="00906AA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Non-frontal scalp hematoma (CT subset):</w:t>
      </w:r>
      <w:r>
        <w:t xml:space="preserve"> OR </w:t>
      </w:r>
      <w:r>
        <w:rPr>
          <w:rStyle w:val="Strong"/>
        </w:rPr>
        <w:t>50.00</w:t>
      </w:r>
      <w:r>
        <w:t xml:space="preserve"> (95% CI </w:t>
      </w:r>
      <w:r>
        <w:rPr>
          <w:rStyle w:val="Strong"/>
        </w:rPr>
        <w:t>2.12–1178.94</w:t>
      </w:r>
      <w:r>
        <w:t xml:space="preserve">), Fisher </w:t>
      </w:r>
      <w:r>
        <w:rPr>
          <w:rStyle w:val="Strong"/>
        </w:rPr>
        <w:t>p=0.0017</w:t>
      </w:r>
      <w:r>
        <w:t>.</w:t>
      </w:r>
    </w:p>
    <w:p w:rsidR="00906AA9" w:rsidRDefault="00906AA9" w:rsidP="00906AA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Fall vs not-fall (CT subset):</w:t>
      </w:r>
      <w:r>
        <w:t xml:space="preserve"> OR </w:t>
      </w:r>
      <w:r>
        <w:rPr>
          <w:rStyle w:val="Strong"/>
        </w:rPr>
        <w:t>24.00</w:t>
      </w:r>
      <w:r>
        <w:t xml:space="preserve"> (95% CI </w:t>
      </w:r>
      <w:r>
        <w:rPr>
          <w:rStyle w:val="Strong"/>
        </w:rPr>
        <w:t>0.86–671.39</w:t>
      </w:r>
      <w:r>
        <w:t xml:space="preserve">), Fisher </w:t>
      </w:r>
      <w:r>
        <w:rPr>
          <w:rStyle w:val="Strong"/>
        </w:rPr>
        <w:t>p=0.0395</w:t>
      </w:r>
      <w:r>
        <w:t>.</w:t>
      </w:r>
    </w:p>
    <w:p w:rsidR="00906AA9" w:rsidRDefault="00906AA9" w:rsidP="00906AA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Fall distance ≥0.9 m vs &lt;0.9 m (CT subset):</w:t>
      </w:r>
      <w:r>
        <w:t xml:space="preserve"> OR </w:t>
      </w:r>
      <w:r>
        <w:rPr>
          <w:rStyle w:val="Strong"/>
        </w:rPr>
        <w:t>2.33</w:t>
      </w:r>
      <w:r>
        <w:t xml:space="preserve"> (95% CI </w:t>
      </w:r>
      <w:r>
        <w:rPr>
          <w:rStyle w:val="Strong"/>
        </w:rPr>
        <w:t>0.28–19.17</w:t>
      </w:r>
      <w:r>
        <w:t xml:space="preserve">), Fisher </w:t>
      </w:r>
      <w:r>
        <w:rPr>
          <w:rStyle w:val="Strong"/>
        </w:rPr>
        <w:t>p=0.576</w:t>
      </w:r>
      <w:r>
        <w:t>.</w:t>
      </w:r>
    </w:p>
    <w:p w:rsidR="00906AA9" w:rsidRDefault="00906AA9" w:rsidP="00906AA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Power (NFSH difference within CT subset):</w:t>
      </w:r>
      <w:r>
        <w:t xml:space="preserve"> </w:t>
      </w:r>
      <w:r>
        <w:rPr>
          <w:rStyle w:val="Strong"/>
        </w:rPr>
        <w:t>≈0.995</w:t>
      </w:r>
      <w:r>
        <w:t xml:space="preserve"> (two-proportion, α=0.05).</w:t>
      </w:r>
    </w:p>
    <w:p w:rsidR="00906AA9" w:rsidRDefault="005E5169">
      <w:r>
        <w:t xml:space="preserve">A Post-Hoc Power Analysis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6"/>
        <w:gridCol w:w="1190"/>
        <w:gridCol w:w="1047"/>
        <w:gridCol w:w="3261"/>
      </w:tblGrid>
      <w:tr w:rsidR="00906AA9" w:rsidRPr="00906AA9" w:rsidTr="00906AA9">
        <w:trPr>
          <w:trHeight w:val="165"/>
        </w:trPr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Metric</w:t>
            </w:r>
          </w:p>
        </w:tc>
        <w:tc>
          <w:tcPr>
            <w:tcW w:w="6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n</w:t>
            </w:r>
          </w:p>
        </w:tc>
        <w:tc>
          <w:tcPr>
            <w:tcW w:w="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Estimate</w:t>
            </w:r>
          </w:p>
        </w:tc>
        <w:tc>
          <w:tcPr>
            <w:tcW w:w="1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CI / Extra</w:t>
            </w:r>
          </w:p>
        </w:tc>
      </w:tr>
      <w:tr w:rsidR="00906AA9" w:rsidRPr="00906AA9" w:rsidTr="00906AA9">
        <w:trPr>
          <w:trHeight w:val="180"/>
        </w:trPr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ciTBI overall</w:t>
            </w:r>
          </w:p>
        </w:tc>
        <w:tc>
          <w:tcPr>
            <w:tcW w:w="6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2/77</w:t>
            </w:r>
          </w:p>
        </w:tc>
        <w:tc>
          <w:tcPr>
            <w:tcW w:w="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2.6%</w:t>
            </w:r>
          </w:p>
        </w:tc>
        <w:tc>
          <w:tcPr>
            <w:tcW w:w="1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0.3–9.1%</w:t>
            </w:r>
          </w:p>
        </w:tc>
      </w:tr>
      <w:tr w:rsidR="00906AA9" w:rsidRPr="00906AA9" w:rsidTr="00906AA9">
        <w:trPr>
          <w:trHeight w:val="165"/>
        </w:trPr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TBI among CT-imaged</w:t>
            </w:r>
          </w:p>
        </w:tc>
        <w:tc>
          <w:tcPr>
            <w:tcW w:w="6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18/23</w:t>
            </w:r>
          </w:p>
        </w:tc>
        <w:tc>
          <w:tcPr>
            <w:tcW w:w="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78.3%</w:t>
            </w:r>
          </w:p>
        </w:tc>
        <w:tc>
          <w:tcPr>
            <w:tcW w:w="1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56.3–92.5%</w:t>
            </w:r>
          </w:p>
        </w:tc>
      </w:tr>
      <w:tr w:rsidR="00906AA9" w:rsidRPr="00906AA9" w:rsidTr="00906AA9">
        <w:trPr>
          <w:trHeight w:val="165"/>
        </w:trPr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NFSH (CT subset) OR</w:t>
            </w:r>
          </w:p>
        </w:tc>
        <w:tc>
          <w:tcPr>
            <w:tcW w:w="6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2x2</w:t>
            </w:r>
          </w:p>
        </w:tc>
        <w:tc>
          <w:tcPr>
            <w:tcW w:w="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OR 50.00</w:t>
            </w:r>
          </w:p>
        </w:tc>
        <w:tc>
          <w:tcPr>
            <w:tcW w:w="1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95% CI 2.12–1178.94; p=0.001664</w:t>
            </w:r>
          </w:p>
        </w:tc>
      </w:tr>
      <w:tr w:rsidR="00906AA9" w:rsidRPr="00906AA9" w:rsidTr="00906AA9">
        <w:trPr>
          <w:trHeight w:val="165"/>
        </w:trPr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Fall vs Not-fall (CT) OR</w:t>
            </w:r>
          </w:p>
        </w:tc>
        <w:tc>
          <w:tcPr>
            <w:tcW w:w="6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2x2</w:t>
            </w:r>
          </w:p>
        </w:tc>
        <w:tc>
          <w:tcPr>
            <w:tcW w:w="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OR 24.00</w:t>
            </w:r>
          </w:p>
        </w:tc>
        <w:tc>
          <w:tcPr>
            <w:tcW w:w="1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95% CI 0.86–671.39; p=0.03953</w:t>
            </w:r>
          </w:p>
        </w:tc>
      </w:tr>
      <w:tr w:rsidR="00906AA9" w:rsidRPr="00906AA9" w:rsidTr="00906AA9">
        <w:trPr>
          <w:trHeight w:val="165"/>
        </w:trPr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Fall distance ≥0.9m vs &lt;0.9m (CT) OR</w:t>
            </w:r>
          </w:p>
        </w:tc>
        <w:tc>
          <w:tcPr>
            <w:tcW w:w="6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2x2</w:t>
            </w:r>
          </w:p>
        </w:tc>
        <w:tc>
          <w:tcPr>
            <w:tcW w:w="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OR 2.33</w:t>
            </w:r>
          </w:p>
        </w:tc>
        <w:tc>
          <w:tcPr>
            <w:tcW w:w="1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95% CI 0.28–19.17; p=0.5756</w:t>
            </w:r>
          </w:p>
        </w:tc>
      </w:tr>
      <w:tr w:rsidR="00906AA9" w:rsidRPr="00906AA9" w:rsidTr="00906AA9">
        <w:trPr>
          <w:trHeight w:val="165"/>
        </w:trPr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Achieved power (NFSH diff, CT subset)</w:t>
            </w:r>
          </w:p>
        </w:tc>
        <w:tc>
          <w:tcPr>
            <w:tcW w:w="6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n1=18, n2=5</w:t>
            </w:r>
          </w:p>
        </w:tc>
        <w:tc>
          <w:tcPr>
            <w:tcW w:w="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Helvetica" w:eastAsia="Times New Roman" w:hAnsi="Helvetica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06AA9" w:rsidRPr="00906AA9" w:rsidRDefault="00906AA9" w:rsidP="00906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06AA9">
              <w:rPr>
                <w:rFonts w:ascii="Helvetica Neue" w:eastAsia="Times New Roman" w:hAnsi="Helvetica Neue" w:cs="Times New Roman"/>
                <w:color w:val="000000"/>
                <w:kern w:val="0"/>
                <w:sz w:val="15"/>
                <w:szCs w:val="15"/>
                <w14:ligatures w14:val="none"/>
              </w:rPr>
              <w:t>0.995</w:t>
            </w:r>
          </w:p>
        </w:tc>
      </w:tr>
    </w:tbl>
    <w:p w:rsidR="00906AA9" w:rsidRDefault="00906AA9"/>
    <w:p w:rsidR="00A843E3" w:rsidRDefault="00A843E3"/>
    <w:sectPr w:rsidR="00A843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A9"/>
    <w:rsid w:val="00191208"/>
    <w:rsid w:val="0020551F"/>
    <w:rsid w:val="00221E68"/>
    <w:rsid w:val="0058212F"/>
    <w:rsid w:val="005E5169"/>
    <w:rsid w:val="00906AA9"/>
    <w:rsid w:val="00A843E3"/>
    <w:rsid w:val="00AD1790"/>
    <w:rsid w:val="00F3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B7457"/>
  <w15:chartTrackingRefBased/>
  <w15:docId w15:val="{91C5460D-3FA6-B244-9EFF-355FF169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6AA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06A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106</Words>
  <Characters>754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Yara AlGoraini</dc:creator>
  <cp:keywords/>
  <dc:description/>
  <cp:lastModifiedBy>Yara AlGoraini</cp:lastModifiedBy>
  <cp:revision>2</cp:revision>
  <dcterms:created xsi:type="dcterms:W3CDTF">2025-10-01T10:10:00Z</dcterms:created>
  <dcterms:modified xsi:type="dcterms:W3CDTF">2025-10-04T18:38:00Z</dcterms:modified>
</cp:coreProperties>
</file>