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6276" w14:textId="77777777" w:rsidR="00E43BBB" w:rsidRPr="00E43BBB" w:rsidRDefault="00E43BBB" w:rsidP="00E43BBB">
      <w:pPr>
        <w:snapToGrid w:val="0"/>
        <w:spacing w:afterLines="100" w:after="312" w:line="480" w:lineRule="auto"/>
        <w:jc w:val="center"/>
        <w:rPr>
          <w:rFonts w:ascii="Times New Roman" w:eastAsia="宋体" w:hAnsi="Times New Roman" w:cs="Times New Roman"/>
          <w:b/>
          <w:bCs/>
          <w:sz w:val="22"/>
        </w:rPr>
      </w:pPr>
      <w:r w:rsidRPr="00E43BBB">
        <w:rPr>
          <w:rFonts w:ascii="Times New Roman" w:eastAsia="Times New Roman" w:hAnsi="Times New Roman" w:cs="Times New Roman"/>
          <w:b/>
          <w:bCs/>
          <w:sz w:val="22"/>
        </w:rPr>
        <w:t xml:space="preserve">Dynamic thrombocytopenia following cardiac arrest is associated with systemic inflammation and predicts </w:t>
      </w:r>
      <w:bookmarkStart w:id="0" w:name="_Hlk215173885"/>
      <w:r w:rsidRPr="00E43BBB">
        <w:rPr>
          <w:rFonts w:ascii="Times New Roman" w:eastAsia="Times New Roman" w:hAnsi="Times New Roman" w:cs="Times New Roman"/>
          <w:b/>
          <w:bCs/>
          <w:sz w:val="22"/>
        </w:rPr>
        <w:t>increased</w:t>
      </w:r>
      <w:bookmarkEnd w:id="0"/>
      <w:r w:rsidRPr="00E43BBB">
        <w:rPr>
          <w:rFonts w:ascii="Times New Roman" w:eastAsia="Times New Roman" w:hAnsi="Times New Roman" w:cs="Times New Roman"/>
          <w:b/>
          <w:bCs/>
          <w:sz w:val="22"/>
        </w:rPr>
        <w:t xml:space="preserve"> mortality</w:t>
      </w:r>
    </w:p>
    <w:p w14:paraId="504023AE" w14:textId="77777777" w:rsidR="00E43BBB" w:rsidRPr="00E43BBB" w:rsidRDefault="00E43BBB" w:rsidP="00E43BBB">
      <w:pPr>
        <w:snapToGrid w:val="0"/>
        <w:spacing w:afterLines="1500" w:after="4680" w:line="480" w:lineRule="auto"/>
        <w:contextualSpacing/>
        <w:rPr>
          <w:rFonts w:ascii="Times New Roman" w:eastAsia="宋体" w:hAnsi="Times New Roman" w:cs="Times New Roman"/>
          <w:sz w:val="22"/>
          <w:szCs w:val="24"/>
          <w:vertAlign w:val="superscript"/>
        </w:rPr>
      </w:pPr>
      <w:proofErr w:type="spellStart"/>
      <w:r w:rsidRPr="00E43BBB">
        <w:rPr>
          <w:rFonts w:ascii="Times New Roman" w:eastAsia="宋体" w:hAnsi="Times New Roman" w:cs="Times New Roman" w:hint="eastAsia"/>
          <w:sz w:val="22"/>
          <w:szCs w:val="24"/>
        </w:rPr>
        <w:t>Gaolei</w:t>
      </w:r>
      <w:proofErr w:type="spellEnd"/>
      <w:r w:rsidRPr="00E43BBB">
        <w:rPr>
          <w:rFonts w:ascii="Times New Roman" w:eastAsia="宋体" w:hAnsi="Times New Roman" w:cs="Times New Roman" w:hint="eastAsia"/>
          <w:sz w:val="22"/>
          <w:szCs w:val="24"/>
        </w:rPr>
        <w:t xml:space="preserve"> Sun</w:t>
      </w:r>
      <w:r w:rsidRPr="00E43BBB">
        <w:rPr>
          <w:rFonts w:ascii="Times New Roman" w:eastAsia="宋体" w:hAnsi="Times New Roman" w:cs="Times New Roman"/>
          <w:sz w:val="22"/>
          <w:szCs w:val="24"/>
          <w:vertAlign w:val="superscript"/>
        </w:rPr>
        <w:t>1</w:t>
      </w:r>
      <w:r w:rsidRPr="00E43BBB">
        <w:rPr>
          <w:rFonts w:ascii="Times New Roman" w:eastAsia="宋体" w:hAnsi="Times New Roman" w:cs="Times New Roman" w:hint="eastAsia"/>
          <w:sz w:val="22"/>
          <w:szCs w:val="24"/>
          <w:vertAlign w:val="superscript"/>
        </w:rPr>
        <w:t>,#</w:t>
      </w:r>
      <w:r w:rsidRPr="00E43BBB">
        <w:rPr>
          <w:rFonts w:ascii="Times New Roman" w:eastAsia="宋体" w:hAnsi="Times New Roman" w:cs="Times New Roman"/>
          <w:sz w:val="22"/>
          <w:szCs w:val="24"/>
        </w:rPr>
        <w:t xml:space="preserve">, </w:t>
      </w:r>
      <w:proofErr w:type="spellStart"/>
      <w:r w:rsidRPr="00E43BBB">
        <w:rPr>
          <w:rFonts w:ascii="Times New Roman" w:eastAsia="宋体" w:hAnsi="Times New Roman" w:cs="Times New Roman" w:hint="eastAsia"/>
          <w:sz w:val="22"/>
          <w:szCs w:val="24"/>
        </w:rPr>
        <w:t>Ayijiang</w:t>
      </w:r>
      <w:proofErr w:type="spellEnd"/>
      <w:r w:rsidRPr="00E43BBB">
        <w:rPr>
          <w:rFonts w:ascii="Times New Roman" w:eastAsia="宋体" w:hAnsi="Times New Roman" w:cs="Times New Roman" w:hint="eastAsia"/>
          <w:sz w:val="22"/>
          <w:szCs w:val="24"/>
        </w:rPr>
        <w:t xml:space="preserve"> </w:t>
      </w:r>
      <w:proofErr w:type="spellStart"/>
      <w:r w:rsidRPr="00E43BBB">
        <w:rPr>
          <w:rFonts w:ascii="Times New Roman" w:eastAsia="宋体" w:hAnsi="Times New Roman" w:cs="Times New Roman" w:hint="eastAsia"/>
          <w:sz w:val="22"/>
          <w:szCs w:val="24"/>
        </w:rPr>
        <w:t>Jiamaliding</w:t>
      </w:r>
      <w:proofErr w:type="spellEnd"/>
      <w:r w:rsidRPr="00E43BBB">
        <w:rPr>
          <w:rFonts w:ascii="Times New Roman" w:eastAsia="宋体" w:hAnsi="Times New Roman" w:cs="Times New Roman"/>
          <w:sz w:val="22"/>
          <w:szCs w:val="24"/>
        </w:rPr>
        <w:t xml:space="preserve"> </w:t>
      </w:r>
      <w:r w:rsidRPr="00E43BBB">
        <w:rPr>
          <w:rFonts w:ascii="Times New Roman" w:eastAsia="宋体" w:hAnsi="Times New Roman" w:cs="Times New Roman" w:hint="eastAsia"/>
          <w:sz w:val="22"/>
          <w:szCs w:val="24"/>
          <w:vertAlign w:val="superscript"/>
        </w:rPr>
        <w:t>1,#</w:t>
      </w:r>
      <w:r w:rsidRPr="00E43BBB">
        <w:rPr>
          <w:rFonts w:ascii="Times New Roman" w:eastAsia="宋体" w:hAnsi="Times New Roman" w:cs="Times New Roman"/>
          <w:sz w:val="22"/>
          <w:szCs w:val="24"/>
        </w:rPr>
        <w:t xml:space="preserve">, </w:t>
      </w:r>
      <w:proofErr w:type="spellStart"/>
      <w:r w:rsidRPr="00E43BBB">
        <w:rPr>
          <w:rFonts w:ascii="Times New Roman" w:eastAsia="宋体" w:hAnsi="Times New Roman" w:cs="Times New Roman"/>
          <w:sz w:val="22"/>
          <w:szCs w:val="24"/>
        </w:rPr>
        <w:t>Qingbian</w:t>
      </w:r>
      <w:proofErr w:type="spellEnd"/>
      <w:r w:rsidRPr="00E43BBB">
        <w:rPr>
          <w:rFonts w:ascii="Times New Roman" w:eastAsia="宋体" w:hAnsi="Times New Roman" w:cs="Times New Roman"/>
          <w:sz w:val="22"/>
          <w:szCs w:val="24"/>
        </w:rPr>
        <w:t xml:space="preserve"> Ma</w:t>
      </w:r>
      <w:r w:rsidRPr="00E43BBB">
        <w:rPr>
          <w:rFonts w:ascii="Times New Roman" w:eastAsia="宋体" w:hAnsi="Times New Roman" w:cs="Times New Roman"/>
          <w:sz w:val="22"/>
          <w:szCs w:val="24"/>
          <w:vertAlign w:val="superscript"/>
        </w:rPr>
        <w:t xml:space="preserve">1, </w:t>
      </w:r>
      <w:r w:rsidRPr="00E43BBB">
        <w:rPr>
          <w:rFonts w:ascii="Times New Roman" w:eastAsia="宋体" w:hAnsi="Times New Roman" w:cs="Times New Roman"/>
          <w:sz w:val="22"/>
          <w:szCs w:val="24"/>
          <w:vertAlign w:val="superscript"/>
        </w:rPr>
        <w:sym w:font="Wingdings" w:char="F02A"/>
      </w:r>
    </w:p>
    <w:p w14:paraId="47A5B53F" w14:textId="77777777" w:rsidR="00E43BBB" w:rsidRPr="00E43BBB" w:rsidRDefault="00E43BBB" w:rsidP="00E43BBB">
      <w:pPr>
        <w:snapToGrid w:val="0"/>
        <w:spacing w:afterLines="1500" w:after="4680" w:line="480" w:lineRule="auto"/>
        <w:contextualSpacing/>
        <w:rPr>
          <w:rFonts w:ascii="Times New Roman" w:eastAsia="宋体" w:hAnsi="Times New Roman" w:cs="Times New Roman"/>
          <w:bCs/>
          <w:sz w:val="22"/>
          <w:szCs w:val="24"/>
        </w:rPr>
      </w:pPr>
      <w:bookmarkStart w:id="1" w:name="_Hlk36051533"/>
      <w:r w:rsidRPr="00E43BBB">
        <w:rPr>
          <w:rFonts w:ascii="Times New Roman" w:eastAsia="宋体" w:hAnsi="Times New Roman" w:cs="Times New Roman"/>
          <w:bCs/>
          <w:sz w:val="22"/>
          <w:szCs w:val="24"/>
          <w:vertAlign w:val="superscript"/>
        </w:rPr>
        <w:t xml:space="preserve">1 </w:t>
      </w:r>
      <w:r w:rsidRPr="00E43BBB">
        <w:rPr>
          <w:rFonts w:ascii="Times New Roman" w:eastAsia="宋体" w:hAnsi="Times New Roman" w:cs="Times New Roman"/>
          <w:bCs/>
          <w:sz w:val="22"/>
          <w:szCs w:val="24"/>
        </w:rPr>
        <w:t xml:space="preserve">Department of Emergency Medicine, Peking University Third Hospital, </w:t>
      </w:r>
      <w:bookmarkStart w:id="2" w:name="_Hlk215607346"/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No. 49 Huayuan North Road, </w:t>
      </w:r>
      <w:proofErr w:type="spellStart"/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>Haidian</w:t>
      </w:r>
      <w:proofErr w:type="spellEnd"/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District, Beijing 100191, China</w:t>
      </w:r>
    </w:p>
    <w:p w14:paraId="3B270AC1" w14:textId="77777777" w:rsidR="00E43BBB" w:rsidRPr="00E43BBB" w:rsidRDefault="00E43BBB" w:rsidP="00E43BBB">
      <w:pPr>
        <w:snapToGrid w:val="0"/>
        <w:spacing w:afterLines="1500" w:after="4680" w:line="480" w:lineRule="auto"/>
        <w:contextualSpacing/>
        <w:rPr>
          <w:rFonts w:ascii="Times New Roman" w:eastAsia="宋体" w:hAnsi="Times New Roman" w:cs="Times New Roman"/>
          <w:b/>
          <w:bCs/>
          <w:sz w:val="22"/>
          <w:szCs w:val="24"/>
        </w:rPr>
      </w:pPr>
      <w:bookmarkStart w:id="3" w:name="OLE_LINK17"/>
      <w:bookmarkEnd w:id="1"/>
      <w:bookmarkEnd w:id="2"/>
      <w:r w:rsidRPr="00E43BBB">
        <w:rPr>
          <w:rFonts w:ascii="Times New Roman" w:eastAsia="宋体" w:hAnsi="Times New Roman" w:cs="Times New Roman" w:hint="eastAsia"/>
          <w:sz w:val="22"/>
          <w:szCs w:val="24"/>
        </w:rPr>
        <w:t xml:space="preserve"># </w:t>
      </w:r>
      <w:r w:rsidRPr="00E43BBB">
        <w:rPr>
          <w:rFonts w:ascii="Times New Roman" w:eastAsia="宋体" w:hAnsi="Times New Roman" w:cs="Times New Roman" w:hint="eastAsia"/>
          <w:b/>
          <w:bCs/>
          <w:sz w:val="22"/>
          <w:szCs w:val="24"/>
        </w:rPr>
        <w:t>These authors make an equal contribution</w:t>
      </w:r>
    </w:p>
    <w:bookmarkEnd w:id="3"/>
    <w:p w14:paraId="63D451EC" w14:textId="77777777" w:rsidR="00E43BBB" w:rsidRPr="00E43BBB" w:rsidRDefault="00E43BBB" w:rsidP="00E43BBB">
      <w:pPr>
        <w:snapToGrid w:val="0"/>
        <w:spacing w:afterLines="1500" w:after="4680" w:line="480" w:lineRule="auto"/>
        <w:contextualSpacing/>
        <w:rPr>
          <w:rFonts w:ascii="Times New Roman" w:eastAsia="宋体" w:hAnsi="Times New Roman" w:cs="Times New Roman"/>
          <w:bCs/>
          <w:sz w:val="22"/>
          <w:szCs w:val="24"/>
        </w:rPr>
      </w:pPr>
      <w:r w:rsidRPr="00E43BBB">
        <w:rPr>
          <w:rFonts w:ascii="Times New Roman" w:eastAsia="宋体" w:hAnsi="Times New Roman" w:cs="Times New Roman"/>
          <w:sz w:val="22"/>
          <w:szCs w:val="24"/>
          <w:vertAlign w:val="superscript"/>
        </w:rPr>
        <w:sym w:font="Wingdings" w:char="F02A"/>
      </w:r>
      <w:r w:rsidRPr="00E43BBB">
        <w:rPr>
          <w:rFonts w:ascii="Times New Roman" w:eastAsia="宋体" w:hAnsi="Times New Roman" w:cs="Times New Roman"/>
          <w:b/>
          <w:sz w:val="22"/>
          <w:szCs w:val="24"/>
        </w:rPr>
        <w:t>Correspondence author:</w:t>
      </w:r>
      <w:r w:rsidRPr="00E43BBB">
        <w:rPr>
          <w:rFonts w:ascii="Times New Roman" w:eastAsia="宋体" w:hAnsi="Times New Roman" w:cs="Times New Roman"/>
          <w:bCs/>
          <w:sz w:val="22"/>
          <w:szCs w:val="24"/>
        </w:rPr>
        <w:t xml:space="preserve"> </w:t>
      </w:r>
    </w:p>
    <w:p w14:paraId="4EAC574B" w14:textId="77777777" w:rsidR="00E43BBB" w:rsidRDefault="00E43BBB" w:rsidP="00E43BBB">
      <w:pPr>
        <w:snapToGrid w:val="0"/>
        <w:spacing w:afterLines="1500" w:after="4680" w:line="480" w:lineRule="auto"/>
        <w:contextualSpacing/>
        <w:rPr>
          <w:rFonts w:ascii="Times New Roman" w:eastAsia="宋体" w:hAnsi="Times New Roman" w:cs="Times New Roman"/>
          <w:bCs/>
          <w:sz w:val="22"/>
          <w:szCs w:val="24"/>
        </w:rPr>
      </w:pPr>
      <w:proofErr w:type="spellStart"/>
      <w:r w:rsidRPr="00E43BBB">
        <w:rPr>
          <w:rFonts w:ascii="Times New Roman" w:eastAsia="宋体" w:hAnsi="Times New Roman" w:cs="Times New Roman"/>
          <w:sz w:val="22"/>
          <w:szCs w:val="24"/>
        </w:rPr>
        <w:t>Qingbian</w:t>
      </w:r>
      <w:proofErr w:type="spellEnd"/>
      <w:r w:rsidRPr="00E43BBB">
        <w:rPr>
          <w:rFonts w:ascii="Times New Roman" w:eastAsia="宋体" w:hAnsi="Times New Roman" w:cs="Times New Roman"/>
          <w:sz w:val="22"/>
          <w:szCs w:val="24"/>
        </w:rPr>
        <w:t xml:space="preserve"> Ma,</w:t>
      </w:r>
      <w:r w:rsidRPr="00E43BBB">
        <w:rPr>
          <w:rFonts w:ascii="Times New Roman" w:eastAsia="宋体" w:hAnsi="Times New Roman" w:cs="Times New Roman"/>
          <w:bCs/>
          <w:sz w:val="22"/>
          <w:szCs w:val="24"/>
        </w:rPr>
        <w:t xml:space="preserve"> Department of Emergency Medicine, Peking University Third Hospital, </w:t>
      </w:r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No. 49 Huayuan North Road, </w:t>
      </w:r>
      <w:proofErr w:type="spellStart"/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>Haidian</w:t>
      </w:r>
      <w:proofErr w:type="spellEnd"/>
      <w:r w:rsidRPr="00E43BBB">
        <w:rPr>
          <w:rFonts w:ascii="Times New Roman" w:eastAsia="宋体" w:hAnsi="Times New Roman" w:cs="Times New Roman" w:hint="eastAsia"/>
          <w:bCs/>
          <w:sz w:val="22"/>
          <w:szCs w:val="24"/>
        </w:rPr>
        <w:t xml:space="preserve"> District, Beijing 100191, China.</w:t>
      </w:r>
    </w:p>
    <w:p w14:paraId="7CD141DA" w14:textId="07B69FE0" w:rsidR="00E43BBB" w:rsidRPr="00E43BBB" w:rsidRDefault="00E43BBB" w:rsidP="00E43BBB">
      <w:pPr>
        <w:snapToGrid w:val="0"/>
        <w:spacing w:afterLines="2800" w:after="8736" w:line="480" w:lineRule="auto"/>
        <w:contextualSpacing/>
        <w:rPr>
          <w:rFonts w:ascii="Times New Roman" w:eastAsia="宋体" w:hAnsi="Times New Roman" w:cs="Times New Roman" w:hint="eastAsia"/>
          <w:bCs/>
          <w:sz w:val="22"/>
          <w:szCs w:val="24"/>
        </w:rPr>
      </w:pPr>
      <w:r w:rsidRPr="00E43BBB">
        <w:rPr>
          <w:rFonts w:ascii="Times New Roman" w:eastAsia="宋体" w:hAnsi="Times New Roman" w:cs="Times New Roman"/>
          <w:bCs/>
          <w:sz w:val="22"/>
          <w:szCs w:val="24"/>
        </w:rPr>
        <w:t>E-mail: maqingbian@126.com</w:t>
      </w:r>
    </w:p>
    <w:p w14:paraId="3446FD75" w14:textId="2942A56E" w:rsidR="008A3907" w:rsidRPr="002E72F8" w:rsidRDefault="002E72F8" w:rsidP="002E72F8">
      <w:pPr>
        <w:pStyle w:val="LetPub52TableBody"/>
        <w:rPr>
          <w:bCs/>
          <w:sz w:val="22"/>
          <w:szCs w:val="22"/>
        </w:rPr>
      </w:pPr>
      <w:r w:rsidRPr="002E72F8">
        <w:rPr>
          <w:rFonts w:hint="eastAsia"/>
          <w:b/>
          <w:sz w:val="22"/>
          <w:szCs w:val="22"/>
        </w:rPr>
        <w:lastRenderedPageBreak/>
        <w:t xml:space="preserve">Table S1 </w:t>
      </w:r>
      <w:r w:rsidRPr="002E72F8">
        <w:rPr>
          <w:rFonts w:hint="eastAsia"/>
          <w:bCs/>
          <w:sz w:val="22"/>
          <w:szCs w:val="22"/>
        </w:rPr>
        <w:t>Comparison of Baseline Demographics and Cardiac Arrest Characteristics Between the Cytokine Subgroup and the Total Cohort.</w:t>
      </w:r>
    </w:p>
    <w:tbl>
      <w:tblPr>
        <w:tblStyle w:val="1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0"/>
        <w:gridCol w:w="1640"/>
        <w:gridCol w:w="1640"/>
        <w:gridCol w:w="1636"/>
      </w:tblGrid>
      <w:tr w:rsidR="002E72F8" w:rsidRPr="002A637E" w14:paraId="6ED1F7ED" w14:textId="77777777" w:rsidTr="005976A2">
        <w:trPr>
          <w:trHeight w:val="227"/>
        </w:trPr>
        <w:tc>
          <w:tcPr>
            <w:tcW w:w="20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A82E00" w14:textId="77777777" w:rsidR="002E72F8" w:rsidRPr="002A637E" w:rsidRDefault="002E72F8" w:rsidP="005976A2">
            <w:pPr>
              <w:snapToGrid w:val="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F9B9BA" w14:textId="77777777" w:rsidR="002E72F8" w:rsidRPr="002A637E" w:rsidRDefault="002E72F8" w:rsidP="005976A2">
            <w:pPr>
              <w:snapToGrid w:val="0"/>
              <w:contextualSpacing/>
              <w:jc w:val="center"/>
              <w:rPr>
                <w:rFonts w:ascii="Times New Roman" w:eastAsia="微软雅黑 Light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b/>
                <w:bCs/>
                <w:sz w:val="18"/>
                <w:szCs w:val="18"/>
              </w:rPr>
              <w:t>Subgroup N=18</w:t>
            </w:r>
          </w:p>
        </w:tc>
        <w:tc>
          <w:tcPr>
            <w:tcW w:w="98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56D4A3" w14:textId="77777777" w:rsidR="002E72F8" w:rsidRPr="002A637E" w:rsidRDefault="002E72F8" w:rsidP="005976A2">
            <w:pPr>
              <w:snapToGrid w:val="0"/>
              <w:contextualSpacing/>
              <w:jc w:val="center"/>
              <w:rPr>
                <w:rFonts w:ascii="Times New Roman" w:eastAsia="微软雅黑 Light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b/>
                <w:bCs/>
                <w:sz w:val="18"/>
                <w:szCs w:val="18"/>
              </w:rPr>
              <w:t>All N=198</w:t>
            </w:r>
          </w:p>
        </w:tc>
        <w:tc>
          <w:tcPr>
            <w:tcW w:w="98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28304E" w14:textId="77777777" w:rsidR="002E72F8" w:rsidRPr="002A637E" w:rsidRDefault="002E72F8" w:rsidP="005976A2">
            <w:pPr>
              <w:snapToGrid w:val="0"/>
              <w:contextualSpacing/>
              <w:jc w:val="center"/>
              <w:rPr>
                <w:rFonts w:ascii="Times New Roman" w:eastAsia="微软雅黑 Light" w:hAnsi="Times New Roman"/>
                <w:b/>
                <w:bCs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2E72F8" w:rsidRPr="002A637E" w14:paraId="2519854A" w14:textId="77777777" w:rsidTr="005976A2">
        <w:trPr>
          <w:trHeight w:val="227"/>
        </w:trPr>
        <w:tc>
          <w:tcPr>
            <w:tcW w:w="2041" w:type="pct"/>
            <w:tcBorders>
              <w:top w:val="single" w:sz="8" w:space="0" w:color="auto"/>
            </w:tcBorders>
            <w:vAlign w:val="center"/>
          </w:tcPr>
          <w:p w14:paraId="082125E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bookmarkStart w:id="4" w:name="_Hlk205017123"/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Age, year, median (IQR)</w:t>
            </w:r>
          </w:p>
        </w:tc>
        <w:tc>
          <w:tcPr>
            <w:tcW w:w="987" w:type="pct"/>
            <w:tcBorders>
              <w:top w:val="single" w:sz="8" w:space="0" w:color="auto"/>
            </w:tcBorders>
            <w:vAlign w:val="center"/>
          </w:tcPr>
          <w:p w14:paraId="7AB7CA7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036AEA">
              <w:rPr>
                <w:rFonts w:ascii="Times New Roman" w:eastAsia="微软雅黑 Light" w:hAnsi="Times New Roman" w:hint="eastAsia"/>
                <w:sz w:val="18"/>
                <w:szCs w:val="18"/>
              </w:rPr>
              <w:t>64.0 [48.5;72.8]</w:t>
            </w:r>
          </w:p>
        </w:tc>
        <w:tc>
          <w:tcPr>
            <w:tcW w:w="987" w:type="pct"/>
            <w:tcBorders>
              <w:top w:val="single" w:sz="8" w:space="0" w:color="auto"/>
            </w:tcBorders>
            <w:vAlign w:val="center"/>
          </w:tcPr>
          <w:p w14:paraId="77DFE06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036AEA">
              <w:rPr>
                <w:rFonts w:ascii="Times New Roman" w:eastAsia="微软雅黑 Light" w:hAnsi="Times New Roman" w:hint="eastAsia"/>
                <w:sz w:val="18"/>
                <w:szCs w:val="18"/>
              </w:rPr>
              <w:t>67.0 [52.0;78.0]</w:t>
            </w:r>
          </w:p>
        </w:tc>
        <w:tc>
          <w:tcPr>
            <w:tcW w:w="985" w:type="pct"/>
            <w:tcBorders>
              <w:top w:val="single" w:sz="8" w:space="0" w:color="auto"/>
            </w:tcBorders>
            <w:vAlign w:val="center"/>
          </w:tcPr>
          <w:p w14:paraId="62B06B8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0.751</w:t>
            </w:r>
          </w:p>
        </w:tc>
      </w:tr>
      <w:bookmarkEnd w:id="4"/>
      <w:tr w:rsidR="002E72F8" w:rsidRPr="002A637E" w14:paraId="7D7EF365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F1B35A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Male, n(%)</w:t>
            </w:r>
          </w:p>
        </w:tc>
        <w:tc>
          <w:tcPr>
            <w:tcW w:w="987" w:type="pct"/>
            <w:vAlign w:val="center"/>
          </w:tcPr>
          <w:p w14:paraId="31E65CB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036AEA">
              <w:rPr>
                <w:rFonts w:ascii="Times New Roman" w:eastAsia="微软雅黑 Light" w:hAnsi="Times New Roman" w:hint="eastAsia"/>
                <w:sz w:val="18"/>
                <w:szCs w:val="18"/>
              </w:rPr>
              <w:t>11 (61.1%)</w:t>
            </w:r>
          </w:p>
        </w:tc>
        <w:tc>
          <w:tcPr>
            <w:tcW w:w="987" w:type="pct"/>
            <w:vAlign w:val="center"/>
          </w:tcPr>
          <w:p w14:paraId="6D7F23B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128 (64.6%)</w:t>
            </w:r>
          </w:p>
        </w:tc>
        <w:tc>
          <w:tcPr>
            <w:tcW w:w="985" w:type="pct"/>
            <w:vAlign w:val="center"/>
          </w:tcPr>
          <w:p w14:paraId="418A9B9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0.966</w:t>
            </w:r>
          </w:p>
        </w:tc>
      </w:tr>
      <w:tr w:rsidR="002E72F8" w:rsidRPr="002A637E" w14:paraId="5DE98EC7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0A4C7536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Comorbidities</w:t>
            </w:r>
          </w:p>
        </w:tc>
        <w:tc>
          <w:tcPr>
            <w:tcW w:w="987" w:type="pct"/>
            <w:vAlign w:val="center"/>
          </w:tcPr>
          <w:p w14:paraId="3239547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7" w:type="pct"/>
            <w:vAlign w:val="center"/>
          </w:tcPr>
          <w:p w14:paraId="5C6AF7E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5" w:type="pct"/>
            <w:vAlign w:val="center"/>
          </w:tcPr>
          <w:p w14:paraId="0EB5577A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614748BE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4174F9E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Myocardial infarction, n (%)</w:t>
            </w:r>
          </w:p>
        </w:tc>
        <w:tc>
          <w:tcPr>
            <w:tcW w:w="987" w:type="pct"/>
            <w:vAlign w:val="center"/>
          </w:tcPr>
          <w:p w14:paraId="6D564CB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5 (27.8%)</w:t>
            </w:r>
          </w:p>
        </w:tc>
        <w:tc>
          <w:tcPr>
            <w:tcW w:w="987" w:type="pct"/>
            <w:vAlign w:val="center"/>
          </w:tcPr>
          <w:p w14:paraId="22CB07E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46 (23.2%)</w:t>
            </w:r>
          </w:p>
        </w:tc>
        <w:tc>
          <w:tcPr>
            <w:tcW w:w="985" w:type="pct"/>
            <w:vAlign w:val="center"/>
          </w:tcPr>
          <w:p w14:paraId="61FA7AD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0.772</w:t>
            </w:r>
          </w:p>
        </w:tc>
      </w:tr>
      <w:tr w:rsidR="002E72F8" w:rsidRPr="002A637E" w14:paraId="11545502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06BE9B89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Congestive Heart failure, n (%)</w:t>
            </w:r>
          </w:p>
        </w:tc>
        <w:tc>
          <w:tcPr>
            <w:tcW w:w="987" w:type="pct"/>
            <w:vAlign w:val="center"/>
          </w:tcPr>
          <w:p w14:paraId="5961899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0 (0.00%)</w:t>
            </w:r>
          </w:p>
        </w:tc>
        <w:tc>
          <w:tcPr>
            <w:tcW w:w="987" w:type="pct"/>
            <w:vAlign w:val="center"/>
          </w:tcPr>
          <w:p w14:paraId="0DE785BA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 xml:space="preserve">21 (10.6%)  </w:t>
            </w:r>
          </w:p>
        </w:tc>
        <w:tc>
          <w:tcPr>
            <w:tcW w:w="985" w:type="pct"/>
            <w:vAlign w:val="center"/>
          </w:tcPr>
          <w:p w14:paraId="0601E25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0.228</w:t>
            </w:r>
          </w:p>
        </w:tc>
      </w:tr>
      <w:tr w:rsidR="002E72F8" w:rsidRPr="002A637E" w14:paraId="34F133C2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B4DF2CF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Peripheral vascular disease, n (%)</w:t>
            </w:r>
          </w:p>
        </w:tc>
        <w:tc>
          <w:tcPr>
            <w:tcW w:w="987" w:type="pct"/>
            <w:vAlign w:val="center"/>
          </w:tcPr>
          <w:p w14:paraId="2868DB2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0 (0.00%)</w:t>
            </w:r>
          </w:p>
        </w:tc>
        <w:tc>
          <w:tcPr>
            <w:tcW w:w="987" w:type="pct"/>
            <w:vAlign w:val="center"/>
          </w:tcPr>
          <w:p w14:paraId="59ACF71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13 (6.57%)</w:t>
            </w:r>
          </w:p>
        </w:tc>
        <w:tc>
          <w:tcPr>
            <w:tcW w:w="985" w:type="pct"/>
            <w:vAlign w:val="center"/>
          </w:tcPr>
          <w:p w14:paraId="5B8FC123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0.608</w:t>
            </w:r>
          </w:p>
        </w:tc>
      </w:tr>
      <w:tr w:rsidR="002E72F8" w:rsidRPr="002A637E" w14:paraId="2EEC8BB6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245B5D5D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305EF3">
              <w:rPr>
                <w:rFonts w:ascii="Times New Roman" w:eastAsia="微软雅黑 Light" w:hAnsi="Times New Roman" w:hint="eastAsia"/>
                <w:sz w:val="18"/>
                <w:szCs w:val="18"/>
              </w:rPr>
              <w:t>Neurological disorders, n (%)</w:t>
            </w:r>
          </w:p>
        </w:tc>
        <w:tc>
          <w:tcPr>
            <w:tcW w:w="987" w:type="pct"/>
            <w:vAlign w:val="center"/>
          </w:tcPr>
          <w:p w14:paraId="601981F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FF59AE">
              <w:rPr>
                <w:rFonts w:ascii="Times New Roman" w:eastAsia="微软雅黑 Light" w:hAnsi="Times New Roman" w:hint="eastAsia"/>
                <w:sz w:val="18"/>
                <w:szCs w:val="18"/>
              </w:rPr>
              <w:t>1 (5.56%)</w:t>
            </w:r>
          </w:p>
        </w:tc>
        <w:tc>
          <w:tcPr>
            <w:tcW w:w="987" w:type="pct"/>
            <w:vAlign w:val="center"/>
          </w:tcPr>
          <w:p w14:paraId="4D9CB28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FF59AE">
              <w:rPr>
                <w:rFonts w:ascii="Times New Roman" w:eastAsia="微软雅黑 Light" w:hAnsi="Times New Roman" w:hint="eastAsia"/>
                <w:sz w:val="18"/>
                <w:szCs w:val="18"/>
              </w:rPr>
              <w:t>35 (17.7%)</w:t>
            </w:r>
          </w:p>
        </w:tc>
        <w:tc>
          <w:tcPr>
            <w:tcW w:w="985" w:type="pct"/>
            <w:vAlign w:val="center"/>
          </w:tcPr>
          <w:p w14:paraId="0F78F8C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0.320</w:t>
            </w:r>
          </w:p>
        </w:tc>
      </w:tr>
      <w:tr w:rsidR="002E72F8" w:rsidRPr="002A637E" w14:paraId="2AE7B3EF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43B89F68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Chronic pulmonary disease, n (%)</w:t>
            </w:r>
          </w:p>
        </w:tc>
        <w:tc>
          <w:tcPr>
            <w:tcW w:w="987" w:type="pct"/>
            <w:vAlign w:val="center"/>
          </w:tcPr>
          <w:p w14:paraId="1CC82DE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2 (11.1%)</w:t>
            </w:r>
          </w:p>
        </w:tc>
        <w:tc>
          <w:tcPr>
            <w:tcW w:w="987" w:type="pct"/>
            <w:vAlign w:val="center"/>
          </w:tcPr>
          <w:p w14:paraId="4695B79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27 (13.6%)</w:t>
            </w:r>
          </w:p>
        </w:tc>
        <w:tc>
          <w:tcPr>
            <w:tcW w:w="985" w:type="pct"/>
            <w:vAlign w:val="center"/>
          </w:tcPr>
          <w:p w14:paraId="78B09F9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1.000</w:t>
            </w:r>
          </w:p>
        </w:tc>
      </w:tr>
      <w:tr w:rsidR="002E72F8" w:rsidRPr="002A637E" w14:paraId="54B6EC65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15EE9B56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191ACD">
              <w:rPr>
                <w:rFonts w:ascii="Times New Roman" w:eastAsia="微软雅黑 Light" w:hAnsi="Times New Roman" w:hint="eastAsia"/>
                <w:sz w:val="18"/>
                <w:szCs w:val="18"/>
              </w:rPr>
              <w:t>Hepatic diseases, n (%)</w:t>
            </w:r>
          </w:p>
        </w:tc>
        <w:tc>
          <w:tcPr>
            <w:tcW w:w="987" w:type="pct"/>
            <w:vAlign w:val="center"/>
          </w:tcPr>
          <w:p w14:paraId="7DC9FEF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0 (0.00%)</w:t>
            </w:r>
          </w:p>
        </w:tc>
        <w:tc>
          <w:tcPr>
            <w:tcW w:w="987" w:type="pct"/>
            <w:vAlign w:val="center"/>
          </w:tcPr>
          <w:p w14:paraId="494749EF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7 (3.54%)</w:t>
            </w:r>
          </w:p>
        </w:tc>
        <w:tc>
          <w:tcPr>
            <w:tcW w:w="985" w:type="pct"/>
            <w:vAlign w:val="center"/>
          </w:tcPr>
          <w:p w14:paraId="4EEC279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1.000</w:t>
            </w:r>
          </w:p>
        </w:tc>
      </w:tr>
      <w:tr w:rsidR="002E72F8" w:rsidRPr="002A637E" w14:paraId="162EBF2B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0897CF2A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191ACD">
              <w:rPr>
                <w:rFonts w:ascii="Times New Roman" w:eastAsia="微软雅黑 Light" w:hAnsi="Times New Roman" w:hint="eastAsia"/>
                <w:sz w:val="18"/>
                <w:szCs w:val="18"/>
              </w:rPr>
              <w:t>Diabetes mellitus, n (%)</w:t>
            </w:r>
          </w:p>
        </w:tc>
        <w:tc>
          <w:tcPr>
            <w:tcW w:w="987" w:type="pct"/>
            <w:vAlign w:val="center"/>
          </w:tcPr>
          <w:p w14:paraId="42F32406" w14:textId="77777777" w:rsidR="002E72F8" w:rsidRPr="002A637E" w:rsidRDefault="002E72F8" w:rsidP="005976A2">
            <w:pPr>
              <w:snapToGrid w:val="0"/>
              <w:spacing w:line="360" w:lineRule="auto"/>
              <w:ind w:firstLineChars="200" w:firstLine="360"/>
              <w:contextualSpacing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10 (55.6%)</w:t>
            </w:r>
          </w:p>
        </w:tc>
        <w:tc>
          <w:tcPr>
            <w:tcW w:w="987" w:type="pct"/>
            <w:vAlign w:val="center"/>
          </w:tcPr>
          <w:p w14:paraId="04B9C2A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72 (36.4%)</w:t>
            </w:r>
          </w:p>
        </w:tc>
        <w:tc>
          <w:tcPr>
            <w:tcW w:w="985" w:type="pct"/>
            <w:vAlign w:val="center"/>
          </w:tcPr>
          <w:p w14:paraId="656CB37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176</w:t>
            </w:r>
          </w:p>
        </w:tc>
      </w:tr>
      <w:tr w:rsidR="002E72F8" w:rsidRPr="002A637E" w14:paraId="5EE766BB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1A6898A9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191ACD">
              <w:rPr>
                <w:rFonts w:ascii="Times New Roman" w:eastAsia="微软雅黑 Light" w:hAnsi="Times New Roman" w:hint="eastAsia"/>
                <w:sz w:val="18"/>
                <w:szCs w:val="18"/>
              </w:rPr>
              <w:t>Renal dysfunction, n (%)</w:t>
            </w:r>
          </w:p>
        </w:tc>
        <w:tc>
          <w:tcPr>
            <w:tcW w:w="987" w:type="pct"/>
            <w:vAlign w:val="center"/>
          </w:tcPr>
          <w:p w14:paraId="39B53C2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2 (11.1%)</w:t>
            </w:r>
          </w:p>
        </w:tc>
        <w:tc>
          <w:tcPr>
            <w:tcW w:w="987" w:type="pct"/>
            <w:vAlign w:val="center"/>
          </w:tcPr>
          <w:p w14:paraId="78D2475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33 (16.7%)</w:t>
            </w:r>
          </w:p>
        </w:tc>
        <w:tc>
          <w:tcPr>
            <w:tcW w:w="985" w:type="pct"/>
            <w:vAlign w:val="center"/>
          </w:tcPr>
          <w:p w14:paraId="3607A8E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744</w:t>
            </w:r>
          </w:p>
        </w:tc>
      </w:tr>
      <w:tr w:rsidR="002E72F8" w:rsidRPr="002A637E" w14:paraId="4C39B29E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E5CF257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191ACD">
              <w:rPr>
                <w:rFonts w:ascii="Times New Roman" w:eastAsia="微软雅黑 Light" w:hAnsi="Times New Roman" w:hint="eastAsia"/>
                <w:sz w:val="18"/>
                <w:szCs w:val="18"/>
              </w:rPr>
              <w:t>Malignancy, n (%)</w:t>
            </w:r>
          </w:p>
        </w:tc>
        <w:tc>
          <w:tcPr>
            <w:tcW w:w="987" w:type="pct"/>
            <w:vAlign w:val="center"/>
          </w:tcPr>
          <w:p w14:paraId="7EC9EEB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4 (22.2%)</w:t>
            </w:r>
          </w:p>
        </w:tc>
        <w:tc>
          <w:tcPr>
            <w:tcW w:w="987" w:type="pct"/>
            <w:vAlign w:val="center"/>
          </w:tcPr>
          <w:p w14:paraId="23D7A6B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24 (12.1%)</w:t>
            </w: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)</w:t>
            </w:r>
          </w:p>
        </w:tc>
        <w:tc>
          <w:tcPr>
            <w:tcW w:w="985" w:type="pct"/>
            <w:vAlign w:val="center"/>
          </w:tcPr>
          <w:p w14:paraId="23248CC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263</w:t>
            </w:r>
          </w:p>
        </w:tc>
      </w:tr>
      <w:tr w:rsidR="002E72F8" w:rsidRPr="002A637E" w14:paraId="3232246F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C8628B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ACCI, median (IQR)</w:t>
            </w:r>
          </w:p>
        </w:tc>
        <w:tc>
          <w:tcPr>
            <w:tcW w:w="987" w:type="pct"/>
            <w:vAlign w:val="center"/>
          </w:tcPr>
          <w:p w14:paraId="21D4119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5.00 [2.00;5.00]</w:t>
            </w:r>
          </w:p>
        </w:tc>
        <w:tc>
          <w:tcPr>
            <w:tcW w:w="987" w:type="pct"/>
            <w:vAlign w:val="center"/>
          </w:tcPr>
          <w:p w14:paraId="5FB3173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910C3">
              <w:rPr>
                <w:rFonts w:ascii="Times New Roman" w:eastAsia="微软雅黑 Light" w:hAnsi="Times New Roman" w:hint="eastAsia"/>
                <w:sz w:val="18"/>
                <w:szCs w:val="18"/>
              </w:rPr>
              <w:t>5.00 [3.00;7.00]</w:t>
            </w:r>
          </w:p>
        </w:tc>
        <w:tc>
          <w:tcPr>
            <w:tcW w:w="985" w:type="pct"/>
            <w:vAlign w:val="center"/>
          </w:tcPr>
          <w:p w14:paraId="748F22A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479</w:t>
            </w:r>
          </w:p>
        </w:tc>
      </w:tr>
      <w:tr w:rsidR="002E72F8" w:rsidRPr="002A637E" w14:paraId="37FF60A2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48AC8B3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APACHE II score, n (%)</w:t>
            </w:r>
          </w:p>
        </w:tc>
        <w:tc>
          <w:tcPr>
            <w:tcW w:w="987" w:type="pct"/>
            <w:vAlign w:val="center"/>
          </w:tcPr>
          <w:p w14:paraId="1E65B57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26.0 (6.42)</w:t>
            </w:r>
          </w:p>
        </w:tc>
        <w:tc>
          <w:tcPr>
            <w:tcW w:w="987" w:type="pct"/>
            <w:vAlign w:val="center"/>
          </w:tcPr>
          <w:p w14:paraId="3EEF731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24.9 (7.89)</w:t>
            </w:r>
          </w:p>
        </w:tc>
        <w:tc>
          <w:tcPr>
            <w:tcW w:w="985" w:type="pct"/>
            <w:vAlign w:val="center"/>
          </w:tcPr>
          <w:p w14:paraId="031E2F0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0.498</w:t>
            </w:r>
          </w:p>
        </w:tc>
      </w:tr>
      <w:tr w:rsidR="002E72F8" w:rsidRPr="002A637E" w14:paraId="0121200F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B2B0410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Location of cardiac arrest</w:t>
            </w:r>
          </w:p>
        </w:tc>
        <w:tc>
          <w:tcPr>
            <w:tcW w:w="987" w:type="pct"/>
            <w:vAlign w:val="center"/>
          </w:tcPr>
          <w:p w14:paraId="1C47C92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7" w:type="pct"/>
            <w:vAlign w:val="center"/>
          </w:tcPr>
          <w:p w14:paraId="08FCDA3A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5" w:type="pct"/>
            <w:vAlign w:val="center"/>
          </w:tcPr>
          <w:p w14:paraId="674C9C9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123</w:t>
            </w:r>
          </w:p>
        </w:tc>
      </w:tr>
      <w:tr w:rsidR="002E72F8" w:rsidRPr="002A637E" w14:paraId="798E657A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ED79DF0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OHCA, n (%)</w:t>
            </w:r>
          </w:p>
        </w:tc>
        <w:tc>
          <w:tcPr>
            <w:tcW w:w="987" w:type="pct"/>
            <w:vAlign w:val="center"/>
          </w:tcPr>
          <w:p w14:paraId="60D2ECC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11 (61.1%)</w:t>
            </w:r>
          </w:p>
        </w:tc>
        <w:tc>
          <w:tcPr>
            <w:tcW w:w="987" w:type="pct"/>
            <w:vAlign w:val="center"/>
          </w:tcPr>
          <w:p w14:paraId="16D1BB80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78 (39.4%)</w:t>
            </w:r>
          </w:p>
        </w:tc>
        <w:tc>
          <w:tcPr>
            <w:tcW w:w="985" w:type="pct"/>
            <w:vAlign w:val="center"/>
          </w:tcPr>
          <w:p w14:paraId="0712DBF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1D40E75E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6D80117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IHCA, n (%)</w:t>
            </w:r>
          </w:p>
        </w:tc>
        <w:tc>
          <w:tcPr>
            <w:tcW w:w="987" w:type="pct"/>
            <w:vAlign w:val="center"/>
          </w:tcPr>
          <w:p w14:paraId="07AEAE4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7 (38.9%)</w:t>
            </w:r>
          </w:p>
        </w:tc>
        <w:tc>
          <w:tcPr>
            <w:tcW w:w="987" w:type="pct"/>
            <w:vAlign w:val="center"/>
          </w:tcPr>
          <w:p w14:paraId="53612C0A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120 (60.6%)</w:t>
            </w:r>
          </w:p>
        </w:tc>
        <w:tc>
          <w:tcPr>
            <w:tcW w:w="985" w:type="pct"/>
            <w:vAlign w:val="center"/>
          </w:tcPr>
          <w:p w14:paraId="51E36FB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7AB4671E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DF8C39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B7D09">
              <w:rPr>
                <w:rFonts w:ascii="Times New Roman" w:eastAsia="微软雅黑 Light" w:hAnsi="Times New Roman" w:hint="eastAsia"/>
                <w:sz w:val="18"/>
                <w:szCs w:val="18"/>
              </w:rPr>
              <w:t>Bystander CPR (in OHCA)</w:t>
            </w: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, n (%)</w:t>
            </w:r>
          </w:p>
        </w:tc>
        <w:tc>
          <w:tcPr>
            <w:tcW w:w="987" w:type="pct"/>
            <w:vAlign w:val="center"/>
          </w:tcPr>
          <w:p w14:paraId="2B7515EF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B7D09">
              <w:rPr>
                <w:rFonts w:ascii="Times New Roman" w:eastAsia="微软雅黑 Light" w:hAnsi="Times New Roman" w:hint="eastAsia"/>
                <w:sz w:val="18"/>
                <w:szCs w:val="18"/>
              </w:rPr>
              <w:t>9 (81.8%)</w:t>
            </w:r>
          </w:p>
        </w:tc>
        <w:tc>
          <w:tcPr>
            <w:tcW w:w="987" w:type="pct"/>
            <w:vAlign w:val="center"/>
          </w:tcPr>
          <w:p w14:paraId="45D738A2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B7D09">
              <w:rPr>
                <w:rFonts w:ascii="Times New Roman" w:eastAsia="微软雅黑 Light" w:hAnsi="Times New Roman" w:hint="eastAsia"/>
                <w:sz w:val="18"/>
                <w:szCs w:val="18"/>
              </w:rPr>
              <w:t>62 (79.5%)</w:t>
            </w:r>
          </w:p>
        </w:tc>
        <w:tc>
          <w:tcPr>
            <w:tcW w:w="985" w:type="pct"/>
            <w:vAlign w:val="center"/>
          </w:tcPr>
          <w:p w14:paraId="6CA46B4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</w:t>
            </w: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000</w:t>
            </w:r>
          </w:p>
        </w:tc>
      </w:tr>
      <w:tr w:rsidR="002E72F8" w:rsidRPr="002A637E" w14:paraId="129BB738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75E4F27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Defibrillation, n (%)</w:t>
            </w:r>
          </w:p>
        </w:tc>
        <w:tc>
          <w:tcPr>
            <w:tcW w:w="987" w:type="pct"/>
            <w:vAlign w:val="center"/>
          </w:tcPr>
          <w:p w14:paraId="6B37AAB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10 (55.6%)</w:t>
            </w:r>
          </w:p>
        </w:tc>
        <w:tc>
          <w:tcPr>
            <w:tcW w:w="987" w:type="pct"/>
            <w:vAlign w:val="center"/>
          </w:tcPr>
          <w:p w14:paraId="519CC0F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E710AB">
              <w:rPr>
                <w:rFonts w:ascii="Times New Roman" w:eastAsia="微软雅黑 Light" w:hAnsi="Times New Roman" w:hint="eastAsia"/>
                <w:sz w:val="18"/>
                <w:szCs w:val="18"/>
              </w:rPr>
              <w:t>61 (30.8%)</w:t>
            </w:r>
          </w:p>
        </w:tc>
        <w:tc>
          <w:tcPr>
            <w:tcW w:w="985" w:type="pct"/>
            <w:vAlign w:val="center"/>
          </w:tcPr>
          <w:p w14:paraId="05A47EA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0.0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60</w:t>
            </w:r>
          </w:p>
        </w:tc>
      </w:tr>
      <w:tr w:rsidR="002E72F8" w:rsidRPr="002A637E" w14:paraId="252CDB7F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7AD09E0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Initial rhythm</w:t>
            </w:r>
          </w:p>
        </w:tc>
        <w:tc>
          <w:tcPr>
            <w:tcW w:w="987" w:type="pct"/>
            <w:vAlign w:val="center"/>
          </w:tcPr>
          <w:p w14:paraId="304C8090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7" w:type="pct"/>
            <w:vAlign w:val="center"/>
          </w:tcPr>
          <w:p w14:paraId="01ECE95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5" w:type="pct"/>
            <w:vAlign w:val="center"/>
          </w:tcPr>
          <w:p w14:paraId="78C1281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063</w:t>
            </w:r>
          </w:p>
        </w:tc>
      </w:tr>
      <w:tr w:rsidR="002E72F8" w:rsidRPr="002A637E" w14:paraId="2154CACF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44ED6463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Shockable rhythm, n (%)</w:t>
            </w:r>
          </w:p>
        </w:tc>
        <w:tc>
          <w:tcPr>
            <w:tcW w:w="987" w:type="pct"/>
            <w:vAlign w:val="center"/>
          </w:tcPr>
          <w:p w14:paraId="62310E3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10 (55.6%)</w:t>
            </w:r>
          </w:p>
        </w:tc>
        <w:tc>
          <w:tcPr>
            <w:tcW w:w="987" w:type="pct"/>
            <w:vAlign w:val="center"/>
          </w:tcPr>
          <w:p w14:paraId="0EFB558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58 (29.3%)</w:t>
            </w:r>
          </w:p>
        </w:tc>
        <w:tc>
          <w:tcPr>
            <w:tcW w:w="985" w:type="pct"/>
            <w:vAlign w:val="center"/>
          </w:tcPr>
          <w:p w14:paraId="5B0D1E6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0922BEE1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4CF53C2B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Non-shockable rhythm, n (%)</w:t>
            </w:r>
          </w:p>
        </w:tc>
        <w:tc>
          <w:tcPr>
            <w:tcW w:w="987" w:type="pct"/>
            <w:vAlign w:val="center"/>
          </w:tcPr>
          <w:p w14:paraId="771216B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5 (27.8%)</w:t>
            </w:r>
          </w:p>
        </w:tc>
        <w:tc>
          <w:tcPr>
            <w:tcW w:w="987" w:type="pct"/>
            <w:vAlign w:val="center"/>
          </w:tcPr>
          <w:p w14:paraId="0BFE1CD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72 (36.4%)</w:t>
            </w:r>
          </w:p>
        </w:tc>
        <w:tc>
          <w:tcPr>
            <w:tcW w:w="985" w:type="pct"/>
            <w:vAlign w:val="center"/>
          </w:tcPr>
          <w:p w14:paraId="2EA4F39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129EFB88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15018659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Uncertain, n (%)</w:t>
            </w:r>
          </w:p>
        </w:tc>
        <w:tc>
          <w:tcPr>
            <w:tcW w:w="987" w:type="pct"/>
            <w:vAlign w:val="center"/>
          </w:tcPr>
          <w:p w14:paraId="768BB82E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3 (16.7%)</w:t>
            </w:r>
          </w:p>
        </w:tc>
        <w:tc>
          <w:tcPr>
            <w:tcW w:w="987" w:type="pct"/>
            <w:vAlign w:val="center"/>
          </w:tcPr>
          <w:p w14:paraId="6925B13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68 (34.3%)</w:t>
            </w:r>
          </w:p>
        </w:tc>
        <w:tc>
          <w:tcPr>
            <w:tcW w:w="985" w:type="pct"/>
            <w:vAlign w:val="center"/>
          </w:tcPr>
          <w:p w14:paraId="660CC2E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4BDC42C0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7824466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ECPR, n (%)</w:t>
            </w:r>
          </w:p>
        </w:tc>
        <w:tc>
          <w:tcPr>
            <w:tcW w:w="987" w:type="pct"/>
            <w:vAlign w:val="center"/>
          </w:tcPr>
          <w:p w14:paraId="22AEC26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7 (38.9%)</w:t>
            </w:r>
          </w:p>
        </w:tc>
        <w:tc>
          <w:tcPr>
            <w:tcW w:w="987" w:type="pct"/>
            <w:vAlign w:val="center"/>
          </w:tcPr>
          <w:p w14:paraId="2563C39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31 (15.7%)</w:t>
            </w:r>
          </w:p>
        </w:tc>
        <w:tc>
          <w:tcPr>
            <w:tcW w:w="985" w:type="pct"/>
            <w:vAlign w:val="center"/>
          </w:tcPr>
          <w:p w14:paraId="7F53C5E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0.0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22</w:t>
            </w:r>
          </w:p>
        </w:tc>
      </w:tr>
      <w:tr w:rsidR="002E72F8" w:rsidRPr="002A637E" w14:paraId="5029A9B6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BF9A820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TTM, n (%)</w:t>
            </w:r>
          </w:p>
        </w:tc>
        <w:tc>
          <w:tcPr>
            <w:tcW w:w="987" w:type="pct"/>
            <w:vAlign w:val="center"/>
          </w:tcPr>
          <w:p w14:paraId="13B3AE7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8 (44.4%)</w:t>
            </w:r>
          </w:p>
        </w:tc>
        <w:tc>
          <w:tcPr>
            <w:tcW w:w="987" w:type="pct"/>
            <w:vAlign w:val="center"/>
          </w:tcPr>
          <w:p w14:paraId="6F37DE3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750EFC">
              <w:rPr>
                <w:rFonts w:ascii="Times New Roman" w:eastAsia="微软雅黑 Light" w:hAnsi="Times New Roman" w:hint="eastAsia"/>
                <w:sz w:val="18"/>
                <w:szCs w:val="18"/>
              </w:rPr>
              <w:t>57 (28.8%)</w:t>
            </w:r>
          </w:p>
        </w:tc>
        <w:tc>
          <w:tcPr>
            <w:tcW w:w="985" w:type="pct"/>
            <w:vAlign w:val="center"/>
          </w:tcPr>
          <w:p w14:paraId="4D54FAE3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263</w:t>
            </w:r>
          </w:p>
        </w:tc>
      </w:tr>
      <w:tr w:rsidR="002E72F8" w:rsidRPr="002A637E" w14:paraId="714A7572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69607D63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The actual low-flow and no-flow times, min, median (IQR)</w:t>
            </w:r>
          </w:p>
        </w:tc>
        <w:tc>
          <w:tcPr>
            <w:tcW w:w="987" w:type="pct"/>
            <w:vAlign w:val="center"/>
          </w:tcPr>
          <w:p w14:paraId="35B729BD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25.0 [18.0;61.5]</w:t>
            </w:r>
          </w:p>
        </w:tc>
        <w:tc>
          <w:tcPr>
            <w:tcW w:w="987" w:type="pct"/>
            <w:vAlign w:val="center"/>
          </w:tcPr>
          <w:p w14:paraId="4EC90B4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19.5 [9.00;39.5]</w:t>
            </w:r>
          </w:p>
        </w:tc>
        <w:tc>
          <w:tcPr>
            <w:tcW w:w="985" w:type="pct"/>
            <w:vAlign w:val="center"/>
          </w:tcPr>
          <w:p w14:paraId="11C297E9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</w:t>
            </w: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131</w:t>
            </w:r>
          </w:p>
        </w:tc>
      </w:tr>
      <w:tr w:rsidR="002E72F8" w:rsidRPr="002A637E" w14:paraId="4A0C5C7E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0889245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Epinephrine, mg, median (IQR)</w:t>
            </w:r>
          </w:p>
        </w:tc>
        <w:tc>
          <w:tcPr>
            <w:tcW w:w="987" w:type="pct"/>
            <w:vAlign w:val="center"/>
          </w:tcPr>
          <w:p w14:paraId="226044A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4.00 [3.00;8.75]</w:t>
            </w:r>
          </w:p>
        </w:tc>
        <w:tc>
          <w:tcPr>
            <w:tcW w:w="987" w:type="pct"/>
            <w:vAlign w:val="center"/>
          </w:tcPr>
          <w:p w14:paraId="6236572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4.00 [2.00;8.00]</w:t>
            </w:r>
          </w:p>
        </w:tc>
        <w:tc>
          <w:tcPr>
            <w:tcW w:w="985" w:type="pct"/>
            <w:vAlign w:val="center"/>
          </w:tcPr>
          <w:p w14:paraId="59B9DAD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0.305</w:t>
            </w:r>
          </w:p>
        </w:tc>
      </w:tr>
      <w:tr w:rsidR="002E72F8" w:rsidRPr="002A637E" w14:paraId="3018420D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7451C13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Causes of Cardiac Arrest</w:t>
            </w:r>
          </w:p>
        </w:tc>
        <w:tc>
          <w:tcPr>
            <w:tcW w:w="987" w:type="pct"/>
            <w:vAlign w:val="center"/>
          </w:tcPr>
          <w:p w14:paraId="1152D7A0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7" w:type="pct"/>
            <w:vAlign w:val="center"/>
          </w:tcPr>
          <w:p w14:paraId="3226DCF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  <w:tc>
          <w:tcPr>
            <w:tcW w:w="985" w:type="pct"/>
            <w:vAlign w:val="center"/>
          </w:tcPr>
          <w:p w14:paraId="17F86A7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0.690</w:t>
            </w:r>
          </w:p>
        </w:tc>
      </w:tr>
      <w:tr w:rsidR="002E72F8" w:rsidRPr="002A637E" w14:paraId="26ADE320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2DAAADC3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Cardiac Causes, n (%)</w:t>
            </w:r>
          </w:p>
        </w:tc>
        <w:tc>
          <w:tcPr>
            <w:tcW w:w="987" w:type="pct"/>
            <w:vAlign w:val="center"/>
          </w:tcPr>
          <w:p w14:paraId="07D8DEC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52 (26.26%)</w:t>
            </w:r>
          </w:p>
        </w:tc>
        <w:tc>
          <w:tcPr>
            <w:tcW w:w="987" w:type="pct"/>
            <w:vAlign w:val="center"/>
          </w:tcPr>
          <w:p w14:paraId="25E7DA21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55 (27.78%)</w:t>
            </w:r>
          </w:p>
        </w:tc>
        <w:tc>
          <w:tcPr>
            <w:tcW w:w="985" w:type="pct"/>
            <w:vAlign w:val="center"/>
          </w:tcPr>
          <w:p w14:paraId="4AA7E94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63F23B68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77EF0648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Respiratory Causes, n (%)</w:t>
            </w:r>
          </w:p>
        </w:tc>
        <w:tc>
          <w:tcPr>
            <w:tcW w:w="987" w:type="pct"/>
            <w:vAlign w:val="center"/>
          </w:tcPr>
          <w:p w14:paraId="27D0F92F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19 (9.60%)</w:t>
            </w:r>
          </w:p>
        </w:tc>
        <w:tc>
          <w:tcPr>
            <w:tcW w:w="987" w:type="pct"/>
            <w:vAlign w:val="center"/>
          </w:tcPr>
          <w:p w14:paraId="16F451D3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27 (13.64%)</w:t>
            </w:r>
          </w:p>
        </w:tc>
        <w:tc>
          <w:tcPr>
            <w:tcW w:w="985" w:type="pct"/>
            <w:vAlign w:val="center"/>
          </w:tcPr>
          <w:p w14:paraId="35F3C5A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681DCFE7" w14:textId="77777777" w:rsidTr="005976A2">
        <w:trPr>
          <w:trHeight w:val="227"/>
        </w:trPr>
        <w:tc>
          <w:tcPr>
            <w:tcW w:w="2041" w:type="pct"/>
            <w:vAlign w:val="center"/>
          </w:tcPr>
          <w:p w14:paraId="5EDDF745" w14:textId="77777777" w:rsidR="002E72F8" w:rsidRPr="002A637E" w:rsidRDefault="002E72F8" w:rsidP="005976A2">
            <w:pPr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Other Causes, n (%)</w:t>
            </w:r>
          </w:p>
        </w:tc>
        <w:tc>
          <w:tcPr>
            <w:tcW w:w="987" w:type="pct"/>
            <w:vAlign w:val="center"/>
          </w:tcPr>
          <w:p w14:paraId="046400E4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20 (10.10%)</w:t>
            </w:r>
          </w:p>
        </w:tc>
        <w:tc>
          <w:tcPr>
            <w:tcW w:w="987" w:type="pct"/>
            <w:vAlign w:val="center"/>
          </w:tcPr>
          <w:p w14:paraId="0B82D0BF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2A637E">
              <w:rPr>
                <w:rFonts w:ascii="Times New Roman" w:eastAsia="微软雅黑 Light" w:hAnsi="Times New Roman"/>
                <w:sz w:val="18"/>
                <w:szCs w:val="18"/>
              </w:rPr>
              <w:t>25 (12.63%)</w:t>
            </w:r>
          </w:p>
        </w:tc>
        <w:tc>
          <w:tcPr>
            <w:tcW w:w="985" w:type="pct"/>
            <w:vAlign w:val="center"/>
          </w:tcPr>
          <w:p w14:paraId="348EDF6B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</w:p>
        </w:tc>
      </w:tr>
      <w:tr w:rsidR="002E72F8" w:rsidRPr="002A637E" w14:paraId="413138B9" w14:textId="77777777" w:rsidTr="005976A2">
        <w:trPr>
          <w:trHeight w:val="227"/>
        </w:trPr>
        <w:tc>
          <w:tcPr>
            <w:tcW w:w="2041" w:type="pct"/>
            <w:tcBorders>
              <w:bottom w:val="single" w:sz="8" w:space="0" w:color="auto"/>
            </w:tcBorders>
            <w:vAlign w:val="center"/>
          </w:tcPr>
          <w:p w14:paraId="5ABDCE6C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left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Survivors</w:t>
            </w:r>
          </w:p>
        </w:tc>
        <w:tc>
          <w:tcPr>
            <w:tcW w:w="987" w:type="pct"/>
            <w:tcBorders>
              <w:bottom w:val="single" w:sz="8" w:space="0" w:color="auto"/>
            </w:tcBorders>
            <w:vAlign w:val="center"/>
          </w:tcPr>
          <w:p w14:paraId="3EA4E897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9 (50.0%)</w:t>
            </w:r>
          </w:p>
        </w:tc>
        <w:tc>
          <w:tcPr>
            <w:tcW w:w="987" w:type="pct"/>
            <w:tcBorders>
              <w:bottom w:val="single" w:sz="8" w:space="0" w:color="auto"/>
            </w:tcBorders>
            <w:vAlign w:val="center"/>
          </w:tcPr>
          <w:p w14:paraId="577BBD26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 w:rsidRPr="008327CC">
              <w:rPr>
                <w:rFonts w:ascii="Times New Roman" w:eastAsia="微软雅黑 Light" w:hAnsi="Times New Roman" w:hint="eastAsia"/>
                <w:sz w:val="18"/>
                <w:szCs w:val="18"/>
              </w:rPr>
              <w:t>107 (54.0%)</w:t>
            </w:r>
          </w:p>
        </w:tc>
        <w:tc>
          <w:tcPr>
            <w:tcW w:w="985" w:type="pct"/>
            <w:tcBorders>
              <w:bottom w:val="single" w:sz="8" w:space="0" w:color="auto"/>
            </w:tcBorders>
            <w:vAlign w:val="center"/>
          </w:tcPr>
          <w:p w14:paraId="411441E8" w14:textId="77777777" w:rsidR="002E72F8" w:rsidRPr="002A637E" w:rsidRDefault="002E72F8" w:rsidP="005976A2">
            <w:pPr>
              <w:snapToGrid w:val="0"/>
              <w:spacing w:line="360" w:lineRule="auto"/>
              <w:contextualSpacing/>
              <w:jc w:val="center"/>
              <w:rPr>
                <w:rFonts w:ascii="Times New Roman" w:eastAsia="微软雅黑 Light" w:hAnsi="Times New Roman"/>
                <w:sz w:val="18"/>
                <w:szCs w:val="18"/>
              </w:rPr>
            </w:pPr>
            <w:r>
              <w:rPr>
                <w:rFonts w:ascii="Times New Roman" w:eastAsia="微软雅黑 Light" w:hAnsi="Times New Roman" w:hint="eastAsia"/>
                <w:sz w:val="18"/>
                <w:szCs w:val="18"/>
              </w:rPr>
              <w:t>0.934</w:t>
            </w:r>
          </w:p>
        </w:tc>
      </w:tr>
    </w:tbl>
    <w:p w14:paraId="3A55C038" w14:textId="47B04312" w:rsidR="002E72F8" w:rsidRPr="002E72F8" w:rsidRDefault="002E72F8">
      <w:pPr>
        <w:rPr>
          <w:rFonts w:ascii="Times New Roman" w:eastAsia="Times New Roman" w:hAnsi="Times New Roman" w:cs="Times New Roman"/>
          <w:sz w:val="18"/>
          <w:szCs w:val="18"/>
        </w:rPr>
      </w:pPr>
      <w:r w:rsidRPr="002E72F8">
        <w:rPr>
          <w:rFonts w:ascii="Times New Roman" w:eastAsia="Times New Roman" w:hAnsi="Times New Roman" w:cs="Times New Roman" w:hint="eastAsia"/>
          <w:sz w:val="18"/>
          <w:szCs w:val="18"/>
        </w:rPr>
        <w:t>ACCI: Age-Adjusted Charlson Comorbidity Index; APACHE II: Acute Physiology and Chronic Health Evaluation II; OHCA: out-of-hospital cardiac arrest; IHCA: in-hospital cardiac arrest; CPR: cardiopulmonary resuscitation; ECPR: extracorporeal cardiopulmonary resuscitation; TTM: Targeted Temperature Management; ROSC: return of spontaneous circulation; IQR: interquartile range</w:t>
      </w:r>
    </w:p>
    <w:p w14:paraId="25341F9F" w14:textId="77777777" w:rsidR="002E72F8" w:rsidRDefault="002E72F8">
      <w:pPr>
        <w:rPr>
          <w:rFonts w:hint="eastAsia"/>
        </w:rPr>
      </w:pPr>
    </w:p>
    <w:p w14:paraId="375C3F01" w14:textId="77777777" w:rsidR="002E72F8" w:rsidRDefault="002E72F8">
      <w:pPr>
        <w:rPr>
          <w:rFonts w:hint="eastAsia"/>
        </w:rPr>
      </w:pPr>
    </w:p>
    <w:p w14:paraId="6C14FDB8" w14:textId="77777777" w:rsidR="002E72F8" w:rsidRDefault="002E72F8">
      <w:pPr>
        <w:rPr>
          <w:rFonts w:hint="eastAsia"/>
        </w:rPr>
      </w:pPr>
    </w:p>
    <w:p w14:paraId="1CED2997" w14:textId="77777777" w:rsidR="002E72F8" w:rsidRDefault="002E72F8">
      <w:pPr>
        <w:rPr>
          <w:rFonts w:hint="eastAsia"/>
        </w:rPr>
      </w:pPr>
    </w:p>
    <w:p w14:paraId="70AF9441" w14:textId="56F293D0" w:rsidR="002E72F8" w:rsidRDefault="002E72F8">
      <w:pPr>
        <w:rPr>
          <w:rFonts w:hint="eastAsia"/>
        </w:rPr>
      </w:pPr>
      <w:r>
        <w:rPr>
          <w:noProof/>
        </w:rPr>
        <w:drawing>
          <wp:inline distT="0" distB="0" distL="0" distR="0" wp14:anchorId="331D6F06" wp14:editId="70D1E97F">
            <wp:extent cx="4133088" cy="3675888"/>
            <wp:effectExtent l="0" t="0" r="1270" b="1270"/>
            <wp:docPr id="424281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281446" name="图片 4242814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59269" w14:textId="7E244044" w:rsidR="002E72F8" w:rsidRPr="002E72F8" w:rsidRDefault="002E72F8" w:rsidP="002E72F8">
      <w:pPr>
        <w:spacing w:line="480" w:lineRule="auto"/>
        <w:rPr>
          <w:rFonts w:ascii="Times New Roman" w:hAnsi="Times New Roman" w:cs="Times New Roman"/>
          <w:sz w:val="22"/>
        </w:rPr>
      </w:pPr>
      <w:r w:rsidRPr="002E72F8">
        <w:rPr>
          <w:rFonts w:ascii="Times New Roman" w:hAnsi="Times New Roman" w:cs="Times New Roman" w:hint="eastAsia"/>
          <w:b/>
          <w:bCs/>
          <w:sz w:val="22"/>
        </w:rPr>
        <w:t>Figure S1</w:t>
      </w:r>
      <w:r w:rsidR="00E43BB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2E72F8">
        <w:rPr>
          <w:rFonts w:ascii="Times New Roman" w:hAnsi="Times New Roman" w:cs="Times New Roman" w:hint="eastAsia"/>
          <w:sz w:val="22"/>
        </w:rPr>
        <w:t>Principal Component Analysis (PCA) for Evaluating the Representativeness of the Cytokine-Data Subgroup Against the Total Cohort</w:t>
      </w:r>
    </w:p>
    <w:p w14:paraId="06321A3D" w14:textId="7761B853" w:rsidR="002E72F8" w:rsidRPr="002E72F8" w:rsidRDefault="002E72F8" w:rsidP="002E72F8">
      <w:pPr>
        <w:spacing w:line="480" w:lineRule="auto"/>
        <w:rPr>
          <w:rFonts w:ascii="Times New Roman" w:hAnsi="Times New Roman" w:cs="Times New Roman"/>
          <w:sz w:val="22"/>
        </w:rPr>
      </w:pPr>
      <w:r w:rsidRPr="002E72F8">
        <w:rPr>
          <w:rFonts w:ascii="Times New Roman" w:hAnsi="Times New Roman" w:cs="Times New Roman" w:hint="eastAsia"/>
          <w:sz w:val="22"/>
        </w:rPr>
        <w:t>Principal component analysis (PCA) was conducted on the baseline characteristics of the total study cohort (n=198, grey circles) and the subgroup with available cytokine measurements (n=18, indigo triangles). The horizontal axis represents the first principal component (PC1), accounting for 19.6% of the total variance, while the vertical axis represents the second principal component (PC2), accounting for 9.1% of the total variance. The considerable overlap and similar distribution centroids indicate that the subgroup with cytokine data is highly representative of the overall cohort across the measured dimensions.</w:t>
      </w:r>
    </w:p>
    <w:sectPr w:rsidR="002E72F8" w:rsidRPr="002E7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C585" w14:textId="77777777" w:rsidR="00120A11" w:rsidRDefault="00120A11" w:rsidP="002E72F8">
      <w:pPr>
        <w:rPr>
          <w:rFonts w:hint="eastAsia"/>
        </w:rPr>
      </w:pPr>
      <w:r>
        <w:separator/>
      </w:r>
    </w:p>
  </w:endnote>
  <w:endnote w:type="continuationSeparator" w:id="0">
    <w:p w14:paraId="12DD1067" w14:textId="77777777" w:rsidR="00120A11" w:rsidRDefault="00120A11" w:rsidP="002E72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B911" w14:textId="77777777" w:rsidR="00120A11" w:rsidRDefault="00120A11" w:rsidP="002E72F8">
      <w:pPr>
        <w:rPr>
          <w:rFonts w:hint="eastAsia"/>
        </w:rPr>
      </w:pPr>
      <w:r>
        <w:separator/>
      </w:r>
    </w:p>
  </w:footnote>
  <w:footnote w:type="continuationSeparator" w:id="0">
    <w:p w14:paraId="404AF851" w14:textId="77777777" w:rsidR="00120A11" w:rsidRDefault="00120A11" w:rsidP="002E72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63"/>
    <w:rsid w:val="00120A11"/>
    <w:rsid w:val="001E3760"/>
    <w:rsid w:val="002E72F8"/>
    <w:rsid w:val="00497362"/>
    <w:rsid w:val="004B0632"/>
    <w:rsid w:val="004D0350"/>
    <w:rsid w:val="0067730F"/>
    <w:rsid w:val="00752D63"/>
    <w:rsid w:val="008A3907"/>
    <w:rsid w:val="00BA7F0A"/>
    <w:rsid w:val="00DE1C2A"/>
    <w:rsid w:val="00E43BBB"/>
    <w:rsid w:val="00EF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45CDA"/>
  <w15:chartTrackingRefBased/>
  <w15:docId w15:val="{42E48298-9486-4626-80E2-B143E319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2D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D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D6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52D6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D6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D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D6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D6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2D6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2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2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2D6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752D6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52D6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2D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2D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2D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2D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2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D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2D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2D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2D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2D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2D6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2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2D6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2D6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72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72F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72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72F8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2E72F8"/>
    <w:rPr>
      <w:rFonts w:ascii="等线" w:eastAsia="等线" w:hAnsi="等线" w:cs="Times New Roman"/>
      <w:kern w:val="0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2E7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Pub52TableBody">
    <w:name w:val="LetPub_5.2_TableBody"/>
    <w:basedOn w:val="a"/>
    <w:next w:val="a"/>
    <w:link w:val="LetPub52TableBodyChar"/>
    <w:qFormat/>
    <w:rsid w:val="002E72F8"/>
    <w:pPr>
      <w:snapToGrid w:val="0"/>
      <w:spacing w:line="48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etPub52TableBodyChar">
    <w:name w:val="LetPub_5.2_TableBody Char"/>
    <w:basedOn w:val="a0"/>
    <w:link w:val="LetPub52TableBody"/>
    <w:rsid w:val="002E72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高磊 孙</dc:creator>
  <cp:keywords/>
  <dc:description/>
  <cp:lastModifiedBy>高磊 孙</cp:lastModifiedBy>
  <cp:revision>3</cp:revision>
  <dcterms:created xsi:type="dcterms:W3CDTF">2026-01-26T01:26:00Z</dcterms:created>
  <dcterms:modified xsi:type="dcterms:W3CDTF">2026-01-27T02:18:00Z</dcterms:modified>
</cp:coreProperties>
</file>