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CF4C3" w14:textId="77777777" w:rsidR="00F97139" w:rsidRPr="00F97139" w:rsidRDefault="00F97139" w:rsidP="00F97139">
      <w:pPr>
        <w:pStyle w:val="Heading1"/>
        <w:spacing w:before="0" w:after="0" w:line="480" w:lineRule="auto"/>
        <w:ind w:left="360" w:hanging="36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F97139">
        <w:rPr>
          <w:rFonts w:ascii="Times New Roman" w:hAnsi="Times New Roman" w:cs="Times New Roman"/>
          <w:b/>
          <w:bCs/>
          <w:color w:val="auto"/>
          <w:sz w:val="24"/>
          <w:szCs w:val="24"/>
        </w:rPr>
        <w:t>Supplemental materials</w:t>
      </w:r>
    </w:p>
    <w:p w14:paraId="7026A571" w14:textId="77777777" w:rsidR="00F97139" w:rsidRPr="00AE7F7E" w:rsidRDefault="00F97139" w:rsidP="00F97139">
      <w:pPr>
        <w:spacing w:after="0"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E7F7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Table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S1</w:t>
      </w:r>
      <w:r w:rsidRPr="00AE7F7E">
        <w:rPr>
          <w:rFonts w:ascii="Times New Roman" w:hAnsi="Times New Roman" w:cs="Times New Roman"/>
          <w:color w:val="000000" w:themeColor="text1"/>
          <w:sz w:val="20"/>
          <w:szCs w:val="20"/>
        </w:rPr>
        <w:t>: Discharged ED length of stay (LOS) — race within triage acuity (ESI), secondary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170"/>
        <w:gridCol w:w="2250"/>
        <w:gridCol w:w="2070"/>
        <w:gridCol w:w="1170"/>
        <w:gridCol w:w="1435"/>
      </w:tblGrid>
      <w:tr w:rsidR="00F97139" w14:paraId="44677F71" w14:textId="77777777" w:rsidTr="00CE0859">
        <w:tc>
          <w:tcPr>
            <w:tcW w:w="1255" w:type="dxa"/>
          </w:tcPr>
          <w:p w14:paraId="15A5E0A1" w14:textId="77777777" w:rsidR="00F97139" w:rsidRPr="007B68A0" w:rsidRDefault="00F97139" w:rsidP="00CE085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Race</w:t>
            </w:r>
          </w:p>
        </w:tc>
        <w:tc>
          <w:tcPr>
            <w:tcW w:w="1170" w:type="dxa"/>
          </w:tcPr>
          <w:p w14:paraId="17A74EA4" w14:textId="77777777" w:rsidR="00F97139" w:rsidRPr="007B68A0" w:rsidRDefault="00F97139" w:rsidP="00CE085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ESI</w:t>
            </w:r>
          </w:p>
        </w:tc>
        <w:tc>
          <w:tcPr>
            <w:tcW w:w="2250" w:type="dxa"/>
          </w:tcPr>
          <w:p w14:paraId="0880AE5E" w14:textId="77777777" w:rsidR="00F97139" w:rsidRPr="007B68A0" w:rsidRDefault="00F97139" w:rsidP="00CE085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 Δ min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7B6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(95% CI)</w:t>
            </w:r>
          </w:p>
        </w:tc>
        <w:tc>
          <w:tcPr>
            <w:tcW w:w="2070" w:type="dxa"/>
          </w:tcPr>
          <w:p w14:paraId="4BADF5E2" w14:textId="77777777" w:rsidR="00F97139" w:rsidRPr="007B68A0" w:rsidRDefault="00F97139" w:rsidP="00CE085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5F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Effect ratio exp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05F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(β) (95% CI)</w:t>
            </w:r>
          </w:p>
        </w:tc>
        <w:tc>
          <w:tcPr>
            <w:tcW w:w="1170" w:type="dxa"/>
          </w:tcPr>
          <w:p w14:paraId="6BBEBF9B" w14:textId="77777777" w:rsidR="00F97139" w:rsidRPr="007B68A0" w:rsidRDefault="00F97139" w:rsidP="00CE085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435" w:type="dxa"/>
          </w:tcPr>
          <w:p w14:paraId="0FC99BB7" w14:textId="77777777" w:rsidR="00F97139" w:rsidRPr="007B68A0" w:rsidRDefault="00F97139" w:rsidP="00CE085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68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 value (FDR)</w:t>
            </w:r>
          </w:p>
        </w:tc>
      </w:tr>
      <w:tr w:rsidR="00F97139" w14:paraId="1AA27DAA" w14:textId="77777777" w:rsidTr="00CE0859">
        <w:tc>
          <w:tcPr>
            <w:tcW w:w="1255" w:type="dxa"/>
          </w:tcPr>
          <w:p w14:paraId="5190E239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Black</w:t>
            </w:r>
          </w:p>
        </w:tc>
        <w:tc>
          <w:tcPr>
            <w:tcW w:w="1170" w:type="dxa"/>
          </w:tcPr>
          <w:p w14:paraId="3E438C2F" w14:textId="77777777" w:rsidR="00F97139" w:rsidRPr="009E5F9E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E5F9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50" w:type="dxa"/>
          </w:tcPr>
          <w:p w14:paraId="4065BAFF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2E8D">
              <w:rPr>
                <w:rFonts w:ascii="Times New Roman" w:hAnsi="Times New Roman" w:cs="Times New Roman"/>
                <w:sz w:val="20"/>
                <w:szCs w:val="20"/>
              </w:rPr>
              <w:t>+15.9 (−6.4 to 39.9)</w:t>
            </w:r>
          </w:p>
        </w:tc>
        <w:tc>
          <w:tcPr>
            <w:tcW w:w="2070" w:type="dxa"/>
          </w:tcPr>
          <w:p w14:paraId="19C38CE6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6A60">
              <w:rPr>
                <w:rFonts w:ascii="Times New Roman" w:hAnsi="Times New Roman" w:cs="Times New Roman"/>
                <w:sz w:val="20"/>
                <w:szCs w:val="20"/>
              </w:rPr>
              <w:t>1.05 (0.9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16A60">
              <w:rPr>
                <w:rFonts w:ascii="Times New Roman" w:hAnsi="Times New Roman" w:cs="Times New Roman"/>
                <w:sz w:val="20"/>
                <w:szCs w:val="20"/>
              </w:rPr>
              <w:t>–1.12)</w:t>
            </w:r>
          </w:p>
        </w:tc>
        <w:tc>
          <w:tcPr>
            <w:tcW w:w="1170" w:type="dxa"/>
          </w:tcPr>
          <w:p w14:paraId="7E01193C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0.166</w:t>
            </w:r>
          </w:p>
        </w:tc>
        <w:tc>
          <w:tcPr>
            <w:tcW w:w="1435" w:type="dxa"/>
          </w:tcPr>
          <w:p w14:paraId="0B321028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0.332</w:t>
            </w:r>
          </w:p>
        </w:tc>
      </w:tr>
      <w:tr w:rsidR="00F97139" w14:paraId="00D64809" w14:textId="77777777" w:rsidTr="00CE0859">
        <w:tc>
          <w:tcPr>
            <w:tcW w:w="1255" w:type="dxa"/>
          </w:tcPr>
          <w:p w14:paraId="66BB9FE6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170" w:type="dxa"/>
          </w:tcPr>
          <w:p w14:paraId="46F21CC9" w14:textId="77777777" w:rsidR="00F97139" w:rsidRPr="009E5F9E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50" w:type="dxa"/>
          </w:tcPr>
          <w:p w14:paraId="514729E1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59B7">
              <w:rPr>
                <w:rFonts w:ascii="Times New Roman" w:hAnsi="Times New Roman" w:cs="Times New Roman"/>
                <w:sz w:val="20"/>
                <w:szCs w:val="20"/>
              </w:rPr>
              <w:t>−11.2 (−45.1 to 27.1)</w:t>
            </w:r>
          </w:p>
        </w:tc>
        <w:tc>
          <w:tcPr>
            <w:tcW w:w="2070" w:type="dxa"/>
          </w:tcPr>
          <w:p w14:paraId="321E74EE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6A60">
              <w:rPr>
                <w:rFonts w:ascii="Times New Roman" w:hAnsi="Times New Roman" w:cs="Times New Roman"/>
                <w:sz w:val="20"/>
                <w:szCs w:val="20"/>
              </w:rPr>
              <w:t>0.96 (0.85–1.0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016A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0" w:type="dxa"/>
          </w:tcPr>
          <w:p w14:paraId="5578A048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0.551</w:t>
            </w:r>
          </w:p>
        </w:tc>
        <w:tc>
          <w:tcPr>
            <w:tcW w:w="1435" w:type="dxa"/>
          </w:tcPr>
          <w:p w14:paraId="0FA9D17C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0.808</w:t>
            </w:r>
          </w:p>
        </w:tc>
      </w:tr>
      <w:tr w:rsidR="00F97139" w14:paraId="21477ADD" w14:textId="77777777" w:rsidTr="00CE0859">
        <w:tc>
          <w:tcPr>
            <w:tcW w:w="1255" w:type="dxa"/>
          </w:tcPr>
          <w:p w14:paraId="37962769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Black</w:t>
            </w:r>
          </w:p>
        </w:tc>
        <w:tc>
          <w:tcPr>
            <w:tcW w:w="1170" w:type="dxa"/>
          </w:tcPr>
          <w:p w14:paraId="1672AC15" w14:textId="77777777" w:rsidR="00F97139" w:rsidRPr="009E5F9E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14:paraId="484064C4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59B7">
              <w:rPr>
                <w:rFonts w:ascii="Times New Roman" w:hAnsi="Times New Roman" w:cs="Times New Roman"/>
                <w:sz w:val="20"/>
                <w:szCs w:val="20"/>
              </w:rPr>
              <w:t>−3.7 (−11.0 to 3.8)</w:t>
            </w:r>
          </w:p>
        </w:tc>
        <w:tc>
          <w:tcPr>
            <w:tcW w:w="2070" w:type="dxa"/>
          </w:tcPr>
          <w:p w14:paraId="69668373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1D20">
              <w:rPr>
                <w:rFonts w:ascii="Times New Roman" w:hAnsi="Times New Roman" w:cs="Times New Roman"/>
                <w:sz w:val="20"/>
                <w:szCs w:val="20"/>
              </w:rPr>
              <w:t>0.98 (0.95–1.0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51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0" w:type="dxa"/>
          </w:tcPr>
          <w:p w14:paraId="1CCDC139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0.332</w:t>
            </w:r>
          </w:p>
        </w:tc>
        <w:tc>
          <w:tcPr>
            <w:tcW w:w="1435" w:type="dxa"/>
          </w:tcPr>
          <w:p w14:paraId="1C7A7782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0.605</w:t>
            </w:r>
          </w:p>
        </w:tc>
      </w:tr>
      <w:tr w:rsidR="00F97139" w14:paraId="717014B6" w14:textId="77777777" w:rsidTr="00CE0859">
        <w:tc>
          <w:tcPr>
            <w:tcW w:w="1255" w:type="dxa"/>
          </w:tcPr>
          <w:p w14:paraId="4E413272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170" w:type="dxa"/>
          </w:tcPr>
          <w:p w14:paraId="3639282A" w14:textId="77777777" w:rsidR="00F97139" w:rsidRPr="009E5F9E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14:paraId="49C6AA8D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1653">
              <w:rPr>
                <w:rFonts w:ascii="Times New Roman" w:hAnsi="Times New Roman" w:cs="Times New Roman"/>
                <w:sz w:val="20"/>
                <w:szCs w:val="20"/>
              </w:rPr>
              <w:t>+2.6 (−8.6 to 14.6)</w:t>
            </w:r>
          </w:p>
        </w:tc>
        <w:tc>
          <w:tcPr>
            <w:tcW w:w="2070" w:type="dxa"/>
          </w:tcPr>
          <w:p w14:paraId="6589AE26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1D20">
              <w:rPr>
                <w:rFonts w:ascii="Times New Roman" w:hAnsi="Times New Roman" w:cs="Times New Roman"/>
                <w:sz w:val="20"/>
                <w:szCs w:val="20"/>
              </w:rPr>
              <w:t>1.01 (0.9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51D20">
              <w:rPr>
                <w:rFonts w:ascii="Times New Roman" w:hAnsi="Times New Roman" w:cs="Times New Roman"/>
                <w:sz w:val="20"/>
                <w:szCs w:val="20"/>
              </w:rPr>
              <w:t>–1.07)</w:t>
            </w:r>
          </w:p>
        </w:tc>
        <w:tc>
          <w:tcPr>
            <w:tcW w:w="1170" w:type="dxa"/>
          </w:tcPr>
          <w:p w14:paraId="6DEADA38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1435" w:type="dxa"/>
          </w:tcPr>
          <w:p w14:paraId="65C27E31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0.808</w:t>
            </w:r>
          </w:p>
        </w:tc>
      </w:tr>
      <w:tr w:rsidR="00F97139" w14:paraId="26BA8D35" w14:textId="77777777" w:rsidTr="00CE0859">
        <w:tc>
          <w:tcPr>
            <w:tcW w:w="1255" w:type="dxa"/>
          </w:tcPr>
          <w:p w14:paraId="73D76E12" w14:textId="77777777" w:rsidR="00F97139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Black</w:t>
            </w:r>
          </w:p>
        </w:tc>
        <w:tc>
          <w:tcPr>
            <w:tcW w:w="1170" w:type="dxa"/>
          </w:tcPr>
          <w:p w14:paraId="2AA68E5E" w14:textId="77777777" w:rsidR="00F97139" w:rsidRPr="009E5F9E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50" w:type="dxa"/>
          </w:tcPr>
          <w:p w14:paraId="52B0804B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1653">
              <w:rPr>
                <w:rFonts w:ascii="Times New Roman" w:hAnsi="Times New Roman" w:cs="Times New Roman"/>
                <w:sz w:val="20"/>
                <w:szCs w:val="20"/>
              </w:rPr>
              <w:t>−1.0 (−5.8 to 4.1)</w:t>
            </w:r>
          </w:p>
        </w:tc>
        <w:tc>
          <w:tcPr>
            <w:tcW w:w="2070" w:type="dxa"/>
          </w:tcPr>
          <w:p w14:paraId="58369669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1D20">
              <w:rPr>
                <w:rFonts w:ascii="Times New Roman" w:hAnsi="Times New Roman" w:cs="Times New Roman"/>
                <w:sz w:val="20"/>
                <w:szCs w:val="20"/>
              </w:rPr>
              <w:t>0.99 (0.95–1.03)</w:t>
            </w:r>
          </w:p>
        </w:tc>
        <w:tc>
          <w:tcPr>
            <w:tcW w:w="1170" w:type="dxa"/>
          </w:tcPr>
          <w:p w14:paraId="413519D4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0.707</w:t>
            </w:r>
          </w:p>
        </w:tc>
        <w:tc>
          <w:tcPr>
            <w:tcW w:w="1435" w:type="dxa"/>
          </w:tcPr>
          <w:p w14:paraId="2D2CB222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0.707</w:t>
            </w:r>
          </w:p>
        </w:tc>
      </w:tr>
      <w:tr w:rsidR="00F97139" w14:paraId="6AB303CD" w14:textId="77777777" w:rsidTr="00CE0859">
        <w:tc>
          <w:tcPr>
            <w:tcW w:w="1255" w:type="dxa"/>
          </w:tcPr>
          <w:p w14:paraId="5DC7EF56" w14:textId="77777777" w:rsidR="00F97139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170" w:type="dxa"/>
          </w:tcPr>
          <w:p w14:paraId="5A35A236" w14:textId="77777777" w:rsidR="00F97139" w:rsidRPr="009E5F9E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50" w:type="dxa"/>
          </w:tcPr>
          <w:p w14:paraId="569CE801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5357">
              <w:rPr>
                <w:rFonts w:ascii="Times New Roman" w:hAnsi="Times New Roman" w:cs="Times New Roman"/>
                <w:sz w:val="20"/>
                <w:szCs w:val="20"/>
              </w:rPr>
              <w:t>+6.4 (−0.3 to 12.7)</w:t>
            </w:r>
          </w:p>
        </w:tc>
        <w:tc>
          <w:tcPr>
            <w:tcW w:w="2070" w:type="dxa"/>
          </w:tcPr>
          <w:p w14:paraId="5C7D47E7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61D">
              <w:rPr>
                <w:rFonts w:ascii="Times New Roman" w:hAnsi="Times New Roman" w:cs="Times New Roman"/>
                <w:sz w:val="20"/>
                <w:szCs w:val="20"/>
              </w:rPr>
              <w:t>1.05 (1.00–1.1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346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0" w:type="dxa"/>
          </w:tcPr>
          <w:p w14:paraId="4D3C4514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1435" w:type="dxa"/>
          </w:tcPr>
          <w:p w14:paraId="1C32FA24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0.323</w:t>
            </w:r>
          </w:p>
        </w:tc>
      </w:tr>
      <w:tr w:rsidR="00F97139" w14:paraId="32E38EE1" w14:textId="77777777" w:rsidTr="00CE0859">
        <w:tc>
          <w:tcPr>
            <w:tcW w:w="1255" w:type="dxa"/>
          </w:tcPr>
          <w:p w14:paraId="70A5CFAC" w14:textId="77777777" w:rsidR="00F97139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Black</w:t>
            </w:r>
          </w:p>
        </w:tc>
        <w:tc>
          <w:tcPr>
            <w:tcW w:w="1170" w:type="dxa"/>
          </w:tcPr>
          <w:p w14:paraId="241CF186" w14:textId="77777777" w:rsidR="00F97139" w:rsidRPr="009E5F9E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50" w:type="dxa"/>
          </w:tcPr>
          <w:p w14:paraId="056A54DC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5357">
              <w:rPr>
                <w:rFonts w:ascii="Times New Roman" w:hAnsi="Times New Roman" w:cs="Times New Roman"/>
                <w:sz w:val="20"/>
                <w:szCs w:val="20"/>
              </w:rPr>
              <w:t>−12.7 (−25.0 to 1.7)</w:t>
            </w:r>
          </w:p>
        </w:tc>
        <w:tc>
          <w:tcPr>
            <w:tcW w:w="2070" w:type="dxa"/>
          </w:tcPr>
          <w:p w14:paraId="5B4631B8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61D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3461D">
              <w:rPr>
                <w:rFonts w:ascii="Times New Roman" w:hAnsi="Times New Roman" w:cs="Times New Roman"/>
                <w:sz w:val="20"/>
                <w:szCs w:val="20"/>
              </w:rPr>
              <w:t xml:space="preserve"> (0.7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B3461D">
              <w:rPr>
                <w:rFonts w:ascii="Times New Roman" w:hAnsi="Times New Roman" w:cs="Times New Roman"/>
                <w:sz w:val="20"/>
                <w:szCs w:val="20"/>
              </w:rPr>
              <w:t>–1.0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346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0" w:type="dxa"/>
          </w:tcPr>
          <w:p w14:paraId="2EEE49B8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</w:p>
        </w:tc>
        <w:tc>
          <w:tcPr>
            <w:tcW w:w="1435" w:type="dxa"/>
          </w:tcPr>
          <w:p w14:paraId="068EE493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0.323</w:t>
            </w:r>
          </w:p>
        </w:tc>
      </w:tr>
      <w:tr w:rsidR="00F97139" w14:paraId="2778BEC1" w14:textId="77777777" w:rsidTr="00CE0859">
        <w:tc>
          <w:tcPr>
            <w:tcW w:w="1255" w:type="dxa"/>
          </w:tcPr>
          <w:p w14:paraId="5EED1F69" w14:textId="77777777" w:rsidR="00F97139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170" w:type="dxa"/>
          </w:tcPr>
          <w:p w14:paraId="49DAD889" w14:textId="77777777" w:rsidR="00F97139" w:rsidRPr="009E5F9E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50" w:type="dxa"/>
          </w:tcPr>
          <w:p w14:paraId="6BB1CDFE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5357">
              <w:rPr>
                <w:rFonts w:ascii="Times New Roman" w:hAnsi="Times New Roman" w:cs="Times New Roman"/>
                <w:sz w:val="20"/>
                <w:szCs w:val="20"/>
              </w:rPr>
              <w:t>+3.9 (−36.7 to 69.9)</w:t>
            </w:r>
          </w:p>
        </w:tc>
        <w:tc>
          <w:tcPr>
            <w:tcW w:w="2070" w:type="dxa"/>
          </w:tcPr>
          <w:p w14:paraId="1F387B64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461D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3461D">
              <w:rPr>
                <w:rFonts w:ascii="Times New Roman" w:hAnsi="Times New Roman" w:cs="Times New Roman"/>
                <w:sz w:val="20"/>
                <w:szCs w:val="20"/>
              </w:rPr>
              <w:t xml:space="preserve"> (0.64–1.6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346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0" w:type="dxa"/>
          </w:tcPr>
          <w:p w14:paraId="54E27761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0.878</w:t>
            </w:r>
          </w:p>
        </w:tc>
        <w:tc>
          <w:tcPr>
            <w:tcW w:w="1435" w:type="dxa"/>
          </w:tcPr>
          <w:p w14:paraId="0F0AAC18" w14:textId="77777777" w:rsidR="00F97139" w:rsidRPr="00975CEB" w:rsidRDefault="00F97139" w:rsidP="00CE0859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0.878</w:t>
            </w:r>
          </w:p>
        </w:tc>
      </w:tr>
    </w:tbl>
    <w:p w14:paraId="5E3AC821" w14:textId="77777777" w:rsidR="00F97139" w:rsidRDefault="00F97139" w:rsidP="00F97139">
      <w:pPr>
        <w:spacing w:after="0" w:line="480" w:lineRule="auto"/>
        <w:rPr>
          <w:rFonts w:ascii="Times New Roman" w:eastAsiaTheme="minorEastAsia" w:hAnsi="Times New Roman" w:cs="Times New Roman"/>
          <w:sz w:val="16"/>
          <w:szCs w:val="16"/>
        </w:rPr>
      </w:pPr>
      <w:r w:rsidRPr="00AC4545">
        <w:rPr>
          <w:rFonts w:ascii="Times New Roman" w:eastAsiaTheme="minorEastAsia" w:hAnsi="Times New Roman" w:cs="Times New Roman"/>
          <w:b/>
          <w:bCs/>
          <w:sz w:val="16"/>
          <w:szCs w:val="16"/>
        </w:rPr>
        <w:t xml:space="preserve">Notes. </w:t>
      </w:r>
      <w:r w:rsidRPr="00AC4545">
        <w:rPr>
          <w:rFonts w:ascii="Times New Roman" w:eastAsiaTheme="minorEastAsia" w:hAnsi="Times New Roman" w:cs="Times New Roman"/>
          <w:sz w:val="16"/>
          <w:szCs w:val="16"/>
        </w:rPr>
        <w:t xml:space="preserve">Δ minutes are back-transformed marginal effects at the geometric-mean baseline from </w:t>
      </w:r>
      <w:r>
        <w:rPr>
          <w:rFonts w:ascii="Times New Roman" w:eastAsiaTheme="minorEastAsia" w:hAnsi="Times New Roman" w:cs="Times New Roman"/>
          <w:sz w:val="16"/>
          <w:szCs w:val="16"/>
        </w:rPr>
        <w:t>log-minute</w:t>
      </w:r>
      <w:r w:rsidRPr="00AC4545">
        <w:rPr>
          <w:rFonts w:ascii="Times New Roman" w:eastAsiaTheme="minorEastAsia" w:hAnsi="Times New Roman" w:cs="Times New Roman"/>
          <w:sz w:val="16"/>
          <w:szCs w:val="16"/>
        </w:rPr>
        <w:t xml:space="preserve"> models. “Effect ratio” is exp(β), the ratio of geometric means (race vs White) within each ESI stratum. No comparison remained significant after FDR correction (all q ≥ 0.32).</w:t>
      </w:r>
    </w:p>
    <w:p w14:paraId="101C87E9" w14:textId="77777777" w:rsidR="00F97139" w:rsidRDefault="00F97139" w:rsidP="00F97139">
      <w:pPr>
        <w:spacing w:after="0" w:line="480" w:lineRule="auto"/>
        <w:rPr>
          <w:rFonts w:ascii="Times New Roman" w:eastAsiaTheme="minorEastAsia" w:hAnsi="Times New Roman" w:cs="Times New Roman"/>
          <w:sz w:val="16"/>
          <w:szCs w:val="16"/>
        </w:rPr>
      </w:pPr>
    </w:p>
    <w:p w14:paraId="3196BB08" w14:textId="77777777" w:rsidR="00F97139" w:rsidRPr="00476D34" w:rsidRDefault="00F97139" w:rsidP="00F97139">
      <w:pPr>
        <w:spacing w:after="0"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76D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Table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S2  </w:t>
      </w:r>
      <w:r w:rsidRPr="00040F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“Tail-burden” of ED delays by race 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5"/>
        <w:gridCol w:w="1170"/>
        <w:gridCol w:w="1710"/>
        <w:gridCol w:w="1620"/>
        <w:gridCol w:w="1710"/>
        <w:gridCol w:w="1170"/>
      </w:tblGrid>
      <w:tr w:rsidR="00F97139" w:rsidRPr="00145C1D" w14:paraId="602BE25A" w14:textId="77777777" w:rsidTr="00CE0859">
        <w:tc>
          <w:tcPr>
            <w:tcW w:w="1975" w:type="dxa"/>
          </w:tcPr>
          <w:p w14:paraId="7E91DD05" w14:textId="77777777" w:rsidR="00F97139" w:rsidRPr="00145C1D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145C1D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Metric</w:t>
            </w:r>
          </w:p>
        </w:tc>
        <w:tc>
          <w:tcPr>
            <w:tcW w:w="1170" w:type="dxa"/>
          </w:tcPr>
          <w:p w14:paraId="3CD91515" w14:textId="77777777" w:rsidR="00F97139" w:rsidRPr="00145C1D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Race</w:t>
            </w:r>
          </w:p>
        </w:tc>
        <w:tc>
          <w:tcPr>
            <w:tcW w:w="1710" w:type="dxa"/>
          </w:tcPr>
          <w:p w14:paraId="6F0AA1AA" w14:textId="77777777" w:rsidR="00F97139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Threshold type</w:t>
            </w:r>
          </w:p>
        </w:tc>
        <w:tc>
          <w:tcPr>
            <w:tcW w:w="1620" w:type="dxa"/>
          </w:tcPr>
          <w:p w14:paraId="05E8EB33" w14:textId="77777777" w:rsidR="00F97139" w:rsidRPr="00145C1D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Threshold (mins)</w:t>
            </w:r>
          </w:p>
        </w:tc>
        <w:tc>
          <w:tcPr>
            <w:tcW w:w="1710" w:type="dxa"/>
          </w:tcPr>
          <w:p w14:paraId="5393C17E" w14:textId="77777777" w:rsidR="00F97139" w:rsidRPr="00145C1D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145C1D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RR vs White (95% CI)</w:t>
            </w:r>
          </w:p>
        </w:tc>
        <w:tc>
          <w:tcPr>
            <w:tcW w:w="1170" w:type="dxa"/>
          </w:tcPr>
          <w:p w14:paraId="6672E0ED" w14:textId="77777777" w:rsidR="00F97139" w:rsidRPr="00145C1D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145C1D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E-value</w:t>
            </w:r>
          </w:p>
        </w:tc>
      </w:tr>
      <w:tr w:rsidR="00F97139" w:rsidRPr="00FC6C1B" w14:paraId="132C849E" w14:textId="77777777" w:rsidTr="00CE0859">
        <w:tc>
          <w:tcPr>
            <w:tcW w:w="1975" w:type="dxa"/>
            <w:vMerge w:val="restart"/>
          </w:tcPr>
          <w:p w14:paraId="0E977303" w14:textId="77777777" w:rsidR="00F97139" w:rsidRPr="00145C1D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Admitted</w:t>
            </w:r>
            <w:r w:rsidRPr="00145C1D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 xml:space="preserve"> ED LOS</w:t>
            </w:r>
          </w:p>
        </w:tc>
        <w:tc>
          <w:tcPr>
            <w:tcW w:w="1170" w:type="dxa"/>
          </w:tcPr>
          <w:p w14:paraId="6323E52C" w14:textId="77777777" w:rsidR="00F97139" w:rsidRPr="00FC6C1B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Black</w:t>
            </w:r>
          </w:p>
        </w:tc>
        <w:tc>
          <w:tcPr>
            <w:tcW w:w="1710" w:type="dxa"/>
          </w:tcPr>
          <w:p w14:paraId="731BB3D4" w14:textId="77777777" w:rsidR="00F97139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&gt;P75</w:t>
            </w:r>
          </w:p>
        </w:tc>
        <w:tc>
          <w:tcPr>
            <w:tcW w:w="1620" w:type="dxa"/>
          </w:tcPr>
          <w:p w14:paraId="08CECCF9" w14:textId="77777777" w:rsidR="00F97139" w:rsidRPr="00FC6C1B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1087.0</w:t>
            </w:r>
          </w:p>
        </w:tc>
        <w:tc>
          <w:tcPr>
            <w:tcW w:w="1710" w:type="dxa"/>
          </w:tcPr>
          <w:p w14:paraId="009A10CD" w14:textId="77777777" w:rsidR="00F97139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1.56</w:t>
            </w:r>
            <w:r w:rsidRPr="004C356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(1.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22</w:t>
            </w:r>
            <w:r w:rsidRPr="004C3560">
              <w:rPr>
                <w:rFonts w:ascii="Times New Roman" w:eastAsiaTheme="minorEastAsia" w:hAnsi="Times New Roman" w:cs="Times New Roman"/>
                <w:sz w:val="20"/>
                <w:szCs w:val="20"/>
              </w:rPr>
              <w:t>–1.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99</w:t>
            </w:r>
            <w:r w:rsidRPr="004C3560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0" w:type="dxa"/>
          </w:tcPr>
          <w:p w14:paraId="31833F9F" w14:textId="77777777" w:rsidR="00F97139" w:rsidRPr="00FC6C1B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2.48</w:t>
            </w:r>
          </w:p>
        </w:tc>
      </w:tr>
      <w:tr w:rsidR="00F97139" w:rsidRPr="00FC6C1B" w14:paraId="22435FE2" w14:textId="77777777" w:rsidTr="00CE0859">
        <w:tc>
          <w:tcPr>
            <w:tcW w:w="1975" w:type="dxa"/>
            <w:vMerge/>
          </w:tcPr>
          <w:p w14:paraId="2DE855D0" w14:textId="77777777" w:rsidR="00F97139" w:rsidRPr="00145C1D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4530D56E" w14:textId="77777777" w:rsidR="00F97139" w:rsidRPr="00FC6C1B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Black</w:t>
            </w:r>
          </w:p>
        </w:tc>
        <w:tc>
          <w:tcPr>
            <w:tcW w:w="1710" w:type="dxa"/>
          </w:tcPr>
          <w:p w14:paraId="7D78BC61" w14:textId="77777777" w:rsidR="00F97139" w:rsidRPr="006A1DE0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&gt;Upper whisker</w:t>
            </w:r>
          </w:p>
        </w:tc>
        <w:tc>
          <w:tcPr>
            <w:tcW w:w="1620" w:type="dxa"/>
          </w:tcPr>
          <w:p w14:paraId="1BDFCE7A" w14:textId="77777777" w:rsidR="00F97139" w:rsidRPr="00FC6C1B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2101.0</w:t>
            </w:r>
          </w:p>
        </w:tc>
        <w:tc>
          <w:tcPr>
            <w:tcW w:w="1710" w:type="dxa"/>
          </w:tcPr>
          <w:p w14:paraId="7400CDE6" w14:textId="77777777" w:rsidR="00F97139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1.89 </w:t>
            </w:r>
            <w:r w:rsidRPr="004C3560">
              <w:rPr>
                <w:rFonts w:ascii="Times New Roman" w:eastAsiaTheme="minorEastAsia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0.87</w:t>
            </w:r>
            <w:r w:rsidRPr="004C3560">
              <w:rPr>
                <w:rFonts w:ascii="Times New Roman" w:eastAsiaTheme="minorEastAsia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4.14</w:t>
            </w:r>
            <w:r w:rsidRPr="004C3560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0" w:type="dxa"/>
          </w:tcPr>
          <w:p w14:paraId="5DE7D781" w14:textId="77777777" w:rsidR="00F97139" w:rsidRPr="00FC6C1B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3.19</w:t>
            </w:r>
          </w:p>
        </w:tc>
      </w:tr>
      <w:tr w:rsidR="00F97139" w14:paraId="6553B669" w14:textId="77777777" w:rsidTr="00CE0859">
        <w:tc>
          <w:tcPr>
            <w:tcW w:w="1975" w:type="dxa"/>
            <w:vMerge/>
          </w:tcPr>
          <w:p w14:paraId="0DC229C9" w14:textId="77777777" w:rsidR="00F97139" w:rsidRPr="00145C1D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6CC9BED6" w14:textId="77777777" w:rsidR="00F97139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710" w:type="dxa"/>
          </w:tcPr>
          <w:p w14:paraId="12AB0823" w14:textId="77777777" w:rsidR="00F97139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&gt;P75</w:t>
            </w:r>
          </w:p>
        </w:tc>
        <w:tc>
          <w:tcPr>
            <w:tcW w:w="1620" w:type="dxa"/>
          </w:tcPr>
          <w:p w14:paraId="4663EBE0" w14:textId="77777777" w:rsidR="00F97139" w:rsidRPr="004C3560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1087.0</w:t>
            </w:r>
          </w:p>
        </w:tc>
        <w:tc>
          <w:tcPr>
            <w:tcW w:w="1710" w:type="dxa"/>
          </w:tcPr>
          <w:p w14:paraId="025CBCF5" w14:textId="77777777" w:rsidR="00F97139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1.23 </w:t>
            </w:r>
            <w:r w:rsidRPr="004C3560">
              <w:rPr>
                <w:rFonts w:ascii="Times New Roman" w:eastAsiaTheme="minorEastAsia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0.76</w:t>
            </w:r>
            <w:r w:rsidRPr="004C3560">
              <w:rPr>
                <w:rFonts w:ascii="Times New Roman" w:eastAsiaTheme="minorEastAsia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1170" w:type="dxa"/>
          </w:tcPr>
          <w:p w14:paraId="3AC9A88B" w14:textId="77777777" w:rsidR="00F97139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1.77</w:t>
            </w:r>
          </w:p>
        </w:tc>
      </w:tr>
      <w:tr w:rsidR="00F97139" w14:paraId="5504C8CD" w14:textId="77777777" w:rsidTr="00CE0859">
        <w:tc>
          <w:tcPr>
            <w:tcW w:w="1975" w:type="dxa"/>
            <w:vMerge/>
          </w:tcPr>
          <w:p w14:paraId="5789C9C9" w14:textId="77777777" w:rsidR="00F97139" w:rsidRPr="00145C1D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5C0F1695" w14:textId="77777777" w:rsidR="00F97139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710" w:type="dxa"/>
          </w:tcPr>
          <w:p w14:paraId="49E247EA" w14:textId="77777777" w:rsidR="00F97139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&gt;Upper whisker</w:t>
            </w:r>
          </w:p>
        </w:tc>
        <w:tc>
          <w:tcPr>
            <w:tcW w:w="1620" w:type="dxa"/>
          </w:tcPr>
          <w:p w14:paraId="08EDCA88" w14:textId="77777777" w:rsidR="00F97139" w:rsidRPr="004C3560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2101.0</w:t>
            </w:r>
          </w:p>
        </w:tc>
        <w:tc>
          <w:tcPr>
            <w:tcW w:w="1710" w:type="dxa"/>
          </w:tcPr>
          <w:p w14:paraId="257F73D0" w14:textId="77777777" w:rsidR="00F97139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1.92 </w:t>
            </w:r>
            <w:r w:rsidRPr="004C3560">
              <w:rPr>
                <w:rFonts w:ascii="Times New Roman" w:eastAsiaTheme="minorEastAsia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0.52</w:t>
            </w:r>
            <w:r w:rsidRPr="004C3560">
              <w:rPr>
                <w:rFonts w:ascii="Times New Roman" w:eastAsiaTheme="minorEastAsia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7.02</w:t>
            </w:r>
            <w:r w:rsidRPr="004C3560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70" w:type="dxa"/>
          </w:tcPr>
          <w:p w14:paraId="258AB314" w14:textId="77777777" w:rsidR="00F97139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3.42</w:t>
            </w:r>
          </w:p>
        </w:tc>
      </w:tr>
    </w:tbl>
    <w:p w14:paraId="339845B4" w14:textId="77777777" w:rsidR="00F97139" w:rsidRDefault="00F97139" w:rsidP="00F97139">
      <w:pPr>
        <w:spacing w:after="0" w:line="480" w:lineRule="auto"/>
        <w:rPr>
          <w:rFonts w:ascii="Times New Roman" w:eastAsiaTheme="minorEastAsia" w:hAnsi="Times New Roman" w:cs="Times New Roman"/>
          <w:sz w:val="16"/>
          <w:szCs w:val="16"/>
        </w:rPr>
      </w:pPr>
      <w:r w:rsidRPr="004A6491">
        <w:rPr>
          <w:rFonts w:ascii="Times New Roman" w:eastAsiaTheme="minorEastAsia" w:hAnsi="Times New Roman" w:cs="Times New Roman"/>
          <w:b/>
          <w:bCs/>
          <w:sz w:val="16"/>
          <w:szCs w:val="16"/>
        </w:rPr>
        <w:t>Abbreviation:</w:t>
      </w:r>
      <w:r>
        <w:rPr>
          <w:rFonts w:ascii="Times New Roman" w:eastAsiaTheme="minorEastAsia" w:hAnsi="Times New Roman" w:cs="Times New Roman"/>
          <w:sz w:val="16"/>
          <w:szCs w:val="16"/>
        </w:rPr>
        <w:t xml:space="preserve"> P75 = </w:t>
      </w:r>
      <w:r w:rsidRPr="00096D66">
        <w:rPr>
          <w:rFonts w:ascii="Times New Roman" w:eastAsiaTheme="minorEastAsia" w:hAnsi="Times New Roman" w:cs="Times New Roman"/>
          <w:sz w:val="16"/>
          <w:szCs w:val="16"/>
        </w:rPr>
        <w:t>&gt;75th percentile</w:t>
      </w:r>
      <w:r>
        <w:rPr>
          <w:rFonts w:ascii="Times New Roman" w:eastAsiaTheme="minorEastAsia" w:hAnsi="Times New Roman" w:cs="Times New Roman"/>
          <w:sz w:val="16"/>
          <w:szCs w:val="16"/>
        </w:rPr>
        <w:t xml:space="preserve">; Upper whisker = </w:t>
      </w:r>
      <w:r w:rsidRPr="00096D66">
        <w:rPr>
          <w:rFonts w:ascii="Times New Roman" w:eastAsiaTheme="minorEastAsia" w:hAnsi="Times New Roman" w:cs="Times New Roman"/>
          <w:sz w:val="16"/>
          <w:szCs w:val="16"/>
        </w:rPr>
        <w:t xml:space="preserve"> </w:t>
      </w:r>
      <w:r w:rsidRPr="0084395E">
        <w:rPr>
          <w:rFonts w:ascii="Times New Roman" w:eastAsiaTheme="minorEastAsia" w:hAnsi="Times New Roman" w:cs="Times New Roman"/>
          <w:sz w:val="16"/>
          <w:szCs w:val="16"/>
        </w:rPr>
        <w:t>&gt;Q3 + 1.5×IQR (upper Tukey fence)</w:t>
      </w:r>
      <w:r>
        <w:rPr>
          <w:rFonts w:ascii="Times New Roman" w:eastAsiaTheme="minorEastAsia" w:hAnsi="Times New Roman" w:cs="Times New Roman"/>
          <w:sz w:val="16"/>
          <w:szCs w:val="16"/>
        </w:rPr>
        <w:t>; RR = risk ratio; mins = minutes.</w:t>
      </w:r>
    </w:p>
    <w:p w14:paraId="73B6CD13" w14:textId="77777777" w:rsidR="00F97139" w:rsidRPr="00365022" w:rsidRDefault="00F97139" w:rsidP="00F97139">
      <w:pPr>
        <w:spacing w:after="120" w:line="480" w:lineRule="auto"/>
        <w:rPr>
          <w:rFonts w:ascii="Times New Roman" w:eastAsiaTheme="minorEastAsia" w:hAnsi="Times New Roman" w:cs="Times New Roman"/>
          <w:i/>
          <w:iCs/>
          <w:sz w:val="16"/>
          <w:szCs w:val="16"/>
        </w:rPr>
      </w:pPr>
      <w:r w:rsidRPr="004A6491">
        <w:rPr>
          <w:rFonts w:ascii="Times New Roman" w:eastAsiaTheme="minorEastAsia" w:hAnsi="Times New Roman" w:cs="Times New Roman"/>
          <w:b/>
          <w:bCs/>
          <w:sz w:val="16"/>
          <w:szCs w:val="16"/>
        </w:rPr>
        <w:t>Notes:</w:t>
      </w:r>
      <w:r w:rsidRPr="004A6491">
        <w:rPr>
          <w:rFonts w:ascii="Times New Roman" w:eastAsiaTheme="minorEastAsia" w:hAnsi="Times New Roman" w:cs="Times New Roman"/>
          <w:i/>
          <w:iCs/>
          <w:sz w:val="16"/>
          <w:szCs w:val="16"/>
        </w:rPr>
        <w:t xml:space="preserve"> P75 and upper-whisker thresholds calculated from the pooled distribution for each outcome. RR computed with continuity correction if needed.</w:t>
      </w:r>
    </w:p>
    <w:p w14:paraId="46E64511" w14:textId="77777777" w:rsidR="00F97139" w:rsidRPr="0019459F" w:rsidRDefault="00F97139" w:rsidP="00F97139">
      <w:pPr>
        <w:spacing w:after="0"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9459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Table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S3 </w:t>
      </w:r>
      <w:r w:rsidRPr="0019459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Sensitivity to missing data (multiple imputation, m=20) vs </w:t>
      </w:r>
      <w:proofErr w:type="gramStart"/>
      <w:r w:rsidRPr="0019459F">
        <w:rPr>
          <w:rFonts w:ascii="Times New Roman" w:hAnsi="Times New Roman" w:cs="Times New Roman"/>
          <w:color w:val="000000" w:themeColor="text1"/>
          <w:sz w:val="20"/>
          <w:szCs w:val="20"/>
        </w:rPr>
        <w:t>complete-case</w:t>
      </w:r>
      <w:proofErr w:type="gramEnd"/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5"/>
        <w:gridCol w:w="1710"/>
        <w:gridCol w:w="2520"/>
        <w:gridCol w:w="1530"/>
        <w:gridCol w:w="1620"/>
      </w:tblGrid>
      <w:tr w:rsidR="00F97139" w14:paraId="0759A4EB" w14:textId="77777777" w:rsidTr="00CE0859">
        <w:tc>
          <w:tcPr>
            <w:tcW w:w="1975" w:type="dxa"/>
          </w:tcPr>
          <w:p w14:paraId="0AF47E10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8D21FC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Outcome (Contrast)</w:t>
            </w:r>
          </w:p>
        </w:tc>
        <w:tc>
          <w:tcPr>
            <w:tcW w:w="1710" w:type="dxa"/>
          </w:tcPr>
          <w:p w14:paraId="6094D9F7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Analysis set</w:t>
            </w:r>
          </w:p>
        </w:tc>
        <w:tc>
          <w:tcPr>
            <w:tcW w:w="2520" w:type="dxa"/>
          </w:tcPr>
          <w:p w14:paraId="497AD4BD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Adjusted effect (95% CI)</w:t>
            </w:r>
          </w:p>
        </w:tc>
        <w:tc>
          <w:tcPr>
            <w:tcW w:w="1530" w:type="dxa"/>
          </w:tcPr>
          <w:p w14:paraId="084021BE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Effect scale</w:t>
            </w:r>
          </w:p>
        </w:tc>
        <w:tc>
          <w:tcPr>
            <w:tcW w:w="1620" w:type="dxa"/>
          </w:tcPr>
          <w:p w14:paraId="1F5B29A7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 xml:space="preserve">Ratio (exp </w:t>
            </w:r>
            <w:r w:rsidRPr="00705F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F97139" w14:paraId="64586EC0" w14:textId="77777777" w:rsidTr="00CE0859">
        <w:tc>
          <w:tcPr>
            <w:tcW w:w="1975" w:type="dxa"/>
            <w:vMerge w:val="restart"/>
          </w:tcPr>
          <w:p w14:paraId="15187628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Discharge ED LOS (Black vs White)</w:t>
            </w:r>
          </w:p>
        </w:tc>
        <w:tc>
          <w:tcPr>
            <w:tcW w:w="1710" w:type="dxa"/>
          </w:tcPr>
          <w:p w14:paraId="6679AB81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 w:rsidRPr="00FA3DFF">
              <w:rPr>
                <w:rFonts w:ascii="Times New Roman" w:eastAsiaTheme="minorEastAsia" w:hAnsi="Times New Roman" w:cs="Times New Roman"/>
                <w:sz w:val="20"/>
                <w:szCs w:val="20"/>
              </w:rPr>
              <w:t>Complete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FA3DFF">
              <w:rPr>
                <w:rFonts w:ascii="Times New Roman" w:eastAsiaTheme="minorEastAsia" w:hAnsi="Times New Roman" w:cs="Times New Roman"/>
                <w:sz w:val="20"/>
                <w:szCs w:val="20"/>
              </w:rPr>
              <w:t>case</w:t>
            </w:r>
            <w:proofErr w:type="gramEnd"/>
          </w:p>
        </w:tc>
        <w:tc>
          <w:tcPr>
            <w:tcW w:w="2520" w:type="dxa"/>
          </w:tcPr>
          <w:p w14:paraId="64B55EEF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-1.80 (-9.45 to 6.18)</w:t>
            </w:r>
          </w:p>
        </w:tc>
        <w:tc>
          <w:tcPr>
            <w:tcW w:w="1530" w:type="dxa"/>
          </w:tcPr>
          <w:p w14:paraId="1D07E652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3DFF">
              <w:rPr>
                <w:rFonts w:ascii="Times New Roman" w:hAnsi="Times New Roman" w:cs="Times New Roman"/>
                <w:sz w:val="20"/>
                <w:szCs w:val="20"/>
              </w:rPr>
              <w:t>Δ 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utes</w:t>
            </w:r>
            <w:r w:rsidRPr="00FA3D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531B960E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0.99</w:t>
            </w:r>
          </w:p>
        </w:tc>
      </w:tr>
      <w:tr w:rsidR="00F97139" w14:paraId="69FDDAE9" w14:textId="77777777" w:rsidTr="00CE0859">
        <w:tc>
          <w:tcPr>
            <w:tcW w:w="1975" w:type="dxa"/>
            <w:vMerge/>
          </w:tcPr>
          <w:p w14:paraId="2F9DA985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4E7D3120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MI (m=20)</w:t>
            </w:r>
          </w:p>
        </w:tc>
        <w:tc>
          <w:tcPr>
            <w:tcW w:w="2520" w:type="dxa"/>
          </w:tcPr>
          <w:p w14:paraId="33D2825A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4.38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(-5.59 to 14.92)</w:t>
            </w:r>
          </w:p>
        </w:tc>
        <w:tc>
          <w:tcPr>
            <w:tcW w:w="1530" w:type="dxa"/>
          </w:tcPr>
          <w:p w14:paraId="2DDF757D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3DFF">
              <w:rPr>
                <w:rFonts w:ascii="Times New Roman" w:hAnsi="Times New Roman" w:cs="Times New Roman"/>
                <w:sz w:val="20"/>
                <w:szCs w:val="20"/>
              </w:rPr>
              <w:t>Δ 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utes</w:t>
            </w:r>
            <w:r w:rsidRPr="00FA3D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70AAF820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1.02</w:t>
            </w:r>
          </w:p>
        </w:tc>
      </w:tr>
      <w:tr w:rsidR="00F97139" w14:paraId="653935A4" w14:textId="77777777" w:rsidTr="00CE0859">
        <w:tc>
          <w:tcPr>
            <w:tcW w:w="1975" w:type="dxa"/>
            <w:vMerge w:val="restart"/>
          </w:tcPr>
          <w:p w14:paraId="4AC3FD14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Discharge ED LOS (Other vs White)</w:t>
            </w:r>
          </w:p>
        </w:tc>
        <w:tc>
          <w:tcPr>
            <w:tcW w:w="1710" w:type="dxa"/>
          </w:tcPr>
          <w:p w14:paraId="5BD0B956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 w:rsidRPr="00FA3DFF">
              <w:rPr>
                <w:rFonts w:ascii="Times New Roman" w:eastAsiaTheme="minorEastAsia" w:hAnsi="Times New Roman" w:cs="Times New Roman"/>
                <w:sz w:val="20"/>
                <w:szCs w:val="20"/>
              </w:rPr>
              <w:t>Complete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FA3DFF">
              <w:rPr>
                <w:rFonts w:ascii="Times New Roman" w:eastAsiaTheme="minorEastAsia" w:hAnsi="Times New Roman" w:cs="Times New Roman"/>
                <w:sz w:val="20"/>
                <w:szCs w:val="20"/>
              </w:rPr>
              <w:t>case</w:t>
            </w:r>
            <w:proofErr w:type="gramEnd"/>
          </w:p>
        </w:tc>
        <w:tc>
          <w:tcPr>
            <w:tcW w:w="2520" w:type="dxa"/>
          </w:tcPr>
          <w:p w14:paraId="7163069C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1.87 (-6.45 to 10.59)</w:t>
            </w:r>
          </w:p>
        </w:tc>
        <w:tc>
          <w:tcPr>
            <w:tcW w:w="1530" w:type="dxa"/>
          </w:tcPr>
          <w:p w14:paraId="7F017DDD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3DFF">
              <w:rPr>
                <w:rFonts w:ascii="Times New Roman" w:hAnsi="Times New Roman" w:cs="Times New Roman"/>
                <w:sz w:val="20"/>
                <w:szCs w:val="20"/>
              </w:rPr>
              <w:t>Δ 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utes</w:t>
            </w:r>
            <w:r w:rsidRPr="00FA3D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77467667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1.00</w:t>
            </w:r>
          </w:p>
        </w:tc>
      </w:tr>
      <w:tr w:rsidR="00F97139" w14:paraId="138DDE55" w14:textId="77777777" w:rsidTr="00CE0859">
        <w:tc>
          <w:tcPr>
            <w:tcW w:w="1975" w:type="dxa"/>
            <w:vMerge/>
          </w:tcPr>
          <w:p w14:paraId="5ECBC7E4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4AC06492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MI (m=20)</w:t>
            </w:r>
          </w:p>
        </w:tc>
        <w:tc>
          <w:tcPr>
            <w:tcW w:w="2520" w:type="dxa"/>
          </w:tcPr>
          <w:p w14:paraId="51DF20B6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2.08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(-5.84 to 10.37)</w:t>
            </w:r>
          </w:p>
        </w:tc>
        <w:tc>
          <w:tcPr>
            <w:tcW w:w="1530" w:type="dxa"/>
          </w:tcPr>
          <w:p w14:paraId="77F6C0A1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3DFF">
              <w:rPr>
                <w:rFonts w:ascii="Times New Roman" w:hAnsi="Times New Roman" w:cs="Times New Roman"/>
                <w:sz w:val="20"/>
                <w:szCs w:val="20"/>
              </w:rPr>
              <w:t>Δ 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utes</w:t>
            </w:r>
            <w:r w:rsidRPr="00FA3D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5048CA83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1.01</w:t>
            </w:r>
          </w:p>
        </w:tc>
      </w:tr>
      <w:tr w:rsidR="00F97139" w14:paraId="4FB609D7" w14:textId="77777777" w:rsidTr="00CE0859">
        <w:tc>
          <w:tcPr>
            <w:tcW w:w="1975" w:type="dxa"/>
            <w:vMerge w:val="restart"/>
          </w:tcPr>
          <w:p w14:paraId="44971515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Boarding (admitted) (Black vs White)</w:t>
            </w:r>
          </w:p>
        </w:tc>
        <w:tc>
          <w:tcPr>
            <w:tcW w:w="1710" w:type="dxa"/>
          </w:tcPr>
          <w:p w14:paraId="731094ED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 w:rsidRPr="00FA3DFF">
              <w:rPr>
                <w:rFonts w:ascii="Times New Roman" w:eastAsiaTheme="minorEastAsia" w:hAnsi="Times New Roman" w:cs="Times New Roman"/>
                <w:sz w:val="20"/>
                <w:szCs w:val="20"/>
              </w:rPr>
              <w:t>Complete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FA3DFF">
              <w:rPr>
                <w:rFonts w:ascii="Times New Roman" w:eastAsiaTheme="minorEastAsia" w:hAnsi="Times New Roman" w:cs="Times New Roman"/>
                <w:sz w:val="20"/>
                <w:szCs w:val="20"/>
              </w:rPr>
              <w:t>case</w:t>
            </w:r>
            <w:proofErr w:type="gramEnd"/>
          </w:p>
        </w:tc>
        <w:tc>
          <w:tcPr>
            <w:tcW w:w="2520" w:type="dxa"/>
          </w:tcPr>
          <w:p w14:paraId="5E2E412E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33.81 (-16.47 to 91.76)</w:t>
            </w:r>
          </w:p>
        </w:tc>
        <w:tc>
          <w:tcPr>
            <w:tcW w:w="1530" w:type="dxa"/>
          </w:tcPr>
          <w:p w14:paraId="2F876FEF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3DFF">
              <w:rPr>
                <w:rFonts w:ascii="Times New Roman" w:hAnsi="Times New Roman" w:cs="Times New Roman"/>
                <w:sz w:val="20"/>
                <w:szCs w:val="20"/>
              </w:rPr>
              <w:t>Δ 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utes</w:t>
            </w:r>
            <w:r w:rsidRPr="00FA3D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79DDDEB7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1.10</w:t>
            </w:r>
          </w:p>
        </w:tc>
      </w:tr>
      <w:tr w:rsidR="00F97139" w14:paraId="1989BC05" w14:textId="77777777" w:rsidTr="00CE0859">
        <w:tc>
          <w:tcPr>
            <w:tcW w:w="1975" w:type="dxa"/>
            <w:vMerge/>
          </w:tcPr>
          <w:p w14:paraId="15A46496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5EB37C0C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MI (m=20)</w:t>
            </w:r>
          </w:p>
        </w:tc>
        <w:tc>
          <w:tcPr>
            <w:tcW w:w="2520" w:type="dxa"/>
          </w:tcPr>
          <w:p w14:paraId="26AAC2FC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45.16 (0.06 to 96.17)</w:t>
            </w:r>
          </w:p>
        </w:tc>
        <w:tc>
          <w:tcPr>
            <w:tcW w:w="1530" w:type="dxa"/>
          </w:tcPr>
          <w:p w14:paraId="0007033C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3DFF">
              <w:rPr>
                <w:rFonts w:ascii="Times New Roman" w:hAnsi="Times New Roman" w:cs="Times New Roman"/>
                <w:sz w:val="20"/>
                <w:szCs w:val="20"/>
              </w:rPr>
              <w:t>Δ 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utes</w:t>
            </w:r>
            <w:r w:rsidRPr="00FA3D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2813C56D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1.13</w:t>
            </w:r>
          </w:p>
        </w:tc>
      </w:tr>
      <w:tr w:rsidR="00F97139" w14:paraId="5A0664E1" w14:textId="77777777" w:rsidTr="00CE0859">
        <w:tc>
          <w:tcPr>
            <w:tcW w:w="1975" w:type="dxa"/>
            <w:vMerge w:val="restart"/>
          </w:tcPr>
          <w:p w14:paraId="53FECFA0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Boarding (admitted) (Other vs White)</w:t>
            </w:r>
          </w:p>
        </w:tc>
        <w:tc>
          <w:tcPr>
            <w:tcW w:w="1710" w:type="dxa"/>
          </w:tcPr>
          <w:p w14:paraId="717015B9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 w:rsidRPr="00FA3DFF">
              <w:rPr>
                <w:rFonts w:ascii="Times New Roman" w:eastAsiaTheme="minorEastAsia" w:hAnsi="Times New Roman" w:cs="Times New Roman"/>
                <w:sz w:val="20"/>
                <w:szCs w:val="20"/>
              </w:rPr>
              <w:t>Complete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FA3DFF">
              <w:rPr>
                <w:rFonts w:ascii="Times New Roman" w:eastAsiaTheme="minorEastAsia" w:hAnsi="Times New Roman" w:cs="Times New Roman"/>
                <w:sz w:val="20"/>
                <w:szCs w:val="20"/>
              </w:rPr>
              <w:t>case</w:t>
            </w:r>
            <w:proofErr w:type="gramEnd"/>
          </w:p>
        </w:tc>
        <w:tc>
          <w:tcPr>
            <w:tcW w:w="2520" w:type="dxa"/>
          </w:tcPr>
          <w:p w14:paraId="73FE49EC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58.09 (-26.08 to 164.4)</w:t>
            </w:r>
          </w:p>
        </w:tc>
        <w:tc>
          <w:tcPr>
            <w:tcW w:w="1530" w:type="dxa"/>
          </w:tcPr>
          <w:p w14:paraId="7D66DC57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3DFF">
              <w:rPr>
                <w:rFonts w:ascii="Times New Roman" w:hAnsi="Times New Roman" w:cs="Times New Roman"/>
                <w:sz w:val="20"/>
                <w:szCs w:val="20"/>
              </w:rPr>
              <w:t>Δ 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utes</w:t>
            </w:r>
            <w:r w:rsidRPr="00FA3D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6E1FEE50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1.17</w:t>
            </w:r>
          </w:p>
        </w:tc>
      </w:tr>
      <w:tr w:rsidR="00F97139" w14:paraId="3F45AF23" w14:textId="77777777" w:rsidTr="00CE0859">
        <w:tc>
          <w:tcPr>
            <w:tcW w:w="1975" w:type="dxa"/>
            <w:vMerge/>
          </w:tcPr>
          <w:p w14:paraId="4258E248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66EDB620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MI (m=20)</w:t>
            </w:r>
          </w:p>
        </w:tc>
        <w:tc>
          <w:tcPr>
            <w:tcW w:w="2520" w:type="dxa"/>
          </w:tcPr>
          <w:p w14:paraId="4870DEE3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34.03 (-62.24 to 163.14)</w:t>
            </w:r>
          </w:p>
        </w:tc>
        <w:tc>
          <w:tcPr>
            <w:tcW w:w="1530" w:type="dxa"/>
          </w:tcPr>
          <w:p w14:paraId="2D238E92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FA3DFF">
              <w:rPr>
                <w:rFonts w:ascii="Times New Roman" w:hAnsi="Times New Roman" w:cs="Times New Roman"/>
                <w:sz w:val="20"/>
                <w:szCs w:val="20"/>
              </w:rPr>
              <w:t>Δ 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utes</w:t>
            </w:r>
            <w:r w:rsidRPr="00FA3D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14:paraId="4821444A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1.10</w:t>
            </w:r>
          </w:p>
        </w:tc>
      </w:tr>
      <w:tr w:rsidR="00F97139" w14:paraId="43D7C3C8" w14:textId="77777777" w:rsidTr="00CE0859">
        <w:tc>
          <w:tcPr>
            <w:tcW w:w="1975" w:type="dxa"/>
            <w:vMerge w:val="restart"/>
          </w:tcPr>
          <w:p w14:paraId="6F5CACE6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LWBS (Black vs White)</w:t>
            </w:r>
          </w:p>
        </w:tc>
        <w:tc>
          <w:tcPr>
            <w:tcW w:w="1710" w:type="dxa"/>
          </w:tcPr>
          <w:p w14:paraId="5161F5EE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 w:rsidRPr="00FA3DFF">
              <w:rPr>
                <w:rFonts w:ascii="Times New Roman" w:eastAsiaTheme="minorEastAsia" w:hAnsi="Times New Roman" w:cs="Times New Roman"/>
                <w:sz w:val="20"/>
                <w:szCs w:val="20"/>
              </w:rPr>
              <w:t>Complete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FA3DFF">
              <w:rPr>
                <w:rFonts w:ascii="Times New Roman" w:eastAsiaTheme="minorEastAsia" w:hAnsi="Times New Roman" w:cs="Times New Roman"/>
                <w:sz w:val="20"/>
                <w:szCs w:val="20"/>
              </w:rPr>
              <w:t>case</w:t>
            </w:r>
            <w:proofErr w:type="gramEnd"/>
          </w:p>
        </w:tc>
        <w:tc>
          <w:tcPr>
            <w:tcW w:w="2520" w:type="dxa"/>
          </w:tcPr>
          <w:p w14:paraId="36248766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 (0.57</w:t>
            </w:r>
            <w:r w:rsidRPr="00151D2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1.68)</w:t>
            </w:r>
          </w:p>
        </w:tc>
        <w:tc>
          <w:tcPr>
            <w:tcW w:w="1530" w:type="dxa"/>
          </w:tcPr>
          <w:p w14:paraId="326B2906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aOR</w:t>
            </w:r>
          </w:p>
        </w:tc>
        <w:tc>
          <w:tcPr>
            <w:tcW w:w="1620" w:type="dxa"/>
          </w:tcPr>
          <w:p w14:paraId="5411A445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00FFA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F97139" w14:paraId="12328097" w14:textId="77777777" w:rsidTr="00CE0859">
        <w:tc>
          <w:tcPr>
            <w:tcW w:w="1975" w:type="dxa"/>
            <w:vMerge/>
          </w:tcPr>
          <w:p w14:paraId="477EABE5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61953AAB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MI (m=20)</w:t>
            </w:r>
          </w:p>
        </w:tc>
        <w:tc>
          <w:tcPr>
            <w:tcW w:w="2520" w:type="dxa"/>
          </w:tcPr>
          <w:p w14:paraId="34F8A117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0.79 </w:t>
            </w:r>
            <w:r w:rsidRPr="00151D20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  <w:r w:rsidRPr="00151D20">
              <w:rPr>
                <w:rFonts w:ascii="Times New Roman" w:hAnsi="Times New Roman" w:cs="Times New Roman"/>
                <w:sz w:val="20"/>
                <w:szCs w:val="20"/>
              </w:rPr>
              <w:t>–1.0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51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30" w:type="dxa"/>
          </w:tcPr>
          <w:p w14:paraId="4148C992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183957">
              <w:rPr>
                <w:rFonts w:ascii="Times New Roman" w:eastAsiaTheme="minorEastAsia" w:hAnsi="Times New Roman" w:cs="Times New Roman"/>
                <w:sz w:val="20"/>
                <w:szCs w:val="20"/>
              </w:rPr>
              <w:t>aOR</w:t>
            </w:r>
          </w:p>
        </w:tc>
        <w:tc>
          <w:tcPr>
            <w:tcW w:w="1620" w:type="dxa"/>
          </w:tcPr>
          <w:p w14:paraId="2069B431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00FFA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F97139" w14:paraId="60C5F9EF" w14:textId="77777777" w:rsidTr="00CE0859">
        <w:tc>
          <w:tcPr>
            <w:tcW w:w="1975" w:type="dxa"/>
            <w:vMerge w:val="restart"/>
          </w:tcPr>
          <w:p w14:paraId="367BCA97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LWBS (Other vs White)</w:t>
            </w:r>
          </w:p>
        </w:tc>
        <w:tc>
          <w:tcPr>
            <w:tcW w:w="1710" w:type="dxa"/>
          </w:tcPr>
          <w:p w14:paraId="4617E35D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 w:rsidRPr="00FA3DFF">
              <w:rPr>
                <w:rFonts w:ascii="Times New Roman" w:eastAsiaTheme="minorEastAsia" w:hAnsi="Times New Roman" w:cs="Times New Roman"/>
                <w:sz w:val="20"/>
                <w:szCs w:val="20"/>
              </w:rPr>
              <w:t>Complete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FA3DFF">
              <w:rPr>
                <w:rFonts w:ascii="Times New Roman" w:eastAsiaTheme="minorEastAsia" w:hAnsi="Times New Roman" w:cs="Times New Roman"/>
                <w:sz w:val="20"/>
                <w:szCs w:val="20"/>
              </w:rPr>
              <w:t>case</w:t>
            </w:r>
            <w:proofErr w:type="gramEnd"/>
          </w:p>
        </w:tc>
        <w:tc>
          <w:tcPr>
            <w:tcW w:w="2520" w:type="dxa"/>
          </w:tcPr>
          <w:p w14:paraId="1D7A3ED4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 (0.58</w:t>
            </w:r>
            <w:r w:rsidRPr="00151D2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1.68)</w:t>
            </w:r>
          </w:p>
        </w:tc>
        <w:tc>
          <w:tcPr>
            <w:tcW w:w="1530" w:type="dxa"/>
          </w:tcPr>
          <w:p w14:paraId="75C90EE6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183957">
              <w:rPr>
                <w:rFonts w:ascii="Times New Roman" w:eastAsiaTheme="minorEastAsia" w:hAnsi="Times New Roman" w:cs="Times New Roman"/>
                <w:sz w:val="20"/>
                <w:szCs w:val="20"/>
              </w:rPr>
              <w:t>aOR</w:t>
            </w:r>
          </w:p>
        </w:tc>
        <w:tc>
          <w:tcPr>
            <w:tcW w:w="1620" w:type="dxa"/>
          </w:tcPr>
          <w:p w14:paraId="3D4D7D20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00FFA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  <w:tr w:rsidR="00F97139" w14:paraId="268B577E" w14:textId="77777777" w:rsidTr="00CE0859">
        <w:tc>
          <w:tcPr>
            <w:tcW w:w="1975" w:type="dxa"/>
            <w:vMerge/>
          </w:tcPr>
          <w:p w14:paraId="26122057" w14:textId="77777777" w:rsidR="00F97139" w:rsidRPr="008D21FC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206F6D45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MI (m=20)</w:t>
            </w:r>
          </w:p>
        </w:tc>
        <w:tc>
          <w:tcPr>
            <w:tcW w:w="2520" w:type="dxa"/>
          </w:tcPr>
          <w:p w14:paraId="6DBFA45D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 (0.55</w:t>
            </w:r>
            <w:r w:rsidRPr="00151D20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1.24)</w:t>
            </w:r>
          </w:p>
        </w:tc>
        <w:tc>
          <w:tcPr>
            <w:tcW w:w="1530" w:type="dxa"/>
          </w:tcPr>
          <w:p w14:paraId="6C117BBE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183957">
              <w:rPr>
                <w:rFonts w:ascii="Times New Roman" w:eastAsiaTheme="minorEastAsia" w:hAnsi="Times New Roman" w:cs="Times New Roman"/>
                <w:sz w:val="20"/>
                <w:szCs w:val="20"/>
              </w:rPr>
              <w:t>aOR</w:t>
            </w:r>
          </w:p>
        </w:tc>
        <w:tc>
          <w:tcPr>
            <w:tcW w:w="1620" w:type="dxa"/>
          </w:tcPr>
          <w:p w14:paraId="75C520E1" w14:textId="77777777" w:rsidR="00F97139" w:rsidRPr="00FA3DFF" w:rsidRDefault="00F97139" w:rsidP="00CE0859">
            <w:pPr>
              <w:spacing w:line="48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00FFA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</w:tbl>
    <w:p w14:paraId="4AA84B13" w14:textId="77777777" w:rsidR="00F97139" w:rsidRPr="002A2468" w:rsidRDefault="00F97139" w:rsidP="00F97139">
      <w:pPr>
        <w:spacing w:after="0" w:line="48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B7C08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Abbreviations:</w:t>
      </w:r>
      <w:r w:rsidRPr="009B7C0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ED LOS, emergency department length of stay</w:t>
      </w:r>
    </w:p>
    <w:p w14:paraId="3554EAA0" w14:textId="77777777" w:rsidR="00F97139" w:rsidRPr="00F8372E" w:rsidRDefault="00F97139" w:rsidP="00F97139">
      <w:pPr>
        <w:spacing w:after="0" w:line="480" w:lineRule="auto"/>
        <w:rPr>
          <w:rFonts w:ascii="Times New Roman" w:eastAsiaTheme="minorEastAsia" w:hAnsi="Times New Roman" w:cs="Times New Roman"/>
          <w:sz w:val="16"/>
          <w:szCs w:val="16"/>
        </w:rPr>
      </w:pPr>
      <w:r w:rsidRPr="0024030F">
        <w:rPr>
          <w:rFonts w:ascii="Times New Roman" w:eastAsiaTheme="minorEastAsia" w:hAnsi="Times New Roman" w:cs="Times New Roman"/>
          <w:b/>
          <w:bCs/>
          <w:sz w:val="16"/>
          <w:szCs w:val="16"/>
        </w:rPr>
        <w:t>Notes</w:t>
      </w:r>
      <w:r w:rsidRPr="0024030F">
        <w:rPr>
          <w:rFonts w:ascii="Times New Roman" w:eastAsiaTheme="minorEastAsia" w:hAnsi="Times New Roman" w:cs="Times New Roman"/>
          <w:sz w:val="16"/>
          <w:szCs w:val="16"/>
        </w:rPr>
        <w:t xml:space="preserve">. Multiple imputation </w:t>
      </w:r>
      <w:r>
        <w:rPr>
          <w:rFonts w:ascii="Times New Roman" w:eastAsiaTheme="minorEastAsia" w:hAnsi="Times New Roman" w:cs="Times New Roman"/>
          <w:sz w:val="16"/>
          <w:szCs w:val="16"/>
        </w:rPr>
        <w:t>was used with chained equations (m=20), incorporating predictive mean matching for continuous time outcomes and CCI, as well as polytomous/logistic models for categorical covariates</w:t>
      </w:r>
      <w:r w:rsidRPr="0024030F">
        <w:rPr>
          <w:rFonts w:ascii="Times New Roman" w:eastAsiaTheme="minorEastAsia" w:hAnsi="Times New Roman" w:cs="Times New Roman"/>
          <w:sz w:val="16"/>
          <w:szCs w:val="16"/>
        </w:rPr>
        <w:t xml:space="preserve">. Estimates for imputed data are pooled across m imputations using Rubin’s rules. “Ratio” = exp(β) from the log-minutes model. Δ minutes are back-transformed marginal effects at the geometric-mean baseline. </w:t>
      </w:r>
    </w:p>
    <w:p w14:paraId="15B9C3FC" w14:textId="77777777" w:rsidR="00F97139" w:rsidRPr="00476D34" w:rsidRDefault="00F97139" w:rsidP="00F97139">
      <w:pPr>
        <w:spacing w:after="0" w:line="480" w:lineRule="auto"/>
        <w:rPr>
          <w:rFonts w:ascii="Times New Roman" w:eastAsiaTheme="minorEastAsia" w:hAnsi="Times New Roman" w:cs="Times New Roman"/>
          <w:sz w:val="20"/>
          <w:szCs w:val="20"/>
        </w:rPr>
      </w:pPr>
    </w:p>
    <w:p w14:paraId="12A05572" w14:textId="77777777" w:rsidR="00F97139" w:rsidRDefault="00F97139" w:rsidP="00F97139">
      <w:pPr>
        <w:keepNext/>
        <w:spacing w:after="0" w:line="480" w:lineRule="auto"/>
        <w:jc w:val="center"/>
      </w:pPr>
      <w:r>
        <w:rPr>
          <w:noProof/>
        </w:rPr>
        <w:lastRenderedPageBreak/>
        <w:drawing>
          <wp:inline distT="0" distB="0" distL="0" distR="0" wp14:anchorId="490130C3" wp14:editId="751A11F0">
            <wp:extent cx="4165620" cy="2922270"/>
            <wp:effectExtent l="0" t="0" r="6350" b="0"/>
            <wp:docPr id="60433144" name="Picture 1" descr="A graph of number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33144" name="Picture 1" descr="A graph of numbers and lines&#10;&#10;AI-generated content may be incorrect.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8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527" cy="2940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AA10D" w14:textId="77777777" w:rsidR="00F97139" w:rsidRPr="00E47889" w:rsidRDefault="00F97139" w:rsidP="00F9713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4788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Pr="00E4788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S1  </w:t>
      </w:r>
      <w:r w:rsidRPr="00E47889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Admitted ED length of stay by race.</w:t>
      </w:r>
      <w:r w:rsidRPr="00E4788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Violin plots illustrate the distribution of LOS (in minutes). Solid vertical segments denote the interquartile range (IQR), with dots at the median. Dashed horizontal line marks the overall 75th percentile; dotted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55658">
        <w:rPr>
          <w:rFonts w:ascii="Times New Roman" w:hAnsi="Times New Roman" w:cs="Times New Roman"/>
          <w:color w:val="000000" w:themeColor="text1"/>
          <w:sz w:val="20"/>
          <w:szCs w:val="20"/>
        </w:rPr>
        <w:t>line marks the overall upper whisker (Q3+1.5×IQR). Numeric median and IQR values are annotated for each race.</w:t>
      </w:r>
    </w:p>
    <w:p w14:paraId="146599A3" w14:textId="77777777" w:rsidR="007F0C52" w:rsidRDefault="007F0C52"/>
    <w:sectPr w:rsidR="007F0C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cwNzCzMDQyM7A0szRR0lEKTi0uzszPAykwrAUABcoHfiwAAAA="/>
  </w:docVars>
  <w:rsids>
    <w:rsidRoot w:val="00F97139"/>
    <w:rsid w:val="001A0C3B"/>
    <w:rsid w:val="003726F4"/>
    <w:rsid w:val="00373DFA"/>
    <w:rsid w:val="007F0C52"/>
    <w:rsid w:val="00982F84"/>
    <w:rsid w:val="00F9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CFFEF4"/>
  <w15:chartTrackingRefBased/>
  <w15:docId w15:val="{82DF8B43-1B41-4CFA-B29F-0F1F23DAB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13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1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1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71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1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1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1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1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1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71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71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71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71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1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1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1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1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71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7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71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7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71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71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71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71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1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1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71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713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522</Words>
  <Characters>2794</Characters>
  <Application>Microsoft Office Word</Application>
  <DocSecurity>0</DocSecurity>
  <Lines>186</Lines>
  <Paragraphs>174</Paragraphs>
  <ScaleCrop>false</ScaleCrop>
  <Company>Henry Ford Health System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Emakhu, Joshua O.</dc:creator>
  <cp:keywords/>
  <dc:description/>
  <cp:lastModifiedBy>Emakhu, Joshua O.</cp:lastModifiedBy>
  <cp:revision>1</cp:revision>
  <dcterms:created xsi:type="dcterms:W3CDTF">2025-11-17T16:31:00Z</dcterms:created>
  <dcterms:modified xsi:type="dcterms:W3CDTF">2025-11-17T16:35:00Z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8a1f9cf2-dd00-4288-a0b1-a8a39f711382</vt:lpwstr>
  </property>
</Properties>
</file>