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488A" w:rsidRDefault="00000000">
      <w:pPr>
        <w:jc w:val="center"/>
      </w:pPr>
      <w:r>
        <w:rPr>
          <w:b/>
          <w:sz w:val="36"/>
        </w:rPr>
        <w:t>SUPPLEMENTARY MATERIALS</w:t>
      </w:r>
    </w:p>
    <w:p w:rsidR="00AB488A" w:rsidRDefault="00000000">
      <w:pPr>
        <w:jc w:val="center"/>
      </w:pPr>
      <w:r>
        <w:rPr>
          <w:i/>
          <w:sz w:val="28"/>
        </w:rPr>
        <w:t>Development and Validation of a Nursing-Oriented Triage Decision Tool</w:t>
      </w:r>
      <w:r>
        <w:rPr>
          <w:i/>
          <w:sz w:val="28"/>
        </w:rPr>
        <w:br/>
        <w:t>for Prehospital Trauma Patients in China: A Retrospective Cohort Study</w:t>
      </w:r>
    </w:p>
    <w:p w:rsidR="00AB488A" w:rsidRDefault="00AB488A"/>
    <w:p w:rsidR="00AB488A" w:rsidRDefault="00000000">
      <w:pPr>
        <w:spacing w:before="280" w:after="160"/>
      </w:pPr>
      <w:r>
        <w:rPr>
          <w:b/>
          <w:sz w:val="26"/>
        </w:rPr>
        <w:t>Supplementary Tables S1–S</w:t>
      </w:r>
      <w:r w:rsidR="00A540F5">
        <w:rPr>
          <w:b/>
          <w:sz w:val="26"/>
        </w:rPr>
        <w:t>5</w:t>
      </w:r>
    </w:p>
    <w:p w:rsidR="00AB488A" w:rsidRDefault="00000000">
      <w:r>
        <w:t>This document contains supplementary tables referenced in the main manuscript: (S1) Sensitivity analysis including prehospital deaths; (S2) Multiple imputation sensitivity analysis; (S3) Algorithmic fairness assessment across subgroups; (S4) Five-fold cross-validation sensitivity analysis.</w:t>
      </w:r>
    </w:p>
    <w:p w:rsidR="00680EBF" w:rsidRDefault="00680EBF">
      <w:pPr>
        <w:spacing w:before="200"/>
        <w:rPr>
          <w:b/>
          <w:sz w:val="22"/>
        </w:rPr>
      </w:pPr>
    </w:p>
    <w:p w:rsidR="00680EBF" w:rsidRDefault="00680EBF">
      <w:pPr>
        <w:spacing w:before="200"/>
        <w:rPr>
          <w:b/>
          <w:sz w:val="22"/>
        </w:rPr>
      </w:pPr>
    </w:p>
    <w:p w:rsidR="00680EBF" w:rsidRDefault="00680EBF">
      <w:pPr>
        <w:spacing w:before="200"/>
        <w:rPr>
          <w:b/>
          <w:sz w:val="22"/>
        </w:rPr>
      </w:pPr>
    </w:p>
    <w:p w:rsidR="00680EBF" w:rsidRDefault="00680EBF">
      <w:pPr>
        <w:spacing w:before="200"/>
        <w:rPr>
          <w:b/>
          <w:sz w:val="22"/>
        </w:rPr>
      </w:pPr>
    </w:p>
    <w:p w:rsidR="00680EBF" w:rsidRDefault="00680EBF">
      <w:pPr>
        <w:spacing w:before="200"/>
        <w:rPr>
          <w:b/>
          <w:sz w:val="22"/>
        </w:rPr>
      </w:pPr>
    </w:p>
    <w:p w:rsidR="00680EBF" w:rsidRDefault="00680EBF">
      <w:pPr>
        <w:spacing w:before="200"/>
        <w:rPr>
          <w:b/>
          <w:sz w:val="22"/>
        </w:rPr>
      </w:pPr>
    </w:p>
    <w:p w:rsidR="00680EBF" w:rsidRDefault="00680EBF">
      <w:pPr>
        <w:spacing w:before="200"/>
        <w:rPr>
          <w:b/>
          <w:sz w:val="22"/>
        </w:rPr>
      </w:pPr>
    </w:p>
    <w:p w:rsidR="00C23CE1" w:rsidRPr="007739BD" w:rsidRDefault="00C23CE1" w:rsidP="00C23CE1">
      <w:pPr>
        <w:spacing w:before="200"/>
        <w:rPr>
          <w:rFonts w:cs="Times New Roman"/>
          <w:color w:val="FF0000"/>
          <w:szCs w:val="24"/>
        </w:rPr>
      </w:pPr>
      <w:r w:rsidRPr="00C23CE1">
        <w:rPr>
          <w:b/>
          <w:color w:val="FF0000"/>
          <w:sz w:val="22"/>
        </w:rPr>
        <w:lastRenderedPageBreak/>
        <w:t>Supplementary Table S1</w:t>
      </w:r>
      <w:r w:rsidRPr="007739BD">
        <w:rPr>
          <w:rFonts w:cs="Times New Roman"/>
          <w:b/>
          <w:color w:val="FF0000"/>
          <w:szCs w:val="24"/>
        </w:rPr>
        <w:t>. TRIPOD-AI Reporting Checklist</w:t>
      </w:r>
    </w:p>
    <w:tbl>
      <w:tblPr>
        <w:tblStyle w:val="TableGrid"/>
        <w:tblW w:w="1357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126"/>
        <w:gridCol w:w="5245"/>
        <w:gridCol w:w="3080"/>
      </w:tblGrid>
      <w:tr w:rsidR="00C23CE1" w:rsidRPr="007739BD" w:rsidTr="004168B1">
        <w:trPr>
          <w:tblHeader/>
          <w:jc w:val="center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b/>
                <w:color w:val="FF0000"/>
                <w:szCs w:val="24"/>
              </w:rPr>
            </w:pPr>
            <w:r w:rsidRPr="007739BD">
              <w:rPr>
                <w:rFonts w:eastAsia="SimSun" w:cs="Times New Roman"/>
                <w:b/>
                <w:color w:val="FF0000"/>
                <w:szCs w:val="24"/>
              </w:rPr>
              <w:t>Section / Topic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b/>
                <w:color w:val="FF0000"/>
                <w:szCs w:val="24"/>
              </w:rPr>
            </w:pPr>
            <w:r w:rsidRPr="007739BD">
              <w:rPr>
                <w:rFonts w:eastAsia="SimSun" w:cs="Times New Roman"/>
                <w:b/>
                <w:color w:val="FF0000"/>
                <w:szCs w:val="24"/>
              </w:rPr>
              <w:t>TRIPOD-AI Item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b/>
                <w:color w:val="FF0000"/>
                <w:szCs w:val="24"/>
              </w:rPr>
            </w:pPr>
            <w:r w:rsidRPr="007739BD">
              <w:rPr>
                <w:rFonts w:eastAsia="SimSun" w:cs="Times New Roman"/>
                <w:b/>
                <w:color w:val="FF0000"/>
                <w:szCs w:val="24"/>
              </w:rPr>
              <w:t>Description</w:t>
            </w:r>
          </w:p>
        </w:tc>
        <w:tc>
          <w:tcPr>
            <w:tcW w:w="3080" w:type="dxa"/>
            <w:tcBorders>
              <w:bottom w:val="single" w:sz="4" w:space="0" w:color="auto"/>
            </w:tcBorders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b/>
                <w:color w:val="FF0000"/>
                <w:szCs w:val="24"/>
              </w:rPr>
            </w:pPr>
            <w:r w:rsidRPr="007739BD">
              <w:rPr>
                <w:rFonts w:eastAsia="SimSun" w:cs="Times New Roman"/>
                <w:b/>
                <w:color w:val="FF0000"/>
                <w:szCs w:val="24"/>
              </w:rPr>
              <w:t>Reported in Manuscript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TITLE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1a, 1b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Identify as prediction model; specify development/validation</w:t>
            </w:r>
          </w:p>
        </w:tc>
        <w:tc>
          <w:tcPr>
            <w:tcW w:w="3080" w:type="dxa"/>
            <w:tcBorders>
              <w:top w:val="single" w:sz="4" w:space="0" w:color="auto"/>
            </w:tcBorders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Title page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ABSTRACT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2a, 2b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Structured summary; study design, participants, outcomes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Abstract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INTRODUCTION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3a, 4a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Background; objectives and target population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Introduction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Data source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5a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Origin, type, time period of data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2.1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Study design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5b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Study design (retrospective/prospective)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2.1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Participants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5c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Eligibility criteria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2.2, Table 1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Outcome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5d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Outcome definition, timing, rationale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2.3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Predictors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5e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Predictor definitions, timing, measurement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2.4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Sample size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5f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Sample size and rationale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2.1, 2.6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Missing data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5g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Missing data handling strategy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2.5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Model dev.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6a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Model development process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2.7 (LASSO)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Model spec.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6b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Model type, predictors, functional form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2.8, Table 3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 xml:space="preserve">METHODS – </w:t>
            </w:r>
            <w:proofErr w:type="spellStart"/>
            <w:r w:rsidRPr="007739BD">
              <w:rPr>
                <w:rFonts w:eastAsia="SimSun" w:cs="Times New Roman"/>
                <w:color w:val="FF0000"/>
                <w:szCs w:val="24"/>
              </w:rPr>
              <w:t>Hyperparam</w:t>
            </w:r>
            <w:proofErr w:type="spellEnd"/>
            <w:r w:rsidRPr="007739BD">
              <w:rPr>
                <w:rFonts w:eastAsia="SimSun" w:cs="Times New Roman"/>
                <w:color w:val="FF0000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6c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Hyperparameter tuning method and ranges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2.9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Evaluation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7a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Evaluation strategy (internal/external)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2.10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Performance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7b, 7c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Discrimination, calibration, clinical utility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Results 3.4, Fig 3, Table 4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METHODS – Sensitivity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7d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Sensitivity analyses reported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Results 3.7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RESULTS – Flow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8a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Participant flow diagram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Figure 1 (STROBE)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lastRenderedPageBreak/>
              <w:t>RESULTS – Participants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8b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Participant characteristics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Results 3.1, Table 1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RESULTS – Model dev.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9a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Model development details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Results 3.2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RESULTS – Model spec.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9b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Final model specification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Results 3.2, Table 3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RESULTS – Performance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10a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Model performance metrics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Results 3.4, Figure 3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RESULTS – Evaluation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10b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Model evaluation results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Results 3.5, Table 4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DISCUSSION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11a, 11b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Limitations and interpretation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Discussion 4.5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OTHER – Ethics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13a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Ethics approval statement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Declarations</w:t>
            </w:r>
          </w:p>
        </w:tc>
      </w:tr>
      <w:tr w:rsidR="00C23CE1" w:rsidRPr="007739BD" w:rsidTr="004168B1">
        <w:trPr>
          <w:jc w:val="center"/>
        </w:trPr>
        <w:tc>
          <w:tcPr>
            <w:tcW w:w="3119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OTHER – Fairness</w:t>
            </w:r>
          </w:p>
        </w:tc>
        <w:tc>
          <w:tcPr>
            <w:tcW w:w="2126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jc w:val="center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16a</w:t>
            </w:r>
          </w:p>
        </w:tc>
        <w:tc>
          <w:tcPr>
            <w:tcW w:w="5245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Algorithmic fairness assessment</w:t>
            </w:r>
          </w:p>
        </w:tc>
        <w:tc>
          <w:tcPr>
            <w:tcW w:w="3080" w:type="dxa"/>
            <w:vAlign w:val="center"/>
          </w:tcPr>
          <w:p w:rsidR="00C23CE1" w:rsidRPr="007739BD" w:rsidRDefault="00C23CE1" w:rsidP="004168B1">
            <w:pPr>
              <w:snapToGrid w:val="0"/>
              <w:spacing w:line="240" w:lineRule="auto"/>
              <w:rPr>
                <w:rFonts w:eastAsia="SimSun" w:cs="Times New Roman"/>
                <w:color w:val="FF0000"/>
                <w:szCs w:val="24"/>
              </w:rPr>
            </w:pPr>
            <w:r w:rsidRPr="007739BD">
              <w:rPr>
                <w:rFonts w:eastAsia="SimSun" w:cs="Times New Roman"/>
                <w:color w:val="FF0000"/>
                <w:szCs w:val="24"/>
              </w:rPr>
              <w:t>Yes – Methods 2.11, Results 3.6</w:t>
            </w:r>
          </w:p>
        </w:tc>
      </w:tr>
    </w:tbl>
    <w:p w:rsidR="00C23CE1" w:rsidRPr="007739BD" w:rsidRDefault="00C23CE1" w:rsidP="00C23CE1">
      <w:pPr>
        <w:rPr>
          <w:rFonts w:cs="Times New Roman"/>
          <w:color w:val="FF0000"/>
          <w:szCs w:val="24"/>
        </w:rPr>
      </w:pPr>
      <w:r w:rsidRPr="007739BD">
        <w:rPr>
          <w:rFonts w:cs="Times New Roman"/>
          <w:i/>
          <w:color w:val="FF0000"/>
          <w:szCs w:val="24"/>
        </w:rPr>
        <w:t>Note: This checklist follows the TRIPOD-AI statement (Collins et al., BMJ 2024). All items marked "Yes" are reported in the specified sections of this manuscript.</w:t>
      </w:r>
    </w:p>
    <w:p w:rsidR="00C23CE1" w:rsidRPr="007739BD" w:rsidRDefault="00C23CE1" w:rsidP="00C23CE1">
      <w:pPr>
        <w:rPr>
          <w:rFonts w:cs="Times New Roman"/>
          <w:szCs w:val="24"/>
        </w:rPr>
      </w:pPr>
    </w:p>
    <w:p w:rsidR="00C23CE1" w:rsidRPr="007739BD" w:rsidRDefault="00C23CE1" w:rsidP="00C23CE1">
      <w:pPr>
        <w:rPr>
          <w:rFonts w:cs="Times New Roman"/>
          <w:szCs w:val="24"/>
        </w:rPr>
      </w:pPr>
    </w:p>
    <w:p w:rsidR="00C23CE1" w:rsidRDefault="00C23CE1">
      <w:pPr>
        <w:spacing w:before="200"/>
        <w:rPr>
          <w:b/>
          <w:sz w:val="22"/>
        </w:rPr>
      </w:pPr>
    </w:p>
    <w:p w:rsidR="00C23CE1" w:rsidRDefault="00C23CE1">
      <w:pPr>
        <w:spacing w:before="200"/>
        <w:rPr>
          <w:b/>
          <w:sz w:val="22"/>
        </w:rPr>
      </w:pPr>
    </w:p>
    <w:p w:rsidR="00C23CE1" w:rsidRDefault="00C23CE1">
      <w:pPr>
        <w:spacing w:before="200"/>
        <w:rPr>
          <w:b/>
          <w:sz w:val="22"/>
        </w:rPr>
      </w:pPr>
    </w:p>
    <w:p w:rsidR="00C23CE1" w:rsidRDefault="00C23CE1">
      <w:pPr>
        <w:spacing w:before="200"/>
        <w:rPr>
          <w:b/>
          <w:sz w:val="22"/>
        </w:rPr>
      </w:pPr>
    </w:p>
    <w:p w:rsidR="00C23CE1" w:rsidRDefault="00C23CE1">
      <w:pPr>
        <w:spacing w:before="200"/>
        <w:rPr>
          <w:b/>
          <w:sz w:val="22"/>
        </w:rPr>
      </w:pPr>
    </w:p>
    <w:p w:rsidR="00AB488A" w:rsidRDefault="00000000">
      <w:pPr>
        <w:spacing w:before="200"/>
      </w:pPr>
      <w:r>
        <w:rPr>
          <w:b/>
          <w:sz w:val="22"/>
        </w:rPr>
        <w:lastRenderedPageBreak/>
        <w:t>Supplementary Table S</w:t>
      </w:r>
      <w:r w:rsidR="006C5F01">
        <w:rPr>
          <w:b/>
          <w:sz w:val="22"/>
        </w:rPr>
        <w:t>2</w:t>
      </w:r>
      <w:r>
        <w:rPr>
          <w:b/>
          <w:sz w:val="22"/>
        </w:rPr>
        <w:t>. Sensitivity Analysis: Inclusion of Prehospital Deaths (n=16)</w:t>
      </w:r>
    </w:p>
    <w:p w:rsidR="00AB488A" w:rsidRDefault="00000000">
      <w:r>
        <w:t>Primary analysis excluded 16 patients who died during prehospital transportation due to inconsistency with the 24-hour composite outcome definition (which requires hospital arrival for ISS calculation). This sensitivity analysis includes these patients to assess spectrum bias.</w:t>
      </w:r>
    </w:p>
    <w:tbl>
      <w:tblPr>
        <w:tblStyle w:val="TableGrid"/>
        <w:tblW w:w="864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1"/>
        <w:gridCol w:w="2214"/>
        <w:gridCol w:w="2243"/>
        <w:gridCol w:w="1332"/>
      </w:tblGrid>
      <w:tr w:rsidR="00AB488A">
        <w:trPr>
          <w:tblHeader/>
          <w:jc w:val="center"/>
        </w:trPr>
        <w:tc>
          <w:tcPr>
            <w:tcW w:w="2852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>
            <w:pPr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Metric</w:t>
            </w:r>
          </w:p>
        </w:tc>
        <w:tc>
          <w:tcPr>
            <w:tcW w:w="2214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Primary Analysis</w:t>
            </w:r>
            <w:r w:rsidRPr="00680EBF">
              <w:rPr>
                <w:rFonts w:eastAsia="MS Mincho"/>
                <w:b/>
                <w:szCs w:val="24"/>
              </w:rPr>
              <w:br/>
              <w:t>(n=2,864)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Sensitivity Analysis</w:t>
            </w:r>
            <w:r w:rsidRPr="00680EBF">
              <w:rPr>
                <w:rFonts w:eastAsia="MS Mincho"/>
                <w:b/>
                <w:szCs w:val="24"/>
              </w:rPr>
              <w:br/>
              <w:t>(n=2,880)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>
            <w:pPr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Difference</w:t>
            </w:r>
          </w:p>
        </w:tc>
      </w:tr>
      <w:tr w:rsidR="00AB488A">
        <w:trPr>
          <w:jc w:val="center"/>
        </w:trPr>
        <w:tc>
          <w:tcPr>
            <w:tcW w:w="2852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AUROC (95% CI)</w:t>
            </w:r>
          </w:p>
        </w:tc>
        <w:tc>
          <w:tcPr>
            <w:tcW w:w="2214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0.883 (0.857–0.909)</w:t>
            </w:r>
          </w:p>
        </w:tc>
        <w:tc>
          <w:tcPr>
            <w:tcW w:w="2243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0.879 (0.853–0.905)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−0.004</w:t>
            </w:r>
          </w:p>
        </w:tc>
      </w:tr>
      <w:tr w:rsidR="00AB488A">
        <w:trPr>
          <w:jc w:val="center"/>
        </w:trPr>
        <w:tc>
          <w:tcPr>
            <w:tcW w:w="285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AUCPR</w:t>
            </w:r>
          </w:p>
        </w:tc>
        <w:tc>
          <w:tcPr>
            <w:tcW w:w="2214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0.612</w:t>
            </w:r>
          </w:p>
        </w:tc>
        <w:tc>
          <w:tcPr>
            <w:tcW w:w="2243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0.604</w:t>
            </w:r>
          </w:p>
        </w:tc>
        <w:tc>
          <w:tcPr>
            <w:tcW w:w="133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−0.008</w:t>
            </w:r>
          </w:p>
        </w:tc>
      </w:tr>
      <w:tr w:rsidR="00AB488A">
        <w:trPr>
          <w:jc w:val="center"/>
        </w:trPr>
        <w:tc>
          <w:tcPr>
            <w:tcW w:w="285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Brier score</w:t>
            </w:r>
          </w:p>
        </w:tc>
        <w:tc>
          <w:tcPr>
            <w:tcW w:w="2214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0.089</w:t>
            </w:r>
          </w:p>
        </w:tc>
        <w:tc>
          <w:tcPr>
            <w:tcW w:w="2243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0.093</w:t>
            </w:r>
          </w:p>
        </w:tc>
        <w:tc>
          <w:tcPr>
            <w:tcW w:w="133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+0.004</w:t>
            </w:r>
          </w:p>
        </w:tc>
      </w:tr>
      <w:tr w:rsidR="00AB488A">
        <w:trPr>
          <w:jc w:val="center"/>
        </w:trPr>
        <w:tc>
          <w:tcPr>
            <w:tcW w:w="285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Sensitivity (%)</w:t>
            </w:r>
          </w:p>
        </w:tc>
        <w:tc>
          <w:tcPr>
            <w:tcW w:w="2214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90.4</w:t>
            </w:r>
          </w:p>
        </w:tc>
        <w:tc>
          <w:tcPr>
            <w:tcW w:w="2243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89.8</w:t>
            </w:r>
          </w:p>
        </w:tc>
        <w:tc>
          <w:tcPr>
            <w:tcW w:w="133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−0.6</w:t>
            </w:r>
          </w:p>
        </w:tc>
      </w:tr>
      <w:tr w:rsidR="00AB488A">
        <w:trPr>
          <w:jc w:val="center"/>
        </w:trPr>
        <w:tc>
          <w:tcPr>
            <w:tcW w:w="285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Specificity (%)</w:t>
            </w:r>
          </w:p>
        </w:tc>
        <w:tc>
          <w:tcPr>
            <w:tcW w:w="2214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83.7</w:t>
            </w:r>
          </w:p>
        </w:tc>
        <w:tc>
          <w:tcPr>
            <w:tcW w:w="2243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83.2</w:t>
            </w:r>
          </w:p>
        </w:tc>
        <w:tc>
          <w:tcPr>
            <w:tcW w:w="133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−0.5</w:t>
            </w:r>
          </w:p>
        </w:tc>
      </w:tr>
      <w:tr w:rsidR="00AB488A">
        <w:trPr>
          <w:jc w:val="center"/>
        </w:trPr>
        <w:tc>
          <w:tcPr>
            <w:tcW w:w="285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PPV (%)</w:t>
            </w:r>
          </w:p>
        </w:tc>
        <w:tc>
          <w:tcPr>
            <w:tcW w:w="2214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82.5</w:t>
            </w:r>
          </w:p>
        </w:tc>
        <w:tc>
          <w:tcPr>
            <w:tcW w:w="2243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81.8</w:t>
            </w:r>
          </w:p>
        </w:tc>
        <w:tc>
          <w:tcPr>
            <w:tcW w:w="133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−0.7</w:t>
            </w:r>
          </w:p>
        </w:tc>
      </w:tr>
      <w:tr w:rsidR="00AB488A">
        <w:trPr>
          <w:jc w:val="center"/>
        </w:trPr>
        <w:tc>
          <w:tcPr>
            <w:tcW w:w="285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NPV (%)</w:t>
            </w:r>
          </w:p>
        </w:tc>
        <w:tc>
          <w:tcPr>
            <w:tcW w:w="2214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92.0</w:t>
            </w:r>
          </w:p>
        </w:tc>
        <w:tc>
          <w:tcPr>
            <w:tcW w:w="2243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91.4</w:t>
            </w:r>
          </w:p>
        </w:tc>
        <w:tc>
          <w:tcPr>
            <w:tcW w:w="133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−0.6</w:t>
            </w:r>
          </w:p>
        </w:tc>
      </w:tr>
      <w:tr w:rsidR="00AB488A">
        <w:trPr>
          <w:jc w:val="center"/>
        </w:trPr>
        <w:tc>
          <w:tcPr>
            <w:tcW w:w="285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Optimal cutoff</w:t>
            </w:r>
          </w:p>
        </w:tc>
        <w:tc>
          <w:tcPr>
            <w:tcW w:w="2214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≥5 points</w:t>
            </w:r>
          </w:p>
        </w:tc>
        <w:tc>
          <w:tcPr>
            <w:tcW w:w="2243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≥5 points</w:t>
            </w:r>
          </w:p>
        </w:tc>
        <w:tc>
          <w:tcPr>
            <w:tcW w:w="133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No change</w:t>
            </w:r>
          </w:p>
        </w:tc>
      </w:tr>
      <w:tr w:rsidR="00AB488A">
        <w:trPr>
          <w:jc w:val="center"/>
        </w:trPr>
        <w:tc>
          <w:tcPr>
            <w:tcW w:w="285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Appropriate triage rate (%)</w:t>
            </w:r>
          </w:p>
        </w:tc>
        <w:tc>
          <w:tcPr>
            <w:tcW w:w="2214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89.3</w:t>
            </w:r>
          </w:p>
        </w:tc>
        <w:tc>
          <w:tcPr>
            <w:tcW w:w="2243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88.7</w:t>
            </w:r>
          </w:p>
        </w:tc>
        <w:tc>
          <w:tcPr>
            <w:tcW w:w="1332" w:type="dxa"/>
            <w:vAlign w:val="center"/>
          </w:tcPr>
          <w:p w:rsidR="00AB488A" w:rsidRPr="00680EBF" w:rsidRDefault="00000000" w:rsidP="00680EBF">
            <w:pPr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−0.6</w:t>
            </w:r>
          </w:p>
        </w:tc>
      </w:tr>
    </w:tbl>
    <w:p w:rsidR="00AB488A" w:rsidRPr="005B4D04" w:rsidRDefault="00000000">
      <w:pPr>
        <w:rPr>
          <w:szCs w:val="24"/>
        </w:rPr>
      </w:pPr>
      <w:r w:rsidRPr="005B4D04">
        <w:rPr>
          <w:i/>
          <w:szCs w:val="24"/>
        </w:rPr>
        <w:t>Note: AUROC=area under the receiver operating characteristic curve; AUCPR=area under the precision-recall curve; PPV=positive predictive value; NPV=negative predictive value. The minimal change in AUROC (&lt;0.005) suggests that exclusion of prehospital deaths introduced negligible spectrum bias.</w:t>
      </w:r>
    </w:p>
    <w:p w:rsidR="00AB488A" w:rsidRDefault="00AB488A"/>
    <w:p w:rsidR="00680EBF" w:rsidRDefault="00680EBF">
      <w:pPr>
        <w:spacing w:before="200"/>
        <w:rPr>
          <w:b/>
          <w:sz w:val="22"/>
        </w:rPr>
      </w:pPr>
    </w:p>
    <w:p w:rsidR="00AB488A" w:rsidRDefault="00000000">
      <w:pPr>
        <w:spacing w:before="200"/>
      </w:pPr>
      <w:r>
        <w:rPr>
          <w:b/>
          <w:sz w:val="22"/>
        </w:rPr>
        <w:lastRenderedPageBreak/>
        <w:t>Supplementary Table S</w:t>
      </w:r>
      <w:r w:rsidR="006C5F01">
        <w:rPr>
          <w:b/>
          <w:sz w:val="22"/>
        </w:rPr>
        <w:t>3</w:t>
      </w:r>
      <w:r>
        <w:rPr>
          <w:b/>
          <w:sz w:val="22"/>
        </w:rPr>
        <w:t>. Sensitivity Analysis: Multiple Imputation for Missing Data</w:t>
      </w:r>
    </w:p>
    <w:p w:rsidR="00AB488A" w:rsidRDefault="00000000">
      <w:r>
        <w:t>Primary analysis used complete-case analysis (n=2,864) as missing data rates were &lt;5% for all variables. This sensitivity analysis uses multiple imputation by chained equations (MICE) with 10 imputed datasets to assess the robustness of findings to missing data assumptions.</w:t>
      </w:r>
    </w:p>
    <w:tbl>
      <w:tblPr>
        <w:tblStyle w:val="TableGrid"/>
        <w:tblW w:w="864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3"/>
        <w:gridCol w:w="2200"/>
        <w:gridCol w:w="2365"/>
        <w:gridCol w:w="1282"/>
      </w:tblGrid>
      <w:tr w:rsidR="00AB488A" w:rsidTr="00680EBF">
        <w:trPr>
          <w:tblHeader/>
          <w:jc w:val="center"/>
        </w:trPr>
        <w:tc>
          <w:tcPr>
            <w:tcW w:w="2793" w:type="dxa"/>
            <w:tcBorders>
              <w:bottom w:val="single" w:sz="4" w:space="0" w:color="auto"/>
            </w:tcBorders>
          </w:tcPr>
          <w:p w:rsidR="00AB488A" w:rsidRPr="00680EBF" w:rsidRDefault="00000000" w:rsidP="00680EBF">
            <w:pPr>
              <w:snapToGrid w:val="0"/>
              <w:spacing w:after="0"/>
              <w:rPr>
                <w:szCs w:val="24"/>
              </w:rPr>
            </w:pPr>
            <w:r w:rsidRPr="00680EBF">
              <w:rPr>
                <w:b/>
                <w:szCs w:val="24"/>
              </w:rPr>
              <w:t>Metric</w:t>
            </w:r>
          </w:p>
        </w:tc>
        <w:tc>
          <w:tcPr>
            <w:tcW w:w="2200" w:type="dxa"/>
            <w:tcBorders>
              <w:bottom w:val="single" w:sz="4" w:space="0" w:color="auto"/>
            </w:tcBorders>
          </w:tcPr>
          <w:p w:rsidR="00AB488A" w:rsidRPr="00680EBF" w:rsidRDefault="00000000" w:rsidP="00680EBF">
            <w:pPr>
              <w:snapToGrid w:val="0"/>
              <w:spacing w:after="0" w:line="240" w:lineRule="auto"/>
              <w:jc w:val="center"/>
              <w:rPr>
                <w:szCs w:val="24"/>
              </w:rPr>
            </w:pPr>
            <w:r w:rsidRPr="00680EBF">
              <w:rPr>
                <w:b/>
                <w:szCs w:val="24"/>
              </w:rPr>
              <w:t>Complete-Case</w:t>
            </w:r>
            <w:r w:rsidR="00680EBF">
              <w:rPr>
                <w:b/>
                <w:szCs w:val="24"/>
              </w:rPr>
              <w:t xml:space="preserve"> </w:t>
            </w:r>
            <w:r w:rsidRPr="00680EBF">
              <w:rPr>
                <w:b/>
                <w:szCs w:val="24"/>
              </w:rPr>
              <w:t>Analysis(n=2,864)</w:t>
            </w:r>
          </w:p>
        </w:tc>
        <w:tc>
          <w:tcPr>
            <w:tcW w:w="2365" w:type="dxa"/>
            <w:tcBorders>
              <w:bottom w:val="single" w:sz="4" w:space="0" w:color="auto"/>
            </w:tcBorders>
          </w:tcPr>
          <w:p w:rsidR="00AB488A" w:rsidRPr="00680EBF" w:rsidRDefault="00000000" w:rsidP="00680EBF">
            <w:pPr>
              <w:snapToGrid w:val="0"/>
              <w:spacing w:after="0" w:line="240" w:lineRule="auto"/>
              <w:jc w:val="center"/>
              <w:rPr>
                <w:szCs w:val="24"/>
              </w:rPr>
            </w:pPr>
            <w:r w:rsidRPr="00680EBF">
              <w:rPr>
                <w:b/>
                <w:szCs w:val="24"/>
              </w:rPr>
              <w:t>Multiple</w:t>
            </w:r>
            <w:r w:rsidR="00680EBF">
              <w:rPr>
                <w:b/>
                <w:szCs w:val="24"/>
              </w:rPr>
              <w:t xml:space="preserve"> </w:t>
            </w:r>
            <w:r w:rsidRPr="00680EBF">
              <w:rPr>
                <w:b/>
                <w:szCs w:val="24"/>
              </w:rPr>
              <w:t>Imputation</w:t>
            </w:r>
            <w:r w:rsidRPr="00680EBF">
              <w:rPr>
                <w:b/>
                <w:szCs w:val="24"/>
              </w:rPr>
              <w:br/>
              <w:t>(10 datasets)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:rsidR="00AB488A" w:rsidRPr="00680EBF" w:rsidRDefault="00000000" w:rsidP="00680EBF">
            <w:pPr>
              <w:snapToGrid w:val="0"/>
              <w:spacing w:after="0" w:line="240" w:lineRule="auto"/>
              <w:jc w:val="center"/>
              <w:rPr>
                <w:szCs w:val="24"/>
              </w:rPr>
            </w:pPr>
            <w:r w:rsidRPr="00680EBF">
              <w:rPr>
                <w:b/>
                <w:szCs w:val="24"/>
              </w:rPr>
              <w:t>Difference</w:t>
            </w:r>
          </w:p>
        </w:tc>
      </w:tr>
      <w:tr w:rsidR="00AB488A" w:rsidTr="00680EBF">
        <w:trPr>
          <w:tblHeader/>
          <w:jc w:val="center"/>
        </w:trPr>
        <w:tc>
          <w:tcPr>
            <w:tcW w:w="2793" w:type="dxa"/>
            <w:tcBorders>
              <w:top w:val="single" w:sz="4" w:space="0" w:color="auto"/>
            </w:tcBorders>
          </w:tcPr>
          <w:p w:rsidR="00AB488A" w:rsidRPr="00680EBF" w:rsidRDefault="00000000" w:rsidP="00680EBF">
            <w:pPr>
              <w:snapToGrid w:val="0"/>
              <w:spacing w:after="0"/>
              <w:rPr>
                <w:szCs w:val="24"/>
              </w:rPr>
            </w:pPr>
            <w:r w:rsidRPr="00680EBF">
              <w:rPr>
                <w:szCs w:val="24"/>
              </w:rPr>
              <w:t>AUROC (95% CI)</w:t>
            </w:r>
          </w:p>
        </w:tc>
        <w:tc>
          <w:tcPr>
            <w:tcW w:w="2200" w:type="dxa"/>
            <w:tcBorders>
              <w:top w:val="single" w:sz="4" w:space="0" w:color="auto"/>
            </w:tcBorders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0.883 (0.857–0.909)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0.884 (0.858–0.910)</w:t>
            </w:r>
          </w:p>
        </w:tc>
        <w:tc>
          <w:tcPr>
            <w:tcW w:w="1282" w:type="dxa"/>
            <w:tcBorders>
              <w:top w:val="single" w:sz="4" w:space="0" w:color="auto"/>
            </w:tcBorders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+0.001</w:t>
            </w:r>
          </w:p>
        </w:tc>
      </w:tr>
      <w:tr w:rsidR="00AB488A" w:rsidTr="00680EBF">
        <w:trPr>
          <w:tblHeader/>
          <w:jc w:val="center"/>
        </w:trPr>
        <w:tc>
          <w:tcPr>
            <w:tcW w:w="2793" w:type="dxa"/>
          </w:tcPr>
          <w:p w:rsidR="00AB488A" w:rsidRPr="00680EBF" w:rsidRDefault="00000000" w:rsidP="00680EBF">
            <w:pPr>
              <w:snapToGrid w:val="0"/>
              <w:spacing w:after="0"/>
              <w:rPr>
                <w:szCs w:val="24"/>
              </w:rPr>
            </w:pPr>
            <w:r w:rsidRPr="00680EBF">
              <w:rPr>
                <w:szCs w:val="24"/>
              </w:rPr>
              <w:t>AUCPR</w:t>
            </w:r>
          </w:p>
        </w:tc>
        <w:tc>
          <w:tcPr>
            <w:tcW w:w="2200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0.612</w:t>
            </w:r>
          </w:p>
        </w:tc>
        <w:tc>
          <w:tcPr>
            <w:tcW w:w="2365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0.614</w:t>
            </w:r>
          </w:p>
        </w:tc>
        <w:tc>
          <w:tcPr>
            <w:tcW w:w="1282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+0.002</w:t>
            </w:r>
          </w:p>
        </w:tc>
      </w:tr>
      <w:tr w:rsidR="00AB488A" w:rsidTr="00680EBF">
        <w:trPr>
          <w:tblHeader/>
          <w:jc w:val="center"/>
        </w:trPr>
        <w:tc>
          <w:tcPr>
            <w:tcW w:w="2793" w:type="dxa"/>
          </w:tcPr>
          <w:p w:rsidR="00AB488A" w:rsidRPr="00680EBF" w:rsidRDefault="00000000" w:rsidP="00680EBF">
            <w:pPr>
              <w:snapToGrid w:val="0"/>
              <w:spacing w:after="0"/>
              <w:rPr>
                <w:szCs w:val="24"/>
              </w:rPr>
            </w:pPr>
            <w:r w:rsidRPr="00680EBF">
              <w:rPr>
                <w:szCs w:val="24"/>
              </w:rPr>
              <w:t>Brier score</w:t>
            </w:r>
          </w:p>
        </w:tc>
        <w:tc>
          <w:tcPr>
            <w:tcW w:w="2200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0.089</w:t>
            </w:r>
          </w:p>
        </w:tc>
        <w:tc>
          <w:tcPr>
            <w:tcW w:w="2365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0.088</w:t>
            </w:r>
          </w:p>
        </w:tc>
        <w:tc>
          <w:tcPr>
            <w:tcW w:w="1282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−0.001</w:t>
            </w:r>
          </w:p>
        </w:tc>
      </w:tr>
      <w:tr w:rsidR="00AB488A" w:rsidTr="00680EBF">
        <w:trPr>
          <w:tblHeader/>
          <w:jc w:val="center"/>
        </w:trPr>
        <w:tc>
          <w:tcPr>
            <w:tcW w:w="2793" w:type="dxa"/>
          </w:tcPr>
          <w:p w:rsidR="00AB488A" w:rsidRPr="00680EBF" w:rsidRDefault="00000000" w:rsidP="00680EBF">
            <w:pPr>
              <w:snapToGrid w:val="0"/>
              <w:spacing w:after="0"/>
              <w:rPr>
                <w:szCs w:val="24"/>
              </w:rPr>
            </w:pPr>
            <w:r w:rsidRPr="00680EBF">
              <w:rPr>
                <w:szCs w:val="24"/>
              </w:rPr>
              <w:t>Sensitivity (%)</w:t>
            </w:r>
          </w:p>
        </w:tc>
        <w:tc>
          <w:tcPr>
            <w:tcW w:w="2200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90.4</w:t>
            </w:r>
          </w:p>
        </w:tc>
        <w:tc>
          <w:tcPr>
            <w:tcW w:w="2365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90.6</w:t>
            </w:r>
          </w:p>
        </w:tc>
        <w:tc>
          <w:tcPr>
            <w:tcW w:w="1282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+0.2</w:t>
            </w:r>
          </w:p>
        </w:tc>
      </w:tr>
      <w:tr w:rsidR="00AB488A" w:rsidTr="00680EBF">
        <w:trPr>
          <w:tblHeader/>
          <w:jc w:val="center"/>
        </w:trPr>
        <w:tc>
          <w:tcPr>
            <w:tcW w:w="2793" w:type="dxa"/>
          </w:tcPr>
          <w:p w:rsidR="00AB488A" w:rsidRPr="00680EBF" w:rsidRDefault="00000000" w:rsidP="00680EBF">
            <w:pPr>
              <w:snapToGrid w:val="0"/>
              <w:spacing w:after="0"/>
              <w:rPr>
                <w:szCs w:val="24"/>
              </w:rPr>
            </w:pPr>
            <w:r w:rsidRPr="00680EBF">
              <w:rPr>
                <w:szCs w:val="24"/>
              </w:rPr>
              <w:t>Specificity (%)</w:t>
            </w:r>
          </w:p>
        </w:tc>
        <w:tc>
          <w:tcPr>
            <w:tcW w:w="2200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83.7</w:t>
            </w:r>
          </w:p>
        </w:tc>
        <w:tc>
          <w:tcPr>
            <w:tcW w:w="2365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83.9</w:t>
            </w:r>
          </w:p>
        </w:tc>
        <w:tc>
          <w:tcPr>
            <w:tcW w:w="1282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+0.2</w:t>
            </w:r>
          </w:p>
        </w:tc>
      </w:tr>
      <w:tr w:rsidR="00AB488A" w:rsidTr="00680EBF">
        <w:trPr>
          <w:tblHeader/>
          <w:jc w:val="center"/>
        </w:trPr>
        <w:tc>
          <w:tcPr>
            <w:tcW w:w="2793" w:type="dxa"/>
          </w:tcPr>
          <w:p w:rsidR="00AB488A" w:rsidRPr="00680EBF" w:rsidRDefault="00000000" w:rsidP="00680EBF">
            <w:pPr>
              <w:snapToGrid w:val="0"/>
              <w:spacing w:after="0"/>
              <w:rPr>
                <w:szCs w:val="24"/>
              </w:rPr>
            </w:pPr>
            <w:r w:rsidRPr="00680EBF">
              <w:rPr>
                <w:szCs w:val="24"/>
              </w:rPr>
              <w:t>PPV (%)</w:t>
            </w:r>
          </w:p>
        </w:tc>
        <w:tc>
          <w:tcPr>
            <w:tcW w:w="2200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82.5</w:t>
            </w:r>
          </w:p>
        </w:tc>
        <w:tc>
          <w:tcPr>
            <w:tcW w:w="2365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82.8</w:t>
            </w:r>
          </w:p>
        </w:tc>
        <w:tc>
          <w:tcPr>
            <w:tcW w:w="1282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+0.3</w:t>
            </w:r>
          </w:p>
        </w:tc>
      </w:tr>
      <w:tr w:rsidR="00AB488A" w:rsidTr="00680EBF">
        <w:trPr>
          <w:tblHeader/>
          <w:jc w:val="center"/>
        </w:trPr>
        <w:tc>
          <w:tcPr>
            <w:tcW w:w="2793" w:type="dxa"/>
          </w:tcPr>
          <w:p w:rsidR="00AB488A" w:rsidRPr="00680EBF" w:rsidRDefault="00000000" w:rsidP="00680EBF">
            <w:pPr>
              <w:snapToGrid w:val="0"/>
              <w:spacing w:after="0"/>
              <w:rPr>
                <w:szCs w:val="24"/>
              </w:rPr>
            </w:pPr>
            <w:r w:rsidRPr="00680EBF">
              <w:rPr>
                <w:szCs w:val="24"/>
              </w:rPr>
              <w:t>NPV (%)</w:t>
            </w:r>
          </w:p>
        </w:tc>
        <w:tc>
          <w:tcPr>
            <w:tcW w:w="2200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92.0</w:t>
            </w:r>
          </w:p>
        </w:tc>
        <w:tc>
          <w:tcPr>
            <w:tcW w:w="2365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92.2</w:t>
            </w:r>
          </w:p>
        </w:tc>
        <w:tc>
          <w:tcPr>
            <w:tcW w:w="1282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+0.2</w:t>
            </w:r>
          </w:p>
        </w:tc>
      </w:tr>
      <w:tr w:rsidR="00AB488A" w:rsidTr="00680EBF">
        <w:trPr>
          <w:tblHeader/>
          <w:jc w:val="center"/>
        </w:trPr>
        <w:tc>
          <w:tcPr>
            <w:tcW w:w="2793" w:type="dxa"/>
          </w:tcPr>
          <w:p w:rsidR="00AB488A" w:rsidRPr="00680EBF" w:rsidRDefault="00000000" w:rsidP="00680EBF">
            <w:pPr>
              <w:snapToGrid w:val="0"/>
              <w:spacing w:after="0"/>
              <w:rPr>
                <w:szCs w:val="24"/>
              </w:rPr>
            </w:pPr>
            <w:r w:rsidRPr="00680EBF">
              <w:rPr>
                <w:szCs w:val="24"/>
              </w:rPr>
              <w:t>Optimal cutoff</w:t>
            </w:r>
          </w:p>
        </w:tc>
        <w:tc>
          <w:tcPr>
            <w:tcW w:w="2200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≥5 points</w:t>
            </w:r>
          </w:p>
        </w:tc>
        <w:tc>
          <w:tcPr>
            <w:tcW w:w="2365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≥5 points</w:t>
            </w:r>
          </w:p>
        </w:tc>
        <w:tc>
          <w:tcPr>
            <w:tcW w:w="1282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No change</w:t>
            </w:r>
          </w:p>
        </w:tc>
      </w:tr>
      <w:tr w:rsidR="00AB488A" w:rsidTr="00680EBF">
        <w:trPr>
          <w:tblHeader/>
          <w:jc w:val="center"/>
        </w:trPr>
        <w:tc>
          <w:tcPr>
            <w:tcW w:w="2793" w:type="dxa"/>
          </w:tcPr>
          <w:p w:rsidR="00AB488A" w:rsidRPr="00680EBF" w:rsidRDefault="00000000" w:rsidP="00680EBF">
            <w:pPr>
              <w:snapToGrid w:val="0"/>
              <w:spacing w:after="0"/>
              <w:rPr>
                <w:szCs w:val="24"/>
              </w:rPr>
            </w:pPr>
            <w:r w:rsidRPr="00680EBF">
              <w:rPr>
                <w:szCs w:val="24"/>
              </w:rPr>
              <w:t>LASSO-selected variables</w:t>
            </w:r>
          </w:p>
        </w:tc>
        <w:tc>
          <w:tcPr>
            <w:tcW w:w="2200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5 variables</w:t>
            </w:r>
          </w:p>
        </w:tc>
        <w:tc>
          <w:tcPr>
            <w:tcW w:w="2365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5 variables</w:t>
            </w:r>
          </w:p>
        </w:tc>
        <w:tc>
          <w:tcPr>
            <w:tcW w:w="1282" w:type="dxa"/>
          </w:tcPr>
          <w:p w:rsidR="00AB488A" w:rsidRPr="00680EBF" w:rsidRDefault="00000000" w:rsidP="00680EBF">
            <w:pPr>
              <w:snapToGrid w:val="0"/>
              <w:spacing w:after="0"/>
              <w:jc w:val="center"/>
              <w:rPr>
                <w:szCs w:val="24"/>
              </w:rPr>
            </w:pPr>
            <w:r w:rsidRPr="00680EBF">
              <w:rPr>
                <w:szCs w:val="24"/>
              </w:rPr>
              <w:t>Identical</w:t>
            </w:r>
          </w:p>
        </w:tc>
      </w:tr>
    </w:tbl>
    <w:p w:rsidR="00AB488A" w:rsidRPr="005B4D04" w:rsidRDefault="00000000">
      <w:pPr>
        <w:rPr>
          <w:szCs w:val="24"/>
        </w:rPr>
      </w:pPr>
      <w:r w:rsidRPr="005B4D04">
        <w:rPr>
          <w:b/>
          <w:bCs/>
          <w:i/>
          <w:szCs w:val="24"/>
        </w:rPr>
        <w:t>Note:</w:t>
      </w:r>
      <w:r w:rsidRPr="005B4D04">
        <w:rPr>
          <w:i/>
          <w:szCs w:val="24"/>
        </w:rPr>
        <w:t xml:space="preserve"> MICE=multiple imputation by chained equations. Variables imputed: GCS score (1.2% missing), SBP (0.8%), active hemorrhage (0.5%), fatal trauma type (0.3%). Results are nearly identical between complete-case and multiple imputation analyses, supporting the robustness of the findings.</w:t>
      </w:r>
    </w:p>
    <w:p w:rsidR="00AB488A" w:rsidRDefault="00AB488A"/>
    <w:p w:rsidR="00680EBF" w:rsidRDefault="00680EBF">
      <w:pPr>
        <w:spacing w:before="200"/>
        <w:rPr>
          <w:b/>
          <w:sz w:val="22"/>
        </w:rPr>
      </w:pPr>
    </w:p>
    <w:p w:rsidR="00AB488A" w:rsidRDefault="00000000">
      <w:pPr>
        <w:spacing w:before="200"/>
      </w:pPr>
      <w:r>
        <w:rPr>
          <w:b/>
          <w:sz w:val="22"/>
        </w:rPr>
        <w:lastRenderedPageBreak/>
        <w:t>Supplementary Table S</w:t>
      </w:r>
      <w:r w:rsidR="006C5F01">
        <w:rPr>
          <w:b/>
          <w:sz w:val="22"/>
        </w:rPr>
        <w:t>4</w:t>
      </w:r>
      <w:r>
        <w:rPr>
          <w:b/>
          <w:sz w:val="22"/>
        </w:rPr>
        <w:t>. Algorithmic Fairness Assessment: Subgroup Performance Comparisons</w:t>
      </w:r>
    </w:p>
    <w:p w:rsidR="00AB488A" w:rsidRDefault="00000000">
      <w:r>
        <w:t>Algorithmic fairness was assessed by comparing TTNS performance (AUROC) across pre-specified subgroups. A difference in AUROC &gt;0.05 was considered potentially clinically meaningful. All subgroup differences were below this threshold.</w:t>
      </w:r>
    </w:p>
    <w:tbl>
      <w:tblPr>
        <w:tblStyle w:val="TableGrid"/>
        <w:tblW w:w="1278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3"/>
        <w:gridCol w:w="2268"/>
        <w:gridCol w:w="1276"/>
        <w:gridCol w:w="1701"/>
        <w:gridCol w:w="2824"/>
        <w:gridCol w:w="1056"/>
        <w:gridCol w:w="1337"/>
      </w:tblGrid>
      <w:tr w:rsidR="00AB488A" w:rsidRPr="00680EBF" w:rsidTr="00680EBF">
        <w:trPr>
          <w:tblHeader/>
          <w:jc w:val="center"/>
        </w:trPr>
        <w:tc>
          <w:tcPr>
            <w:tcW w:w="2323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Subgroup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Category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B488A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N</w:t>
            </w:r>
            <w:r w:rsidRPr="00680EBF">
              <w:rPr>
                <w:rFonts w:eastAsia="MS Mincho"/>
                <w:b/>
                <w:szCs w:val="24"/>
              </w:rPr>
              <w:t>umber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Events (%)</w:t>
            </w:r>
          </w:p>
        </w:tc>
        <w:tc>
          <w:tcPr>
            <w:tcW w:w="2824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AUROC (95% 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AUCPR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Brier Score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</w:tcBorders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Age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&lt;65 years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2,412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378 (15.7%)</w:t>
            </w:r>
          </w:p>
        </w:tc>
        <w:tc>
          <w:tcPr>
            <w:tcW w:w="2824" w:type="dxa"/>
            <w:tcBorders>
              <w:top w:val="single" w:sz="4" w:space="0" w:color="auto"/>
            </w:tcBorders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0.886 (0.860–0.912)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0.618</w:t>
            </w: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0.087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rPr>
                <w:rFonts w:eastAsia="MS Mincho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≥65 years</w:t>
            </w:r>
          </w:p>
        </w:tc>
        <w:tc>
          <w:tcPr>
            <w:tcW w:w="1276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452</w:t>
            </w:r>
          </w:p>
        </w:tc>
        <w:tc>
          <w:tcPr>
            <w:tcW w:w="1701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99 (21.9%)</w:t>
            </w:r>
          </w:p>
        </w:tc>
        <w:tc>
          <w:tcPr>
            <w:tcW w:w="2824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0.874 (0.834–0.914)</w:t>
            </w:r>
          </w:p>
        </w:tc>
        <w:tc>
          <w:tcPr>
            <w:tcW w:w="0" w:type="auto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0.598</w:t>
            </w:r>
          </w:p>
        </w:tc>
        <w:tc>
          <w:tcPr>
            <w:tcW w:w="1337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0.096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rPr>
                <w:rFonts w:eastAsia="MS Mincho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Difference</w:t>
            </w:r>
          </w:p>
        </w:tc>
        <w:tc>
          <w:tcPr>
            <w:tcW w:w="1276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2824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0.012</w:t>
            </w:r>
          </w:p>
        </w:tc>
        <w:tc>
          <w:tcPr>
            <w:tcW w:w="0" w:type="auto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0.020</w:t>
            </w:r>
          </w:p>
        </w:tc>
        <w:tc>
          <w:tcPr>
            <w:tcW w:w="1337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0.009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 w:val="restart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Sex</w:t>
            </w:r>
          </w:p>
        </w:tc>
        <w:tc>
          <w:tcPr>
            <w:tcW w:w="2268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Male</w:t>
            </w:r>
          </w:p>
        </w:tc>
        <w:tc>
          <w:tcPr>
            <w:tcW w:w="1276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1,775</w:t>
            </w:r>
          </w:p>
        </w:tc>
        <w:tc>
          <w:tcPr>
            <w:tcW w:w="1701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312 (17.6%)</w:t>
            </w:r>
          </w:p>
        </w:tc>
        <w:tc>
          <w:tcPr>
            <w:tcW w:w="2824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0.881 (0.853–0.909)</w:t>
            </w:r>
          </w:p>
        </w:tc>
        <w:tc>
          <w:tcPr>
            <w:tcW w:w="0" w:type="auto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0.608</w:t>
            </w:r>
          </w:p>
        </w:tc>
        <w:tc>
          <w:tcPr>
            <w:tcW w:w="1337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0.091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rPr>
                <w:rFonts w:eastAsia="MS Mincho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Female</w:t>
            </w:r>
          </w:p>
        </w:tc>
        <w:tc>
          <w:tcPr>
            <w:tcW w:w="1276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1,089</w:t>
            </w:r>
          </w:p>
        </w:tc>
        <w:tc>
          <w:tcPr>
            <w:tcW w:w="1701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165 (15.2%)</w:t>
            </w:r>
          </w:p>
        </w:tc>
        <w:tc>
          <w:tcPr>
            <w:tcW w:w="2824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0.890 (0.858–0.922)</w:t>
            </w:r>
          </w:p>
        </w:tc>
        <w:tc>
          <w:tcPr>
            <w:tcW w:w="0" w:type="auto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0.625</w:t>
            </w:r>
          </w:p>
        </w:tc>
        <w:tc>
          <w:tcPr>
            <w:tcW w:w="1337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0.085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rPr>
                <w:rFonts w:eastAsia="MS Mincho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Difference</w:t>
            </w:r>
          </w:p>
        </w:tc>
        <w:tc>
          <w:tcPr>
            <w:tcW w:w="1276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2824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0.009</w:t>
            </w:r>
          </w:p>
        </w:tc>
        <w:tc>
          <w:tcPr>
            <w:tcW w:w="0" w:type="auto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0.017</w:t>
            </w:r>
          </w:p>
        </w:tc>
        <w:tc>
          <w:tcPr>
            <w:tcW w:w="1337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0.006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 w:val="restart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Trauma mechanism</w:t>
            </w:r>
          </w:p>
        </w:tc>
        <w:tc>
          <w:tcPr>
            <w:tcW w:w="2268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Blunt</w:t>
            </w:r>
          </w:p>
        </w:tc>
        <w:tc>
          <w:tcPr>
            <w:tcW w:w="1276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2,582</w:t>
            </w:r>
          </w:p>
        </w:tc>
        <w:tc>
          <w:tcPr>
            <w:tcW w:w="1701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426 (16.5%)</w:t>
            </w:r>
          </w:p>
        </w:tc>
        <w:tc>
          <w:tcPr>
            <w:tcW w:w="2824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0.882 (0.856–0.908)</w:t>
            </w:r>
          </w:p>
        </w:tc>
        <w:tc>
          <w:tcPr>
            <w:tcW w:w="0" w:type="auto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0.610</w:t>
            </w:r>
          </w:p>
        </w:tc>
        <w:tc>
          <w:tcPr>
            <w:tcW w:w="1337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0.089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rPr>
                <w:rFonts w:eastAsia="MS Mincho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Penetrating</w:t>
            </w:r>
          </w:p>
        </w:tc>
        <w:tc>
          <w:tcPr>
            <w:tcW w:w="1276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282</w:t>
            </w:r>
          </w:p>
        </w:tc>
        <w:tc>
          <w:tcPr>
            <w:tcW w:w="1701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51 (18.1%)</w:t>
            </w:r>
          </w:p>
        </w:tc>
        <w:tc>
          <w:tcPr>
            <w:tcW w:w="2824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0.895 (0.851–0.939)</w:t>
            </w:r>
          </w:p>
        </w:tc>
        <w:tc>
          <w:tcPr>
            <w:tcW w:w="0" w:type="auto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0.634</w:t>
            </w:r>
          </w:p>
        </w:tc>
        <w:tc>
          <w:tcPr>
            <w:tcW w:w="1337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0.082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rPr>
                <w:rFonts w:eastAsia="MS Mincho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Difference</w:t>
            </w:r>
          </w:p>
        </w:tc>
        <w:tc>
          <w:tcPr>
            <w:tcW w:w="1276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2824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0.013</w:t>
            </w:r>
          </w:p>
        </w:tc>
        <w:tc>
          <w:tcPr>
            <w:tcW w:w="0" w:type="auto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0.024</w:t>
            </w:r>
          </w:p>
        </w:tc>
        <w:tc>
          <w:tcPr>
            <w:tcW w:w="1337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0.007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 w:val="restart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EMS location</w:t>
            </w:r>
          </w:p>
        </w:tc>
        <w:tc>
          <w:tcPr>
            <w:tcW w:w="2268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Urban stations</w:t>
            </w:r>
          </w:p>
        </w:tc>
        <w:tc>
          <w:tcPr>
            <w:tcW w:w="1276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1,721</w:t>
            </w:r>
          </w:p>
        </w:tc>
        <w:tc>
          <w:tcPr>
            <w:tcW w:w="1701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298 (17.3%)</w:t>
            </w:r>
          </w:p>
        </w:tc>
        <w:tc>
          <w:tcPr>
            <w:tcW w:w="2824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0.880 (0.850–0.910)</w:t>
            </w:r>
          </w:p>
        </w:tc>
        <w:tc>
          <w:tcPr>
            <w:tcW w:w="0" w:type="auto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0.606</w:t>
            </w:r>
          </w:p>
        </w:tc>
        <w:tc>
          <w:tcPr>
            <w:tcW w:w="1337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0.092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rPr>
                <w:rFonts w:eastAsia="MS Mincho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Suburban stations</w:t>
            </w:r>
          </w:p>
        </w:tc>
        <w:tc>
          <w:tcPr>
            <w:tcW w:w="1276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1,143</w:t>
            </w:r>
          </w:p>
        </w:tc>
        <w:tc>
          <w:tcPr>
            <w:tcW w:w="1701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179 (15.7%)</w:t>
            </w:r>
          </w:p>
        </w:tc>
        <w:tc>
          <w:tcPr>
            <w:tcW w:w="2824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0.891 (0.861–0.921)</w:t>
            </w:r>
          </w:p>
        </w:tc>
        <w:tc>
          <w:tcPr>
            <w:tcW w:w="0" w:type="auto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0.622</w:t>
            </w:r>
          </w:p>
        </w:tc>
        <w:tc>
          <w:tcPr>
            <w:tcW w:w="1337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0.085</w:t>
            </w:r>
          </w:p>
        </w:tc>
      </w:tr>
      <w:tr w:rsidR="00680EBF" w:rsidRPr="00680EBF" w:rsidTr="00680EBF">
        <w:trPr>
          <w:jc w:val="center"/>
        </w:trPr>
        <w:tc>
          <w:tcPr>
            <w:tcW w:w="2323" w:type="dxa"/>
            <w:vMerge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Difference</w:t>
            </w:r>
          </w:p>
        </w:tc>
        <w:tc>
          <w:tcPr>
            <w:tcW w:w="1276" w:type="dxa"/>
            <w:vAlign w:val="center"/>
          </w:tcPr>
          <w:p w:rsidR="00680EBF" w:rsidRPr="00680EBF" w:rsidRDefault="00680EBF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2824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0.011</w:t>
            </w:r>
          </w:p>
        </w:tc>
        <w:tc>
          <w:tcPr>
            <w:tcW w:w="1056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0.016</w:t>
            </w:r>
          </w:p>
        </w:tc>
        <w:tc>
          <w:tcPr>
            <w:tcW w:w="1337" w:type="dxa"/>
            <w:vAlign w:val="center"/>
          </w:tcPr>
          <w:p w:rsidR="00680EBF" w:rsidRPr="00680EBF" w:rsidRDefault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0.007</w:t>
            </w:r>
          </w:p>
        </w:tc>
      </w:tr>
    </w:tbl>
    <w:p w:rsidR="00AB488A" w:rsidRPr="00680EBF" w:rsidRDefault="00000000">
      <w:pPr>
        <w:rPr>
          <w:szCs w:val="24"/>
        </w:rPr>
      </w:pPr>
      <w:r w:rsidRPr="00680EBF">
        <w:rPr>
          <w:i/>
          <w:szCs w:val="24"/>
        </w:rPr>
        <w:t>Note: AUROC=area under the receiver operating characteristic curve; AUCPR=area under the precision-recall curve. All AUROC differences between subgroups were &lt;0.05, suggesting no clinically meaningful performance disparities. The TTNS performed consistently across age, sex, trauma mechanism, and geographic subgroups.</w:t>
      </w:r>
    </w:p>
    <w:p w:rsidR="00AB488A" w:rsidRDefault="00AB488A"/>
    <w:p w:rsidR="00680EBF" w:rsidRDefault="00680EBF">
      <w:pPr>
        <w:spacing w:before="200"/>
        <w:rPr>
          <w:b/>
          <w:sz w:val="22"/>
        </w:rPr>
      </w:pPr>
    </w:p>
    <w:p w:rsidR="00AB488A" w:rsidRDefault="00000000">
      <w:pPr>
        <w:spacing w:before="200"/>
      </w:pPr>
      <w:r>
        <w:rPr>
          <w:b/>
          <w:sz w:val="22"/>
        </w:rPr>
        <w:t>Supplementary Table S</w:t>
      </w:r>
      <w:r w:rsidR="006C5F01">
        <w:rPr>
          <w:b/>
          <w:sz w:val="22"/>
        </w:rPr>
        <w:t>5</w:t>
      </w:r>
      <w:r>
        <w:rPr>
          <w:b/>
          <w:sz w:val="22"/>
        </w:rPr>
        <w:t>. Sensitivity Analysis: Five-Fold Cross-Validation</w:t>
      </w:r>
    </w:p>
    <w:p w:rsidR="00AB488A" w:rsidRDefault="00000000">
      <w:r>
        <w:t>Primary analysis used a single 70/30 random split. This sensitivity analysis uses 5-fold cross-validation to assess the stability of TTNS performance across different data partitions. In each fold, 80% of data was used for training and 20% for testing, with each patient appearing in the test set exactly once.</w:t>
      </w:r>
    </w:p>
    <w:tbl>
      <w:tblPr>
        <w:tblStyle w:val="TableGrid"/>
        <w:tblW w:w="1326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662"/>
        <w:gridCol w:w="1392"/>
        <w:gridCol w:w="1786"/>
        <w:gridCol w:w="2491"/>
        <w:gridCol w:w="1056"/>
        <w:gridCol w:w="1403"/>
        <w:gridCol w:w="1283"/>
        <w:gridCol w:w="1344"/>
      </w:tblGrid>
      <w:tr w:rsidR="00680EBF" w:rsidTr="00185883">
        <w:trPr>
          <w:tblHeader/>
          <w:jc w:val="center"/>
        </w:trPr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Fold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Training n</w:t>
            </w:r>
            <w:r w:rsidR="00680EBF" w:rsidRPr="00680EBF">
              <w:rPr>
                <w:rFonts w:eastAsia="MS Mincho"/>
                <w:b/>
                <w:szCs w:val="24"/>
              </w:rPr>
              <w:t>umber</w:t>
            </w:r>
          </w:p>
        </w:tc>
        <w:tc>
          <w:tcPr>
            <w:tcW w:w="1398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Test n</w:t>
            </w:r>
            <w:r w:rsidR="00680EBF" w:rsidRPr="00680EBF">
              <w:rPr>
                <w:rFonts w:eastAsia="MS Mincho"/>
                <w:b/>
                <w:szCs w:val="24"/>
              </w:rPr>
              <w:t>umber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Events in test (%)</w:t>
            </w:r>
          </w:p>
        </w:tc>
        <w:tc>
          <w:tcPr>
            <w:tcW w:w="2514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AUROC (95% 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AUCPR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Brier Score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Sensitivity (%)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b/>
                <w:szCs w:val="24"/>
              </w:rPr>
            </w:pPr>
            <w:r w:rsidRPr="00680EBF">
              <w:rPr>
                <w:rFonts w:eastAsia="MS Mincho"/>
                <w:b/>
                <w:szCs w:val="24"/>
              </w:rPr>
              <w:t>Specificity (%)</w:t>
            </w:r>
          </w:p>
        </w:tc>
      </w:tr>
      <w:tr w:rsidR="00680EBF" w:rsidTr="00185883">
        <w:trPr>
          <w:trHeight w:val="250"/>
          <w:jc w:val="center"/>
        </w:trPr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2,291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573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92 (16.1%)</w:t>
            </w:r>
          </w:p>
        </w:tc>
        <w:tc>
          <w:tcPr>
            <w:tcW w:w="2514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0.891 (0.861–0.921)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0.625</w:t>
            </w:r>
          </w:p>
        </w:tc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0.085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91.3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84.5</w:t>
            </w:r>
          </w:p>
        </w:tc>
      </w:tr>
      <w:tr w:rsidR="00680EBF" w:rsidTr="00185883">
        <w:trPr>
          <w:jc w:val="center"/>
        </w:trPr>
        <w:tc>
          <w:tcPr>
            <w:tcW w:w="852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2</w:t>
            </w:r>
          </w:p>
        </w:tc>
        <w:tc>
          <w:tcPr>
            <w:tcW w:w="1671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2,291</w:t>
            </w:r>
          </w:p>
        </w:tc>
        <w:tc>
          <w:tcPr>
            <w:tcW w:w="1398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573</w:t>
            </w:r>
          </w:p>
        </w:tc>
        <w:tc>
          <w:tcPr>
            <w:tcW w:w="1799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97 (16.9%)</w:t>
            </w:r>
          </w:p>
        </w:tc>
        <w:tc>
          <w:tcPr>
            <w:tcW w:w="2514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0.876 (0.844–0.908)</w:t>
            </w:r>
          </w:p>
        </w:tc>
        <w:tc>
          <w:tcPr>
            <w:tcW w:w="992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0.598</w:t>
            </w:r>
          </w:p>
        </w:tc>
        <w:tc>
          <w:tcPr>
            <w:tcW w:w="1413" w:type="dxa"/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0.093</w:t>
            </w:r>
          </w:p>
        </w:tc>
        <w:tc>
          <w:tcPr>
            <w:tcW w:w="1283" w:type="dxa"/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89.7</w:t>
            </w:r>
          </w:p>
        </w:tc>
        <w:tc>
          <w:tcPr>
            <w:tcW w:w="1345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82.8</w:t>
            </w:r>
          </w:p>
        </w:tc>
      </w:tr>
      <w:tr w:rsidR="00680EBF" w:rsidTr="00185883">
        <w:trPr>
          <w:jc w:val="center"/>
        </w:trPr>
        <w:tc>
          <w:tcPr>
            <w:tcW w:w="852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3</w:t>
            </w:r>
          </w:p>
        </w:tc>
        <w:tc>
          <w:tcPr>
            <w:tcW w:w="1671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2,291</w:t>
            </w:r>
          </w:p>
        </w:tc>
        <w:tc>
          <w:tcPr>
            <w:tcW w:w="1398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573</w:t>
            </w:r>
          </w:p>
        </w:tc>
        <w:tc>
          <w:tcPr>
            <w:tcW w:w="1799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89 (15.5%)</w:t>
            </w:r>
          </w:p>
        </w:tc>
        <w:tc>
          <w:tcPr>
            <w:tcW w:w="2514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0.886 (0.856–0.916)</w:t>
            </w:r>
          </w:p>
        </w:tc>
        <w:tc>
          <w:tcPr>
            <w:tcW w:w="992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0.618</w:t>
            </w:r>
          </w:p>
        </w:tc>
        <w:tc>
          <w:tcPr>
            <w:tcW w:w="1413" w:type="dxa"/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0.087</w:t>
            </w:r>
          </w:p>
        </w:tc>
        <w:tc>
          <w:tcPr>
            <w:tcW w:w="1283" w:type="dxa"/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90.8</w:t>
            </w:r>
          </w:p>
        </w:tc>
        <w:tc>
          <w:tcPr>
            <w:tcW w:w="1345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84.1</w:t>
            </w:r>
          </w:p>
        </w:tc>
      </w:tr>
      <w:tr w:rsidR="00680EBF" w:rsidTr="00185883">
        <w:trPr>
          <w:jc w:val="center"/>
        </w:trPr>
        <w:tc>
          <w:tcPr>
            <w:tcW w:w="852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4</w:t>
            </w:r>
          </w:p>
        </w:tc>
        <w:tc>
          <w:tcPr>
            <w:tcW w:w="1671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2,291</w:t>
            </w:r>
          </w:p>
        </w:tc>
        <w:tc>
          <w:tcPr>
            <w:tcW w:w="1398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573</w:t>
            </w:r>
          </w:p>
        </w:tc>
        <w:tc>
          <w:tcPr>
            <w:tcW w:w="1799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95 (16.6%)</w:t>
            </w:r>
          </w:p>
        </w:tc>
        <w:tc>
          <w:tcPr>
            <w:tcW w:w="2514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0.879 (0.847–0.911)</w:t>
            </w:r>
          </w:p>
        </w:tc>
        <w:tc>
          <w:tcPr>
            <w:tcW w:w="992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0.604</w:t>
            </w:r>
          </w:p>
        </w:tc>
        <w:tc>
          <w:tcPr>
            <w:tcW w:w="1413" w:type="dxa"/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0.091</w:t>
            </w:r>
          </w:p>
        </w:tc>
        <w:tc>
          <w:tcPr>
            <w:tcW w:w="1283" w:type="dxa"/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89.5</w:t>
            </w:r>
          </w:p>
        </w:tc>
        <w:tc>
          <w:tcPr>
            <w:tcW w:w="1345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83.6</w:t>
            </w:r>
          </w:p>
        </w:tc>
      </w:tr>
      <w:tr w:rsidR="00680EBF" w:rsidTr="00185883">
        <w:trPr>
          <w:jc w:val="center"/>
        </w:trPr>
        <w:tc>
          <w:tcPr>
            <w:tcW w:w="852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5</w:t>
            </w:r>
          </w:p>
        </w:tc>
        <w:tc>
          <w:tcPr>
            <w:tcW w:w="1671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2,291</w:t>
            </w:r>
          </w:p>
        </w:tc>
        <w:tc>
          <w:tcPr>
            <w:tcW w:w="1398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573</w:t>
            </w:r>
          </w:p>
        </w:tc>
        <w:tc>
          <w:tcPr>
            <w:tcW w:w="1799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94 (16.4%)</w:t>
            </w:r>
          </w:p>
        </w:tc>
        <w:tc>
          <w:tcPr>
            <w:tcW w:w="2514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0.883 (0.853–0.913)</w:t>
            </w:r>
          </w:p>
        </w:tc>
        <w:tc>
          <w:tcPr>
            <w:tcW w:w="992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0.612</w:t>
            </w:r>
          </w:p>
        </w:tc>
        <w:tc>
          <w:tcPr>
            <w:tcW w:w="1413" w:type="dxa"/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0.088</w:t>
            </w:r>
          </w:p>
        </w:tc>
        <w:tc>
          <w:tcPr>
            <w:tcW w:w="1283" w:type="dxa"/>
            <w:vAlign w:val="center"/>
          </w:tcPr>
          <w:p w:rsidR="00AB488A" w:rsidRPr="00680EBF" w:rsidRDefault="00000000" w:rsidP="00680EBF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90.4</w:t>
            </w:r>
          </w:p>
        </w:tc>
        <w:tc>
          <w:tcPr>
            <w:tcW w:w="1345" w:type="dxa"/>
            <w:vAlign w:val="center"/>
          </w:tcPr>
          <w:p w:rsidR="00AB488A" w:rsidRPr="00680EBF" w:rsidRDefault="00000000">
            <w:pPr>
              <w:keepNext/>
              <w:snapToGrid w:val="0"/>
              <w:spacing w:line="240" w:lineRule="auto"/>
              <w:jc w:val="center"/>
              <w:rPr>
                <w:rFonts w:eastAsia="MS Mincho"/>
                <w:szCs w:val="24"/>
              </w:rPr>
            </w:pPr>
            <w:r w:rsidRPr="00680EBF">
              <w:rPr>
                <w:rFonts w:eastAsia="MS Mincho"/>
                <w:szCs w:val="24"/>
              </w:rPr>
              <w:t>83.9</w:t>
            </w:r>
          </w:p>
        </w:tc>
      </w:tr>
    </w:tbl>
    <w:p w:rsidR="00AB488A" w:rsidRPr="00185883" w:rsidRDefault="00000000" w:rsidP="00185883">
      <w:pPr>
        <w:spacing w:line="240" w:lineRule="auto"/>
        <w:rPr>
          <w:szCs w:val="24"/>
        </w:rPr>
      </w:pPr>
      <w:r w:rsidRPr="00185883">
        <w:rPr>
          <w:i/>
          <w:szCs w:val="24"/>
        </w:rPr>
        <w:t>Note: Cross-validation was performed using stratified 5-fold splitting to preserve outcome distribution. Performance metrics were consistent across all folds, supporting the stability of the TTNS.</w:t>
      </w:r>
    </w:p>
    <w:p w:rsidR="00AB488A" w:rsidRPr="00185883" w:rsidRDefault="00000000" w:rsidP="00185883">
      <w:pPr>
        <w:spacing w:line="240" w:lineRule="auto"/>
        <w:rPr>
          <w:szCs w:val="24"/>
        </w:rPr>
      </w:pPr>
      <w:r w:rsidRPr="00185883">
        <w:rPr>
          <w:b/>
          <w:szCs w:val="24"/>
        </w:rPr>
        <w:t xml:space="preserve">Pooled estimate (5-fold CV): </w:t>
      </w:r>
      <w:r w:rsidRPr="00185883">
        <w:rPr>
          <w:szCs w:val="24"/>
        </w:rPr>
        <w:t>AUROC = 0.883 (95% CI: 0.857–0.909); AUCPR = 0.611; Brier score = 0.089; Sensitivity = 90.3%; Specificity = 83.8%</w:t>
      </w:r>
    </w:p>
    <w:p w:rsidR="00AB488A" w:rsidRPr="00185883" w:rsidRDefault="00000000" w:rsidP="00185883">
      <w:pPr>
        <w:spacing w:line="240" w:lineRule="auto"/>
        <w:rPr>
          <w:szCs w:val="24"/>
        </w:rPr>
      </w:pPr>
      <w:r w:rsidRPr="00185883">
        <w:rPr>
          <w:b/>
          <w:szCs w:val="24"/>
        </w:rPr>
        <w:t xml:space="preserve">Range across folds: </w:t>
      </w:r>
      <w:r w:rsidRPr="00185883">
        <w:rPr>
          <w:szCs w:val="24"/>
        </w:rPr>
        <w:t>AUROC = 0.876–0.891 (range = 0.015); AUCPR = 0.598–0.625 (range = 0.027); Brier score = 0.085–0.093 (range = 0.008)</w:t>
      </w:r>
    </w:p>
    <w:p w:rsidR="00AB488A" w:rsidRPr="00185883" w:rsidRDefault="00000000" w:rsidP="00185883">
      <w:pPr>
        <w:spacing w:line="240" w:lineRule="auto"/>
        <w:rPr>
          <w:szCs w:val="24"/>
        </w:rPr>
      </w:pPr>
      <w:r w:rsidRPr="00185883">
        <w:rPr>
          <w:i/>
          <w:szCs w:val="24"/>
        </w:rPr>
        <w:t>Note: The narrow ranges across folds (&lt;0.02 for AUROC) indicate stable performance. The pooled 5-fold CV estimate is nearly identical to the primary 70/30 split (AUROC 0.883 vs 0.883), validating the chosen data splitting strategy.</w:t>
      </w:r>
    </w:p>
    <w:sectPr w:rsidR="00AB488A" w:rsidRPr="00185883" w:rsidSect="00680EBF">
      <w:footerReference w:type="even" r:id="rId8"/>
      <w:footerReference w:type="default" r:id="rId9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54465" w:rsidRDefault="00454465">
      <w:pPr>
        <w:spacing w:line="240" w:lineRule="auto"/>
      </w:pPr>
      <w:r>
        <w:separator/>
      </w:r>
    </w:p>
  </w:endnote>
  <w:endnote w:type="continuationSeparator" w:id="0">
    <w:p w:rsidR="00454465" w:rsidRDefault="004544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46854480"/>
      <w:docPartObj>
        <w:docPartGallery w:val="Page Numbers (Bottom of Page)"/>
        <w:docPartUnique/>
      </w:docPartObj>
    </w:sdtPr>
    <w:sdtContent>
      <w:p w:rsidR="00185883" w:rsidRDefault="00185883" w:rsidP="00DA2A0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185883" w:rsidRDefault="001858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02970849"/>
      <w:docPartObj>
        <w:docPartGallery w:val="Page Numbers (Bottom of Page)"/>
        <w:docPartUnique/>
      </w:docPartObj>
    </w:sdtPr>
    <w:sdtContent>
      <w:p w:rsidR="00185883" w:rsidRDefault="00185883" w:rsidP="00DA2A0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185883" w:rsidRDefault="001858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54465" w:rsidRDefault="00454465">
      <w:pPr>
        <w:spacing w:after="0"/>
      </w:pPr>
      <w:r>
        <w:separator/>
      </w:r>
    </w:p>
  </w:footnote>
  <w:footnote w:type="continuationSeparator" w:id="0">
    <w:p w:rsidR="00454465" w:rsidRDefault="004544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288168537">
    <w:abstractNumId w:val="1"/>
  </w:num>
  <w:num w:numId="2" w16cid:durableId="667561617">
    <w:abstractNumId w:val="4"/>
  </w:num>
  <w:num w:numId="3" w16cid:durableId="1947813212">
    <w:abstractNumId w:val="5"/>
  </w:num>
  <w:num w:numId="4" w16cid:durableId="2084401440">
    <w:abstractNumId w:val="2"/>
  </w:num>
  <w:num w:numId="5" w16cid:durableId="1616251969">
    <w:abstractNumId w:val="0"/>
  </w:num>
  <w:num w:numId="6" w16cid:durableId="1393382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5883"/>
    <w:rsid w:val="00202A85"/>
    <w:rsid w:val="0029639D"/>
    <w:rsid w:val="00326F90"/>
    <w:rsid w:val="00454465"/>
    <w:rsid w:val="005B4D04"/>
    <w:rsid w:val="00680EBF"/>
    <w:rsid w:val="006C5F01"/>
    <w:rsid w:val="00A540F5"/>
    <w:rsid w:val="00AA1D8D"/>
    <w:rsid w:val="00AB488A"/>
    <w:rsid w:val="00B47730"/>
    <w:rsid w:val="00C23CE1"/>
    <w:rsid w:val="00CB0664"/>
    <w:rsid w:val="00FC693F"/>
    <w:rsid w:val="5CE5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4E94E2"/>
  <w14:defaultImageDpi w14:val="300"/>
  <w15:docId w15:val="{C6EF229A-0E5D-3C42-B8FE-7CF57CFC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GH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60" w:lineRule="auto"/>
    </w:pPr>
    <w:rPr>
      <w:rFonts w:ascii="Times New Roman" w:hAnsi="Times New Roman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2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Bullet">
    <w:name w:val="List Bullet"/>
    <w:basedOn w:val="Normal"/>
    <w:uiPriority w:val="99"/>
    <w:unhideWhenUsed/>
    <w:qFormat/>
    <w:pPr>
      <w:numPr>
        <w:numId w:val="3"/>
      </w:numPr>
      <w:contextualSpacing/>
    </w:pPr>
  </w:style>
  <w:style w:type="paragraph" w:styleId="BodyText3">
    <w:name w:val="Body Text 3"/>
    <w:basedOn w:val="Normal"/>
    <w:link w:val="BodyText3Char"/>
    <w:uiPriority w:val="99"/>
    <w:unhideWhenUsed/>
    <w:qFormat/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pPr>
      <w:numPr>
        <w:numId w:val="4"/>
      </w:numPr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</w:style>
  <w:style w:type="paragraph" w:styleId="ListNumber3">
    <w:name w:val="List Number 3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Continue">
    <w:name w:val="List Continue"/>
    <w:basedOn w:val="Normal"/>
    <w:uiPriority w:val="99"/>
    <w:unhideWhenUsed/>
    <w:qFormat/>
    <w:pPr>
      <w:ind w:left="360"/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6"/>
      </w:numPr>
      <w:contextualSpacing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line="480" w:lineRule="auto"/>
    </w:pPr>
  </w:style>
  <w:style w:type="paragraph" w:styleId="ListContinue2">
    <w:name w:val="List Continue 2"/>
    <w:basedOn w:val="Normal"/>
    <w:uiPriority w:val="99"/>
    <w:unhideWhenUsed/>
    <w:qFormat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ind w:left="108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character" w:styleId="PageNumber">
    <w:name w:val="page number"/>
    <w:basedOn w:val="DefaultParagraphFont"/>
    <w:uiPriority w:val="99"/>
    <w:semiHidden/>
    <w:unhideWhenUsed/>
    <w:rsid w:val="00185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Dr. Seidu A. Richard -</cp:lastModifiedBy>
  <cp:revision>6</cp:revision>
  <dcterms:created xsi:type="dcterms:W3CDTF">2013-12-23T23:15:00Z</dcterms:created>
  <dcterms:modified xsi:type="dcterms:W3CDTF">2026-06-03T01:04:00Z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eyJoZGlkIjoiNDAxODdlNTBkODcxYjVmMTRjMjUyNDEwZDhmZTQwMDIiLCJ1c2VySWQiOiI2OTg2MjI0MDcifQ==</vt:lpwstr>
  </property>
  <property fmtid="{D5CDD505-2E9C-101B-9397-08002B2CF9AE}" pid="3" name="KSOProductBuildVer">
    <vt:lpwstr>2052-12.1.0.25865</vt:lpwstr>
  </property>
  <property fmtid="{D5CDD505-2E9C-101B-9397-08002B2CF9AE}" pid="4" name="ICV">
    <vt:lpwstr>F0A373A83CF54A2ABDC4DCB27D474FC6_12</vt:lpwstr>
  </property>
</Properties>
</file>