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Calibri" w:hAnsi="Calibri"/>
          <w:b/>
          <w:color w:val="1F4E79"/>
          <w:sz w:val="30"/>
        </w:rPr>
        <w:t>Supplementary File 2</w:t>
      </w:r>
    </w:p>
    <w:p>
      <w:pPr>
        <w:spacing w:after="100"/>
        <w:jc w:val="center"/>
      </w:pPr>
      <w:r>
        <w:rPr>
          <w:rFonts w:ascii="Calibri" w:hAnsi="Calibri"/>
          <w:b/>
          <w:sz w:val="24"/>
        </w:rPr>
        <w:t>Good Reporting of A Mixed Methods Study (GRAMMS) Checklist</w:t>
      </w:r>
    </w:p>
    <w:p>
      <w:pPr>
        <w:spacing w:after="180"/>
        <w:jc w:val="center"/>
      </w:pPr>
      <w:r>
        <w:rPr>
          <w:i/>
          <w:color w:val="464646"/>
          <w:sz w:val="19"/>
        </w:rPr>
        <w:t>When Needs Exceed Systems: A Mixed-Methods Study of Clinicians’ Perceptions of Supportive Care for Older Patients in Emergency Departments</w:t>
      </w:r>
    </w:p>
    <w:p>
      <w:pPr>
        <w:spacing w:after="140"/>
      </w:pPr>
      <w:r>
        <w:t>The revised manuscript was assessed against the six GRAMMS reporting criteria. The locations and corresponding information are summarized below.</w:t>
      </w:r>
    </w:p>
    <w:tbl>
      <w:tblPr>
        <w:tblStyle w:val="TableGrid"/>
        <w:tblW w:type="dxa" w:w="10080"/>
        <w:jc w:val="center"/>
        <w:tblLayout w:type="fixed"/>
        <w:tblLook w:firstColumn="1" w:firstRow="1" w:lastColumn="0" w:lastRow="0" w:noHBand="0" w:noVBand="1" w:val="04A0"/>
      </w:tblPr>
      <w:tblGrid>
        <w:gridCol w:w="3150"/>
        <w:gridCol w:w="1800"/>
        <w:gridCol w:w="5130"/>
      </w:tblGrid>
      <w:tr>
        <w:trPr>
          <w:tblHeader w:val="true"/>
          <w:cantSplit/>
        </w:trPr>
        <w:tc>
          <w:tcPr>
            <w:tcW w:type="dxa" w:w="3150"/>
            <w:shd w:fill="1F4E79"/>
            <w:vAlign w:val="center"/>
            <w:tcMar>
              <w:top w:w="100" w:type="dxa"/>
              <w:start w:w="115" w:type="dxa"/>
              <w:bottom w:w="100" w:type="dxa"/>
              <w:end w:w="115" w:type="dxa"/>
            </w:tcMar>
          </w:tcPr>
          <w:p>
            <w:pPr>
              <w:spacing w:after="0"/>
              <w:jc w:val="center"/>
            </w:pPr>
            <w:r/>
            <w:r>
              <w:rPr>
                <w:b/>
                <w:color w:val="FFFFFF"/>
                <w:sz w:val="19"/>
              </w:rPr>
              <w:t>GRAMMS reporting criterion</w:t>
            </w:r>
          </w:p>
        </w:tc>
        <w:tc>
          <w:tcPr>
            <w:tcW w:type="dxa" w:w="1800"/>
            <w:shd w:fill="1F4E79"/>
            <w:vAlign w:val="center"/>
            <w:tcMar>
              <w:top w:w="100" w:type="dxa"/>
              <w:start w:w="115" w:type="dxa"/>
              <w:bottom w:w="100" w:type="dxa"/>
              <w:end w:w="115" w:type="dxa"/>
            </w:tcMar>
          </w:tcPr>
          <w:p>
            <w:pPr>
              <w:spacing w:after="0"/>
              <w:jc w:val="center"/>
            </w:pPr>
            <w:r/>
            <w:r>
              <w:rPr>
                <w:b/>
                <w:color w:val="FFFFFF"/>
                <w:sz w:val="19"/>
              </w:rPr>
              <w:t>Manuscript location</w:t>
            </w:r>
          </w:p>
        </w:tc>
        <w:tc>
          <w:tcPr>
            <w:tcW w:type="dxa" w:w="5130"/>
            <w:shd w:fill="1F4E79"/>
            <w:vAlign w:val="center"/>
            <w:tcMar>
              <w:top w:w="100" w:type="dxa"/>
              <w:start w:w="115" w:type="dxa"/>
              <w:bottom w:w="100" w:type="dxa"/>
              <w:end w:w="115" w:type="dxa"/>
            </w:tcMar>
          </w:tcPr>
          <w:p>
            <w:pPr>
              <w:spacing w:after="0"/>
              <w:jc w:val="center"/>
            </w:pPr>
            <w:r/>
            <w:r>
              <w:rPr>
                <w:b/>
                <w:color w:val="FFFFFF"/>
                <w:sz w:val="19"/>
              </w:rPr>
              <w:t>How the criterion was addressed</w:t>
            </w:r>
          </w:p>
        </w:tc>
      </w:tr>
      <w:tr>
        <w:trPr>
          <w:cantSplit/>
        </w:trPr>
        <w:tc>
          <w:tcPr>
            <w:tcW w:type="dxa" w:w="3150"/>
            <w:vAlign w:val="top"/>
            <w:tcMar>
              <w:top w:w="85" w:type="dxa"/>
              <w:start w:w="115" w:type="dxa"/>
              <w:bottom w:w="85" w:type="dxa"/>
              <w:end w:w="115" w:type="dxa"/>
            </w:tcMar>
          </w:tcPr>
          <w:p>
            <w:pPr>
              <w:spacing w:after="0" w:line="247" w:lineRule="auto"/>
            </w:pPr>
            <w:r/>
            <w:r>
              <w:rPr>
                <w:rFonts w:ascii="Calibri" w:hAnsi="Calibri"/>
                <w:b/>
                <w:sz w:val="18"/>
              </w:rPr>
              <w:t>1. Describe the justification for using a mixed-methods approach to the research question.</w:t>
            </w:r>
          </w:p>
        </w:tc>
        <w:tc>
          <w:tcPr>
            <w:tcW w:type="dxa" w:w="1800"/>
            <w:vAlign w:val="top"/>
            <w:tcMar>
              <w:top w:w="85" w:type="dxa"/>
              <w:start w:w="115" w:type="dxa"/>
              <w:bottom w:w="85" w:type="dxa"/>
              <w:end w:w="115" w:type="dxa"/>
            </w:tcMar>
          </w:tcPr>
          <w:p>
            <w:pPr>
              <w:spacing w:after="0" w:line="247" w:lineRule="auto"/>
            </w:pPr>
            <w:r/>
            <w:r>
              <w:rPr>
                <w:rFonts w:ascii="Calibri" w:hAnsi="Calibri"/>
                <w:sz w:val="18"/>
              </w:rPr>
              <w:t>Introduction, pp. 2–3; Section 2.1, pp. 3–4</w:t>
            </w:r>
          </w:p>
        </w:tc>
        <w:tc>
          <w:tcPr>
            <w:tcW w:type="dxa" w:w="5130"/>
            <w:vAlign w:val="top"/>
            <w:tcMar>
              <w:top w:w="85" w:type="dxa"/>
              <w:start w:w="115" w:type="dxa"/>
              <w:bottom w:w="85" w:type="dxa"/>
              <w:end w:w="115" w:type="dxa"/>
            </w:tcMar>
          </w:tcPr>
          <w:p>
            <w:pPr>
              <w:spacing w:after="0" w:line="247" w:lineRule="auto"/>
            </w:pPr>
            <w:r/>
            <w:r>
              <w:rPr>
                <w:rFonts w:ascii="Calibri" w:hAnsi="Calibri"/>
                <w:sz w:val="18"/>
              </w:rPr>
              <w:t>The manuscript explains that the survey quantified clinicians’ perceptions of supportive care needs and system support, whereas interviews were needed to explain how the resulting need–support discrepancy was experienced and managed in clinical practice.</w:t>
            </w:r>
          </w:p>
        </w:tc>
      </w:tr>
      <w:tr>
        <w:trPr>
          <w:cantSplit/>
        </w:trPr>
        <w:tc>
          <w:tcPr>
            <w:tcW w:type="dxa" w:w="3150"/>
            <w:vAlign w:val="top"/>
            <w:shd w:fill="F3F6F9"/>
            <w:tcMar>
              <w:top w:w="85" w:type="dxa"/>
              <w:start w:w="115" w:type="dxa"/>
              <w:bottom w:w="85" w:type="dxa"/>
              <w:end w:w="115" w:type="dxa"/>
            </w:tcMar>
          </w:tcPr>
          <w:p>
            <w:pPr>
              <w:spacing w:after="0" w:line="247" w:lineRule="auto"/>
            </w:pPr>
            <w:r/>
            <w:r>
              <w:rPr>
                <w:rFonts w:ascii="Calibri" w:hAnsi="Calibri"/>
                <w:b/>
                <w:sz w:val="18"/>
              </w:rPr>
              <w:t>2. Describe the design in terms of the purpose, priority, and sequence of methods.</w:t>
            </w:r>
          </w:p>
        </w:tc>
        <w:tc>
          <w:tcPr>
            <w:tcW w:type="dxa" w:w="1800"/>
            <w:vAlign w:val="top"/>
            <w:shd w:fill="F3F6F9"/>
            <w:tcMar>
              <w:top w:w="85" w:type="dxa"/>
              <w:start w:w="115" w:type="dxa"/>
              <w:bottom w:w="85" w:type="dxa"/>
              <w:end w:w="115" w:type="dxa"/>
            </w:tcMar>
          </w:tcPr>
          <w:p>
            <w:pPr>
              <w:spacing w:after="0" w:line="247" w:lineRule="auto"/>
            </w:pPr>
            <w:r/>
            <w:r>
              <w:rPr>
                <w:rFonts w:ascii="Calibri" w:hAnsi="Calibri"/>
                <w:sz w:val="18"/>
              </w:rPr>
              <w:t>Section 2.1, pp. 3–4</w:t>
            </w:r>
          </w:p>
        </w:tc>
        <w:tc>
          <w:tcPr>
            <w:tcW w:type="dxa" w:w="5130"/>
            <w:vAlign w:val="top"/>
            <w:shd w:fill="F3F6F9"/>
            <w:tcMar>
              <w:top w:w="85" w:type="dxa"/>
              <w:start w:w="115" w:type="dxa"/>
              <w:bottom w:w="85" w:type="dxa"/>
              <w:end w:w="115" w:type="dxa"/>
            </w:tcMar>
          </w:tcPr>
          <w:p>
            <w:pPr>
              <w:spacing w:after="0" w:line="247" w:lineRule="auto"/>
            </w:pPr>
            <w:r/>
            <w:r>
              <w:rPr>
                <w:rFonts w:ascii="Calibri" w:hAnsi="Calibri"/>
                <w:sz w:val="18"/>
              </w:rPr>
              <w:t>An explanatory sequential design is specified. The quantitative phase preceded and informed the qualitative phase through discrepancy-group classification, participant selection, and interview-guide development; both components contributed to the integrated interpretation.</w:t>
            </w:r>
          </w:p>
        </w:tc>
      </w:tr>
      <w:tr>
        <w:trPr>
          <w:cantSplit/>
        </w:trPr>
        <w:tc>
          <w:tcPr>
            <w:tcW w:type="dxa" w:w="3150"/>
            <w:vAlign w:val="top"/>
            <w:tcMar>
              <w:top w:w="85" w:type="dxa"/>
              <w:start w:w="115" w:type="dxa"/>
              <w:bottom w:w="85" w:type="dxa"/>
              <w:end w:w="115" w:type="dxa"/>
            </w:tcMar>
          </w:tcPr>
          <w:p>
            <w:pPr>
              <w:spacing w:after="0" w:line="247" w:lineRule="auto"/>
            </w:pPr>
            <w:r/>
            <w:r>
              <w:rPr>
                <w:rFonts w:ascii="Calibri" w:hAnsi="Calibri"/>
                <w:b/>
                <w:sz w:val="18"/>
              </w:rPr>
              <w:t>3. Describe each method in terms of sampling, data collection, and analysis.</w:t>
            </w:r>
          </w:p>
        </w:tc>
        <w:tc>
          <w:tcPr>
            <w:tcW w:type="dxa" w:w="1800"/>
            <w:vAlign w:val="top"/>
            <w:tcMar>
              <w:top w:w="85" w:type="dxa"/>
              <w:start w:w="115" w:type="dxa"/>
              <w:bottom w:w="85" w:type="dxa"/>
              <w:end w:w="115" w:type="dxa"/>
            </w:tcMar>
          </w:tcPr>
          <w:p>
            <w:pPr>
              <w:spacing w:after="0" w:line="247" w:lineRule="auto"/>
            </w:pPr>
            <w:r/>
            <w:r>
              <w:rPr>
                <w:rFonts w:ascii="Calibri" w:hAnsi="Calibri"/>
                <w:sz w:val="18"/>
              </w:rPr>
              <w:t>Sections 2.2–2.4.3, pp. 4–7</w:t>
            </w:r>
          </w:p>
        </w:tc>
        <w:tc>
          <w:tcPr>
            <w:tcW w:type="dxa" w:w="5130"/>
            <w:vAlign w:val="top"/>
            <w:tcMar>
              <w:top w:w="85" w:type="dxa"/>
              <w:start w:w="115" w:type="dxa"/>
              <w:bottom w:w="85" w:type="dxa"/>
              <w:end w:w="115" w:type="dxa"/>
            </w:tcMar>
          </w:tcPr>
          <w:p>
            <w:pPr>
              <w:spacing w:after="0" w:line="247" w:lineRule="auto"/>
            </w:pPr>
            <w:r/>
            <w:r>
              <w:rPr>
                <w:rFonts w:ascii="Calibri" w:hAnsi="Calibri"/>
                <w:sz w:val="18"/>
              </w:rPr>
              <w:t>The quantitative component reports the setting, eligibility criteria, questionnaire development and scoring, electronic data collection, and statistical analysis. The qualitative component reports purposive sampling, interview procedures, thematic analysis, interviewer positionality, reflexivity, and translation procedures.</w:t>
            </w:r>
          </w:p>
        </w:tc>
      </w:tr>
      <w:tr>
        <w:trPr>
          <w:cantSplit/>
        </w:trPr>
        <w:tc>
          <w:tcPr>
            <w:tcW w:type="dxa" w:w="3150"/>
            <w:vAlign w:val="top"/>
            <w:shd w:fill="F3F6F9"/>
            <w:tcMar>
              <w:top w:w="85" w:type="dxa"/>
              <w:start w:w="115" w:type="dxa"/>
              <w:bottom w:w="85" w:type="dxa"/>
              <w:end w:w="115" w:type="dxa"/>
            </w:tcMar>
          </w:tcPr>
          <w:p>
            <w:pPr>
              <w:spacing w:after="0" w:line="247" w:lineRule="auto"/>
            </w:pPr>
            <w:r/>
            <w:r>
              <w:rPr>
                <w:rFonts w:ascii="Calibri" w:hAnsi="Calibri"/>
                <w:b/>
                <w:sz w:val="18"/>
              </w:rPr>
              <w:t>4. Describe where integration occurred, how it occurred, and who participated in it.</w:t>
            </w:r>
          </w:p>
        </w:tc>
        <w:tc>
          <w:tcPr>
            <w:tcW w:type="dxa" w:w="1800"/>
            <w:vAlign w:val="top"/>
            <w:shd w:fill="F3F6F9"/>
            <w:tcMar>
              <w:top w:w="85" w:type="dxa"/>
              <w:start w:w="115" w:type="dxa"/>
              <w:bottom w:w="85" w:type="dxa"/>
              <w:end w:w="115" w:type="dxa"/>
            </w:tcMar>
          </w:tcPr>
          <w:p>
            <w:pPr>
              <w:spacing w:after="0" w:line="247" w:lineRule="auto"/>
            </w:pPr>
            <w:r/>
            <w:r>
              <w:rPr>
                <w:rFonts w:ascii="Calibri" w:hAnsi="Calibri"/>
                <w:sz w:val="18"/>
              </w:rPr>
              <w:t>Sections 2.1 and 2.5, pp. 3–4 and 7; Section 3.4 and Table 3, pp. 11–13</w:t>
            </w:r>
          </w:p>
        </w:tc>
        <w:tc>
          <w:tcPr>
            <w:tcW w:type="dxa" w:w="5130"/>
            <w:vAlign w:val="top"/>
            <w:shd w:fill="F3F6F9"/>
            <w:tcMar>
              <w:top w:w="85" w:type="dxa"/>
              <w:start w:w="115" w:type="dxa"/>
              <w:bottom w:w="85" w:type="dxa"/>
              <w:end w:w="115" w:type="dxa"/>
            </w:tcMar>
          </w:tcPr>
          <w:p>
            <w:pPr>
              <w:spacing w:after="0" w:line="247" w:lineRule="auto"/>
            </w:pPr>
            <w:r/>
            <w:r>
              <w:rPr>
                <w:rFonts w:ascii="Calibri" w:hAnsi="Calibri"/>
                <w:sz w:val="18"/>
              </w:rPr>
              <w:t>Integration occurred through connecting (selection of high-discrepancy participants), building (development of the interview guide from survey findings), and merging (joint display and integrated interpretation). The research team reviewed and refined the integrated interpretations through discussion.</w:t>
            </w:r>
          </w:p>
        </w:tc>
      </w:tr>
      <w:tr>
        <w:trPr>
          <w:cantSplit/>
        </w:trPr>
        <w:tc>
          <w:tcPr>
            <w:tcW w:type="dxa" w:w="3150"/>
            <w:vAlign w:val="top"/>
            <w:tcMar>
              <w:top w:w="85" w:type="dxa"/>
              <w:start w:w="115" w:type="dxa"/>
              <w:bottom w:w="85" w:type="dxa"/>
              <w:end w:w="115" w:type="dxa"/>
            </w:tcMar>
          </w:tcPr>
          <w:p>
            <w:pPr>
              <w:spacing w:after="0" w:line="247" w:lineRule="auto"/>
            </w:pPr>
            <w:r/>
            <w:r>
              <w:rPr>
                <w:rFonts w:ascii="Calibri" w:hAnsi="Calibri"/>
                <w:b/>
                <w:sz w:val="18"/>
              </w:rPr>
              <w:t>5. Describe any limitation of one method associated with the presence of the other method.</w:t>
            </w:r>
          </w:p>
        </w:tc>
        <w:tc>
          <w:tcPr>
            <w:tcW w:type="dxa" w:w="1800"/>
            <w:vAlign w:val="top"/>
            <w:tcMar>
              <w:top w:w="85" w:type="dxa"/>
              <w:start w:w="115" w:type="dxa"/>
              <w:bottom w:w="85" w:type="dxa"/>
              <w:end w:w="115" w:type="dxa"/>
            </w:tcMar>
          </w:tcPr>
          <w:p>
            <w:pPr>
              <w:spacing w:after="0" w:line="247" w:lineRule="auto"/>
            </w:pPr>
            <w:r/>
            <w:r>
              <w:rPr>
                <w:rFonts w:ascii="Calibri" w:hAnsi="Calibri"/>
                <w:sz w:val="18"/>
              </w:rPr>
              <w:t>Section 2.5, p. 7; Section 3.4, pp. 11–13; Section 4.4, pp. 16–17</w:t>
            </w:r>
          </w:p>
        </w:tc>
        <w:tc>
          <w:tcPr>
            <w:tcW w:type="dxa" w:w="5130"/>
            <w:vAlign w:val="top"/>
            <w:tcMar>
              <w:top w:w="85" w:type="dxa"/>
              <w:start w:w="115" w:type="dxa"/>
              <w:bottom w:w="85" w:type="dxa"/>
              <w:end w:w="115" w:type="dxa"/>
            </w:tcMar>
          </w:tcPr>
          <w:p>
            <w:pPr>
              <w:spacing w:after="0" w:line="247" w:lineRule="auto"/>
            </w:pPr>
            <w:r/>
            <w:r>
              <w:rPr>
                <w:rFonts w:ascii="Calibri" w:hAnsi="Calibri"/>
                <w:sz w:val="18"/>
              </w:rPr>
              <w:t>Because quantitative findings guided purposive recruitment exclusively from the high-discrepancy group, the qualitative component explained that group in depth but could not compare experiences across low-, moderate-, and high-discrepancy groups. This boundary is stated in the integration and limitations sections.</w:t>
            </w:r>
          </w:p>
        </w:tc>
      </w:tr>
      <w:tr>
        <w:trPr>
          <w:cantSplit/>
        </w:trPr>
        <w:tc>
          <w:tcPr>
            <w:tcW w:type="dxa" w:w="3150"/>
            <w:vAlign w:val="top"/>
            <w:shd w:fill="F3F6F9"/>
            <w:tcMar>
              <w:top w:w="85" w:type="dxa"/>
              <w:start w:w="115" w:type="dxa"/>
              <w:bottom w:w="85" w:type="dxa"/>
              <w:end w:w="115" w:type="dxa"/>
            </w:tcMar>
          </w:tcPr>
          <w:p>
            <w:pPr>
              <w:spacing w:after="0" w:line="247" w:lineRule="auto"/>
            </w:pPr>
            <w:r/>
            <w:r>
              <w:rPr>
                <w:rFonts w:ascii="Calibri" w:hAnsi="Calibri"/>
                <w:b/>
                <w:sz w:val="18"/>
              </w:rPr>
              <w:t>6. Describe any insights gained from mixing or integrating methods.</w:t>
            </w:r>
          </w:p>
        </w:tc>
        <w:tc>
          <w:tcPr>
            <w:tcW w:type="dxa" w:w="1800"/>
            <w:vAlign w:val="top"/>
            <w:shd w:fill="F3F6F9"/>
            <w:tcMar>
              <w:top w:w="85" w:type="dxa"/>
              <w:start w:w="115" w:type="dxa"/>
              <w:bottom w:w="85" w:type="dxa"/>
              <w:end w:w="115" w:type="dxa"/>
            </w:tcMar>
          </w:tcPr>
          <w:p>
            <w:pPr>
              <w:spacing w:after="0" w:line="247" w:lineRule="auto"/>
            </w:pPr>
            <w:r/>
            <w:r>
              <w:rPr>
                <w:rFonts w:ascii="Calibri" w:hAnsi="Calibri"/>
                <w:sz w:val="18"/>
              </w:rPr>
              <w:t>Section 3.4 and Table 3, pp. 11–13; Sections 4.1–4.3, pp. 14–16; Conclusion, p. 17</w:t>
            </w:r>
          </w:p>
        </w:tc>
        <w:tc>
          <w:tcPr>
            <w:tcW w:type="dxa" w:w="5130"/>
            <w:vAlign w:val="top"/>
            <w:shd w:fill="F3F6F9"/>
            <w:tcMar>
              <w:top w:w="85" w:type="dxa"/>
              <w:start w:w="115" w:type="dxa"/>
              <w:bottom w:w="85" w:type="dxa"/>
              <w:end w:w="115" w:type="dxa"/>
            </w:tcMar>
          </w:tcPr>
          <w:p>
            <w:pPr>
              <w:spacing w:after="0" w:line="247" w:lineRule="auto"/>
            </w:pPr>
            <w:r/>
            <w:r>
              <w:rPr>
                <w:rFonts w:ascii="Calibri" w:hAnsi="Calibri"/>
                <w:sz w:val="18"/>
              </w:rPr>
              <w:t>Integration showed that the discrepancy reflected difficulty translating recognized multidimensional needs into feasible care under system constraints. It further indicated that supportive care was often compressed rather than wholly omitted, and that professional role and clinical experience shaped clinicians’ adaptations and priorities.</w:t>
            </w:r>
          </w:p>
        </w:tc>
      </w:tr>
    </w:tbl>
    <w:p>
      <w:pPr>
        <w:spacing w:before="140" w:after="0" w:line="240" w:lineRule="auto"/>
      </w:pPr>
      <w:r>
        <w:rPr>
          <w:b/>
          <w:sz w:val="17"/>
        </w:rPr>
        <w:t xml:space="preserve">Reference: </w:t>
      </w:r>
      <w:r>
        <w:rPr>
          <w:sz w:val="17"/>
        </w:rPr>
        <w:t>O’Cathain A, Murphy E, Nicholl J. The quality of mixed methods studies in health services research. J Health Serv Res Policy. 2008;13(2):92–98. doi:10.1258/jhsrp.2007.007074.</w:t>
      </w:r>
    </w:p>
    <w:sectPr w:rsidR="00FC693F" w:rsidRPr="0006063C" w:rsidSect="00034616">
      <w:footerReference w:type="default" r:id="rId9"/>
      <w:pgSz w:w="12240" w:h="15840"/>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color w:val="646464"/>
        <w:sz w:val="16"/>
      </w:rPr>
      <w:t xml:space="preserve">Supplementary File 2  |  Page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