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105979" w14:textId="146519D4" w:rsidR="00C43E8D" w:rsidRPr="002C4FBB" w:rsidRDefault="007F75E1" w:rsidP="00D27A70">
      <w:pPr>
        <w:spacing w:after="0" w:line="276" w:lineRule="auto"/>
        <w:rPr>
          <w:rFonts w:ascii="Times New Roman" w:hAnsi="Times New Roman" w:cs="Times New Roman"/>
          <w:b/>
          <w:bCs/>
          <w:szCs w:val="22"/>
        </w:rPr>
      </w:pPr>
      <w:r w:rsidRPr="002C4FBB">
        <w:rPr>
          <w:rFonts w:ascii="Times New Roman" w:hAnsi="Times New Roman" w:cs="Times New Roman"/>
          <w:b/>
          <w:bCs/>
          <w:szCs w:val="22"/>
        </w:rPr>
        <w:t>Mechanical ventilation during cardiopulmonary resuscitation in adults with cardiac arrest: a systematic review and meta-analysis</w:t>
      </w:r>
    </w:p>
    <w:p w14:paraId="271271A2" w14:textId="77777777" w:rsidR="007F75E1" w:rsidRPr="002C4FBB" w:rsidRDefault="007F75E1" w:rsidP="00D27A70">
      <w:pPr>
        <w:spacing w:after="0" w:line="276" w:lineRule="auto"/>
        <w:rPr>
          <w:rFonts w:ascii="Times New Roman" w:hAnsi="Times New Roman" w:cs="Times New Roman"/>
          <w:b/>
          <w:bCs/>
          <w:szCs w:val="22"/>
        </w:rPr>
      </w:pPr>
    </w:p>
    <w:p w14:paraId="03E819F7" w14:textId="341C3B01" w:rsidR="00D27A70" w:rsidRPr="002C4FBB" w:rsidRDefault="00D27A70" w:rsidP="00D27A70">
      <w:pPr>
        <w:spacing w:after="0" w:line="276" w:lineRule="auto"/>
        <w:rPr>
          <w:rFonts w:ascii="Times New Roman" w:hAnsi="Times New Roman" w:cs="Times New Roman"/>
          <w:b/>
          <w:bCs/>
          <w:szCs w:val="22"/>
        </w:rPr>
      </w:pPr>
      <w:r w:rsidRPr="002C4FBB">
        <w:rPr>
          <w:rFonts w:ascii="Times New Roman" w:hAnsi="Times New Roman" w:cs="Times New Roman"/>
          <w:b/>
          <w:bCs/>
          <w:szCs w:val="22"/>
        </w:rPr>
        <w:t>Table S</w:t>
      </w:r>
      <w:r w:rsidR="00B27BE1" w:rsidRPr="002C4FBB">
        <w:rPr>
          <w:rFonts w:ascii="Times New Roman" w:hAnsi="Times New Roman" w:cs="Times New Roman"/>
          <w:b/>
          <w:bCs/>
          <w:szCs w:val="22"/>
        </w:rPr>
        <w:t>1</w:t>
      </w:r>
      <w:r w:rsidRPr="002C4FBB">
        <w:rPr>
          <w:rFonts w:ascii="Times New Roman" w:hAnsi="Times New Roman" w:cs="Times New Roman"/>
          <w:b/>
          <w:bCs/>
          <w:szCs w:val="22"/>
        </w:rPr>
        <w:t xml:space="preserve">. </w:t>
      </w:r>
      <w:r w:rsidRPr="002C4FBB">
        <w:rPr>
          <w:rFonts w:ascii="Times New Roman" w:hAnsi="Times New Roman" w:cs="Times New Roman"/>
          <w:szCs w:val="22"/>
        </w:rPr>
        <w:t>Search strategies for each database.</w:t>
      </w:r>
    </w:p>
    <w:p w14:paraId="7A38BF77" w14:textId="77777777" w:rsidR="00D27A70" w:rsidRPr="002C4FBB" w:rsidRDefault="00D27A70" w:rsidP="00D27A70">
      <w:pPr>
        <w:spacing w:after="0" w:line="276" w:lineRule="auto"/>
        <w:rPr>
          <w:rFonts w:ascii="Times New Roman" w:hAnsi="Times New Roman" w:cs="Times New Roman"/>
          <w:szCs w:val="22"/>
        </w:rPr>
      </w:pPr>
    </w:p>
    <w:tbl>
      <w:tblPr>
        <w:tblW w:w="0" w:type="auto"/>
        <w:tblCellMar>
          <w:top w:w="15" w:type="dxa"/>
          <w:left w:w="15" w:type="dxa"/>
          <w:bottom w:w="15" w:type="dxa"/>
          <w:right w:w="15" w:type="dxa"/>
        </w:tblCellMar>
        <w:tblLook w:val="04A0" w:firstRow="1" w:lastRow="0" w:firstColumn="1" w:lastColumn="0" w:noHBand="0" w:noVBand="1"/>
      </w:tblPr>
      <w:tblGrid>
        <w:gridCol w:w="1028"/>
        <w:gridCol w:w="7118"/>
        <w:gridCol w:w="864"/>
      </w:tblGrid>
      <w:tr w:rsidR="00D27A70" w:rsidRPr="002C4FBB" w14:paraId="7530341B" w14:textId="77777777" w:rsidTr="00C14A3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1634E9"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Sources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F8B213"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Search terms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D45E3E"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Results</w:t>
            </w:r>
          </w:p>
        </w:tc>
      </w:tr>
      <w:tr w:rsidR="00D27A70" w:rsidRPr="002C4FBB" w14:paraId="34CE06FC" w14:textId="77777777" w:rsidTr="00C14A3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4BE9DE"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PubMed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57BF71"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("Heart Arrest"[Mesh] OR "Cardiac Arrest" OR "Heart Arrest" OR OHCA OR IHCA</w:t>
            </w:r>
            <w:proofErr w:type="gramStart"/>
            <w:r w:rsidRPr="002C4FBB">
              <w:rPr>
                <w:rFonts w:ascii="Times New Roman" w:hAnsi="Times New Roman" w:cs="Times New Roman"/>
                <w:szCs w:val="22"/>
              </w:rPr>
              <w:t>) )</w:t>
            </w:r>
            <w:proofErr w:type="gramEnd"/>
            <w:r w:rsidRPr="002C4FBB">
              <w:rPr>
                <w:rFonts w:ascii="Times New Roman" w:hAnsi="Times New Roman" w:cs="Times New Roman"/>
                <w:szCs w:val="22"/>
              </w:rPr>
              <w:t xml:space="preserve"> </w:t>
            </w:r>
          </w:p>
          <w:p w14:paraId="2D582B11"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 xml:space="preserve">AND ("Respiration, Artificial"[Mesh] OR "Ventilators, Mechanical"[Mesh] OR "Mechanical Ventilation" OR mechanical </w:t>
            </w:r>
            <w:proofErr w:type="spellStart"/>
            <w:r w:rsidRPr="002C4FBB">
              <w:rPr>
                <w:rFonts w:ascii="Times New Roman" w:hAnsi="Times New Roman" w:cs="Times New Roman"/>
                <w:szCs w:val="22"/>
              </w:rPr>
              <w:t>ventilat</w:t>
            </w:r>
            <w:proofErr w:type="spellEnd"/>
            <w:r w:rsidRPr="002C4FBB">
              <w:rPr>
                <w:rFonts w:ascii="Times New Roman" w:hAnsi="Times New Roman" w:cs="Times New Roman"/>
                <w:szCs w:val="22"/>
              </w:rPr>
              <w:t xml:space="preserve">* OR ventilator* OR "positive pressure </w:t>
            </w:r>
            <w:proofErr w:type="spellStart"/>
            <w:r w:rsidRPr="002C4FBB">
              <w:rPr>
                <w:rFonts w:ascii="Times New Roman" w:hAnsi="Times New Roman" w:cs="Times New Roman"/>
                <w:szCs w:val="22"/>
              </w:rPr>
              <w:t>ventilat</w:t>
            </w:r>
            <w:proofErr w:type="spellEnd"/>
            <w:r w:rsidRPr="002C4FBB">
              <w:rPr>
                <w:rFonts w:ascii="Times New Roman" w:hAnsi="Times New Roman" w:cs="Times New Roman"/>
                <w:szCs w:val="22"/>
              </w:rPr>
              <w:t xml:space="preserve">*") </w:t>
            </w:r>
          </w:p>
          <w:p w14:paraId="2A78FCED"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 xml:space="preserve">AND ("Cardiopulmonary Resuscitation"[Mesh] OR CPR OR chest compression*) </w:t>
            </w:r>
          </w:p>
          <w:p w14:paraId="7E8BCA17"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 xml:space="preserve">AND ("Return of Spontaneous Circulation" OR ROSC OR </w:t>
            </w:r>
            <w:proofErr w:type="spellStart"/>
            <w:r w:rsidRPr="002C4FBB">
              <w:rPr>
                <w:rFonts w:ascii="Times New Roman" w:hAnsi="Times New Roman" w:cs="Times New Roman"/>
                <w:szCs w:val="22"/>
              </w:rPr>
              <w:t>surviv</w:t>
            </w:r>
            <w:proofErr w:type="spellEnd"/>
            <w:r w:rsidRPr="002C4FBB">
              <w:rPr>
                <w:rFonts w:ascii="Times New Roman" w:hAnsi="Times New Roman" w:cs="Times New Roman"/>
                <w:szCs w:val="22"/>
              </w:rPr>
              <w:t xml:space="preserve">*) </w:t>
            </w:r>
          </w:p>
          <w:p w14:paraId="53D4C4D2"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NOT (animals[</w:t>
            </w:r>
            <w:proofErr w:type="spellStart"/>
            <w:r w:rsidRPr="002C4FBB">
              <w:rPr>
                <w:rFonts w:ascii="Times New Roman" w:hAnsi="Times New Roman" w:cs="Times New Roman"/>
                <w:szCs w:val="22"/>
              </w:rPr>
              <w:t>mh</w:t>
            </w:r>
            <w:proofErr w:type="spellEnd"/>
            <w:r w:rsidRPr="002C4FBB">
              <w:rPr>
                <w:rFonts w:ascii="Times New Roman" w:hAnsi="Times New Roman" w:cs="Times New Roman"/>
                <w:szCs w:val="22"/>
              </w:rPr>
              <w:t>] NOT humans[</w:t>
            </w:r>
            <w:proofErr w:type="spellStart"/>
            <w:r w:rsidRPr="002C4FBB">
              <w:rPr>
                <w:rFonts w:ascii="Times New Roman" w:hAnsi="Times New Roman" w:cs="Times New Roman"/>
                <w:szCs w:val="22"/>
              </w:rPr>
              <w:t>mh</w:t>
            </w:r>
            <w:proofErr w:type="spellEnd"/>
            <w:r w:rsidRPr="002C4FBB">
              <w:rPr>
                <w:rFonts w:ascii="Times New Roman" w:hAnsi="Times New Roman" w:cs="Times New Roman"/>
                <w:szCs w:val="22"/>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8F9EDB" w14:textId="3C293EBD" w:rsidR="00D27A70" w:rsidRPr="002C4FBB" w:rsidRDefault="0081315E" w:rsidP="00AD45F5">
            <w:pPr>
              <w:spacing w:after="0"/>
              <w:rPr>
                <w:rFonts w:ascii="Times New Roman" w:hAnsi="Times New Roman" w:cs="Times New Roman"/>
                <w:szCs w:val="22"/>
              </w:rPr>
            </w:pPr>
            <w:r>
              <w:rPr>
                <w:rFonts w:ascii="Times New Roman" w:hAnsi="Times New Roman" w:cs="Times New Roman"/>
                <w:szCs w:val="22"/>
              </w:rPr>
              <w:t>480</w:t>
            </w:r>
          </w:p>
        </w:tc>
      </w:tr>
      <w:tr w:rsidR="00D27A70" w:rsidRPr="002C4FBB" w14:paraId="4C2E177E" w14:textId="77777777" w:rsidTr="00C14A3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EEB9B4"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Embase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70529"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 xml:space="preserve">('exp cardiac arrest' OR 'heart arrest' OR 'cardiac arrest' OR </w:t>
            </w:r>
            <w:proofErr w:type="spellStart"/>
            <w:r w:rsidRPr="002C4FBB">
              <w:rPr>
                <w:rFonts w:ascii="Times New Roman" w:hAnsi="Times New Roman" w:cs="Times New Roman"/>
                <w:szCs w:val="22"/>
              </w:rPr>
              <w:t>ohca</w:t>
            </w:r>
            <w:proofErr w:type="spellEnd"/>
            <w:r w:rsidRPr="002C4FBB">
              <w:rPr>
                <w:rFonts w:ascii="Times New Roman" w:hAnsi="Times New Roman" w:cs="Times New Roman"/>
                <w:szCs w:val="22"/>
              </w:rPr>
              <w:t xml:space="preserve"> OR </w:t>
            </w:r>
            <w:proofErr w:type="spellStart"/>
            <w:r w:rsidRPr="002C4FBB">
              <w:rPr>
                <w:rFonts w:ascii="Times New Roman" w:hAnsi="Times New Roman" w:cs="Times New Roman"/>
                <w:szCs w:val="22"/>
              </w:rPr>
              <w:t>ihca</w:t>
            </w:r>
            <w:proofErr w:type="spellEnd"/>
            <w:r w:rsidRPr="002C4FBB">
              <w:rPr>
                <w:rFonts w:ascii="Times New Roman" w:hAnsi="Times New Roman" w:cs="Times New Roman"/>
                <w:szCs w:val="22"/>
              </w:rPr>
              <w:t xml:space="preserve">) </w:t>
            </w:r>
          </w:p>
          <w:p w14:paraId="306DB669"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 xml:space="preserve">AND ('exp artificial ventilation' OR 'mechanical ventilation' OR mechanical) </w:t>
            </w:r>
          </w:p>
          <w:p w14:paraId="7BFB9CAD"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AND (</w:t>
            </w:r>
            <w:proofErr w:type="spellStart"/>
            <w:r w:rsidRPr="002C4FBB">
              <w:rPr>
                <w:rFonts w:ascii="Times New Roman" w:hAnsi="Times New Roman" w:cs="Times New Roman"/>
                <w:szCs w:val="22"/>
              </w:rPr>
              <w:t>ventilat</w:t>
            </w:r>
            <w:proofErr w:type="spellEnd"/>
            <w:r w:rsidRPr="002C4FBB">
              <w:rPr>
                <w:rFonts w:ascii="Times New Roman" w:hAnsi="Times New Roman" w:cs="Times New Roman"/>
                <w:szCs w:val="22"/>
              </w:rPr>
              <w:t xml:space="preserve">* OR ventilator* OR 'positive pressure </w:t>
            </w:r>
            <w:proofErr w:type="spellStart"/>
            <w:r w:rsidRPr="002C4FBB">
              <w:rPr>
                <w:rFonts w:ascii="Times New Roman" w:hAnsi="Times New Roman" w:cs="Times New Roman"/>
                <w:szCs w:val="22"/>
              </w:rPr>
              <w:t>ventilat</w:t>
            </w:r>
            <w:proofErr w:type="spellEnd"/>
            <w:r w:rsidRPr="002C4FBB">
              <w:rPr>
                <w:rFonts w:ascii="Times New Roman" w:hAnsi="Times New Roman" w:cs="Times New Roman"/>
                <w:szCs w:val="22"/>
              </w:rPr>
              <w:t xml:space="preserve">*') </w:t>
            </w:r>
          </w:p>
          <w:p w14:paraId="7EB6A470"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 xml:space="preserve">AND ('exp cardiopulmonary resuscitation' OR </w:t>
            </w:r>
            <w:proofErr w:type="spellStart"/>
            <w:r w:rsidRPr="002C4FBB">
              <w:rPr>
                <w:rFonts w:ascii="Times New Roman" w:hAnsi="Times New Roman" w:cs="Times New Roman"/>
                <w:szCs w:val="22"/>
              </w:rPr>
              <w:t>cpr</w:t>
            </w:r>
            <w:proofErr w:type="spellEnd"/>
            <w:r w:rsidRPr="002C4FBB">
              <w:rPr>
                <w:rFonts w:ascii="Times New Roman" w:hAnsi="Times New Roman" w:cs="Times New Roman"/>
                <w:szCs w:val="22"/>
              </w:rPr>
              <w:t xml:space="preserve">) </w:t>
            </w:r>
          </w:p>
          <w:p w14:paraId="3FCF45D0"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 xml:space="preserve">AND ('return of spontaneous circulation' OR </w:t>
            </w:r>
            <w:proofErr w:type="spellStart"/>
            <w:r w:rsidRPr="002C4FBB">
              <w:rPr>
                <w:rFonts w:ascii="Times New Roman" w:hAnsi="Times New Roman" w:cs="Times New Roman"/>
                <w:szCs w:val="22"/>
              </w:rPr>
              <w:t>rosc</w:t>
            </w:r>
            <w:proofErr w:type="spellEnd"/>
            <w:r w:rsidRPr="002C4FBB">
              <w:rPr>
                <w:rFonts w:ascii="Times New Roman" w:hAnsi="Times New Roman" w:cs="Times New Roman"/>
                <w:szCs w:val="22"/>
              </w:rPr>
              <w:t xml:space="preserve"> OR </w:t>
            </w:r>
            <w:proofErr w:type="spellStart"/>
            <w:r w:rsidRPr="002C4FBB">
              <w:rPr>
                <w:rFonts w:ascii="Times New Roman" w:hAnsi="Times New Roman" w:cs="Times New Roman"/>
                <w:szCs w:val="22"/>
              </w:rPr>
              <w:t>surviv</w:t>
            </w:r>
            <w:proofErr w:type="spellEnd"/>
            <w:r w:rsidRPr="002C4FBB">
              <w:rPr>
                <w:rFonts w:ascii="Times New Roman" w:hAnsi="Times New Roman" w:cs="Times New Roman"/>
                <w:szCs w:val="22"/>
              </w:rPr>
              <w:t xml:space="preserve">*) </w:t>
            </w:r>
          </w:p>
          <w:p w14:paraId="0DB61069"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NOT ([animals]/</w:t>
            </w:r>
            <w:proofErr w:type="spellStart"/>
            <w:r w:rsidRPr="002C4FBB">
              <w:rPr>
                <w:rFonts w:ascii="Times New Roman" w:hAnsi="Times New Roman" w:cs="Times New Roman"/>
                <w:szCs w:val="22"/>
              </w:rPr>
              <w:t>lim</w:t>
            </w:r>
            <w:proofErr w:type="spellEnd"/>
            <w:r w:rsidRPr="002C4FBB">
              <w:rPr>
                <w:rFonts w:ascii="Times New Roman" w:hAnsi="Times New Roman" w:cs="Times New Roman"/>
                <w:szCs w:val="22"/>
              </w:rPr>
              <w:t xml:space="preserve"> NOT [humans]/</w:t>
            </w:r>
            <w:proofErr w:type="spellStart"/>
            <w:r w:rsidRPr="002C4FBB">
              <w:rPr>
                <w:rFonts w:ascii="Times New Roman" w:hAnsi="Times New Roman" w:cs="Times New Roman"/>
                <w:szCs w:val="22"/>
              </w:rPr>
              <w:t>lim</w:t>
            </w:r>
            <w:proofErr w:type="spellEnd"/>
            <w:r w:rsidRPr="002C4FBB">
              <w:rPr>
                <w:rFonts w:ascii="Times New Roman" w:hAnsi="Times New Roman" w:cs="Times New Roman"/>
                <w:szCs w:val="22"/>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A04970" w14:textId="1558B174"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3</w:t>
            </w:r>
            <w:r w:rsidR="000539E9">
              <w:rPr>
                <w:rFonts w:ascii="Times New Roman" w:hAnsi="Times New Roman" w:cs="Times New Roman"/>
                <w:szCs w:val="22"/>
              </w:rPr>
              <w:t>50</w:t>
            </w:r>
          </w:p>
        </w:tc>
      </w:tr>
      <w:tr w:rsidR="00D27A70" w:rsidRPr="002C4FBB" w14:paraId="01B26F98" w14:textId="77777777" w:rsidTr="00C14A3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481365"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Web of Science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1CBC45"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w:t>
            </w:r>
            <w:proofErr w:type="gramStart"/>
            <w:r w:rsidRPr="002C4FBB">
              <w:rPr>
                <w:rFonts w:ascii="Times New Roman" w:hAnsi="Times New Roman" w:cs="Times New Roman"/>
                <w:szCs w:val="22"/>
              </w:rPr>
              <w:t>cardiac</w:t>
            </w:r>
            <w:proofErr w:type="gramEnd"/>
            <w:r w:rsidRPr="002C4FBB">
              <w:rPr>
                <w:rFonts w:ascii="Times New Roman" w:hAnsi="Times New Roman" w:cs="Times New Roman"/>
                <w:szCs w:val="22"/>
              </w:rPr>
              <w:t xml:space="preserve"> arrest" OR "heart arrest" OR OHCA OR IHCA (All Fields) </w:t>
            </w:r>
          </w:p>
          <w:p w14:paraId="086F6DD9"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 xml:space="preserve">And "mechanical ventilation" OR mechanical </w:t>
            </w:r>
            <w:proofErr w:type="spellStart"/>
            <w:r w:rsidRPr="002C4FBB">
              <w:rPr>
                <w:rFonts w:ascii="Times New Roman" w:hAnsi="Times New Roman" w:cs="Times New Roman"/>
                <w:szCs w:val="22"/>
              </w:rPr>
              <w:t>ventilat</w:t>
            </w:r>
            <w:proofErr w:type="spellEnd"/>
            <w:r w:rsidRPr="002C4FBB">
              <w:rPr>
                <w:rFonts w:ascii="Times New Roman" w:hAnsi="Times New Roman" w:cs="Times New Roman"/>
                <w:szCs w:val="22"/>
              </w:rPr>
              <w:t xml:space="preserve">* OR ventilator* OR "positive pressure </w:t>
            </w:r>
            <w:proofErr w:type="spellStart"/>
            <w:r w:rsidRPr="002C4FBB">
              <w:rPr>
                <w:rFonts w:ascii="Times New Roman" w:hAnsi="Times New Roman" w:cs="Times New Roman"/>
                <w:szCs w:val="22"/>
              </w:rPr>
              <w:t>ventilat</w:t>
            </w:r>
            <w:proofErr w:type="spellEnd"/>
            <w:r w:rsidRPr="002C4FBB">
              <w:rPr>
                <w:rFonts w:ascii="Times New Roman" w:hAnsi="Times New Roman" w:cs="Times New Roman"/>
                <w:szCs w:val="22"/>
              </w:rPr>
              <w:t>*" (All Fields)</w:t>
            </w:r>
          </w:p>
          <w:p w14:paraId="35D5DBF3" w14:textId="069C6BFC" w:rsidR="00D27A70" w:rsidRPr="002C4FBB" w:rsidRDefault="00721675" w:rsidP="00AD45F5">
            <w:pPr>
              <w:spacing w:after="0"/>
              <w:rPr>
                <w:rFonts w:ascii="Times New Roman" w:hAnsi="Times New Roman" w:cs="Times New Roman"/>
                <w:szCs w:val="22"/>
              </w:rPr>
            </w:pPr>
            <w:r>
              <w:rPr>
                <w:rFonts w:ascii="Times New Roman" w:hAnsi="Times New Roman" w:cs="Times New Roman"/>
                <w:szCs w:val="22"/>
              </w:rPr>
              <w:t>And</w:t>
            </w:r>
            <w:r w:rsidR="00D27A70" w:rsidRPr="002C4FBB">
              <w:rPr>
                <w:rFonts w:ascii="Times New Roman" w:hAnsi="Times New Roman" w:cs="Times New Roman"/>
                <w:szCs w:val="22"/>
              </w:rPr>
              <w:t> "cardiopulmonary resuscitation" OR CPR OR "chest compression*" (All Fields) </w:t>
            </w:r>
          </w:p>
          <w:p w14:paraId="6863C301" w14:textId="39E768E8" w:rsidR="00D27A70" w:rsidRPr="002C4FBB" w:rsidRDefault="00721675" w:rsidP="00AD45F5">
            <w:pPr>
              <w:spacing w:after="0"/>
              <w:rPr>
                <w:rFonts w:ascii="Times New Roman" w:hAnsi="Times New Roman" w:cs="Times New Roman"/>
                <w:szCs w:val="22"/>
              </w:rPr>
            </w:pPr>
            <w:r>
              <w:rPr>
                <w:rFonts w:ascii="Times New Roman" w:hAnsi="Times New Roman" w:cs="Times New Roman"/>
                <w:szCs w:val="22"/>
              </w:rPr>
              <w:t>And</w:t>
            </w:r>
            <w:r w:rsidR="00D27A70" w:rsidRPr="002C4FBB">
              <w:rPr>
                <w:rFonts w:ascii="Times New Roman" w:hAnsi="Times New Roman" w:cs="Times New Roman"/>
                <w:szCs w:val="22"/>
              </w:rPr>
              <w:t xml:space="preserve"> "return of spontaneous circulation" OR ROSC OR </w:t>
            </w:r>
            <w:proofErr w:type="spellStart"/>
            <w:r w:rsidR="00D27A70" w:rsidRPr="002C4FBB">
              <w:rPr>
                <w:rFonts w:ascii="Times New Roman" w:hAnsi="Times New Roman" w:cs="Times New Roman"/>
                <w:szCs w:val="22"/>
              </w:rPr>
              <w:t>surviv</w:t>
            </w:r>
            <w:proofErr w:type="spellEnd"/>
            <w:r w:rsidR="00D27A70" w:rsidRPr="002C4FBB">
              <w:rPr>
                <w:rFonts w:ascii="Times New Roman" w:hAnsi="Times New Roman" w:cs="Times New Roman"/>
                <w:szCs w:val="22"/>
              </w:rPr>
              <w:t>* (All Fields) </w:t>
            </w:r>
          </w:p>
          <w:p w14:paraId="563CF360" w14:textId="7DB05542" w:rsidR="00D27A70" w:rsidRPr="002C4FBB" w:rsidRDefault="00411DAB" w:rsidP="00AD45F5">
            <w:pPr>
              <w:spacing w:after="0"/>
              <w:rPr>
                <w:rFonts w:ascii="Times New Roman" w:hAnsi="Times New Roman" w:cs="Times New Roman"/>
                <w:szCs w:val="22"/>
              </w:rPr>
            </w:pPr>
            <w:r>
              <w:rPr>
                <w:rFonts w:ascii="Times New Roman" w:hAnsi="Times New Roman" w:cs="Times New Roman"/>
                <w:szCs w:val="22"/>
              </w:rPr>
              <w:t>NOT</w:t>
            </w:r>
            <w:r w:rsidR="00D27A70" w:rsidRPr="002C4FBB">
              <w:rPr>
                <w:rFonts w:ascii="Times New Roman" w:hAnsi="Times New Roman" w:cs="Times New Roman"/>
                <w:szCs w:val="22"/>
              </w:rPr>
              <w:t> animal* (All Fields)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5186EF" w14:textId="70C3C20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3</w:t>
            </w:r>
            <w:r w:rsidR="00411DAB">
              <w:rPr>
                <w:rFonts w:ascii="Times New Roman" w:hAnsi="Times New Roman" w:cs="Times New Roman"/>
                <w:szCs w:val="22"/>
              </w:rPr>
              <w:t>8</w:t>
            </w:r>
            <w:r w:rsidRPr="002C4FBB">
              <w:rPr>
                <w:rFonts w:ascii="Times New Roman" w:hAnsi="Times New Roman" w:cs="Times New Roman"/>
                <w:szCs w:val="22"/>
              </w:rPr>
              <w:t>7</w:t>
            </w:r>
          </w:p>
        </w:tc>
      </w:tr>
      <w:tr w:rsidR="00D27A70" w:rsidRPr="002C4FBB" w14:paraId="1EA04E61" w14:textId="77777777" w:rsidTr="00C14A3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6FDBEF" w14:textId="7777777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Scopus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551EC5" w14:textId="20F78CE4" w:rsidR="00D27A70" w:rsidRPr="002C4FBB" w:rsidRDefault="00772557" w:rsidP="00AD45F5">
            <w:pPr>
              <w:spacing w:after="0"/>
              <w:rPr>
                <w:rFonts w:ascii="Times New Roman" w:hAnsi="Times New Roman" w:cs="Times New Roman"/>
                <w:szCs w:val="22"/>
              </w:rPr>
            </w:pPr>
            <w:r w:rsidRPr="00772557">
              <w:rPr>
                <w:rFonts w:ascii="Times New Roman" w:hAnsi="Times New Roman" w:cs="Times New Roman"/>
                <w:szCs w:val="22"/>
              </w:rPr>
              <w:t>TITLE-ABS-KEY</w:t>
            </w:r>
            <w:r w:rsidR="00D27A70" w:rsidRPr="002C4FBB">
              <w:rPr>
                <w:rFonts w:ascii="Times New Roman" w:hAnsi="Times New Roman" w:cs="Times New Roman"/>
                <w:szCs w:val="22"/>
              </w:rPr>
              <w:t xml:space="preserve"> </w:t>
            </w:r>
            <w:proofErr w:type="gramStart"/>
            <w:r w:rsidR="00D27A70" w:rsidRPr="002C4FBB">
              <w:rPr>
                <w:rFonts w:ascii="Times New Roman" w:hAnsi="Times New Roman" w:cs="Times New Roman"/>
                <w:szCs w:val="22"/>
              </w:rPr>
              <w:t>( "</w:t>
            </w:r>
            <w:proofErr w:type="gramEnd"/>
            <w:r w:rsidR="00D27A70" w:rsidRPr="002C4FBB">
              <w:rPr>
                <w:rFonts w:ascii="Times New Roman" w:hAnsi="Times New Roman" w:cs="Times New Roman"/>
                <w:szCs w:val="22"/>
              </w:rPr>
              <w:t>cardiac arrest" OR "heart arrest" OR OHCA OR </w:t>
            </w:r>
            <w:proofErr w:type="gramStart"/>
            <w:r w:rsidR="00D27A70" w:rsidRPr="002C4FBB">
              <w:rPr>
                <w:rFonts w:ascii="Times New Roman" w:hAnsi="Times New Roman" w:cs="Times New Roman"/>
                <w:szCs w:val="22"/>
              </w:rPr>
              <w:t>IHCA )</w:t>
            </w:r>
            <w:proofErr w:type="gramEnd"/>
            <w:r w:rsidR="00D27A70" w:rsidRPr="002C4FBB">
              <w:rPr>
                <w:rFonts w:ascii="Times New Roman" w:hAnsi="Times New Roman" w:cs="Times New Roman"/>
                <w:szCs w:val="22"/>
              </w:rPr>
              <w:t xml:space="preserve"> </w:t>
            </w:r>
          </w:p>
          <w:p w14:paraId="1F8A25DD" w14:textId="53E4D487"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 xml:space="preserve">AND </w:t>
            </w:r>
            <w:r w:rsidR="00772557" w:rsidRPr="00772557">
              <w:rPr>
                <w:rFonts w:ascii="Times New Roman" w:hAnsi="Times New Roman" w:cs="Times New Roman"/>
                <w:szCs w:val="22"/>
              </w:rPr>
              <w:t>TITLE-ABS-KEY</w:t>
            </w:r>
            <w:r w:rsidRPr="002C4FBB">
              <w:rPr>
                <w:rFonts w:ascii="Times New Roman" w:hAnsi="Times New Roman" w:cs="Times New Roman"/>
                <w:szCs w:val="22"/>
              </w:rPr>
              <w:t xml:space="preserve"> </w:t>
            </w:r>
            <w:proofErr w:type="gramStart"/>
            <w:r w:rsidRPr="002C4FBB">
              <w:rPr>
                <w:rFonts w:ascii="Times New Roman" w:hAnsi="Times New Roman" w:cs="Times New Roman"/>
                <w:szCs w:val="22"/>
              </w:rPr>
              <w:t>( "</w:t>
            </w:r>
            <w:proofErr w:type="gramEnd"/>
            <w:r w:rsidRPr="002C4FBB">
              <w:rPr>
                <w:rFonts w:ascii="Times New Roman" w:hAnsi="Times New Roman" w:cs="Times New Roman"/>
                <w:szCs w:val="22"/>
              </w:rPr>
              <w:t>mechanical ventilation" OR mechanical </w:t>
            </w:r>
            <w:proofErr w:type="spellStart"/>
            <w:r w:rsidRPr="002C4FBB">
              <w:rPr>
                <w:rFonts w:ascii="Times New Roman" w:hAnsi="Times New Roman" w:cs="Times New Roman"/>
                <w:szCs w:val="22"/>
              </w:rPr>
              <w:t>ventilat</w:t>
            </w:r>
            <w:proofErr w:type="spellEnd"/>
            <w:r w:rsidRPr="002C4FBB">
              <w:rPr>
                <w:rFonts w:ascii="Times New Roman" w:hAnsi="Times New Roman" w:cs="Times New Roman"/>
                <w:szCs w:val="22"/>
              </w:rPr>
              <w:t xml:space="preserve">* OR ventilator* OR "positive pressure </w:t>
            </w:r>
            <w:proofErr w:type="spellStart"/>
            <w:r w:rsidRPr="002C4FBB">
              <w:rPr>
                <w:rFonts w:ascii="Times New Roman" w:hAnsi="Times New Roman" w:cs="Times New Roman"/>
                <w:szCs w:val="22"/>
              </w:rPr>
              <w:t>ventilat</w:t>
            </w:r>
            <w:proofErr w:type="spellEnd"/>
            <w:r w:rsidRPr="002C4FBB">
              <w:rPr>
                <w:rFonts w:ascii="Times New Roman" w:hAnsi="Times New Roman" w:cs="Times New Roman"/>
                <w:szCs w:val="22"/>
              </w:rPr>
              <w:t>*</w:t>
            </w:r>
            <w:proofErr w:type="gramStart"/>
            <w:r w:rsidRPr="002C4FBB">
              <w:rPr>
                <w:rFonts w:ascii="Times New Roman" w:hAnsi="Times New Roman" w:cs="Times New Roman"/>
                <w:szCs w:val="22"/>
              </w:rPr>
              <w:t>" )</w:t>
            </w:r>
            <w:proofErr w:type="gramEnd"/>
            <w:r w:rsidRPr="002C4FBB">
              <w:rPr>
                <w:rFonts w:ascii="Times New Roman" w:hAnsi="Times New Roman" w:cs="Times New Roman"/>
                <w:szCs w:val="22"/>
              </w:rPr>
              <w:t xml:space="preserve"> </w:t>
            </w:r>
          </w:p>
          <w:p w14:paraId="11DB4EE7" w14:textId="0CBA26BF"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 xml:space="preserve">AND </w:t>
            </w:r>
            <w:r w:rsidR="00772557" w:rsidRPr="00772557">
              <w:rPr>
                <w:rFonts w:ascii="Times New Roman" w:hAnsi="Times New Roman" w:cs="Times New Roman"/>
                <w:szCs w:val="22"/>
              </w:rPr>
              <w:t>TITLE-ABS-KEY</w:t>
            </w:r>
            <w:r w:rsidRPr="002C4FBB">
              <w:rPr>
                <w:rFonts w:ascii="Times New Roman" w:hAnsi="Times New Roman" w:cs="Times New Roman"/>
                <w:szCs w:val="22"/>
              </w:rPr>
              <w:t xml:space="preserve"> </w:t>
            </w:r>
            <w:proofErr w:type="gramStart"/>
            <w:r w:rsidRPr="002C4FBB">
              <w:rPr>
                <w:rFonts w:ascii="Times New Roman" w:hAnsi="Times New Roman" w:cs="Times New Roman"/>
                <w:szCs w:val="22"/>
              </w:rPr>
              <w:t>( "</w:t>
            </w:r>
            <w:proofErr w:type="gramEnd"/>
            <w:r w:rsidRPr="002C4FBB">
              <w:rPr>
                <w:rFonts w:ascii="Times New Roman" w:hAnsi="Times New Roman" w:cs="Times New Roman"/>
                <w:szCs w:val="22"/>
              </w:rPr>
              <w:t>cardiopulmonary resuscitation" OR CPR OR "chest compression*</w:t>
            </w:r>
            <w:proofErr w:type="gramStart"/>
            <w:r w:rsidRPr="002C4FBB">
              <w:rPr>
                <w:rFonts w:ascii="Times New Roman" w:hAnsi="Times New Roman" w:cs="Times New Roman"/>
                <w:szCs w:val="22"/>
              </w:rPr>
              <w:t>" )</w:t>
            </w:r>
            <w:proofErr w:type="gramEnd"/>
            <w:r w:rsidRPr="002C4FBB">
              <w:rPr>
                <w:rFonts w:ascii="Times New Roman" w:hAnsi="Times New Roman" w:cs="Times New Roman"/>
                <w:szCs w:val="22"/>
              </w:rPr>
              <w:t xml:space="preserve"> </w:t>
            </w:r>
          </w:p>
          <w:p w14:paraId="256EAF90" w14:textId="5C6D2FD9" w:rsidR="00D27A70" w:rsidRPr="002C4FBB" w:rsidRDefault="00D27A70" w:rsidP="00AD45F5">
            <w:pPr>
              <w:spacing w:after="0"/>
              <w:rPr>
                <w:rFonts w:ascii="Times New Roman" w:hAnsi="Times New Roman" w:cs="Times New Roman"/>
                <w:szCs w:val="22"/>
              </w:rPr>
            </w:pPr>
            <w:r w:rsidRPr="002C4FBB">
              <w:rPr>
                <w:rFonts w:ascii="Times New Roman" w:hAnsi="Times New Roman" w:cs="Times New Roman"/>
                <w:szCs w:val="22"/>
              </w:rPr>
              <w:t xml:space="preserve">AND </w:t>
            </w:r>
            <w:r w:rsidR="00772557" w:rsidRPr="00772557">
              <w:rPr>
                <w:rFonts w:ascii="Times New Roman" w:hAnsi="Times New Roman" w:cs="Times New Roman"/>
                <w:szCs w:val="22"/>
              </w:rPr>
              <w:t>TITLE-ABS-KEY</w:t>
            </w:r>
            <w:r w:rsidRPr="002C4FBB">
              <w:rPr>
                <w:rFonts w:ascii="Times New Roman" w:hAnsi="Times New Roman" w:cs="Times New Roman"/>
                <w:szCs w:val="22"/>
              </w:rPr>
              <w:t xml:space="preserve"> </w:t>
            </w:r>
            <w:proofErr w:type="gramStart"/>
            <w:r w:rsidRPr="002C4FBB">
              <w:rPr>
                <w:rFonts w:ascii="Times New Roman" w:hAnsi="Times New Roman" w:cs="Times New Roman"/>
                <w:szCs w:val="22"/>
              </w:rPr>
              <w:t>( "</w:t>
            </w:r>
            <w:proofErr w:type="gramEnd"/>
            <w:r w:rsidRPr="002C4FBB">
              <w:rPr>
                <w:rFonts w:ascii="Times New Roman" w:hAnsi="Times New Roman" w:cs="Times New Roman"/>
                <w:szCs w:val="22"/>
              </w:rPr>
              <w:t>return of spontaneous circulation" OR ROSC OR </w:t>
            </w:r>
            <w:proofErr w:type="spellStart"/>
            <w:r w:rsidRPr="002C4FBB">
              <w:rPr>
                <w:rFonts w:ascii="Times New Roman" w:hAnsi="Times New Roman" w:cs="Times New Roman"/>
                <w:szCs w:val="22"/>
              </w:rPr>
              <w:t>surviv</w:t>
            </w:r>
            <w:proofErr w:type="spellEnd"/>
            <w:proofErr w:type="gramStart"/>
            <w:r w:rsidRPr="002C4FBB">
              <w:rPr>
                <w:rFonts w:ascii="Times New Roman" w:hAnsi="Times New Roman" w:cs="Times New Roman"/>
                <w:szCs w:val="22"/>
              </w:rPr>
              <w:t>* )</w:t>
            </w:r>
            <w:proofErr w:type="gramEnd"/>
            <w:r w:rsidRPr="002C4FBB">
              <w:rPr>
                <w:rFonts w:ascii="Times New Roman" w:hAnsi="Times New Roman" w:cs="Times New Roman"/>
                <w:szCs w:val="22"/>
              </w:rPr>
              <w:t xml:space="preserve"> </w:t>
            </w:r>
          </w:p>
          <w:p w14:paraId="2251F145" w14:textId="63D17617" w:rsidR="00D27A70" w:rsidRPr="002C4FBB" w:rsidRDefault="00D27A70" w:rsidP="00AD45F5">
            <w:pPr>
              <w:spacing w:after="0"/>
              <w:rPr>
                <w:rFonts w:ascii="Times New Roman" w:hAnsi="Times New Roman" w:cs="Times New Roman"/>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8150D4" w14:textId="6203262C" w:rsidR="00886CDC" w:rsidRPr="00886CDC" w:rsidRDefault="00772557" w:rsidP="00886CDC">
            <w:pPr>
              <w:spacing w:after="0"/>
              <w:rPr>
                <w:rFonts w:ascii="Times New Roman" w:hAnsi="Times New Roman" w:cs="Times New Roman"/>
                <w:szCs w:val="22"/>
              </w:rPr>
            </w:pPr>
            <w:r>
              <w:rPr>
                <w:rFonts w:ascii="Times New Roman" w:hAnsi="Times New Roman" w:cs="Times New Roman"/>
                <w:szCs w:val="22"/>
              </w:rPr>
              <w:t>466</w:t>
            </w:r>
          </w:p>
          <w:p w14:paraId="1FDA8EAD" w14:textId="77777777" w:rsidR="00D27A70" w:rsidRPr="002C4FBB" w:rsidRDefault="00D27A70" w:rsidP="00AD45F5">
            <w:pPr>
              <w:spacing w:after="0"/>
              <w:rPr>
                <w:rFonts w:ascii="Times New Roman" w:hAnsi="Times New Roman" w:cs="Times New Roman"/>
                <w:szCs w:val="22"/>
              </w:rPr>
            </w:pPr>
          </w:p>
        </w:tc>
      </w:tr>
    </w:tbl>
    <w:p w14:paraId="06EB9650" w14:textId="77777777" w:rsidR="00D27A70" w:rsidRPr="002C4FBB" w:rsidRDefault="00D27A70" w:rsidP="00D27A70">
      <w:pPr>
        <w:rPr>
          <w:rFonts w:ascii="Times New Roman" w:hAnsi="Times New Roman" w:cs="Times New Roman"/>
          <w:szCs w:val="22"/>
        </w:rPr>
      </w:pPr>
    </w:p>
    <w:p w14:paraId="16F241F3" w14:textId="77777777" w:rsidR="00D27A70" w:rsidRPr="002C4FBB" w:rsidRDefault="00D27A70" w:rsidP="00D27A70">
      <w:pPr>
        <w:rPr>
          <w:rFonts w:ascii="Times New Roman" w:hAnsi="Times New Roman" w:cs="Times New Roman"/>
          <w:szCs w:val="22"/>
        </w:rPr>
      </w:pPr>
    </w:p>
    <w:p w14:paraId="10FCCF98" w14:textId="77777777" w:rsidR="00D27A70" w:rsidRPr="002C4FBB" w:rsidRDefault="00D27A70" w:rsidP="00BD2D59">
      <w:pPr>
        <w:tabs>
          <w:tab w:val="left" w:pos="1959"/>
        </w:tabs>
        <w:rPr>
          <w:rFonts w:ascii="Times New Roman" w:hAnsi="Times New Roman" w:cs="Times New Roman"/>
          <w:b/>
          <w:bCs/>
          <w:szCs w:val="22"/>
        </w:rPr>
      </w:pPr>
    </w:p>
    <w:p w14:paraId="276FB7BA" w14:textId="77777777" w:rsidR="00D27A70" w:rsidRPr="002C4FBB" w:rsidRDefault="00D27A70" w:rsidP="00BD2D59">
      <w:pPr>
        <w:tabs>
          <w:tab w:val="left" w:pos="1959"/>
        </w:tabs>
        <w:rPr>
          <w:rFonts w:ascii="Times New Roman" w:hAnsi="Times New Roman" w:cs="Times New Roman"/>
          <w:b/>
          <w:bCs/>
          <w:szCs w:val="22"/>
        </w:rPr>
      </w:pPr>
    </w:p>
    <w:p w14:paraId="5FC201B9" w14:textId="77777777" w:rsidR="00AD45F5" w:rsidRPr="002C4FBB" w:rsidRDefault="00AD45F5" w:rsidP="00BD2D59">
      <w:pPr>
        <w:tabs>
          <w:tab w:val="left" w:pos="1959"/>
        </w:tabs>
        <w:rPr>
          <w:rFonts w:ascii="Times New Roman" w:hAnsi="Times New Roman" w:cs="Times New Roman"/>
          <w:b/>
          <w:bCs/>
          <w:szCs w:val="22"/>
        </w:rPr>
      </w:pPr>
    </w:p>
    <w:p w14:paraId="28E44011" w14:textId="77777777" w:rsidR="00AD45F5" w:rsidRPr="002C4FBB" w:rsidRDefault="00AD45F5" w:rsidP="00BD2D59">
      <w:pPr>
        <w:tabs>
          <w:tab w:val="left" w:pos="1959"/>
        </w:tabs>
        <w:rPr>
          <w:rFonts w:ascii="Times New Roman" w:hAnsi="Times New Roman" w:cs="Times New Roman"/>
          <w:b/>
          <w:bCs/>
          <w:szCs w:val="22"/>
        </w:rPr>
      </w:pPr>
    </w:p>
    <w:p w14:paraId="7500EDF4" w14:textId="77777777" w:rsidR="00AD45F5" w:rsidRPr="002C4FBB" w:rsidRDefault="00AD45F5" w:rsidP="007D2173">
      <w:pPr>
        <w:rPr>
          <w:rFonts w:ascii="Times New Roman" w:hAnsi="Times New Roman" w:cs="Times New Roman"/>
          <w:b/>
          <w:bCs/>
          <w:szCs w:val="22"/>
        </w:rPr>
      </w:pPr>
    </w:p>
    <w:p w14:paraId="3FB5904B" w14:textId="77777777" w:rsidR="00AD45F5" w:rsidRPr="002C4FBB" w:rsidRDefault="00AD45F5" w:rsidP="007D2173">
      <w:pPr>
        <w:rPr>
          <w:rFonts w:ascii="Times New Roman" w:hAnsi="Times New Roman" w:cs="Times New Roman"/>
          <w:b/>
          <w:bCs/>
          <w:szCs w:val="22"/>
        </w:rPr>
        <w:sectPr w:rsidR="00AD45F5" w:rsidRPr="002C4FBB" w:rsidSect="00C43E8D">
          <w:pgSz w:w="11900" w:h="16840"/>
          <w:pgMar w:top="1440" w:right="1440" w:bottom="1440" w:left="1440" w:header="708" w:footer="708" w:gutter="0"/>
          <w:cols w:space="708"/>
          <w:docGrid w:linePitch="360"/>
        </w:sectPr>
      </w:pPr>
    </w:p>
    <w:p w14:paraId="2FAE15C8" w14:textId="77777777" w:rsidR="007E1509" w:rsidRPr="007E1509" w:rsidRDefault="007E1509" w:rsidP="007E1509">
      <w:pPr>
        <w:rPr>
          <w:rFonts w:ascii="Times New Roman" w:hAnsi="Times New Roman" w:cs="Times New Roman"/>
          <w:szCs w:val="22"/>
        </w:rPr>
      </w:pPr>
      <w:r w:rsidRPr="007E1509">
        <w:rPr>
          <w:rFonts w:ascii="Times New Roman" w:hAnsi="Times New Roman" w:cs="Times New Roman"/>
          <w:b/>
          <w:bCs/>
          <w:szCs w:val="22"/>
        </w:rPr>
        <w:lastRenderedPageBreak/>
        <w:t xml:space="preserve">Table S2. </w:t>
      </w:r>
      <w:r w:rsidRPr="007E1509">
        <w:rPr>
          <w:rFonts w:ascii="Times New Roman" w:hAnsi="Times New Roman" w:cs="Times New Roman"/>
          <w:szCs w:val="22"/>
        </w:rPr>
        <w:t>Additional study details, event counts, and definitions of clinical outcomes reported in the included studies</w:t>
      </w:r>
    </w:p>
    <w:p w14:paraId="44866243" w14:textId="77777777" w:rsidR="007E1509" w:rsidRPr="007E1509" w:rsidRDefault="007E1509" w:rsidP="007E1509">
      <w:pPr>
        <w:rPr>
          <w:rFonts w:ascii="Times New Roman" w:hAnsi="Times New Roman" w:cs="Times New Roman"/>
          <w:szCs w:val="22"/>
        </w:rPr>
      </w:pPr>
      <w:r w:rsidRPr="007E1509">
        <w:rPr>
          <w:rFonts w:ascii="Times New Roman" w:hAnsi="Times New Roman" w:cs="Times New Roman"/>
          <w:b/>
          <w:bCs/>
          <w:szCs w:val="22"/>
        </w:rPr>
        <w:t xml:space="preserve">Panel A. </w:t>
      </w:r>
      <w:r w:rsidRPr="007E1509">
        <w:rPr>
          <w:rFonts w:ascii="Times New Roman" w:hAnsi="Times New Roman" w:cs="Times New Roman"/>
          <w:szCs w:val="22"/>
        </w:rPr>
        <w:t>Study characteristics</w:t>
      </w:r>
    </w:p>
    <w:tbl>
      <w:tblPr>
        <w:tblStyle w:val="TableGrid"/>
        <w:tblW w:w="0" w:type="auto"/>
        <w:jc w:val="center"/>
        <w:tblLook w:val="04A0" w:firstRow="1" w:lastRow="0" w:firstColumn="1" w:lastColumn="0" w:noHBand="0" w:noVBand="1"/>
      </w:tblPr>
      <w:tblGrid>
        <w:gridCol w:w="1445"/>
        <w:gridCol w:w="6480"/>
        <w:gridCol w:w="2592"/>
        <w:gridCol w:w="3168"/>
      </w:tblGrid>
      <w:tr w:rsidR="007E1509" w:rsidRPr="007E1509" w14:paraId="2C6152DC" w14:textId="77777777" w:rsidTr="007E1509">
        <w:trPr>
          <w:tblHeader/>
          <w:jc w:val="center"/>
        </w:trPr>
        <w:tc>
          <w:tcPr>
            <w:tcW w:w="1445" w:type="dxa"/>
            <w:vAlign w:val="center"/>
          </w:tcPr>
          <w:p w14:paraId="72747E8D" w14:textId="77777777" w:rsidR="007E1509" w:rsidRPr="007E1509" w:rsidRDefault="007E1509" w:rsidP="007E1509">
            <w:pPr>
              <w:spacing w:line="259" w:lineRule="auto"/>
              <w:rPr>
                <w:rFonts w:ascii="Times New Roman" w:hAnsi="Times New Roman" w:cs="Times New Roman"/>
                <w:b/>
                <w:bCs/>
                <w:szCs w:val="22"/>
              </w:rPr>
            </w:pPr>
            <w:r w:rsidRPr="007E1509">
              <w:rPr>
                <w:rFonts w:ascii="Times New Roman" w:hAnsi="Times New Roman" w:cs="Times New Roman"/>
                <w:b/>
                <w:bCs/>
                <w:szCs w:val="22"/>
              </w:rPr>
              <w:t>Study</w:t>
            </w:r>
          </w:p>
        </w:tc>
        <w:tc>
          <w:tcPr>
            <w:tcW w:w="6480" w:type="dxa"/>
            <w:vAlign w:val="center"/>
          </w:tcPr>
          <w:p w14:paraId="7A27DBBC" w14:textId="77777777" w:rsidR="007E1509" w:rsidRPr="007E1509" w:rsidRDefault="007E1509" w:rsidP="007E1509">
            <w:pPr>
              <w:spacing w:line="259" w:lineRule="auto"/>
              <w:rPr>
                <w:rFonts w:ascii="Times New Roman" w:hAnsi="Times New Roman" w:cs="Times New Roman"/>
                <w:b/>
                <w:bCs/>
                <w:szCs w:val="22"/>
              </w:rPr>
            </w:pPr>
            <w:r w:rsidRPr="007E1509">
              <w:rPr>
                <w:rFonts w:ascii="Times New Roman" w:hAnsi="Times New Roman" w:cs="Times New Roman"/>
                <w:b/>
                <w:bCs/>
                <w:szCs w:val="22"/>
              </w:rPr>
              <w:t>Inclusion/Exclusion Criteria</w:t>
            </w:r>
          </w:p>
        </w:tc>
        <w:tc>
          <w:tcPr>
            <w:tcW w:w="2592" w:type="dxa"/>
            <w:vAlign w:val="center"/>
          </w:tcPr>
          <w:p w14:paraId="6625A684" w14:textId="77777777" w:rsidR="007E1509" w:rsidRPr="007E1509" w:rsidRDefault="007E1509" w:rsidP="007E1509">
            <w:pPr>
              <w:spacing w:line="259" w:lineRule="auto"/>
              <w:rPr>
                <w:rFonts w:ascii="Times New Roman" w:hAnsi="Times New Roman" w:cs="Times New Roman"/>
                <w:b/>
                <w:bCs/>
                <w:szCs w:val="22"/>
              </w:rPr>
            </w:pPr>
            <w:r w:rsidRPr="007E1509">
              <w:rPr>
                <w:rFonts w:ascii="Times New Roman" w:hAnsi="Times New Roman" w:cs="Times New Roman"/>
                <w:b/>
                <w:bCs/>
                <w:szCs w:val="22"/>
              </w:rPr>
              <w:t>Participant Demographics</w:t>
            </w:r>
          </w:p>
        </w:tc>
        <w:tc>
          <w:tcPr>
            <w:tcW w:w="3168" w:type="dxa"/>
            <w:vAlign w:val="center"/>
          </w:tcPr>
          <w:p w14:paraId="4D721375" w14:textId="77777777" w:rsidR="007E1509" w:rsidRPr="007E1509" w:rsidRDefault="007E1509" w:rsidP="007E1509">
            <w:pPr>
              <w:spacing w:line="259" w:lineRule="auto"/>
              <w:rPr>
                <w:rFonts w:ascii="Times New Roman" w:hAnsi="Times New Roman" w:cs="Times New Roman"/>
                <w:b/>
                <w:bCs/>
                <w:szCs w:val="22"/>
              </w:rPr>
            </w:pPr>
            <w:r w:rsidRPr="007E1509">
              <w:rPr>
                <w:rFonts w:ascii="Times New Roman" w:hAnsi="Times New Roman" w:cs="Times New Roman"/>
                <w:b/>
                <w:bCs/>
                <w:szCs w:val="22"/>
              </w:rPr>
              <w:t>Relevant Timings</w:t>
            </w:r>
          </w:p>
        </w:tc>
      </w:tr>
      <w:tr w:rsidR="007E1509" w:rsidRPr="007E1509" w14:paraId="01D4AC98" w14:textId="77777777" w:rsidTr="007E1509">
        <w:trPr>
          <w:jc w:val="center"/>
        </w:trPr>
        <w:tc>
          <w:tcPr>
            <w:tcW w:w="1445" w:type="dxa"/>
            <w:vAlign w:val="center"/>
          </w:tcPr>
          <w:p w14:paraId="2CB49638"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Johannigman, 1995</w:t>
            </w:r>
          </w:p>
        </w:tc>
        <w:tc>
          <w:tcPr>
            <w:tcW w:w="6480" w:type="dxa"/>
            <w:vAlign w:val="center"/>
          </w:tcPr>
          <w:p w14:paraId="26F3A315"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Inclusion: Adult patients requiring airway management in an urban OHCA setting. Exclusion: Not explicitly defined beyond the need for ventilatory support.</w:t>
            </w:r>
          </w:p>
        </w:tc>
        <w:tc>
          <w:tcPr>
            <w:tcW w:w="2592" w:type="dxa"/>
            <w:vAlign w:val="center"/>
          </w:tcPr>
          <w:p w14:paraId="6BC43411"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Mean age 61 ± 19 years; 62% male.</w:t>
            </w:r>
          </w:p>
        </w:tc>
        <w:tc>
          <w:tcPr>
            <w:tcW w:w="3168" w:type="dxa"/>
            <w:vAlign w:val="center"/>
          </w:tcPr>
          <w:p w14:paraId="610E6F67"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Median 911 call-to-hospital interval: 35–36 min.</w:t>
            </w:r>
          </w:p>
        </w:tc>
      </w:tr>
      <w:tr w:rsidR="007E1509" w:rsidRPr="007E1509" w14:paraId="0E530C26" w14:textId="77777777" w:rsidTr="007E1509">
        <w:trPr>
          <w:jc w:val="center"/>
        </w:trPr>
        <w:tc>
          <w:tcPr>
            <w:tcW w:w="1445" w:type="dxa"/>
            <w:vAlign w:val="center"/>
          </w:tcPr>
          <w:p w14:paraId="56EE0574"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Hernández-Tejedor, 2023</w:t>
            </w:r>
          </w:p>
        </w:tc>
        <w:tc>
          <w:tcPr>
            <w:tcW w:w="6480" w:type="dxa"/>
            <w:vAlign w:val="center"/>
          </w:tcPr>
          <w:p w14:paraId="045422DD"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Inclusion: Non-traumatic OHCA; age ≥18; arrest persisting 3 min after early ETI. Exclusion: ROSC before/within 3 min of ETI; traumatic cause; ETI &gt;8 min.</w:t>
            </w:r>
          </w:p>
        </w:tc>
        <w:tc>
          <w:tcPr>
            <w:tcW w:w="2592" w:type="dxa"/>
            <w:vAlign w:val="center"/>
          </w:tcPr>
          <w:p w14:paraId="2ACA3C19"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Mean age 63.3 ± 17.1 years; 21% female.</w:t>
            </w:r>
          </w:p>
        </w:tc>
        <w:tc>
          <w:tcPr>
            <w:tcW w:w="3168" w:type="dxa"/>
            <w:vAlign w:val="center"/>
          </w:tcPr>
          <w:p w14:paraId="2B704D52"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ETI achieved within 8 min of EMS care; sample taken 15 min post-ETI.</w:t>
            </w:r>
          </w:p>
        </w:tc>
      </w:tr>
      <w:tr w:rsidR="007E1509" w:rsidRPr="007E1509" w14:paraId="47E032A3" w14:textId="77777777" w:rsidTr="007E1509">
        <w:trPr>
          <w:jc w:val="center"/>
        </w:trPr>
        <w:tc>
          <w:tcPr>
            <w:tcW w:w="1445" w:type="dxa"/>
            <w:vAlign w:val="center"/>
          </w:tcPr>
          <w:p w14:paraId="2305BA9D" w14:textId="77777777" w:rsidR="007E1509" w:rsidRPr="007E1509" w:rsidRDefault="007E1509" w:rsidP="007E1509">
            <w:pPr>
              <w:spacing w:line="259" w:lineRule="auto"/>
              <w:rPr>
                <w:rFonts w:ascii="Times New Roman" w:hAnsi="Times New Roman" w:cs="Times New Roman"/>
                <w:szCs w:val="22"/>
              </w:rPr>
            </w:pPr>
            <w:proofErr w:type="spellStart"/>
            <w:r w:rsidRPr="007E1509">
              <w:rPr>
                <w:rFonts w:ascii="Times New Roman" w:hAnsi="Times New Roman" w:cs="Times New Roman"/>
                <w:szCs w:val="22"/>
              </w:rPr>
              <w:t>Malinverni</w:t>
            </w:r>
            <w:proofErr w:type="spellEnd"/>
            <w:r w:rsidRPr="007E1509">
              <w:rPr>
                <w:rFonts w:ascii="Times New Roman" w:hAnsi="Times New Roman" w:cs="Times New Roman"/>
                <w:szCs w:val="22"/>
              </w:rPr>
              <w:t>, 2024</w:t>
            </w:r>
          </w:p>
        </w:tc>
        <w:tc>
          <w:tcPr>
            <w:tcW w:w="6480" w:type="dxa"/>
            <w:vAlign w:val="center"/>
          </w:tcPr>
          <w:p w14:paraId="2DD4E457"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Inclusion: Non-traumatic OHCA. Exclusion: Trauma; minors; pregnancy; ECLS transport; ROSC before ALS; missing ventilation data.</w:t>
            </w:r>
          </w:p>
        </w:tc>
        <w:tc>
          <w:tcPr>
            <w:tcW w:w="2592" w:type="dxa"/>
            <w:vAlign w:val="center"/>
          </w:tcPr>
          <w:p w14:paraId="5B48A622"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Median age 70 (IQR 59–80); 33.4% female.</w:t>
            </w:r>
          </w:p>
        </w:tc>
        <w:tc>
          <w:tcPr>
            <w:tcW w:w="3168" w:type="dxa"/>
            <w:vAlign w:val="center"/>
          </w:tcPr>
          <w:p w14:paraId="0D1A5FF7"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Response interval median 7 min; median no-flow 5–6 min.</w:t>
            </w:r>
          </w:p>
        </w:tc>
      </w:tr>
      <w:tr w:rsidR="007E1509" w:rsidRPr="007E1509" w14:paraId="075E5E86" w14:textId="77777777" w:rsidTr="007E1509">
        <w:trPr>
          <w:jc w:val="center"/>
        </w:trPr>
        <w:tc>
          <w:tcPr>
            <w:tcW w:w="1445" w:type="dxa"/>
            <w:vAlign w:val="center"/>
          </w:tcPr>
          <w:p w14:paraId="7F0381FC"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Hernández-Tejedor, 2025</w:t>
            </w:r>
          </w:p>
        </w:tc>
        <w:tc>
          <w:tcPr>
            <w:tcW w:w="6480" w:type="dxa"/>
            <w:vAlign w:val="center"/>
          </w:tcPr>
          <w:p w14:paraId="449E9A88"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Inclusion: Non-traumatic OHCA; age ≥18; persistent arrest 3 min after early ETI. Exclusion: Traumatic; ETI &gt;8 min; ROSC before/within 3 min of ETI.</w:t>
            </w:r>
          </w:p>
        </w:tc>
        <w:tc>
          <w:tcPr>
            <w:tcW w:w="2592" w:type="dxa"/>
            <w:vAlign w:val="center"/>
          </w:tcPr>
          <w:p w14:paraId="139B2229"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Mean age 65 ± 16 years; 22.8% women.</w:t>
            </w:r>
          </w:p>
        </w:tc>
        <w:tc>
          <w:tcPr>
            <w:tcW w:w="3168" w:type="dxa"/>
            <w:vAlign w:val="center"/>
          </w:tcPr>
          <w:p w14:paraId="417A2EB3"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ETI within first 8 min; blood sample taken 15 min after ETI.</w:t>
            </w:r>
          </w:p>
        </w:tc>
      </w:tr>
      <w:tr w:rsidR="007E1509" w:rsidRPr="007E1509" w14:paraId="2A115BF5" w14:textId="77777777" w:rsidTr="007E1509">
        <w:trPr>
          <w:jc w:val="center"/>
        </w:trPr>
        <w:tc>
          <w:tcPr>
            <w:tcW w:w="1445" w:type="dxa"/>
            <w:vAlign w:val="center"/>
          </w:tcPr>
          <w:p w14:paraId="4A5CF7D2"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Kim, 2025</w:t>
            </w:r>
          </w:p>
        </w:tc>
        <w:tc>
          <w:tcPr>
            <w:tcW w:w="6480" w:type="dxa"/>
            <w:vAlign w:val="center"/>
          </w:tcPr>
          <w:p w14:paraId="6B9C1585"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Inclusion: Non-traumatic OHCA; age &gt;18; treated at tertiary ED. Exclusion: Trauma; DNR; IHCA; pre-arrival ROSC; MV technical failure.</w:t>
            </w:r>
          </w:p>
        </w:tc>
        <w:tc>
          <w:tcPr>
            <w:tcW w:w="2592" w:type="dxa"/>
            <w:vAlign w:val="center"/>
          </w:tcPr>
          <w:p w14:paraId="5DF26E2D"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Mean age ~67.5 years; ~63% male.</w:t>
            </w:r>
          </w:p>
        </w:tc>
        <w:tc>
          <w:tcPr>
            <w:tcW w:w="3168" w:type="dxa"/>
            <w:vAlign w:val="center"/>
          </w:tcPr>
          <w:p w14:paraId="38798C8A"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EMS compression time ~23 min; ED compression time ~18–27 min.</w:t>
            </w:r>
          </w:p>
        </w:tc>
      </w:tr>
      <w:tr w:rsidR="007E1509" w:rsidRPr="007E1509" w14:paraId="7E606788" w14:textId="77777777" w:rsidTr="007E1509">
        <w:trPr>
          <w:jc w:val="center"/>
        </w:trPr>
        <w:tc>
          <w:tcPr>
            <w:tcW w:w="1445" w:type="dxa"/>
            <w:vAlign w:val="center"/>
          </w:tcPr>
          <w:p w14:paraId="770186F7"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Turowski, 2025</w:t>
            </w:r>
          </w:p>
        </w:tc>
        <w:tc>
          <w:tcPr>
            <w:tcW w:w="6480" w:type="dxa"/>
            <w:vAlign w:val="center"/>
          </w:tcPr>
          <w:p w14:paraId="10A39E14"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Inclusion: Non-traumatic OHCA; age ≥18; received CPR and ETI during CPR; documented ventilation strategy. Exclusion: Traumatic; missing RACA score.</w:t>
            </w:r>
          </w:p>
        </w:tc>
        <w:tc>
          <w:tcPr>
            <w:tcW w:w="2592" w:type="dxa"/>
            <w:vAlign w:val="center"/>
          </w:tcPr>
          <w:p w14:paraId="6FF431C4"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Mean age 69–71 years; 67–74% male.</w:t>
            </w:r>
          </w:p>
        </w:tc>
        <w:tc>
          <w:tcPr>
            <w:tcW w:w="3168" w:type="dxa"/>
            <w:vAlign w:val="center"/>
          </w:tcPr>
          <w:p w14:paraId="06261781"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Ventilation time to ROSC: median 8–14 min; to termination: 20–24 min.</w:t>
            </w:r>
          </w:p>
        </w:tc>
      </w:tr>
      <w:tr w:rsidR="007E1509" w:rsidRPr="007E1509" w14:paraId="180C7350" w14:textId="77777777" w:rsidTr="007E1509">
        <w:trPr>
          <w:jc w:val="center"/>
        </w:trPr>
        <w:tc>
          <w:tcPr>
            <w:tcW w:w="1445" w:type="dxa"/>
            <w:vAlign w:val="center"/>
          </w:tcPr>
          <w:p w14:paraId="5370CB09" w14:textId="77777777" w:rsidR="007E1509" w:rsidRPr="007E1509" w:rsidRDefault="007E1509" w:rsidP="007E1509">
            <w:pPr>
              <w:spacing w:line="259" w:lineRule="auto"/>
              <w:rPr>
                <w:rFonts w:ascii="Times New Roman" w:hAnsi="Times New Roman" w:cs="Times New Roman"/>
                <w:szCs w:val="22"/>
              </w:rPr>
            </w:pPr>
            <w:proofErr w:type="spellStart"/>
            <w:r w:rsidRPr="007E1509">
              <w:rPr>
                <w:rFonts w:ascii="Times New Roman" w:hAnsi="Times New Roman" w:cs="Times New Roman"/>
                <w:szCs w:val="22"/>
              </w:rPr>
              <w:t>Tangpaisarn</w:t>
            </w:r>
            <w:proofErr w:type="spellEnd"/>
            <w:r w:rsidRPr="007E1509">
              <w:rPr>
                <w:rFonts w:ascii="Times New Roman" w:hAnsi="Times New Roman" w:cs="Times New Roman"/>
                <w:szCs w:val="22"/>
              </w:rPr>
              <w:t>, 2023</w:t>
            </w:r>
          </w:p>
        </w:tc>
        <w:tc>
          <w:tcPr>
            <w:tcW w:w="6480" w:type="dxa"/>
            <w:vAlign w:val="center"/>
          </w:tcPr>
          <w:p w14:paraId="2929F110"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Inclusion: Non-traumatic refractory arrest; age ≥18; ETI performed in ED. Exclusion: Trauma; field ETI; DNR; ROSC before randomization.</w:t>
            </w:r>
          </w:p>
        </w:tc>
        <w:tc>
          <w:tcPr>
            <w:tcW w:w="2592" w:type="dxa"/>
            <w:vAlign w:val="center"/>
          </w:tcPr>
          <w:p w14:paraId="4911AFA7"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Median age 62 years; 57% male.</w:t>
            </w:r>
          </w:p>
        </w:tc>
        <w:tc>
          <w:tcPr>
            <w:tcW w:w="3168" w:type="dxa"/>
            <w:vAlign w:val="center"/>
          </w:tcPr>
          <w:p w14:paraId="468C8664"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Arrest to intubation: median 22–30 min; intubation to ABG: 5–7 min.</w:t>
            </w:r>
          </w:p>
        </w:tc>
      </w:tr>
      <w:tr w:rsidR="007E1509" w:rsidRPr="007E1509" w14:paraId="705DF6BB" w14:textId="77777777" w:rsidTr="007E1509">
        <w:trPr>
          <w:jc w:val="center"/>
        </w:trPr>
        <w:tc>
          <w:tcPr>
            <w:tcW w:w="1445" w:type="dxa"/>
            <w:vAlign w:val="center"/>
          </w:tcPr>
          <w:p w14:paraId="30B07464"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Shin, 2024</w:t>
            </w:r>
          </w:p>
        </w:tc>
        <w:tc>
          <w:tcPr>
            <w:tcW w:w="6480" w:type="dxa"/>
            <w:vAlign w:val="center"/>
          </w:tcPr>
          <w:p w14:paraId="7C6E003C"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Inclusion: Medical OHCA; age 18–90; transported to ED receiving CPR. Exclusion: Trauma; early termination; prehospital ROSC; surgical airway.</w:t>
            </w:r>
          </w:p>
        </w:tc>
        <w:tc>
          <w:tcPr>
            <w:tcW w:w="2592" w:type="dxa"/>
            <w:vAlign w:val="center"/>
          </w:tcPr>
          <w:p w14:paraId="230BEAD2"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Median age 72–75 years; 76.7% male.</w:t>
            </w:r>
          </w:p>
        </w:tc>
        <w:tc>
          <w:tcPr>
            <w:tcW w:w="3168" w:type="dxa"/>
            <w:vAlign w:val="center"/>
          </w:tcPr>
          <w:p w14:paraId="1B3C38DB"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No-flow 3 min; Low-flow 22–27 min; ED arrival to ETI: 1 min.</w:t>
            </w:r>
          </w:p>
        </w:tc>
      </w:tr>
      <w:tr w:rsidR="007E1509" w:rsidRPr="007E1509" w14:paraId="5C022772" w14:textId="77777777" w:rsidTr="007E1509">
        <w:trPr>
          <w:jc w:val="center"/>
        </w:trPr>
        <w:tc>
          <w:tcPr>
            <w:tcW w:w="1445" w:type="dxa"/>
            <w:vAlign w:val="center"/>
          </w:tcPr>
          <w:p w14:paraId="5FCF6795"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Lotfi, 2025</w:t>
            </w:r>
          </w:p>
        </w:tc>
        <w:tc>
          <w:tcPr>
            <w:tcW w:w="6480" w:type="dxa"/>
            <w:vAlign w:val="center"/>
          </w:tcPr>
          <w:p w14:paraId="32C59E84"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Inclusion: ICU patients with neurological disorders; age ≥18; cardiopulmonary arrest. Exclusion: Trauma; pregnancy; CHF; suspected COVID-19.</w:t>
            </w:r>
          </w:p>
        </w:tc>
        <w:tc>
          <w:tcPr>
            <w:tcW w:w="2592" w:type="dxa"/>
            <w:vAlign w:val="center"/>
          </w:tcPr>
          <w:p w14:paraId="625EEA32"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Mean age ~69 years; 57–68% male.</w:t>
            </w:r>
          </w:p>
        </w:tc>
        <w:tc>
          <w:tcPr>
            <w:tcW w:w="3168" w:type="dxa"/>
            <w:vAlign w:val="center"/>
          </w:tcPr>
          <w:p w14:paraId="6E4B5B80"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VBG taken at CPR start and 1 min post-ROSC.</w:t>
            </w:r>
          </w:p>
        </w:tc>
      </w:tr>
    </w:tbl>
    <w:p w14:paraId="59B03A79" w14:textId="786BA5B2" w:rsidR="007E1509" w:rsidRPr="007E1509" w:rsidRDefault="007E1509" w:rsidP="007E1509">
      <w:pPr>
        <w:rPr>
          <w:rFonts w:ascii="Times New Roman" w:hAnsi="Times New Roman" w:cs="Times New Roman"/>
          <w:szCs w:val="22"/>
        </w:rPr>
      </w:pPr>
      <w:r w:rsidRPr="007E1509">
        <w:rPr>
          <w:rFonts w:ascii="Times New Roman" w:hAnsi="Times New Roman" w:cs="Times New Roman"/>
          <w:b/>
          <w:bCs/>
          <w:szCs w:val="22"/>
        </w:rPr>
        <w:lastRenderedPageBreak/>
        <w:t xml:space="preserve">Panel B. </w:t>
      </w:r>
      <w:r w:rsidRPr="007E1509">
        <w:rPr>
          <w:rFonts w:ascii="Times New Roman" w:hAnsi="Times New Roman" w:cs="Times New Roman"/>
          <w:szCs w:val="22"/>
        </w:rPr>
        <w:t>Clinical outcome event counts</w:t>
      </w:r>
    </w:p>
    <w:tbl>
      <w:tblPr>
        <w:tblStyle w:val="TableGrid"/>
        <w:tblW w:w="14755" w:type="dxa"/>
        <w:jc w:val="center"/>
        <w:tblLook w:val="04A0" w:firstRow="1" w:lastRow="0" w:firstColumn="1" w:lastColumn="0" w:noHBand="0" w:noVBand="1"/>
      </w:tblPr>
      <w:tblGrid>
        <w:gridCol w:w="1512"/>
        <w:gridCol w:w="1048"/>
        <w:gridCol w:w="1048"/>
        <w:gridCol w:w="1134"/>
        <w:gridCol w:w="1134"/>
        <w:gridCol w:w="1123"/>
        <w:gridCol w:w="1123"/>
        <w:gridCol w:w="1374"/>
        <w:gridCol w:w="1374"/>
        <w:gridCol w:w="3885"/>
      </w:tblGrid>
      <w:tr w:rsidR="007E1509" w:rsidRPr="007E1509" w14:paraId="2999782C" w14:textId="77777777" w:rsidTr="00616182">
        <w:trPr>
          <w:tblHeader/>
          <w:jc w:val="center"/>
        </w:trPr>
        <w:tc>
          <w:tcPr>
            <w:tcW w:w="1512" w:type="dxa"/>
            <w:vMerge w:val="restart"/>
            <w:vAlign w:val="center"/>
          </w:tcPr>
          <w:p w14:paraId="58C009AC" w14:textId="77777777" w:rsidR="007E1509" w:rsidRPr="007E1509" w:rsidRDefault="007E1509" w:rsidP="007E1509">
            <w:pPr>
              <w:spacing w:line="360" w:lineRule="auto"/>
              <w:rPr>
                <w:rFonts w:ascii="Times New Roman" w:hAnsi="Times New Roman" w:cs="Times New Roman"/>
                <w:b/>
                <w:bCs/>
                <w:szCs w:val="22"/>
              </w:rPr>
            </w:pPr>
            <w:r w:rsidRPr="007E1509">
              <w:rPr>
                <w:rFonts w:ascii="Times New Roman" w:hAnsi="Times New Roman" w:cs="Times New Roman"/>
                <w:b/>
                <w:bCs/>
                <w:szCs w:val="22"/>
              </w:rPr>
              <w:t>Study</w:t>
            </w:r>
          </w:p>
        </w:tc>
        <w:tc>
          <w:tcPr>
            <w:tcW w:w="2096" w:type="dxa"/>
            <w:gridSpan w:val="2"/>
            <w:vAlign w:val="center"/>
          </w:tcPr>
          <w:p w14:paraId="64E23E0F" w14:textId="0FEA28DF" w:rsidR="007E1509" w:rsidRPr="007E1509" w:rsidRDefault="007E1509" w:rsidP="00616182">
            <w:pPr>
              <w:spacing w:line="276" w:lineRule="auto"/>
              <w:rPr>
                <w:rFonts w:ascii="Times New Roman" w:hAnsi="Times New Roman" w:cs="Times New Roman"/>
                <w:b/>
                <w:bCs/>
                <w:szCs w:val="22"/>
              </w:rPr>
            </w:pPr>
            <w:r w:rsidRPr="007E1509">
              <w:rPr>
                <w:rFonts w:ascii="Times New Roman" w:hAnsi="Times New Roman" w:cs="Times New Roman"/>
                <w:b/>
                <w:bCs/>
                <w:szCs w:val="22"/>
              </w:rPr>
              <w:t>ROSC</w:t>
            </w:r>
          </w:p>
        </w:tc>
        <w:tc>
          <w:tcPr>
            <w:tcW w:w="2268" w:type="dxa"/>
            <w:gridSpan w:val="2"/>
            <w:vAlign w:val="center"/>
          </w:tcPr>
          <w:p w14:paraId="2D9E60F4" w14:textId="13ED2E90" w:rsidR="007E1509" w:rsidRPr="007E1509" w:rsidRDefault="007E1509" w:rsidP="00616182">
            <w:pPr>
              <w:spacing w:line="276" w:lineRule="auto"/>
              <w:rPr>
                <w:rFonts w:ascii="Times New Roman" w:hAnsi="Times New Roman" w:cs="Times New Roman"/>
                <w:b/>
                <w:bCs/>
                <w:szCs w:val="22"/>
              </w:rPr>
            </w:pPr>
            <w:r w:rsidRPr="007E1509">
              <w:rPr>
                <w:rFonts w:ascii="Times New Roman" w:hAnsi="Times New Roman" w:cs="Times New Roman"/>
                <w:b/>
                <w:bCs/>
                <w:szCs w:val="22"/>
              </w:rPr>
              <w:t>Sustained ROSC</w:t>
            </w:r>
          </w:p>
        </w:tc>
        <w:tc>
          <w:tcPr>
            <w:tcW w:w="2246" w:type="dxa"/>
            <w:gridSpan w:val="2"/>
            <w:vAlign w:val="center"/>
          </w:tcPr>
          <w:p w14:paraId="2B50D8AD" w14:textId="0D4D967D" w:rsidR="007E1509" w:rsidRPr="007E1509" w:rsidRDefault="007E1509" w:rsidP="00616182">
            <w:pPr>
              <w:spacing w:line="276" w:lineRule="auto"/>
              <w:rPr>
                <w:rFonts w:ascii="Times New Roman" w:hAnsi="Times New Roman" w:cs="Times New Roman"/>
                <w:b/>
                <w:bCs/>
                <w:szCs w:val="22"/>
              </w:rPr>
            </w:pPr>
            <w:r w:rsidRPr="007E1509">
              <w:rPr>
                <w:rFonts w:ascii="Times New Roman" w:hAnsi="Times New Roman" w:cs="Times New Roman"/>
                <w:b/>
                <w:bCs/>
                <w:szCs w:val="22"/>
              </w:rPr>
              <w:t>Survival to discharge</w:t>
            </w:r>
          </w:p>
        </w:tc>
        <w:tc>
          <w:tcPr>
            <w:tcW w:w="2748" w:type="dxa"/>
            <w:gridSpan w:val="2"/>
            <w:vAlign w:val="center"/>
          </w:tcPr>
          <w:p w14:paraId="0E6E32D8" w14:textId="5F4B5211" w:rsidR="007E1509" w:rsidRPr="007E1509" w:rsidRDefault="007E1509" w:rsidP="00616182">
            <w:pPr>
              <w:spacing w:line="276" w:lineRule="auto"/>
              <w:rPr>
                <w:rFonts w:ascii="Times New Roman" w:hAnsi="Times New Roman" w:cs="Times New Roman"/>
                <w:b/>
                <w:bCs/>
                <w:szCs w:val="22"/>
              </w:rPr>
            </w:pPr>
            <w:r w:rsidRPr="007E1509">
              <w:rPr>
                <w:rFonts w:ascii="Times New Roman" w:hAnsi="Times New Roman" w:cs="Times New Roman"/>
                <w:b/>
                <w:bCs/>
                <w:szCs w:val="22"/>
              </w:rPr>
              <w:t>Favorable neurological outcome</w:t>
            </w:r>
          </w:p>
        </w:tc>
        <w:tc>
          <w:tcPr>
            <w:tcW w:w="3885" w:type="dxa"/>
            <w:vMerge w:val="restart"/>
            <w:vAlign w:val="center"/>
          </w:tcPr>
          <w:p w14:paraId="34A14323" w14:textId="77777777" w:rsidR="007E1509" w:rsidRPr="007E1509" w:rsidRDefault="007E1509" w:rsidP="007E1509">
            <w:pPr>
              <w:spacing w:line="360" w:lineRule="auto"/>
              <w:rPr>
                <w:rFonts w:ascii="Times New Roman" w:hAnsi="Times New Roman" w:cs="Times New Roman"/>
                <w:b/>
                <w:bCs/>
                <w:szCs w:val="22"/>
              </w:rPr>
            </w:pPr>
            <w:r w:rsidRPr="007E1509">
              <w:rPr>
                <w:rFonts w:ascii="Times New Roman" w:hAnsi="Times New Roman" w:cs="Times New Roman"/>
                <w:b/>
                <w:bCs/>
                <w:szCs w:val="22"/>
              </w:rPr>
              <w:t>Notes</w:t>
            </w:r>
          </w:p>
        </w:tc>
      </w:tr>
      <w:tr w:rsidR="007E1509" w:rsidRPr="007E1509" w14:paraId="46BE843D" w14:textId="77777777" w:rsidTr="00616182">
        <w:trPr>
          <w:tblHeader/>
          <w:jc w:val="center"/>
        </w:trPr>
        <w:tc>
          <w:tcPr>
            <w:tcW w:w="1512" w:type="dxa"/>
            <w:vMerge/>
            <w:vAlign w:val="center"/>
          </w:tcPr>
          <w:p w14:paraId="18EB6719" w14:textId="77777777" w:rsidR="007E1509" w:rsidRPr="007E1509" w:rsidRDefault="007E1509" w:rsidP="007E1509">
            <w:pPr>
              <w:spacing w:line="360" w:lineRule="auto"/>
              <w:rPr>
                <w:rFonts w:ascii="Times New Roman" w:hAnsi="Times New Roman" w:cs="Times New Roman"/>
                <w:b/>
                <w:bCs/>
                <w:szCs w:val="22"/>
              </w:rPr>
            </w:pPr>
          </w:p>
        </w:tc>
        <w:tc>
          <w:tcPr>
            <w:tcW w:w="1048" w:type="dxa"/>
            <w:vAlign w:val="center"/>
          </w:tcPr>
          <w:p w14:paraId="19DEFB4F" w14:textId="6451E0F9" w:rsidR="007E1509" w:rsidRPr="007E1509" w:rsidRDefault="007E1509" w:rsidP="007E1509">
            <w:pPr>
              <w:spacing w:line="360" w:lineRule="auto"/>
              <w:rPr>
                <w:rFonts w:ascii="Times New Roman" w:hAnsi="Times New Roman" w:cs="Times New Roman"/>
                <w:b/>
                <w:bCs/>
                <w:szCs w:val="22"/>
              </w:rPr>
            </w:pPr>
            <w:r>
              <w:rPr>
                <w:rFonts w:ascii="Times New Roman" w:hAnsi="Times New Roman" w:cs="Times New Roman"/>
                <w:b/>
                <w:bCs/>
                <w:szCs w:val="22"/>
              </w:rPr>
              <w:t>MV</w:t>
            </w:r>
          </w:p>
        </w:tc>
        <w:tc>
          <w:tcPr>
            <w:tcW w:w="1048" w:type="dxa"/>
            <w:vAlign w:val="center"/>
          </w:tcPr>
          <w:p w14:paraId="1A5BB548" w14:textId="41B528B7" w:rsidR="007E1509" w:rsidRPr="007E1509" w:rsidRDefault="007E1509" w:rsidP="007E1509">
            <w:pPr>
              <w:spacing w:line="360" w:lineRule="auto"/>
              <w:rPr>
                <w:rFonts w:ascii="Times New Roman" w:hAnsi="Times New Roman" w:cs="Times New Roman"/>
                <w:b/>
                <w:bCs/>
                <w:szCs w:val="22"/>
              </w:rPr>
            </w:pPr>
            <w:r>
              <w:rPr>
                <w:rFonts w:ascii="Times New Roman" w:hAnsi="Times New Roman" w:cs="Times New Roman"/>
                <w:b/>
                <w:bCs/>
                <w:szCs w:val="22"/>
              </w:rPr>
              <w:t>BVM</w:t>
            </w:r>
          </w:p>
        </w:tc>
        <w:tc>
          <w:tcPr>
            <w:tcW w:w="1134" w:type="dxa"/>
            <w:vAlign w:val="center"/>
          </w:tcPr>
          <w:p w14:paraId="4B464BBE" w14:textId="7D7FA6FC" w:rsidR="007E1509" w:rsidRPr="007E1509" w:rsidRDefault="007E1509" w:rsidP="007E1509">
            <w:pPr>
              <w:spacing w:line="360" w:lineRule="auto"/>
              <w:rPr>
                <w:rFonts w:ascii="Times New Roman" w:hAnsi="Times New Roman" w:cs="Times New Roman"/>
                <w:b/>
                <w:bCs/>
                <w:szCs w:val="22"/>
              </w:rPr>
            </w:pPr>
            <w:r>
              <w:rPr>
                <w:rFonts w:ascii="Times New Roman" w:hAnsi="Times New Roman" w:cs="Times New Roman"/>
                <w:b/>
                <w:bCs/>
                <w:szCs w:val="22"/>
              </w:rPr>
              <w:t>MV</w:t>
            </w:r>
          </w:p>
        </w:tc>
        <w:tc>
          <w:tcPr>
            <w:tcW w:w="1134" w:type="dxa"/>
            <w:vAlign w:val="center"/>
          </w:tcPr>
          <w:p w14:paraId="62D4A7E4" w14:textId="25360623" w:rsidR="007E1509" w:rsidRPr="007E1509" w:rsidRDefault="007E1509" w:rsidP="007E1509">
            <w:pPr>
              <w:spacing w:line="360" w:lineRule="auto"/>
              <w:rPr>
                <w:rFonts w:ascii="Times New Roman" w:hAnsi="Times New Roman" w:cs="Times New Roman"/>
                <w:b/>
                <w:bCs/>
                <w:szCs w:val="22"/>
              </w:rPr>
            </w:pPr>
            <w:r>
              <w:rPr>
                <w:rFonts w:ascii="Times New Roman" w:hAnsi="Times New Roman" w:cs="Times New Roman"/>
                <w:b/>
                <w:bCs/>
                <w:szCs w:val="22"/>
              </w:rPr>
              <w:t>BVM</w:t>
            </w:r>
          </w:p>
        </w:tc>
        <w:tc>
          <w:tcPr>
            <w:tcW w:w="1123" w:type="dxa"/>
            <w:vAlign w:val="center"/>
          </w:tcPr>
          <w:p w14:paraId="1339B6F0" w14:textId="335881A7" w:rsidR="007E1509" w:rsidRPr="007E1509" w:rsidRDefault="007E1509" w:rsidP="007E1509">
            <w:pPr>
              <w:spacing w:line="360" w:lineRule="auto"/>
              <w:rPr>
                <w:rFonts w:ascii="Times New Roman" w:hAnsi="Times New Roman" w:cs="Times New Roman"/>
                <w:b/>
                <w:bCs/>
                <w:szCs w:val="22"/>
              </w:rPr>
            </w:pPr>
            <w:r>
              <w:rPr>
                <w:rFonts w:ascii="Times New Roman" w:hAnsi="Times New Roman" w:cs="Times New Roman"/>
                <w:b/>
                <w:bCs/>
                <w:szCs w:val="22"/>
              </w:rPr>
              <w:t>MV</w:t>
            </w:r>
          </w:p>
        </w:tc>
        <w:tc>
          <w:tcPr>
            <w:tcW w:w="1123" w:type="dxa"/>
            <w:vAlign w:val="center"/>
          </w:tcPr>
          <w:p w14:paraId="282BD840" w14:textId="6572BFD4" w:rsidR="007E1509" w:rsidRPr="007E1509" w:rsidRDefault="007E1509" w:rsidP="007E1509">
            <w:pPr>
              <w:spacing w:line="360" w:lineRule="auto"/>
              <w:rPr>
                <w:rFonts w:ascii="Times New Roman" w:hAnsi="Times New Roman" w:cs="Times New Roman"/>
                <w:b/>
                <w:bCs/>
                <w:szCs w:val="22"/>
              </w:rPr>
            </w:pPr>
            <w:r>
              <w:rPr>
                <w:rFonts w:ascii="Times New Roman" w:hAnsi="Times New Roman" w:cs="Times New Roman"/>
                <w:b/>
                <w:bCs/>
                <w:szCs w:val="22"/>
              </w:rPr>
              <w:t>BVM</w:t>
            </w:r>
          </w:p>
        </w:tc>
        <w:tc>
          <w:tcPr>
            <w:tcW w:w="1374" w:type="dxa"/>
            <w:vAlign w:val="center"/>
          </w:tcPr>
          <w:p w14:paraId="3513D888" w14:textId="323F7805" w:rsidR="007E1509" w:rsidRPr="007E1509" w:rsidRDefault="007E1509" w:rsidP="007E1509">
            <w:pPr>
              <w:spacing w:line="360" w:lineRule="auto"/>
              <w:rPr>
                <w:rFonts w:ascii="Times New Roman" w:hAnsi="Times New Roman" w:cs="Times New Roman"/>
                <w:b/>
                <w:bCs/>
                <w:szCs w:val="22"/>
              </w:rPr>
            </w:pPr>
            <w:r>
              <w:rPr>
                <w:rFonts w:ascii="Times New Roman" w:hAnsi="Times New Roman" w:cs="Times New Roman"/>
                <w:b/>
                <w:bCs/>
                <w:szCs w:val="22"/>
              </w:rPr>
              <w:t>MV</w:t>
            </w:r>
          </w:p>
        </w:tc>
        <w:tc>
          <w:tcPr>
            <w:tcW w:w="1374" w:type="dxa"/>
            <w:vAlign w:val="center"/>
          </w:tcPr>
          <w:p w14:paraId="5566A59B" w14:textId="47EC2C1C" w:rsidR="007E1509" w:rsidRPr="007E1509" w:rsidRDefault="007E1509" w:rsidP="007E1509">
            <w:pPr>
              <w:spacing w:line="360" w:lineRule="auto"/>
              <w:rPr>
                <w:rFonts w:ascii="Times New Roman" w:hAnsi="Times New Roman" w:cs="Times New Roman"/>
                <w:b/>
                <w:bCs/>
                <w:szCs w:val="22"/>
              </w:rPr>
            </w:pPr>
            <w:r>
              <w:rPr>
                <w:rFonts w:ascii="Times New Roman" w:hAnsi="Times New Roman" w:cs="Times New Roman"/>
                <w:b/>
                <w:bCs/>
                <w:szCs w:val="22"/>
              </w:rPr>
              <w:t>BVM</w:t>
            </w:r>
          </w:p>
        </w:tc>
        <w:tc>
          <w:tcPr>
            <w:tcW w:w="3885" w:type="dxa"/>
            <w:vMerge/>
            <w:vAlign w:val="center"/>
          </w:tcPr>
          <w:p w14:paraId="5DEC2118" w14:textId="77777777" w:rsidR="007E1509" w:rsidRPr="007E1509" w:rsidRDefault="007E1509" w:rsidP="007E1509">
            <w:pPr>
              <w:spacing w:line="360" w:lineRule="auto"/>
              <w:rPr>
                <w:rFonts w:ascii="Times New Roman" w:hAnsi="Times New Roman" w:cs="Times New Roman"/>
                <w:b/>
                <w:bCs/>
                <w:szCs w:val="22"/>
              </w:rPr>
            </w:pPr>
          </w:p>
        </w:tc>
      </w:tr>
      <w:tr w:rsidR="007E1509" w:rsidRPr="007E1509" w14:paraId="2B3DC43B" w14:textId="77777777" w:rsidTr="00616182">
        <w:trPr>
          <w:jc w:val="center"/>
        </w:trPr>
        <w:tc>
          <w:tcPr>
            <w:tcW w:w="1512" w:type="dxa"/>
            <w:vAlign w:val="center"/>
          </w:tcPr>
          <w:p w14:paraId="7FA3FD62"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Johannigman, 1995</w:t>
            </w:r>
          </w:p>
        </w:tc>
        <w:tc>
          <w:tcPr>
            <w:tcW w:w="1048" w:type="dxa"/>
            <w:vAlign w:val="center"/>
          </w:tcPr>
          <w:p w14:paraId="513C8ACB"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048" w:type="dxa"/>
            <w:vAlign w:val="center"/>
          </w:tcPr>
          <w:p w14:paraId="1AA560B2"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34" w:type="dxa"/>
            <w:vAlign w:val="center"/>
          </w:tcPr>
          <w:p w14:paraId="557B4310"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34" w:type="dxa"/>
            <w:vAlign w:val="center"/>
          </w:tcPr>
          <w:p w14:paraId="74C891B4"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23" w:type="dxa"/>
            <w:vAlign w:val="center"/>
          </w:tcPr>
          <w:p w14:paraId="4D8A9EE0"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23" w:type="dxa"/>
            <w:vAlign w:val="center"/>
          </w:tcPr>
          <w:p w14:paraId="59FDD436"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374" w:type="dxa"/>
            <w:vAlign w:val="center"/>
          </w:tcPr>
          <w:p w14:paraId="79C2F77A"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374" w:type="dxa"/>
            <w:vAlign w:val="center"/>
          </w:tcPr>
          <w:p w14:paraId="479CF7AF"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3885" w:type="dxa"/>
            <w:vAlign w:val="center"/>
          </w:tcPr>
          <w:p w14:paraId="6BD6D1DC"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Survivors: 3/64 (MV) vs 3/58 (BVM); survival time point not explicitly defined.</w:t>
            </w:r>
          </w:p>
        </w:tc>
      </w:tr>
      <w:tr w:rsidR="007E1509" w:rsidRPr="007E1509" w14:paraId="02BE3583" w14:textId="77777777" w:rsidTr="00616182">
        <w:trPr>
          <w:jc w:val="center"/>
        </w:trPr>
        <w:tc>
          <w:tcPr>
            <w:tcW w:w="1512" w:type="dxa"/>
            <w:vAlign w:val="center"/>
          </w:tcPr>
          <w:p w14:paraId="7B9DE711"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Hernández-Tejedor, 2023</w:t>
            </w:r>
          </w:p>
        </w:tc>
        <w:tc>
          <w:tcPr>
            <w:tcW w:w="1048" w:type="dxa"/>
            <w:vAlign w:val="center"/>
          </w:tcPr>
          <w:p w14:paraId="73B67CFF"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43/71</w:t>
            </w:r>
          </w:p>
        </w:tc>
        <w:tc>
          <w:tcPr>
            <w:tcW w:w="1048" w:type="dxa"/>
            <w:vAlign w:val="center"/>
          </w:tcPr>
          <w:p w14:paraId="3AE62C36"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40/79</w:t>
            </w:r>
          </w:p>
        </w:tc>
        <w:tc>
          <w:tcPr>
            <w:tcW w:w="1134" w:type="dxa"/>
            <w:vAlign w:val="center"/>
          </w:tcPr>
          <w:p w14:paraId="2B3AEAE9"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34" w:type="dxa"/>
            <w:vAlign w:val="center"/>
          </w:tcPr>
          <w:p w14:paraId="0E52B794"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23" w:type="dxa"/>
            <w:vAlign w:val="center"/>
          </w:tcPr>
          <w:p w14:paraId="16594E75"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15/71</w:t>
            </w:r>
          </w:p>
        </w:tc>
        <w:tc>
          <w:tcPr>
            <w:tcW w:w="1123" w:type="dxa"/>
            <w:vAlign w:val="center"/>
          </w:tcPr>
          <w:p w14:paraId="7B239FFD"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14/79</w:t>
            </w:r>
          </w:p>
        </w:tc>
        <w:tc>
          <w:tcPr>
            <w:tcW w:w="1374" w:type="dxa"/>
            <w:vAlign w:val="center"/>
          </w:tcPr>
          <w:p w14:paraId="20BDA3AC"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374" w:type="dxa"/>
            <w:vAlign w:val="center"/>
          </w:tcPr>
          <w:p w14:paraId="263CD394"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3885" w:type="dxa"/>
            <w:vAlign w:val="center"/>
          </w:tcPr>
          <w:p w14:paraId="068DA34B"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Not included in the survival-to-hospital-discharge meta-analysis because of population overlap with Hernández-Tejedor, 2025.</w:t>
            </w:r>
          </w:p>
        </w:tc>
      </w:tr>
      <w:tr w:rsidR="007E1509" w:rsidRPr="007E1509" w14:paraId="6E0412AD" w14:textId="77777777" w:rsidTr="00616182">
        <w:trPr>
          <w:jc w:val="center"/>
        </w:trPr>
        <w:tc>
          <w:tcPr>
            <w:tcW w:w="1512" w:type="dxa"/>
            <w:vAlign w:val="center"/>
          </w:tcPr>
          <w:p w14:paraId="56179E15" w14:textId="77777777" w:rsidR="007E1509" w:rsidRPr="007E1509" w:rsidRDefault="007E1509" w:rsidP="007E1509">
            <w:pPr>
              <w:spacing w:line="259" w:lineRule="auto"/>
              <w:rPr>
                <w:rFonts w:ascii="Times New Roman" w:hAnsi="Times New Roman" w:cs="Times New Roman"/>
                <w:szCs w:val="22"/>
              </w:rPr>
            </w:pPr>
            <w:proofErr w:type="spellStart"/>
            <w:r w:rsidRPr="007E1509">
              <w:rPr>
                <w:rFonts w:ascii="Times New Roman" w:hAnsi="Times New Roman" w:cs="Times New Roman"/>
                <w:szCs w:val="22"/>
              </w:rPr>
              <w:t>Malinverni</w:t>
            </w:r>
            <w:proofErr w:type="spellEnd"/>
            <w:r w:rsidRPr="007E1509">
              <w:rPr>
                <w:rFonts w:ascii="Times New Roman" w:hAnsi="Times New Roman" w:cs="Times New Roman"/>
                <w:szCs w:val="22"/>
              </w:rPr>
              <w:t>, 2024</w:t>
            </w:r>
          </w:p>
        </w:tc>
        <w:tc>
          <w:tcPr>
            <w:tcW w:w="1048" w:type="dxa"/>
            <w:vAlign w:val="center"/>
          </w:tcPr>
          <w:p w14:paraId="63186E03"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146/298</w:t>
            </w:r>
          </w:p>
        </w:tc>
        <w:tc>
          <w:tcPr>
            <w:tcW w:w="1048" w:type="dxa"/>
            <w:vAlign w:val="center"/>
          </w:tcPr>
          <w:p w14:paraId="3B414687"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971/2268</w:t>
            </w:r>
          </w:p>
        </w:tc>
        <w:tc>
          <w:tcPr>
            <w:tcW w:w="1134" w:type="dxa"/>
            <w:vAlign w:val="center"/>
          </w:tcPr>
          <w:p w14:paraId="523B6FED"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34" w:type="dxa"/>
            <w:vAlign w:val="center"/>
          </w:tcPr>
          <w:p w14:paraId="4D41AA7E"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23" w:type="dxa"/>
            <w:vAlign w:val="center"/>
          </w:tcPr>
          <w:p w14:paraId="6B3683FB"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23" w:type="dxa"/>
            <w:vAlign w:val="center"/>
          </w:tcPr>
          <w:p w14:paraId="257216B7"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374" w:type="dxa"/>
            <w:vAlign w:val="center"/>
          </w:tcPr>
          <w:p w14:paraId="24DE3EED"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32/298*</w:t>
            </w:r>
          </w:p>
        </w:tc>
        <w:tc>
          <w:tcPr>
            <w:tcW w:w="1374" w:type="dxa"/>
            <w:vAlign w:val="center"/>
          </w:tcPr>
          <w:p w14:paraId="7D20D8C5"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215/2268*</w:t>
            </w:r>
          </w:p>
        </w:tc>
        <w:tc>
          <w:tcPr>
            <w:tcW w:w="3885" w:type="dxa"/>
            <w:vAlign w:val="center"/>
          </w:tcPr>
          <w:p w14:paraId="7028F320" w14:textId="77777777" w:rsidR="007E1509" w:rsidRPr="007E1509" w:rsidRDefault="007E1509" w:rsidP="007E1509">
            <w:pPr>
              <w:spacing w:line="259" w:lineRule="auto"/>
              <w:rPr>
                <w:rFonts w:ascii="Times New Roman" w:hAnsi="Times New Roman" w:cs="Times New Roman"/>
                <w:szCs w:val="22"/>
              </w:rPr>
            </w:pPr>
          </w:p>
        </w:tc>
      </w:tr>
      <w:tr w:rsidR="007E1509" w:rsidRPr="007E1509" w14:paraId="13060AD7" w14:textId="77777777" w:rsidTr="00616182">
        <w:trPr>
          <w:jc w:val="center"/>
        </w:trPr>
        <w:tc>
          <w:tcPr>
            <w:tcW w:w="1512" w:type="dxa"/>
            <w:vAlign w:val="center"/>
          </w:tcPr>
          <w:p w14:paraId="2D4D6106"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Hernández-Tejedor, 2025</w:t>
            </w:r>
          </w:p>
        </w:tc>
        <w:tc>
          <w:tcPr>
            <w:tcW w:w="1048" w:type="dxa"/>
            <w:vAlign w:val="center"/>
          </w:tcPr>
          <w:p w14:paraId="0C8FE57F"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144/245</w:t>
            </w:r>
          </w:p>
        </w:tc>
        <w:tc>
          <w:tcPr>
            <w:tcW w:w="1048" w:type="dxa"/>
            <w:vAlign w:val="center"/>
          </w:tcPr>
          <w:p w14:paraId="0763E31A"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136/276</w:t>
            </w:r>
          </w:p>
        </w:tc>
        <w:tc>
          <w:tcPr>
            <w:tcW w:w="1134" w:type="dxa"/>
            <w:vAlign w:val="center"/>
          </w:tcPr>
          <w:p w14:paraId="1E0C0522"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34" w:type="dxa"/>
            <w:vAlign w:val="center"/>
          </w:tcPr>
          <w:p w14:paraId="4E2DB507"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23" w:type="dxa"/>
            <w:vAlign w:val="center"/>
          </w:tcPr>
          <w:p w14:paraId="4A86B8EA"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42/245</w:t>
            </w:r>
          </w:p>
        </w:tc>
        <w:tc>
          <w:tcPr>
            <w:tcW w:w="1123" w:type="dxa"/>
            <w:vAlign w:val="center"/>
          </w:tcPr>
          <w:p w14:paraId="2D70CE03"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30/276</w:t>
            </w:r>
          </w:p>
        </w:tc>
        <w:tc>
          <w:tcPr>
            <w:tcW w:w="1374" w:type="dxa"/>
            <w:vAlign w:val="center"/>
          </w:tcPr>
          <w:p w14:paraId="5B9C1D3C"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34/245**</w:t>
            </w:r>
          </w:p>
        </w:tc>
        <w:tc>
          <w:tcPr>
            <w:tcW w:w="1374" w:type="dxa"/>
            <w:vAlign w:val="center"/>
          </w:tcPr>
          <w:p w14:paraId="0F1A5FF7"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26/276**</w:t>
            </w:r>
          </w:p>
        </w:tc>
        <w:tc>
          <w:tcPr>
            <w:tcW w:w="3885" w:type="dxa"/>
            <w:vAlign w:val="center"/>
          </w:tcPr>
          <w:p w14:paraId="01E0400E" w14:textId="77777777" w:rsidR="007E1509" w:rsidRPr="007E1509" w:rsidRDefault="007E1509" w:rsidP="007E1509">
            <w:pPr>
              <w:spacing w:line="259" w:lineRule="auto"/>
              <w:rPr>
                <w:rFonts w:ascii="Times New Roman" w:hAnsi="Times New Roman" w:cs="Times New Roman"/>
                <w:szCs w:val="22"/>
              </w:rPr>
            </w:pPr>
          </w:p>
        </w:tc>
      </w:tr>
      <w:tr w:rsidR="007E1509" w:rsidRPr="007E1509" w14:paraId="1CEF5330" w14:textId="77777777" w:rsidTr="00616182">
        <w:trPr>
          <w:jc w:val="center"/>
        </w:trPr>
        <w:tc>
          <w:tcPr>
            <w:tcW w:w="1512" w:type="dxa"/>
            <w:vAlign w:val="center"/>
          </w:tcPr>
          <w:p w14:paraId="69DAA4F5"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Kim, 2025</w:t>
            </w:r>
          </w:p>
        </w:tc>
        <w:tc>
          <w:tcPr>
            <w:tcW w:w="1048" w:type="dxa"/>
            <w:vAlign w:val="center"/>
          </w:tcPr>
          <w:p w14:paraId="03F74D75"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94/261</w:t>
            </w:r>
          </w:p>
        </w:tc>
        <w:tc>
          <w:tcPr>
            <w:tcW w:w="1048" w:type="dxa"/>
            <w:vAlign w:val="center"/>
          </w:tcPr>
          <w:p w14:paraId="41633E0C"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82/261</w:t>
            </w:r>
          </w:p>
        </w:tc>
        <w:tc>
          <w:tcPr>
            <w:tcW w:w="1134" w:type="dxa"/>
            <w:vAlign w:val="center"/>
          </w:tcPr>
          <w:p w14:paraId="17502336"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34" w:type="dxa"/>
            <w:vAlign w:val="center"/>
          </w:tcPr>
          <w:p w14:paraId="786381B7"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23" w:type="dxa"/>
            <w:vAlign w:val="center"/>
          </w:tcPr>
          <w:p w14:paraId="1C74450A"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22/261</w:t>
            </w:r>
          </w:p>
        </w:tc>
        <w:tc>
          <w:tcPr>
            <w:tcW w:w="1123" w:type="dxa"/>
            <w:vAlign w:val="center"/>
          </w:tcPr>
          <w:p w14:paraId="33895857"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10/261</w:t>
            </w:r>
          </w:p>
        </w:tc>
        <w:tc>
          <w:tcPr>
            <w:tcW w:w="1374" w:type="dxa"/>
            <w:vAlign w:val="center"/>
          </w:tcPr>
          <w:p w14:paraId="370ED4ED"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10/261†</w:t>
            </w:r>
          </w:p>
        </w:tc>
        <w:tc>
          <w:tcPr>
            <w:tcW w:w="1374" w:type="dxa"/>
            <w:vAlign w:val="center"/>
          </w:tcPr>
          <w:p w14:paraId="4F0B6156"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4/261†</w:t>
            </w:r>
          </w:p>
        </w:tc>
        <w:tc>
          <w:tcPr>
            <w:tcW w:w="3885" w:type="dxa"/>
            <w:vAlign w:val="center"/>
          </w:tcPr>
          <w:p w14:paraId="02A206E6" w14:textId="77777777" w:rsidR="007E1509" w:rsidRPr="007E1509" w:rsidRDefault="007E1509" w:rsidP="007E1509">
            <w:pPr>
              <w:spacing w:line="259" w:lineRule="auto"/>
              <w:rPr>
                <w:rFonts w:ascii="Times New Roman" w:hAnsi="Times New Roman" w:cs="Times New Roman"/>
                <w:szCs w:val="22"/>
              </w:rPr>
            </w:pPr>
          </w:p>
        </w:tc>
      </w:tr>
      <w:tr w:rsidR="007E1509" w:rsidRPr="007E1509" w14:paraId="48C1B8B6" w14:textId="77777777" w:rsidTr="00616182">
        <w:trPr>
          <w:jc w:val="center"/>
        </w:trPr>
        <w:tc>
          <w:tcPr>
            <w:tcW w:w="1512" w:type="dxa"/>
            <w:vAlign w:val="center"/>
          </w:tcPr>
          <w:p w14:paraId="245723AB"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Turowski, 2025</w:t>
            </w:r>
          </w:p>
        </w:tc>
        <w:tc>
          <w:tcPr>
            <w:tcW w:w="1048" w:type="dxa"/>
            <w:vAlign w:val="center"/>
          </w:tcPr>
          <w:p w14:paraId="3E002FB0"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944/2140</w:t>
            </w:r>
          </w:p>
        </w:tc>
        <w:tc>
          <w:tcPr>
            <w:tcW w:w="1048" w:type="dxa"/>
            <w:vAlign w:val="center"/>
          </w:tcPr>
          <w:p w14:paraId="2832413D"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418/1055</w:t>
            </w:r>
          </w:p>
        </w:tc>
        <w:tc>
          <w:tcPr>
            <w:tcW w:w="1134" w:type="dxa"/>
            <w:vAlign w:val="center"/>
          </w:tcPr>
          <w:p w14:paraId="2AFD93E2"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34" w:type="dxa"/>
            <w:vAlign w:val="center"/>
          </w:tcPr>
          <w:p w14:paraId="5D1F0CF5"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23" w:type="dxa"/>
            <w:vAlign w:val="center"/>
          </w:tcPr>
          <w:p w14:paraId="0B40F444"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23" w:type="dxa"/>
            <w:vAlign w:val="center"/>
          </w:tcPr>
          <w:p w14:paraId="55E77F56"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374" w:type="dxa"/>
            <w:vAlign w:val="center"/>
          </w:tcPr>
          <w:p w14:paraId="2D0CEDA5"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374" w:type="dxa"/>
            <w:vAlign w:val="center"/>
          </w:tcPr>
          <w:p w14:paraId="64059FE4"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3885" w:type="dxa"/>
            <w:vAlign w:val="center"/>
          </w:tcPr>
          <w:p w14:paraId="46D3DC92"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Discharge data were available only for a subset and were not included in the survival-to-hospital-discharge meta-analysis.</w:t>
            </w:r>
          </w:p>
        </w:tc>
      </w:tr>
      <w:tr w:rsidR="007E1509" w:rsidRPr="007E1509" w14:paraId="4CDBAE74" w14:textId="77777777" w:rsidTr="00616182">
        <w:trPr>
          <w:jc w:val="center"/>
        </w:trPr>
        <w:tc>
          <w:tcPr>
            <w:tcW w:w="1512" w:type="dxa"/>
            <w:vAlign w:val="center"/>
          </w:tcPr>
          <w:p w14:paraId="4AD7F8A1" w14:textId="77777777" w:rsidR="007E1509" w:rsidRPr="007E1509" w:rsidRDefault="007E1509" w:rsidP="007E1509">
            <w:pPr>
              <w:spacing w:line="259" w:lineRule="auto"/>
              <w:rPr>
                <w:rFonts w:ascii="Times New Roman" w:hAnsi="Times New Roman" w:cs="Times New Roman"/>
                <w:szCs w:val="22"/>
              </w:rPr>
            </w:pPr>
            <w:proofErr w:type="spellStart"/>
            <w:r w:rsidRPr="007E1509">
              <w:rPr>
                <w:rFonts w:ascii="Times New Roman" w:hAnsi="Times New Roman" w:cs="Times New Roman"/>
                <w:szCs w:val="22"/>
              </w:rPr>
              <w:t>Tangpaisarn</w:t>
            </w:r>
            <w:proofErr w:type="spellEnd"/>
            <w:r w:rsidRPr="007E1509">
              <w:rPr>
                <w:rFonts w:ascii="Times New Roman" w:hAnsi="Times New Roman" w:cs="Times New Roman"/>
                <w:szCs w:val="22"/>
              </w:rPr>
              <w:t>, 2023</w:t>
            </w:r>
          </w:p>
        </w:tc>
        <w:tc>
          <w:tcPr>
            <w:tcW w:w="1048" w:type="dxa"/>
            <w:vAlign w:val="center"/>
          </w:tcPr>
          <w:p w14:paraId="5A6A2283"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15/30</w:t>
            </w:r>
          </w:p>
        </w:tc>
        <w:tc>
          <w:tcPr>
            <w:tcW w:w="1048" w:type="dxa"/>
            <w:vAlign w:val="center"/>
          </w:tcPr>
          <w:p w14:paraId="34BAD641"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13/30</w:t>
            </w:r>
          </w:p>
        </w:tc>
        <w:tc>
          <w:tcPr>
            <w:tcW w:w="1134" w:type="dxa"/>
            <w:vAlign w:val="center"/>
          </w:tcPr>
          <w:p w14:paraId="7EBA4D35"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NR‡</w:t>
            </w:r>
          </w:p>
        </w:tc>
        <w:tc>
          <w:tcPr>
            <w:tcW w:w="1134" w:type="dxa"/>
            <w:vAlign w:val="center"/>
          </w:tcPr>
          <w:p w14:paraId="4C30E30A"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NR‡</w:t>
            </w:r>
          </w:p>
        </w:tc>
        <w:tc>
          <w:tcPr>
            <w:tcW w:w="1123" w:type="dxa"/>
            <w:vAlign w:val="center"/>
          </w:tcPr>
          <w:p w14:paraId="0A82C8FC"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5/30</w:t>
            </w:r>
          </w:p>
        </w:tc>
        <w:tc>
          <w:tcPr>
            <w:tcW w:w="1123" w:type="dxa"/>
            <w:vAlign w:val="center"/>
          </w:tcPr>
          <w:p w14:paraId="5665108F"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3/30</w:t>
            </w:r>
          </w:p>
        </w:tc>
        <w:tc>
          <w:tcPr>
            <w:tcW w:w="1374" w:type="dxa"/>
            <w:vAlign w:val="center"/>
          </w:tcPr>
          <w:p w14:paraId="7E3933CF"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2/30§</w:t>
            </w:r>
          </w:p>
        </w:tc>
        <w:tc>
          <w:tcPr>
            <w:tcW w:w="1374" w:type="dxa"/>
            <w:vAlign w:val="center"/>
          </w:tcPr>
          <w:p w14:paraId="738581AF"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0/30§</w:t>
            </w:r>
          </w:p>
        </w:tc>
        <w:tc>
          <w:tcPr>
            <w:tcW w:w="3885" w:type="dxa"/>
            <w:vAlign w:val="center"/>
          </w:tcPr>
          <w:p w14:paraId="63CD0F95"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Sustained ROSC was prespecified, but no separate duration definition or event count distinct from ROSC was reported.</w:t>
            </w:r>
          </w:p>
        </w:tc>
      </w:tr>
      <w:tr w:rsidR="007E1509" w:rsidRPr="007E1509" w14:paraId="36562C4E" w14:textId="77777777" w:rsidTr="00616182">
        <w:trPr>
          <w:jc w:val="center"/>
        </w:trPr>
        <w:tc>
          <w:tcPr>
            <w:tcW w:w="1512" w:type="dxa"/>
            <w:vAlign w:val="center"/>
          </w:tcPr>
          <w:p w14:paraId="22C0847D"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Shin, 2024</w:t>
            </w:r>
          </w:p>
        </w:tc>
        <w:tc>
          <w:tcPr>
            <w:tcW w:w="1048" w:type="dxa"/>
            <w:vAlign w:val="center"/>
          </w:tcPr>
          <w:p w14:paraId="4EA77BE9"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17/30</w:t>
            </w:r>
          </w:p>
        </w:tc>
        <w:tc>
          <w:tcPr>
            <w:tcW w:w="1048" w:type="dxa"/>
            <w:vAlign w:val="center"/>
          </w:tcPr>
          <w:p w14:paraId="0A4984F2"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13/30</w:t>
            </w:r>
          </w:p>
        </w:tc>
        <w:tc>
          <w:tcPr>
            <w:tcW w:w="1134" w:type="dxa"/>
            <w:vAlign w:val="center"/>
          </w:tcPr>
          <w:p w14:paraId="417DEF96"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13/30¶</w:t>
            </w:r>
          </w:p>
        </w:tc>
        <w:tc>
          <w:tcPr>
            <w:tcW w:w="1134" w:type="dxa"/>
            <w:vAlign w:val="center"/>
          </w:tcPr>
          <w:p w14:paraId="175D25C3"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11/30¶</w:t>
            </w:r>
          </w:p>
        </w:tc>
        <w:tc>
          <w:tcPr>
            <w:tcW w:w="1123" w:type="dxa"/>
            <w:vAlign w:val="center"/>
          </w:tcPr>
          <w:p w14:paraId="6B7E5C44"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23" w:type="dxa"/>
            <w:vAlign w:val="center"/>
          </w:tcPr>
          <w:p w14:paraId="69A67FE8"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374" w:type="dxa"/>
            <w:vAlign w:val="center"/>
          </w:tcPr>
          <w:p w14:paraId="3385D401"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374" w:type="dxa"/>
            <w:vAlign w:val="center"/>
          </w:tcPr>
          <w:p w14:paraId="3022F358"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3885" w:type="dxa"/>
            <w:vAlign w:val="center"/>
          </w:tcPr>
          <w:p w14:paraId="47DE4DA9" w14:textId="77777777" w:rsidR="007E1509" w:rsidRPr="007E1509" w:rsidRDefault="007E1509" w:rsidP="007E1509">
            <w:pPr>
              <w:spacing w:line="259" w:lineRule="auto"/>
              <w:rPr>
                <w:rFonts w:ascii="Times New Roman" w:hAnsi="Times New Roman" w:cs="Times New Roman"/>
                <w:szCs w:val="22"/>
              </w:rPr>
            </w:pPr>
          </w:p>
        </w:tc>
      </w:tr>
      <w:tr w:rsidR="007E1509" w:rsidRPr="007E1509" w14:paraId="3C3408B9" w14:textId="77777777" w:rsidTr="00616182">
        <w:trPr>
          <w:jc w:val="center"/>
        </w:trPr>
        <w:tc>
          <w:tcPr>
            <w:tcW w:w="1512" w:type="dxa"/>
            <w:vAlign w:val="center"/>
          </w:tcPr>
          <w:p w14:paraId="22EE72FF"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Lotfi, 2025</w:t>
            </w:r>
          </w:p>
        </w:tc>
        <w:tc>
          <w:tcPr>
            <w:tcW w:w="1048" w:type="dxa"/>
            <w:vAlign w:val="center"/>
          </w:tcPr>
          <w:p w14:paraId="30BE5F21"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048" w:type="dxa"/>
            <w:vAlign w:val="center"/>
          </w:tcPr>
          <w:p w14:paraId="12543B33"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34" w:type="dxa"/>
            <w:vAlign w:val="center"/>
          </w:tcPr>
          <w:p w14:paraId="446FCE92"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34" w:type="dxa"/>
            <w:vAlign w:val="center"/>
          </w:tcPr>
          <w:p w14:paraId="105495FA"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23" w:type="dxa"/>
            <w:vAlign w:val="center"/>
          </w:tcPr>
          <w:p w14:paraId="180A509E"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123" w:type="dxa"/>
            <w:vAlign w:val="center"/>
          </w:tcPr>
          <w:p w14:paraId="5EC38B19"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374" w:type="dxa"/>
            <w:vAlign w:val="center"/>
          </w:tcPr>
          <w:p w14:paraId="0EBC25C9"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1374" w:type="dxa"/>
            <w:vAlign w:val="center"/>
          </w:tcPr>
          <w:p w14:paraId="6302527B"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w:t>
            </w:r>
          </w:p>
        </w:tc>
        <w:tc>
          <w:tcPr>
            <w:tcW w:w="3885" w:type="dxa"/>
            <w:vAlign w:val="center"/>
          </w:tcPr>
          <w:p w14:paraId="6B2316F1" w14:textId="77777777" w:rsidR="007E1509" w:rsidRPr="007E1509" w:rsidRDefault="007E1509" w:rsidP="007E1509">
            <w:pPr>
              <w:spacing w:line="259" w:lineRule="auto"/>
              <w:rPr>
                <w:rFonts w:ascii="Times New Roman" w:hAnsi="Times New Roman" w:cs="Times New Roman"/>
                <w:szCs w:val="22"/>
              </w:rPr>
            </w:pPr>
            <w:r w:rsidRPr="007E1509">
              <w:rPr>
                <w:rFonts w:ascii="Times New Roman" w:hAnsi="Times New Roman" w:cs="Times New Roman"/>
                <w:szCs w:val="22"/>
              </w:rPr>
              <w:t>No clinical survival outcome reported; physiological outcomes only.</w:t>
            </w:r>
          </w:p>
        </w:tc>
      </w:tr>
    </w:tbl>
    <w:p w14:paraId="333F6DB6" w14:textId="77777777" w:rsidR="007E1509" w:rsidRPr="007E1509" w:rsidRDefault="007E1509" w:rsidP="007E1509">
      <w:pPr>
        <w:rPr>
          <w:rFonts w:ascii="Times New Roman" w:hAnsi="Times New Roman" w:cs="Times New Roman"/>
          <w:szCs w:val="22"/>
        </w:rPr>
      </w:pPr>
      <w:r w:rsidRPr="007E1509">
        <w:rPr>
          <w:rFonts w:ascii="Times New Roman" w:hAnsi="Times New Roman" w:cs="Times New Roman"/>
          <w:szCs w:val="22"/>
        </w:rPr>
        <w:t xml:space="preserve">* CPC 1–2 at 30 days. † CPC 1–2 at hospital discharge. ** CPC 1–2 at hospital discharge or 28 days, as reported by Hernández-Tejedor et al. ‡ </w:t>
      </w:r>
      <w:proofErr w:type="spellStart"/>
      <w:r w:rsidRPr="007E1509">
        <w:rPr>
          <w:rFonts w:ascii="Times New Roman" w:hAnsi="Times New Roman" w:cs="Times New Roman"/>
          <w:szCs w:val="22"/>
        </w:rPr>
        <w:t>Tangpaisarn</w:t>
      </w:r>
      <w:proofErr w:type="spellEnd"/>
      <w:r w:rsidRPr="007E1509">
        <w:rPr>
          <w:rFonts w:ascii="Times New Roman" w:hAnsi="Times New Roman" w:cs="Times New Roman"/>
          <w:szCs w:val="22"/>
        </w:rPr>
        <w:t xml:space="preserve"> et al. prespecified sustained ROSC as a secondary outcome, but the published report did not provide a separate sustained-ROSC duration definition or event count distinct from ROSC. § CPC 1–2 at 28 days. ¶ Sustained ROSC defined as ROSC maintained for ≥20 minutes.</w:t>
      </w:r>
    </w:p>
    <w:p w14:paraId="2360A40E" w14:textId="77777777" w:rsidR="007E1509" w:rsidRPr="007E1509" w:rsidRDefault="007E1509" w:rsidP="007E1509">
      <w:pPr>
        <w:rPr>
          <w:rFonts w:ascii="Times New Roman" w:hAnsi="Times New Roman" w:cs="Times New Roman"/>
          <w:szCs w:val="22"/>
        </w:rPr>
      </w:pPr>
      <w:r w:rsidRPr="007E1509">
        <w:rPr>
          <w:rFonts w:ascii="Times New Roman" w:hAnsi="Times New Roman" w:cs="Times New Roman"/>
          <w:szCs w:val="22"/>
        </w:rPr>
        <w:t>Abbreviations: BVM, bag-valve-mask ventilation; CPC, Cerebral Performance Category; MV, mechanical ventilation; n/N, number of events/total number of patients; NR, not separately reported; ROSC, return of spontaneous circulation.</w:t>
      </w:r>
    </w:p>
    <w:p w14:paraId="64EB0C45" w14:textId="1EE39028" w:rsidR="007D2173" w:rsidRPr="006F4712" w:rsidRDefault="007B4A62" w:rsidP="007D2173">
      <w:pPr>
        <w:rPr>
          <w:rFonts w:ascii="Times New Roman" w:hAnsi="Times New Roman" w:cs="Times New Roman"/>
          <w:szCs w:val="22"/>
          <w:cs/>
        </w:rPr>
      </w:pPr>
      <w:r w:rsidRPr="002C4FBB">
        <w:rPr>
          <w:rFonts w:ascii="Times New Roman" w:hAnsi="Times New Roman" w:cs="Times New Roman"/>
          <w:b/>
          <w:bCs/>
          <w:szCs w:val="22"/>
        </w:rPr>
        <w:lastRenderedPageBreak/>
        <w:t>Figure S</w:t>
      </w:r>
      <w:r w:rsidR="00D259C3" w:rsidRPr="002C4FBB">
        <w:rPr>
          <w:rFonts w:ascii="Times New Roman" w:hAnsi="Times New Roman" w:cs="Times New Roman"/>
          <w:b/>
          <w:bCs/>
          <w:szCs w:val="22"/>
        </w:rPr>
        <w:t>1</w:t>
      </w:r>
      <w:r w:rsidRPr="002C4FBB">
        <w:rPr>
          <w:rFonts w:ascii="Times New Roman" w:hAnsi="Times New Roman" w:cs="Times New Roman"/>
          <w:b/>
          <w:bCs/>
          <w:szCs w:val="22"/>
        </w:rPr>
        <w:t>.</w:t>
      </w:r>
      <w:r w:rsidRPr="002C4FBB">
        <w:rPr>
          <w:rFonts w:ascii="Times New Roman" w:hAnsi="Times New Roman" w:cs="Times New Roman"/>
          <w:szCs w:val="22"/>
        </w:rPr>
        <w:t xml:space="preserve"> </w:t>
      </w:r>
      <w:r w:rsidR="006F4712" w:rsidRPr="006F4712">
        <w:rPr>
          <w:rFonts w:ascii="Times New Roman" w:hAnsi="Times New Roman" w:cs="Times New Roman"/>
          <w:szCs w:val="22"/>
        </w:rPr>
        <w:t>Sensitivity analysis of the primary outcome of return of spontaneous circulation (ROSC) after replacing propensity-score–matched data from Kim et al. (2025) with unmatched data.</w:t>
      </w:r>
    </w:p>
    <w:p w14:paraId="7BB14849" w14:textId="6B9C4409" w:rsidR="007D2173" w:rsidRPr="002C4FBB" w:rsidRDefault="007D2173" w:rsidP="007D2173">
      <w:pPr>
        <w:rPr>
          <w:rFonts w:ascii="Times New Roman" w:hAnsi="Times New Roman" w:cs="Times New Roman"/>
          <w:szCs w:val="22"/>
        </w:rPr>
      </w:pPr>
      <w:r w:rsidRPr="002C4FBB">
        <w:rPr>
          <w:rFonts w:ascii="Times New Roman" w:hAnsi="Times New Roman" w:cs="Times New Roman"/>
          <w:noProof/>
          <w:szCs w:val="22"/>
        </w:rPr>
        <w:drawing>
          <wp:anchor distT="0" distB="0" distL="114300" distR="114300" simplePos="0" relativeHeight="251665408" behindDoc="0" locked="0" layoutInCell="1" allowOverlap="1" wp14:anchorId="6ADFFE5D" wp14:editId="65F4D255">
            <wp:simplePos x="0" y="0"/>
            <wp:positionH relativeFrom="column">
              <wp:posOffset>0</wp:posOffset>
            </wp:positionH>
            <wp:positionV relativeFrom="paragraph">
              <wp:posOffset>81915</wp:posOffset>
            </wp:positionV>
            <wp:extent cx="8841105" cy="3709035"/>
            <wp:effectExtent l="0" t="0" r="0" b="5715"/>
            <wp:wrapSquare wrapText="bothSides"/>
            <wp:docPr id="1332568624" name="Picture 9" descr="A graph of numbers and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68624" name="Picture 9" descr="A graph of numbers and a diagram&#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8841105" cy="3709035"/>
                    </a:xfrm>
                    <a:prstGeom prst="rect">
                      <a:avLst/>
                    </a:prstGeom>
                  </pic:spPr>
                </pic:pic>
              </a:graphicData>
            </a:graphic>
            <wp14:sizeRelH relativeFrom="page">
              <wp14:pctWidth>0</wp14:pctWidth>
            </wp14:sizeRelH>
            <wp14:sizeRelV relativeFrom="page">
              <wp14:pctHeight>0</wp14:pctHeight>
            </wp14:sizeRelV>
          </wp:anchor>
        </w:drawing>
      </w:r>
    </w:p>
    <w:p w14:paraId="386CC79C" w14:textId="6B69981D" w:rsidR="007D2173" w:rsidRPr="002C4FBB" w:rsidRDefault="007D2173" w:rsidP="007D2173">
      <w:pPr>
        <w:rPr>
          <w:rFonts w:ascii="Times New Roman" w:hAnsi="Times New Roman" w:cs="Times New Roman"/>
          <w:szCs w:val="22"/>
        </w:rPr>
      </w:pPr>
    </w:p>
    <w:p w14:paraId="2D7ABF49" w14:textId="77777777" w:rsidR="00634C98" w:rsidRPr="002C4FBB" w:rsidRDefault="00634C98" w:rsidP="00634C98">
      <w:pPr>
        <w:rPr>
          <w:rFonts w:ascii="Times New Roman" w:hAnsi="Times New Roman" w:cs="Times New Roman"/>
          <w:b/>
          <w:bCs/>
          <w:noProof/>
          <w:szCs w:val="22"/>
        </w:rPr>
      </w:pPr>
    </w:p>
    <w:p w14:paraId="779021A8" w14:textId="77777777" w:rsidR="00A37A9D" w:rsidRPr="002C4FBB" w:rsidRDefault="00A37A9D" w:rsidP="00634C98">
      <w:pPr>
        <w:rPr>
          <w:rFonts w:ascii="Times New Roman" w:hAnsi="Times New Roman" w:cs="Times New Roman"/>
          <w:b/>
          <w:bCs/>
          <w:noProof/>
          <w:szCs w:val="22"/>
        </w:rPr>
      </w:pPr>
    </w:p>
    <w:p w14:paraId="058C765F" w14:textId="77777777" w:rsidR="00A37A9D" w:rsidRPr="002C4FBB" w:rsidRDefault="00A37A9D" w:rsidP="00634C98">
      <w:pPr>
        <w:rPr>
          <w:rFonts w:ascii="Times New Roman" w:hAnsi="Times New Roman" w:cs="Times New Roman"/>
          <w:b/>
          <w:bCs/>
          <w:noProof/>
          <w:szCs w:val="22"/>
        </w:rPr>
      </w:pPr>
    </w:p>
    <w:p w14:paraId="5012749C" w14:textId="110FAD10" w:rsidR="00634C98" w:rsidRPr="002C4FBB" w:rsidRDefault="00634C98" w:rsidP="00634C98">
      <w:pPr>
        <w:tabs>
          <w:tab w:val="left" w:pos="3600"/>
        </w:tabs>
        <w:rPr>
          <w:rFonts w:ascii="Times New Roman" w:hAnsi="Times New Roman" w:cs="Times New Roman"/>
          <w:b/>
          <w:bCs/>
          <w:szCs w:val="22"/>
        </w:rPr>
      </w:pPr>
      <w:r w:rsidRPr="002C4FBB">
        <w:rPr>
          <w:rFonts w:ascii="Times New Roman" w:hAnsi="Times New Roman" w:cs="Times New Roman"/>
          <w:b/>
          <w:bCs/>
          <w:szCs w:val="22"/>
        </w:rPr>
        <w:lastRenderedPageBreak/>
        <w:t>Table S</w:t>
      </w:r>
      <w:r w:rsidR="00590506">
        <w:rPr>
          <w:rFonts w:ascii="Times New Roman" w:hAnsi="Times New Roman" w:cs="Times New Roman"/>
          <w:b/>
          <w:bCs/>
          <w:szCs w:val="22"/>
        </w:rPr>
        <w:t>3</w:t>
      </w:r>
      <w:r w:rsidR="00B2650D">
        <w:rPr>
          <w:rFonts w:ascii="Times New Roman" w:hAnsi="Times New Roman" w:cs="Angsana New"/>
          <w:b/>
          <w:bCs/>
        </w:rPr>
        <w:t>.</w:t>
      </w:r>
      <w:r w:rsidRPr="002C4FBB">
        <w:rPr>
          <w:rFonts w:ascii="Times New Roman" w:hAnsi="Times New Roman" w:cs="Times New Roman"/>
          <w:b/>
          <w:bCs/>
          <w:szCs w:val="22"/>
        </w:rPr>
        <w:t xml:space="preserve"> Support judgment for risk of bias assessment </w:t>
      </w:r>
    </w:p>
    <w:tbl>
      <w:tblPr>
        <w:tblW w:w="12500" w:type="dxa"/>
        <w:tblLook w:val="04A0" w:firstRow="1" w:lastRow="0" w:firstColumn="1" w:lastColumn="0" w:noHBand="0" w:noVBand="1"/>
      </w:tblPr>
      <w:tblGrid>
        <w:gridCol w:w="1920"/>
        <w:gridCol w:w="10580"/>
      </w:tblGrid>
      <w:tr w:rsidR="00634C98" w:rsidRPr="00BA6E4E" w14:paraId="25AE6AB3" w14:textId="77777777" w:rsidTr="00634C98">
        <w:trPr>
          <w:trHeight w:val="290"/>
        </w:trPr>
        <w:tc>
          <w:tcPr>
            <w:tcW w:w="1920" w:type="dxa"/>
            <w:tcBorders>
              <w:top w:val="single" w:sz="4" w:space="0" w:color="auto"/>
              <w:left w:val="single" w:sz="4" w:space="0" w:color="auto"/>
              <w:bottom w:val="single" w:sz="4" w:space="0" w:color="auto"/>
              <w:right w:val="single" w:sz="4" w:space="0" w:color="auto"/>
            </w:tcBorders>
            <w:hideMark/>
          </w:tcPr>
          <w:p w14:paraId="3AF4B4CB" w14:textId="77777777" w:rsidR="00634C98" w:rsidRPr="00BA6E4E" w:rsidRDefault="00634C98" w:rsidP="00634C98">
            <w:pPr>
              <w:spacing w:after="0" w:line="240" w:lineRule="auto"/>
              <w:jc w:val="center"/>
              <w:rPr>
                <w:rFonts w:ascii="Times New Roman" w:eastAsia="Times New Roman" w:hAnsi="Times New Roman" w:cs="Times New Roman"/>
                <w:b/>
                <w:bCs/>
                <w:color w:val="000000"/>
                <w:kern w:val="0"/>
                <w:szCs w:val="22"/>
                <w14:ligatures w14:val="none"/>
              </w:rPr>
            </w:pPr>
            <w:r w:rsidRPr="00BA6E4E">
              <w:rPr>
                <w:rFonts w:ascii="Times New Roman" w:eastAsia="Times New Roman" w:hAnsi="Times New Roman" w:cs="Times New Roman"/>
                <w:b/>
                <w:bCs/>
                <w:color w:val="000000"/>
                <w:kern w:val="0"/>
                <w:szCs w:val="22"/>
                <w14:ligatures w14:val="none"/>
              </w:rPr>
              <w:t>First author, year</w:t>
            </w:r>
          </w:p>
        </w:tc>
        <w:tc>
          <w:tcPr>
            <w:tcW w:w="10580" w:type="dxa"/>
            <w:tcBorders>
              <w:top w:val="nil"/>
              <w:left w:val="nil"/>
              <w:bottom w:val="nil"/>
              <w:right w:val="nil"/>
            </w:tcBorders>
            <w:vAlign w:val="bottom"/>
            <w:hideMark/>
          </w:tcPr>
          <w:p w14:paraId="58C8AD55" w14:textId="258FFB84" w:rsidR="00634C98" w:rsidRPr="00BA6E4E" w:rsidRDefault="00634C98" w:rsidP="00634C98">
            <w:pPr>
              <w:spacing w:after="0" w:line="240" w:lineRule="auto"/>
              <w:rPr>
                <w:rFonts w:ascii="Times New Roman" w:eastAsia="Times New Roman" w:hAnsi="Times New Roman" w:cs="Times New Roman"/>
                <w:b/>
                <w:bCs/>
                <w:color w:val="000000"/>
                <w:kern w:val="0"/>
                <w:szCs w:val="22"/>
                <w14:ligatures w14:val="none"/>
              </w:rPr>
            </w:pPr>
            <w:r w:rsidRPr="00BA6E4E">
              <w:rPr>
                <w:rFonts w:ascii="Times New Roman" w:eastAsia="Times New Roman" w:hAnsi="Times New Roman" w:cs="Times New Roman"/>
                <w:b/>
                <w:bCs/>
                <w:color w:val="000000"/>
                <w:kern w:val="0"/>
                <w:szCs w:val="22"/>
                <w14:ligatures w14:val="none"/>
              </w:rPr>
              <w:t>Support for judgment</w:t>
            </w:r>
          </w:p>
        </w:tc>
      </w:tr>
      <w:tr w:rsidR="00634C98" w:rsidRPr="00BA6E4E" w14:paraId="318C2C9C" w14:textId="77777777" w:rsidTr="00634C98">
        <w:trPr>
          <w:trHeight w:val="3480"/>
        </w:trPr>
        <w:tc>
          <w:tcPr>
            <w:tcW w:w="1920" w:type="dxa"/>
            <w:tcBorders>
              <w:top w:val="nil"/>
              <w:left w:val="single" w:sz="4" w:space="0" w:color="auto"/>
              <w:bottom w:val="single" w:sz="4" w:space="0" w:color="auto"/>
              <w:right w:val="single" w:sz="4" w:space="0" w:color="auto"/>
            </w:tcBorders>
            <w:hideMark/>
          </w:tcPr>
          <w:p w14:paraId="2F40202F"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Johannigman, 1995</w:t>
            </w:r>
          </w:p>
        </w:tc>
        <w:tc>
          <w:tcPr>
            <w:tcW w:w="10580" w:type="dxa"/>
            <w:tcBorders>
              <w:top w:val="single" w:sz="4" w:space="0" w:color="auto"/>
              <w:left w:val="nil"/>
              <w:bottom w:val="single" w:sz="4" w:space="0" w:color="auto"/>
              <w:right w:val="single" w:sz="4" w:space="0" w:color="auto"/>
            </w:tcBorders>
            <w:shd w:val="clear" w:color="000000" w:fill="FFFFFF"/>
            <w:vAlign w:val="center"/>
            <w:hideMark/>
          </w:tcPr>
          <w:p w14:paraId="4A1F65AB"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 xml:space="preserve">D1. (Confounding): Serious Risk. The study was non-randomized, and while some baseline factors (age, bystander CPR) were similar, the authors note that EMS units may have non-randomly assigned the TV to known cardiac arrests, which is a critical confounding factor related to prognosis. Crucially, the analysis did not adjust statistically (e.g., via regression or matching) for any baseline or time-varying confounders, using only ANOVA. </w:t>
            </w:r>
            <w:r w:rsidRPr="00BA6E4E">
              <w:rPr>
                <w:rFonts w:ascii="Times New Roman" w:eastAsia="Times New Roman" w:hAnsi="Times New Roman" w:cs="Times New Roman"/>
                <w:color w:val="303030"/>
                <w:kern w:val="0"/>
                <w:szCs w:val="22"/>
                <w14:ligatures w14:val="none"/>
              </w:rPr>
              <w:br/>
              <w:t xml:space="preserve">D3. (Selection): Serious Risk. Participants were selected into the final analysis based on successful ET intubation (a post-baseline event) and cardiac arrest status (SBP ≤50 mmHg, a post-baseline measurement). This introduces bias by selecting a cohort based on post-intervention characteristics, a major source of bias in observational studies. </w:t>
            </w:r>
            <w:r w:rsidRPr="00BA6E4E">
              <w:rPr>
                <w:rFonts w:ascii="Times New Roman" w:eastAsia="Times New Roman" w:hAnsi="Times New Roman" w:cs="Times New Roman"/>
                <w:color w:val="303030"/>
                <w:kern w:val="0"/>
                <w:szCs w:val="22"/>
                <w14:ligatures w14:val="none"/>
              </w:rPr>
              <w:br/>
              <w:t>D5. (Missing Data): Serious Risk. Only 76 of 160 patients had ABG data, and only 52 were in the final cardiac arrest ET-tube comparison groups. Missingness was primarily due to discontinuation of CPR or inability to draw arterial blood due to poor perfusion. Missing data is strongly linked to the outcome (death/poor prognosis), biasing the remaining sample toward survivors or those with better circulation.</w:t>
            </w:r>
          </w:p>
        </w:tc>
      </w:tr>
      <w:tr w:rsidR="00634C98" w:rsidRPr="00BA6E4E" w14:paraId="08CB26DF" w14:textId="77777777" w:rsidTr="00634C98">
        <w:trPr>
          <w:trHeight w:val="2320"/>
        </w:trPr>
        <w:tc>
          <w:tcPr>
            <w:tcW w:w="1920" w:type="dxa"/>
            <w:tcBorders>
              <w:top w:val="nil"/>
              <w:left w:val="single" w:sz="4" w:space="0" w:color="auto"/>
              <w:bottom w:val="single" w:sz="4" w:space="0" w:color="auto"/>
              <w:right w:val="single" w:sz="4" w:space="0" w:color="auto"/>
            </w:tcBorders>
            <w:shd w:val="clear" w:color="000000" w:fill="FFFFFF"/>
            <w:vAlign w:val="center"/>
            <w:hideMark/>
          </w:tcPr>
          <w:p w14:paraId="69982E31"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Hernández-Tejedor, 2023</w:t>
            </w:r>
          </w:p>
        </w:tc>
        <w:tc>
          <w:tcPr>
            <w:tcW w:w="10580" w:type="dxa"/>
            <w:tcBorders>
              <w:top w:val="nil"/>
              <w:left w:val="nil"/>
              <w:bottom w:val="single" w:sz="4" w:space="0" w:color="auto"/>
              <w:right w:val="single" w:sz="4" w:space="0" w:color="auto"/>
            </w:tcBorders>
            <w:shd w:val="clear" w:color="000000" w:fill="FFFFFF"/>
            <w:vAlign w:val="center"/>
            <w:hideMark/>
          </w:tcPr>
          <w:p w14:paraId="0E30FF9F"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 xml:space="preserve">D1. (Confounding): Serious Risk. Assignment (IPPV vs. Bag) was quasi-experimental (clinical decision/availability). The model for clinical outcomes omitted adjustment for crucial prognostic confounders like age, no-flow time, and low-flow time. </w:t>
            </w:r>
            <w:r w:rsidRPr="00BA6E4E">
              <w:rPr>
                <w:rFonts w:ascii="Times New Roman" w:eastAsia="Times New Roman" w:hAnsi="Times New Roman" w:cs="Times New Roman"/>
                <w:color w:val="303030"/>
                <w:kern w:val="0"/>
                <w:szCs w:val="22"/>
                <w14:ligatures w14:val="none"/>
              </w:rPr>
              <w:br/>
              <w:t xml:space="preserve">D3 &amp; 5. (Selection &amp; Missing Data): Serious Risk. High attrition (209 excluded out of 359 registered). 70 patients were excluded due to "very early recovery" (ROSC before 3 min post-ETI), introducing severe immortal time bias. 131 patients were excluded due to failure to obtain the control ABG sample. </w:t>
            </w:r>
            <w:r w:rsidRPr="00BA6E4E">
              <w:rPr>
                <w:rFonts w:ascii="Times New Roman" w:eastAsia="Times New Roman" w:hAnsi="Times New Roman" w:cs="Times New Roman"/>
                <w:color w:val="303030"/>
                <w:kern w:val="0"/>
                <w:szCs w:val="22"/>
                <w14:ligatures w14:val="none"/>
              </w:rPr>
              <w:br/>
              <w:t>D4. (Deviations): Low Risk. The study was pragmatic; deviation (using &gt;1 method) led to exclusion from the cohort, but this was not bias arising from the study being done in an experimental context (Variant A applies).</w:t>
            </w:r>
          </w:p>
        </w:tc>
      </w:tr>
      <w:tr w:rsidR="00634C98" w:rsidRPr="00BA6E4E" w14:paraId="53019DAB" w14:textId="77777777" w:rsidTr="00634C98">
        <w:trPr>
          <w:trHeight w:val="2320"/>
        </w:trPr>
        <w:tc>
          <w:tcPr>
            <w:tcW w:w="1920" w:type="dxa"/>
            <w:tcBorders>
              <w:top w:val="nil"/>
              <w:left w:val="single" w:sz="4" w:space="0" w:color="auto"/>
              <w:bottom w:val="single" w:sz="4" w:space="0" w:color="auto"/>
              <w:right w:val="single" w:sz="4" w:space="0" w:color="auto"/>
            </w:tcBorders>
            <w:shd w:val="clear" w:color="000000" w:fill="FFFFFF"/>
            <w:vAlign w:val="center"/>
            <w:hideMark/>
          </w:tcPr>
          <w:p w14:paraId="749EDDA6"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proofErr w:type="spellStart"/>
            <w:r w:rsidRPr="00BA6E4E">
              <w:rPr>
                <w:rFonts w:ascii="Times New Roman" w:eastAsia="Times New Roman" w:hAnsi="Times New Roman" w:cs="Times New Roman"/>
                <w:color w:val="303030"/>
                <w:kern w:val="0"/>
                <w:szCs w:val="22"/>
                <w14:ligatures w14:val="none"/>
              </w:rPr>
              <w:t>Malinverni</w:t>
            </w:r>
            <w:proofErr w:type="spellEnd"/>
            <w:r w:rsidRPr="00BA6E4E">
              <w:rPr>
                <w:rFonts w:ascii="Times New Roman" w:eastAsia="Times New Roman" w:hAnsi="Times New Roman" w:cs="Times New Roman"/>
                <w:color w:val="303030"/>
                <w:kern w:val="0"/>
                <w:szCs w:val="22"/>
                <w14:ligatures w14:val="none"/>
              </w:rPr>
              <w:t>, 2024</w:t>
            </w:r>
          </w:p>
        </w:tc>
        <w:tc>
          <w:tcPr>
            <w:tcW w:w="10580" w:type="dxa"/>
            <w:tcBorders>
              <w:top w:val="nil"/>
              <w:left w:val="nil"/>
              <w:bottom w:val="single" w:sz="4" w:space="0" w:color="auto"/>
              <w:right w:val="single" w:sz="4" w:space="0" w:color="auto"/>
            </w:tcBorders>
            <w:shd w:val="clear" w:color="000000" w:fill="FFFFFF"/>
            <w:vAlign w:val="center"/>
            <w:hideMark/>
          </w:tcPr>
          <w:p w14:paraId="32AE1809" w14:textId="6D6D4FEC"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 xml:space="preserve">D1. (Confounding): </w:t>
            </w:r>
            <w:r w:rsidR="00AD0049" w:rsidRPr="00BA6E4E">
              <w:rPr>
                <w:rFonts w:ascii="Times New Roman" w:eastAsia="Times New Roman" w:hAnsi="Times New Roman" w:cs="Times New Roman"/>
                <w:color w:val="303030"/>
                <w:kern w:val="0"/>
                <w:szCs w:val="22"/>
                <w14:ligatures w14:val="none"/>
              </w:rPr>
              <w:t>Moderate Risk. Used a two-level mixed-effects logistic regression model adjusting for an extensive list of prognostic factors, including age, sex, initial rhythm, no-flow duration, low-flow duration, OHCA location, mechanical CPR use, and Rankin status before arrest. Although adjustment for measured confounders was comprehensive, this observational registry study remains susceptible to residual confounding from unmeasured or incompletely measured variables, which cannot be fully excluded.</w:t>
            </w:r>
            <w:r w:rsidRPr="00BA6E4E">
              <w:rPr>
                <w:rFonts w:ascii="Times New Roman" w:eastAsia="Times New Roman" w:hAnsi="Times New Roman" w:cs="Times New Roman"/>
                <w:color w:val="303030"/>
                <w:kern w:val="0"/>
                <w:szCs w:val="22"/>
                <w14:ligatures w14:val="none"/>
              </w:rPr>
              <w:br/>
              <w:t xml:space="preserve">D2 &amp; 3. (Classification &amp; Selection): Low Risk. Classification (CPV vs. MBV) relied on documented registry data. </w:t>
            </w:r>
            <w:r w:rsidRPr="00BA6E4E">
              <w:rPr>
                <w:rFonts w:ascii="Times New Roman" w:eastAsia="Times New Roman" w:hAnsi="Times New Roman" w:cs="Times New Roman"/>
                <w:color w:val="303030"/>
                <w:kern w:val="0"/>
                <w:szCs w:val="22"/>
                <w14:ligatures w14:val="none"/>
              </w:rPr>
              <w:br/>
              <w:t xml:space="preserve">D4. (Deviations): Low Risk. This was a retrospective registry analysis; the study was not undertaken in an experimental context where deviations would arise due to the study processes itself. </w:t>
            </w:r>
            <w:r w:rsidRPr="00BA6E4E">
              <w:rPr>
                <w:rFonts w:ascii="Times New Roman" w:eastAsia="Times New Roman" w:hAnsi="Times New Roman" w:cs="Times New Roman"/>
                <w:color w:val="303030"/>
                <w:kern w:val="0"/>
                <w:szCs w:val="22"/>
                <w14:ligatures w14:val="none"/>
              </w:rPr>
              <w:br/>
            </w:r>
            <w:r w:rsidRPr="00BA6E4E">
              <w:rPr>
                <w:rFonts w:ascii="Times New Roman" w:eastAsia="Times New Roman" w:hAnsi="Times New Roman" w:cs="Times New Roman"/>
                <w:color w:val="303030"/>
                <w:kern w:val="0"/>
                <w:szCs w:val="22"/>
                <w14:ligatures w14:val="none"/>
              </w:rPr>
              <w:lastRenderedPageBreak/>
              <w:t>D. 5 &amp; 6 (Missing Data &amp; Outcome): Low Risk. No imputation was performed. ROSC and CPC 1–2 outcomes were objective and standard registry endpoints, collected prospectively, minimizing detection bias.</w:t>
            </w:r>
          </w:p>
          <w:p w14:paraId="0DAA22B1" w14:textId="2DDDDDB2" w:rsidR="007718B2" w:rsidRPr="00BA6E4E" w:rsidRDefault="00BB0FD0"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D7. (Selection of Reported Result): Moderate Risk. No publicly available study protocol or statistical analysis plan was identified to verify that the reported analyses and outcomes were prespecified. Although there was no direct evidence of selective reporting, the absence of a protocol precluded a low-risk judgment.</w:t>
            </w:r>
          </w:p>
        </w:tc>
      </w:tr>
      <w:tr w:rsidR="00634C98" w:rsidRPr="00BA6E4E" w14:paraId="0506F142" w14:textId="77777777" w:rsidTr="00634C98">
        <w:trPr>
          <w:trHeight w:val="2900"/>
        </w:trPr>
        <w:tc>
          <w:tcPr>
            <w:tcW w:w="1920" w:type="dxa"/>
            <w:tcBorders>
              <w:top w:val="nil"/>
              <w:left w:val="single" w:sz="4" w:space="0" w:color="auto"/>
              <w:bottom w:val="single" w:sz="4" w:space="0" w:color="auto"/>
              <w:right w:val="single" w:sz="4" w:space="0" w:color="auto"/>
            </w:tcBorders>
            <w:shd w:val="clear" w:color="000000" w:fill="FFFFFF"/>
            <w:vAlign w:val="center"/>
            <w:hideMark/>
          </w:tcPr>
          <w:p w14:paraId="000A79E6"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Hernández-Tejedor, 2025</w:t>
            </w:r>
          </w:p>
        </w:tc>
        <w:tc>
          <w:tcPr>
            <w:tcW w:w="10580" w:type="dxa"/>
            <w:tcBorders>
              <w:top w:val="nil"/>
              <w:left w:val="nil"/>
              <w:bottom w:val="single" w:sz="4" w:space="0" w:color="auto"/>
              <w:right w:val="single" w:sz="4" w:space="0" w:color="auto"/>
            </w:tcBorders>
            <w:shd w:val="clear" w:color="000000" w:fill="FFFFFF"/>
            <w:vAlign w:val="center"/>
            <w:hideMark/>
          </w:tcPr>
          <w:p w14:paraId="2CF318B0"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 xml:space="preserve">D1. (Confounding): Moderate Risk. Assignment was quasi-experimental, leading to risk of unmeasured confounding. </w:t>
            </w:r>
            <w:r w:rsidRPr="00BA6E4E">
              <w:rPr>
                <w:rFonts w:ascii="Times New Roman" w:eastAsia="Times New Roman" w:hAnsi="Times New Roman" w:cs="Times New Roman"/>
                <w:color w:val="303030"/>
                <w:kern w:val="0"/>
                <w:szCs w:val="22"/>
                <w14:ligatures w14:val="none"/>
              </w:rPr>
              <w:br/>
              <w:t xml:space="preserve">D3 &amp; 5. (Selection &amp; Missing Data): Serious Risk. 193 patients were excluded due to "very early recovery" (ROSC before 3 min post-ETI), introducing severe selection/immortal time bias. </w:t>
            </w:r>
            <w:r w:rsidRPr="00BA6E4E">
              <w:rPr>
                <w:rFonts w:ascii="Times New Roman" w:eastAsia="Times New Roman" w:hAnsi="Times New Roman" w:cs="Times New Roman"/>
                <w:color w:val="303030"/>
                <w:kern w:val="0"/>
                <w:szCs w:val="22"/>
                <w14:ligatures w14:val="none"/>
              </w:rPr>
              <w:br/>
              <w:t xml:space="preserve">D4. (Deviations): Moderate Risk. The study introduced CCSV, a novel, manufacturer-specific ventilation method for which staff received specific training. While the assignment was pragmatic, the introduction of a new, studied intervention risks study personnel consciously or unconsciously undermining implementation neutrality of the comparator groups. </w:t>
            </w:r>
            <w:r w:rsidRPr="00BA6E4E">
              <w:rPr>
                <w:rFonts w:ascii="Times New Roman" w:eastAsia="Times New Roman" w:hAnsi="Times New Roman" w:cs="Times New Roman"/>
                <w:color w:val="303030"/>
                <w:kern w:val="0"/>
                <w:szCs w:val="22"/>
                <w14:ligatures w14:val="none"/>
              </w:rPr>
              <w:br/>
              <w:t>D6. (Outcome Measurement): Moderate Risk. CPC 1–2 is subjective, and assessor blinding to the prehospital ventilation mode is not mentioned.</w:t>
            </w:r>
          </w:p>
        </w:tc>
      </w:tr>
      <w:tr w:rsidR="00634C98" w:rsidRPr="00BA6E4E" w14:paraId="4631832B" w14:textId="77777777" w:rsidTr="00634C98">
        <w:trPr>
          <w:trHeight w:val="2610"/>
        </w:trPr>
        <w:tc>
          <w:tcPr>
            <w:tcW w:w="1920" w:type="dxa"/>
            <w:tcBorders>
              <w:top w:val="nil"/>
              <w:left w:val="single" w:sz="4" w:space="0" w:color="auto"/>
              <w:bottom w:val="single" w:sz="4" w:space="0" w:color="auto"/>
              <w:right w:val="single" w:sz="4" w:space="0" w:color="auto"/>
            </w:tcBorders>
            <w:shd w:val="clear" w:color="000000" w:fill="FFFFFF"/>
            <w:vAlign w:val="center"/>
            <w:hideMark/>
          </w:tcPr>
          <w:p w14:paraId="76621F81"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Kim, 2025</w:t>
            </w:r>
          </w:p>
        </w:tc>
        <w:tc>
          <w:tcPr>
            <w:tcW w:w="10580" w:type="dxa"/>
            <w:tcBorders>
              <w:top w:val="nil"/>
              <w:left w:val="nil"/>
              <w:bottom w:val="single" w:sz="4" w:space="0" w:color="auto"/>
              <w:right w:val="single" w:sz="4" w:space="0" w:color="auto"/>
            </w:tcBorders>
            <w:shd w:val="clear" w:color="000000" w:fill="FFFFFF"/>
            <w:vAlign w:val="center"/>
            <w:hideMark/>
          </w:tcPr>
          <w:p w14:paraId="0E78925A" w14:textId="159FF2F8" w:rsidR="002F5FD7"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 xml:space="preserve">D1. (Confounding): </w:t>
            </w:r>
            <w:r w:rsidR="002F5FD7" w:rsidRPr="00BA6E4E">
              <w:rPr>
                <w:rFonts w:ascii="Times New Roman" w:eastAsia="Times New Roman" w:hAnsi="Times New Roman" w:cs="Times New Roman"/>
                <w:color w:val="303030"/>
                <w:kern w:val="0"/>
                <w:szCs w:val="22"/>
                <w14:ligatures w14:val="none"/>
              </w:rPr>
              <w:t>Moderate Risk. Used propensity score matching (PSM) and subsequent logistic regression, achieving balance after adjusting for sex, age, witnessed cardiac arrest, bystander CPR, initial rhythm, no-flow time, and total chest compression time. However, as with all observational studies, propensity score matching can only account for measured confounders; residual confounding from unmeasured variables cannot be completely excluded.</w:t>
            </w:r>
          </w:p>
          <w:p w14:paraId="2D5F9059" w14:textId="41BD1918"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 xml:space="preserve">D3. (Selection): Moderate Risk. Two MV patients were excluded because they were switched back to BV due to failure to consistently attain 50% of the target tidal volume, which is an exclusion based on a post-intervention measure, risking selection bias. </w:t>
            </w:r>
            <w:r w:rsidRPr="00BA6E4E">
              <w:rPr>
                <w:rFonts w:ascii="Times New Roman" w:eastAsia="Times New Roman" w:hAnsi="Times New Roman" w:cs="Times New Roman"/>
                <w:color w:val="303030"/>
                <w:kern w:val="0"/>
                <w:szCs w:val="22"/>
                <w14:ligatures w14:val="none"/>
              </w:rPr>
              <w:br/>
              <w:t>D4. (Deviations): Low Risk. This was a retrospective study based on hospital protocol changes implemented due to the COVID-19 pandemic; it was not conducted in an experimental context where deviations arise from the study design itself.</w:t>
            </w:r>
          </w:p>
        </w:tc>
      </w:tr>
      <w:tr w:rsidR="00634C98" w:rsidRPr="00BA6E4E" w14:paraId="1977A4A6" w14:textId="77777777" w:rsidTr="00634C98">
        <w:trPr>
          <w:trHeight w:val="2030"/>
        </w:trPr>
        <w:tc>
          <w:tcPr>
            <w:tcW w:w="1920" w:type="dxa"/>
            <w:tcBorders>
              <w:top w:val="nil"/>
              <w:left w:val="single" w:sz="4" w:space="0" w:color="auto"/>
              <w:bottom w:val="nil"/>
              <w:right w:val="single" w:sz="4" w:space="0" w:color="auto"/>
            </w:tcBorders>
            <w:shd w:val="clear" w:color="000000" w:fill="FFFFFF"/>
            <w:hideMark/>
          </w:tcPr>
          <w:p w14:paraId="7481E47B"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lastRenderedPageBreak/>
              <w:t>Turowski, 2025</w:t>
            </w:r>
          </w:p>
        </w:tc>
        <w:tc>
          <w:tcPr>
            <w:tcW w:w="10580" w:type="dxa"/>
            <w:tcBorders>
              <w:top w:val="nil"/>
              <w:left w:val="nil"/>
              <w:bottom w:val="single" w:sz="4" w:space="0" w:color="auto"/>
              <w:right w:val="single" w:sz="4" w:space="0" w:color="auto"/>
            </w:tcBorders>
            <w:shd w:val="clear" w:color="000000" w:fill="FFFFFF"/>
            <w:vAlign w:val="center"/>
            <w:hideMark/>
          </w:tcPr>
          <w:p w14:paraId="310404A4" w14:textId="3438CCAA" w:rsidR="00E67FBA"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 xml:space="preserve">D1 (Confounding): </w:t>
            </w:r>
            <w:r w:rsidR="00E67FBA" w:rsidRPr="00BA6E4E">
              <w:rPr>
                <w:rFonts w:ascii="Times New Roman" w:eastAsia="Times New Roman" w:hAnsi="Times New Roman" w:cs="Times New Roman"/>
                <w:color w:val="303030"/>
                <w:kern w:val="0"/>
                <w:szCs w:val="22"/>
                <w14:ligatures w14:val="none"/>
              </w:rPr>
              <w:t>Moderate Risk. Confounding was addressed by comparing observed ROSC (</w:t>
            </w:r>
            <w:proofErr w:type="spellStart"/>
            <w:r w:rsidR="00E67FBA" w:rsidRPr="00BA6E4E">
              <w:rPr>
                <w:rFonts w:ascii="Times New Roman" w:eastAsia="Times New Roman" w:hAnsi="Times New Roman" w:cs="Times New Roman"/>
                <w:color w:val="303030"/>
                <w:kern w:val="0"/>
                <w:szCs w:val="22"/>
                <w14:ligatures w14:val="none"/>
              </w:rPr>
              <w:t>ROSCobs</w:t>
            </w:r>
            <w:proofErr w:type="spellEnd"/>
            <w:r w:rsidR="00E67FBA" w:rsidRPr="00BA6E4E">
              <w:rPr>
                <w:rFonts w:ascii="Times New Roman" w:eastAsia="Times New Roman" w:hAnsi="Times New Roman" w:cs="Times New Roman"/>
                <w:color w:val="303030"/>
                <w:kern w:val="0"/>
                <w:szCs w:val="22"/>
                <w14:ligatures w14:val="none"/>
              </w:rPr>
              <w:t>) with RACA-predicted ROSC (</w:t>
            </w:r>
            <w:proofErr w:type="spellStart"/>
            <w:r w:rsidR="00E67FBA" w:rsidRPr="00BA6E4E">
              <w:rPr>
                <w:rFonts w:ascii="Times New Roman" w:eastAsia="Times New Roman" w:hAnsi="Times New Roman" w:cs="Times New Roman"/>
                <w:color w:val="303030"/>
                <w:kern w:val="0"/>
                <w:szCs w:val="22"/>
                <w14:ligatures w14:val="none"/>
              </w:rPr>
              <w:t>ROSCexp</w:t>
            </w:r>
            <w:proofErr w:type="spellEnd"/>
            <w:r w:rsidR="00E67FBA" w:rsidRPr="00BA6E4E">
              <w:rPr>
                <w:rFonts w:ascii="Times New Roman" w:eastAsia="Times New Roman" w:hAnsi="Times New Roman" w:cs="Times New Roman"/>
                <w:color w:val="303030"/>
                <w:kern w:val="0"/>
                <w:szCs w:val="22"/>
                <w14:ligatures w14:val="none"/>
              </w:rPr>
              <w:t>), which incorporates numerous measured prognostic factors (e.g., age, initial rhythm, time variables). However, despite comprehensive adjustment using the RACA model, residual confounding from unmeasured or unavailable variables inherent to this observational registry study cannot be excluded.</w:t>
            </w:r>
          </w:p>
          <w:p w14:paraId="2CB43951"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 xml:space="preserve"> D3 &amp; 5. (Selection &amp; Missing Data): Moderate Risk. The analysis was restricted to a complete case cohort (N=3,195 included from N=7,353 ETI patients) due to missing RACA scores or ventilation data (57% attrition). This large exclusion due to data availability risks selection bias. </w:t>
            </w:r>
            <w:r w:rsidRPr="00BA6E4E">
              <w:rPr>
                <w:rFonts w:ascii="Times New Roman" w:eastAsia="Times New Roman" w:hAnsi="Times New Roman" w:cs="Times New Roman"/>
                <w:color w:val="303030"/>
                <w:kern w:val="0"/>
                <w:szCs w:val="22"/>
                <w14:ligatures w14:val="none"/>
              </w:rPr>
              <w:br/>
              <w:t xml:space="preserve">D4. (Deviations): Low Risk. This was a retrospective analysis of a national registry. Ventilation strategy was physician-determined as part of routine </w:t>
            </w:r>
            <w:proofErr w:type="gramStart"/>
            <w:r w:rsidRPr="00BA6E4E">
              <w:rPr>
                <w:rFonts w:ascii="Times New Roman" w:eastAsia="Times New Roman" w:hAnsi="Times New Roman" w:cs="Times New Roman"/>
                <w:color w:val="303030"/>
                <w:kern w:val="0"/>
                <w:szCs w:val="22"/>
                <w14:ligatures w14:val="none"/>
              </w:rPr>
              <w:t>care,</w:t>
            </w:r>
            <w:proofErr w:type="gramEnd"/>
            <w:r w:rsidRPr="00BA6E4E">
              <w:rPr>
                <w:rFonts w:ascii="Times New Roman" w:eastAsia="Times New Roman" w:hAnsi="Times New Roman" w:cs="Times New Roman"/>
                <w:color w:val="303030"/>
                <w:kern w:val="0"/>
                <w:szCs w:val="22"/>
                <w14:ligatures w14:val="none"/>
              </w:rPr>
              <w:t xml:space="preserve"> thus deviations were not due to an experimental context.</w:t>
            </w:r>
          </w:p>
          <w:p w14:paraId="3627370C" w14:textId="6944C032" w:rsidR="00067DB8" w:rsidRPr="00BA6E4E" w:rsidRDefault="00067DB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D7. (Selection of Reported Result): Moderate Risk. No publicly available study protocol or statistical analysis plan was available to confirm that the reported analyses were prespecified. Therefore, selective reporting could not be confidently excluded, and this domain was judged to be at moderate risk of bias</w:t>
            </w:r>
          </w:p>
        </w:tc>
      </w:tr>
      <w:tr w:rsidR="00634C98" w:rsidRPr="00BA6E4E" w14:paraId="2432A2ED" w14:textId="77777777" w:rsidTr="00634C98">
        <w:trPr>
          <w:trHeight w:val="2320"/>
        </w:trPr>
        <w:tc>
          <w:tcPr>
            <w:tcW w:w="1920" w:type="dxa"/>
            <w:tcBorders>
              <w:top w:val="single" w:sz="4" w:space="0" w:color="auto"/>
              <w:left w:val="single" w:sz="4" w:space="0" w:color="auto"/>
              <w:bottom w:val="single" w:sz="4" w:space="0" w:color="auto"/>
              <w:right w:val="single" w:sz="4" w:space="0" w:color="auto"/>
            </w:tcBorders>
            <w:shd w:val="clear" w:color="000000" w:fill="FFFFFF"/>
            <w:hideMark/>
          </w:tcPr>
          <w:p w14:paraId="1DF42D41"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proofErr w:type="spellStart"/>
            <w:r w:rsidRPr="00BA6E4E">
              <w:rPr>
                <w:rFonts w:ascii="Times New Roman" w:eastAsia="Times New Roman" w:hAnsi="Times New Roman" w:cs="Times New Roman"/>
                <w:color w:val="303030"/>
                <w:kern w:val="0"/>
                <w:szCs w:val="22"/>
                <w14:ligatures w14:val="none"/>
              </w:rPr>
              <w:t>Tangpaisarn</w:t>
            </w:r>
            <w:proofErr w:type="spellEnd"/>
            <w:r w:rsidRPr="00BA6E4E">
              <w:rPr>
                <w:rFonts w:ascii="Times New Roman" w:eastAsia="Times New Roman" w:hAnsi="Times New Roman" w:cs="Times New Roman"/>
                <w:color w:val="303030"/>
                <w:kern w:val="0"/>
                <w:szCs w:val="22"/>
                <w14:ligatures w14:val="none"/>
              </w:rPr>
              <w:t>, 2023</w:t>
            </w:r>
          </w:p>
        </w:tc>
        <w:tc>
          <w:tcPr>
            <w:tcW w:w="10580" w:type="dxa"/>
            <w:tcBorders>
              <w:top w:val="nil"/>
              <w:left w:val="nil"/>
              <w:bottom w:val="single" w:sz="4" w:space="0" w:color="auto"/>
              <w:right w:val="single" w:sz="4" w:space="0" w:color="auto"/>
            </w:tcBorders>
            <w:shd w:val="clear" w:color="000000" w:fill="FFFFFF"/>
            <w:vAlign w:val="center"/>
            <w:hideMark/>
          </w:tcPr>
          <w:p w14:paraId="3B78CBE3"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 xml:space="preserve">D1 (Randomization): Used online computer program with opaque sealed envelopes for concealment. This ensures the generation of a random sequence and its concealment. </w:t>
            </w:r>
            <w:r w:rsidRPr="00BA6E4E">
              <w:rPr>
                <w:rFonts w:ascii="Times New Roman" w:eastAsia="Times New Roman" w:hAnsi="Times New Roman" w:cs="Times New Roman"/>
                <w:color w:val="303030"/>
                <w:kern w:val="0"/>
                <w:szCs w:val="22"/>
                <w14:ligatures w14:val="none"/>
              </w:rPr>
              <w:br/>
              <w:t xml:space="preserve">D2 (Deviations): Unblinded trial design. Analysis performed in an intention-to-treat manner. Zero patients were excluded post-randomization. </w:t>
            </w:r>
            <w:r w:rsidRPr="00BA6E4E">
              <w:rPr>
                <w:rFonts w:ascii="Times New Roman" w:eastAsia="Times New Roman" w:hAnsi="Times New Roman" w:cs="Times New Roman"/>
                <w:color w:val="303030"/>
                <w:kern w:val="0"/>
                <w:szCs w:val="22"/>
                <w14:ligatures w14:val="none"/>
              </w:rPr>
              <w:br/>
              <w:t xml:space="preserve">D3: 60 patients randomized, and all 60 were included in the final analysis. </w:t>
            </w:r>
            <w:r w:rsidRPr="00BA6E4E">
              <w:rPr>
                <w:rFonts w:ascii="Times New Roman" w:eastAsia="Times New Roman" w:hAnsi="Times New Roman" w:cs="Times New Roman"/>
                <w:color w:val="303030"/>
                <w:kern w:val="0"/>
                <w:szCs w:val="22"/>
                <w14:ligatures w14:val="none"/>
              </w:rPr>
              <w:br/>
              <w:t>D4 (Measurement): Primary outcome (</w:t>
            </w:r>
            <w:proofErr w:type="spellStart"/>
            <w:r w:rsidRPr="00BA6E4E">
              <w:rPr>
                <w:rFonts w:ascii="Times New Roman" w:eastAsia="Times New Roman" w:hAnsi="Times New Roman" w:cs="Times New Roman"/>
                <w:color w:val="303030"/>
                <w:kern w:val="0"/>
                <w:szCs w:val="22"/>
                <w14:ligatures w14:val="none"/>
              </w:rPr>
              <w:t>PaO</w:t>
            </w:r>
            <w:proofErr w:type="spellEnd"/>
            <w:r w:rsidRPr="00BA6E4E">
              <w:rPr>
                <w:rFonts w:ascii="Times New Roman" w:eastAsia="Times New Roman" w:hAnsi="Times New Roman" w:cs="Times New Roman"/>
                <w:color w:val="303030"/>
                <w:kern w:val="0"/>
                <w:szCs w:val="22"/>
                <w14:ligatures w14:val="none"/>
              </w:rPr>
              <w:t xml:space="preserve">₂) is measured objectively by ABG. Secondary outcomes (CPC/survival) were collected by a blinded team. </w:t>
            </w:r>
            <w:r w:rsidRPr="00BA6E4E">
              <w:rPr>
                <w:rFonts w:ascii="Times New Roman" w:eastAsia="Times New Roman" w:hAnsi="Times New Roman" w:cs="Times New Roman"/>
                <w:color w:val="303030"/>
                <w:kern w:val="0"/>
                <w:szCs w:val="22"/>
                <w14:ligatures w14:val="none"/>
              </w:rPr>
              <w:br/>
              <w:t>D5 (Selection): Prospectively registered (TCTR20211113002) and the primary outcome was reported as specified.</w:t>
            </w:r>
          </w:p>
        </w:tc>
      </w:tr>
      <w:tr w:rsidR="00634C98" w:rsidRPr="00BA6E4E" w14:paraId="5CB4BD54" w14:textId="77777777" w:rsidTr="00634C98">
        <w:trPr>
          <w:trHeight w:val="2030"/>
        </w:trPr>
        <w:tc>
          <w:tcPr>
            <w:tcW w:w="1920" w:type="dxa"/>
            <w:tcBorders>
              <w:top w:val="nil"/>
              <w:left w:val="single" w:sz="4" w:space="0" w:color="auto"/>
              <w:bottom w:val="single" w:sz="4" w:space="0" w:color="auto"/>
              <w:right w:val="single" w:sz="4" w:space="0" w:color="auto"/>
            </w:tcBorders>
            <w:shd w:val="clear" w:color="000000" w:fill="FFFFFF"/>
            <w:vAlign w:val="center"/>
            <w:hideMark/>
          </w:tcPr>
          <w:p w14:paraId="45A1214F"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Shin, 2024</w:t>
            </w:r>
          </w:p>
        </w:tc>
        <w:tc>
          <w:tcPr>
            <w:tcW w:w="10580" w:type="dxa"/>
            <w:tcBorders>
              <w:top w:val="nil"/>
              <w:left w:val="nil"/>
              <w:bottom w:val="single" w:sz="4" w:space="0" w:color="auto"/>
              <w:right w:val="single" w:sz="4" w:space="0" w:color="auto"/>
            </w:tcBorders>
            <w:shd w:val="clear" w:color="000000" w:fill="FFFFFF"/>
            <w:vAlign w:val="center"/>
            <w:hideMark/>
          </w:tcPr>
          <w:p w14:paraId="5187AAEA"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 xml:space="preserve">D1 (Randomization): Random assignment 1:1 using a sealed envelope, suggesting adequate concealment. </w:t>
            </w:r>
            <w:r w:rsidRPr="00BA6E4E">
              <w:rPr>
                <w:rFonts w:ascii="Times New Roman" w:eastAsia="Times New Roman" w:hAnsi="Times New Roman" w:cs="Times New Roman"/>
                <w:color w:val="303030"/>
                <w:kern w:val="0"/>
                <w:szCs w:val="22"/>
                <w14:ligatures w14:val="none"/>
              </w:rPr>
              <w:br/>
              <w:t xml:space="preserve">D2 (Deviations): MV/BV comparison is inherently unblinded. Analysis was implicitly ITT, with exclusions being of ineligible participants pre-analysis. </w:t>
            </w:r>
            <w:r w:rsidRPr="00BA6E4E">
              <w:rPr>
                <w:rFonts w:ascii="Times New Roman" w:eastAsia="Times New Roman" w:hAnsi="Times New Roman" w:cs="Times New Roman"/>
                <w:color w:val="303030"/>
                <w:kern w:val="0"/>
                <w:szCs w:val="22"/>
                <w14:ligatures w14:val="none"/>
              </w:rPr>
              <w:br/>
              <w:t xml:space="preserve">D3 (Missing Data): 60 patients enrolled, and 60 analyzed for the primary outcome (ROSC), meeting the "all, or nearly all" criterion. </w:t>
            </w:r>
            <w:r w:rsidRPr="00BA6E4E">
              <w:rPr>
                <w:rFonts w:ascii="Times New Roman" w:eastAsia="Times New Roman" w:hAnsi="Times New Roman" w:cs="Times New Roman"/>
                <w:color w:val="303030"/>
                <w:kern w:val="0"/>
                <w:szCs w:val="22"/>
                <w14:ligatures w14:val="none"/>
              </w:rPr>
              <w:br/>
              <w:t xml:space="preserve">D4 (Measurement): ROSC is an objective outcome (return of palpable pulse). </w:t>
            </w:r>
            <w:r w:rsidRPr="00BA6E4E">
              <w:rPr>
                <w:rFonts w:ascii="Times New Roman" w:eastAsia="Times New Roman" w:hAnsi="Times New Roman" w:cs="Times New Roman"/>
                <w:color w:val="303030"/>
                <w:kern w:val="0"/>
                <w:szCs w:val="22"/>
                <w14:ligatures w14:val="none"/>
              </w:rPr>
              <w:br/>
              <w:t>D5 (Selection): Registered (NCT05550454) and reported the pre-specified primary outcome.</w:t>
            </w:r>
          </w:p>
        </w:tc>
      </w:tr>
      <w:tr w:rsidR="00634C98" w:rsidRPr="00BA6E4E" w14:paraId="452E1072" w14:textId="77777777" w:rsidTr="00634C98">
        <w:trPr>
          <w:trHeight w:val="3480"/>
        </w:trPr>
        <w:tc>
          <w:tcPr>
            <w:tcW w:w="1920" w:type="dxa"/>
            <w:tcBorders>
              <w:top w:val="nil"/>
              <w:left w:val="single" w:sz="4" w:space="0" w:color="auto"/>
              <w:bottom w:val="single" w:sz="4" w:space="0" w:color="auto"/>
              <w:right w:val="single" w:sz="4" w:space="0" w:color="auto"/>
            </w:tcBorders>
            <w:shd w:val="clear" w:color="000000" w:fill="FFFFFF"/>
            <w:hideMark/>
          </w:tcPr>
          <w:p w14:paraId="1CD0360E"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lastRenderedPageBreak/>
              <w:t>Lotfi, 2025</w:t>
            </w:r>
          </w:p>
        </w:tc>
        <w:tc>
          <w:tcPr>
            <w:tcW w:w="10580" w:type="dxa"/>
            <w:tcBorders>
              <w:top w:val="nil"/>
              <w:left w:val="nil"/>
              <w:bottom w:val="single" w:sz="4" w:space="0" w:color="auto"/>
              <w:right w:val="single" w:sz="4" w:space="0" w:color="auto"/>
            </w:tcBorders>
            <w:shd w:val="clear" w:color="000000" w:fill="FFFFFF"/>
            <w:vAlign w:val="center"/>
            <w:hideMark/>
          </w:tcPr>
          <w:p w14:paraId="7AB67832" w14:textId="77777777" w:rsidR="00634C98" w:rsidRPr="00BA6E4E" w:rsidRDefault="00634C98" w:rsidP="00634C98">
            <w:pPr>
              <w:spacing w:after="0" w:line="240" w:lineRule="auto"/>
              <w:rPr>
                <w:rFonts w:ascii="Times New Roman" w:eastAsia="Times New Roman" w:hAnsi="Times New Roman" w:cs="Times New Roman"/>
                <w:color w:val="303030"/>
                <w:kern w:val="0"/>
                <w:szCs w:val="22"/>
                <w14:ligatures w14:val="none"/>
              </w:rPr>
            </w:pPr>
            <w:r w:rsidRPr="00BA6E4E">
              <w:rPr>
                <w:rFonts w:ascii="Times New Roman" w:eastAsia="Times New Roman" w:hAnsi="Times New Roman" w:cs="Times New Roman"/>
                <w:color w:val="303030"/>
                <w:kern w:val="0"/>
                <w:szCs w:val="22"/>
                <w14:ligatures w14:val="none"/>
              </w:rPr>
              <w:t xml:space="preserve">D1 (Randomization): Block randomization with a block size of six was generated via www.sealedenvelop.com, ensuring a random sequence and allocation concealment. Baseline characteristics were confirmed to be homogeneous. </w:t>
            </w:r>
            <w:r w:rsidRPr="00BA6E4E">
              <w:rPr>
                <w:rFonts w:ascii="Times New Roman" w:eastAsia="Times New Roman" w:hAnsi="Times New Roman" w:cs="Times New Roman"/>
                <w:color w:val="303030"/>
                <w:kern w:val="0"/>
                <w:szCs w:val="22"/>
                <w14:ligatures w14:val="none"/>
              </w:rPr>
              <w:br/>
              <w:t xml:space="preserve">D2 (Deviations): Assesses the effect of assignment to intervention. While providers were inherently unblinded, deviations (switching ventilation mode) were based on clinical necessity (e.g., low SpO2​ or alarms). The analysis was an appropriate intention-to-treat (ITT) analysis, including all 61 randomized patients. </w:t>
            </w:r>
            <w:r w:rsidRPr="00BA6E4E">
              <w:rPr>
                <w:rFonts w:ascii="Times New Roman" w:eastAsia="Times New Roman" w:hAnsi="Times New Roman" w:cs="Times New Roman"/>
                <w:color w:val="303030"/>
                <w:kern w:val="0"/>
                <w:szCs w:val="22"/>
                <w14:ligatures w14:val="none"/>
              </w:rPr>
              <w:br/>
              <w:t xml:space="preserve">D3 (Missing Data): Data for the primary outcome (PO2​) were reported for all 61 patients (MV </w:t>
            </w:r>
            <w:r w:rsidRPr="00BA6E4E">
              <w:rPr>
                <w:rFonts w:ascii="Times New Roman" w:eastAsia="Times New Roman" w:hAnsi="Times New Roman" w:cs="Times New Roman"/>
                <w:i/>
                <w:iCs/>
                <w:color w:val="303030"/>
                <w:kern w:val="0"/>
                <w:szCs w:val="22"/>
                <w14:ligatures w14:val="none"/>
              </w:rPr>
              <w:t>n</w:t>
            </w:r>
            <w:r w:rsidRPr="00BA6E4E">
              <w:rPr>
                <w:rFonts w:ascii="Times New Roman" w:eastAsia="Times New Roman" w:hAnsi="Times New Roman" w:cs="Times New Roman"/>
                <w:color w:val="303030"/>
                <w:kern w:val="0"/>
                <w:szCs w:val="22"/>
                <w14:ligatures w14:val="none"/>
              </w:rPr>
              <w:t xml:space="preserve">=31, Manual </w:t>
            </w:r>
            <w:r w:rsidRPr="00BA6E4E">
              <w:rPr>
                <w:rFonts w:ascii="Times New Roman" w:eastAsia="Times New Roman" w:hAnsi="Times New Roman" w:cs="Times New Roman"/>
                <w:i/>
                <w:iCs/>
                <w:color w:val="303030"/>
                <w:kern w:val="0"/>
                <w:szCs w:val="22"/>
                <w14:ligatures w14:val="none"/>
              </w:rPr>
              <w:t>n</w:t>
            </w:r>
            <w:r w:rsidRPr="00BA6E4E">
              <w:rPr>
                <w:rFonts w:ascii="Times New Roman" w:eastAsia="Times New Roman" w:hAnsi="Times New Roman" w:cs="Times New Roman"/>
                <w:color w:val="303030"/>
                <w:kern w:val="0"/>
                <w:szCs w:val="22"/>
                <w14:ligatures w14:val="none"/>
              </w:rPr>
              <w:t xml:space="preserve">=30), meeting the "all, or nearly all" criterion. </w:t>
            </w:r>
            <w:r w:rsidRPr="00BA6E4E">
              <w:rPr>
                <w:rFonts w:ascii="Times New Roman" w:eastAsia="Times New Roman" w:hAnsi="Times New Roman" w:cs="Times New Roman"/>
                <w:color w:val="303030"/>
                <w:kern w:val="0"/>
                <w:szCs w:val="22"/>
                <w14:ligatures w14:val="none"/>
              </w:rPr>
              <w:br/>
              <w:t xml:space="preserve">D4 (Measurement): The outcome (PO2​) is an objective laboratory measurement using a calibrated blood gas analyzer (GEM 2000), making it unlikely to be influenced by assessor awareness. </w:t>
            </w:r>
            <w:r w:rsidRPr="00BA6E4E">
              <w:rPr>
                <w:rFonts w:ascii="Times New Roman" w:eastAsia="Times New Roman" w:hAnsi="Times New Roman" w:cs="Times New Roman"/>
                <w:color w:val="303030"/>
                <w:kern w:val="0"/>
                <w:szCs w:val="22"/>
                <w14:ligatures w14:val="none"/>
              </w:rPr>
              <w:br/>
              <w:t>D5 (Selection): The trial was prospectively registered (IRCT20240106060630N1), and the primary VBG outcomes were pre-specified and reported.</w:t>
            </w:r>
          </w:p>
        </w:tc>
      </w:tr>
    </w:tbl>
    <w:p w14:paraId="7171C286" w14:textId="77777777" w:rsidR="002C4FBB" w:rsidRPr="002C4FBB" w:rsidRDefault="002C4FBB" w:rsidP="00634C98">
      <w:pPr>
        <w:tabs>
          <w:tab w:val="left" w:pos="3600"/>
        </w:tabs>
        <w:rPr>
          <w:rFonts w:ascii="Times New Roman" w:hAnsi="Times New Roman" w:cs="Times New Roman"/>
          <w:szCs w:val="22"/>
        </w:rPr>
      </w:pPr>
    </w:p>
    <w:p w14:paraId="0282879F" w14:textId="03BE8C9A" w:rsidR="002C4FBB" w:rsidRPr="002C4FBB" w:rsidRDefault="002C4FBB" w:rsidP="00634C98">
      <w:pPr>
        <w:tabs>
          <w:tab w:val="left" w:pos="3600"/>
        </w:tabs>
        <w:rPr>
          <w:rFonts w:ascii="Times New Roman" w:hAnsi="Times New Roman" w:cs="Times New Roman"/>
          <w:szCs w:val="22"/>
        </w:rPr>
        <w:sectPr w:rsidR="002C4FBB" w:rsidRPr="002C4FBB" w:rsidSect="00AD45F5">
          <w:pgSz w:w="16840" w:h="11900" w:orient="landscape"/>
          <w:pgMar w:top="1440" w:right="1440" w:bottom="1440" w:left="1440" w:header="708" w:footer="708" w:gutter="0"/>
          <w:cols w:space="708"/>
          <w:docGrid w:linePitch="360"/>
        </w:sectPr>
      </w:pPr>
    </w:p>
    <w:p w14:paraId="43D7DF98" w14:textId="021074EC" w:rsidR="002C4FBB" w:rsidRPr="002C4FBB" w:rsidRDefault="002C4FBB" w:rsidP="00634C98">
      <w:pPr>
        <w:tabs>
          <w:tab w:val="left" w:pos="3600"/>
        </w:tabs>
        <w:rPr>
          <w:rFonts w:ascii="Times New Roman" w:hAnsi="Times New Roman" w:cs="Times New Roman"/>
          <w:szCs w:val="22"/>
        </w:rPr>
      </w:pPr>
      <w:r w:rsidRPr="002C4FBB">
        <w:rPr>
          <w:rFonts w:ascii="Times New Roman" w:hAnsi="Times New Roman" w:cs="Times New Roman"/>
          <w:b/>
          <w:bCs/>
          <w:color w:val="000000"/>
          <w:szCs w:val="22"/>
        </w:rPr>
        <w:lastRenderedPageBreak/>
        <w:t>Table S</w:t>
      </w:r>
      <w:r w:rsidR="009E51F8">
        <w:rPr>
          <w:rFonts w:ascii="Times New Roman" w:hAnsi="Times New Roman" w:cs="Times New Roman"/>
          <w:b/>
          <w:bCs/>
          <w:color w:val="000000"/>
          <w:szCs w:val="22"/>
        </w:rPr>
        <w:t>4</w:t>
      </w:r>
      <w:r w:rsidRPr="002C4FBB">
        <w:rPr>
          <w:rFonts w:ascii="Times New Roman" w:hAnsi="Times New Roman" w:cs="Times New Roman"/>
          <w:b/>
          <w:bCs/>
          <w:color w:val="000000"/>
          <w:szCs w:val="22"/>
        </w:rPr>
        <w:t>.</w:t>
      </w:r>
      <w:r w:rsidRPr="002C4FBB">
        <w:rPr>
          <w:rFonts w:ascii="Times New Roman" w:hAnsi="Times New Roman" w:cs="Times New Roman"/>
          <w:color w:val="000000"/>
          <w:szCs w:val="22"/>
        </w:rPr>
        <w:t xml:space="preserve"> Summary of Findings (GRADE): Mechanical Ventilation vs Bag-Valve-Mask Ventilation During Cardiopulmonary Resuscitation</w:t>
      </w:r>
    </w:p>
    <w:tbl>
      <w:tblPr>
        <w:tblStyle w:val="TableGrid"/>
        <w:tblW w:w="9810" w:type="dxa"/>
        <w:jc w:val="center"/>
        <w:tblLayout w:type="fixed"/>
        <w:tblLook w:val="04A0" w:firstRow="1" w:lastRow="0" w:firstColumn="1" w:lastColumn="0" w:noHBand="0" w:noVBand="1"/>
      </w:tblPr>
      <w:tblGrid>
        <w:gridCol w:w="1620"/>
        <w:gridCol w:w="1980"/>
        <w:gridCol w:w="1260"/>
        <w:gridCol w:w="1463"/>
        <w:gridCol w:w="1327"/>
        <w:gridCol w:w="2160"/>
      </w:tblGrid>
      <w:tr w:rsidR="00305BA8" w:rsidRPr="00305BA8" w14:paraId="3BF52BB5" w14:textId="77777777" w:rsidTr="00305BA8">
        <w:trPr>
          <w:jc w:val="center"/>
        </w:trPr>
        <w:tc>
          <w:tcPr>
            <w:tcW w:w="1620" w:type="dxa"/>
            <w:hideMark/>
          </w:tcPr>
          <w:p w14:paraId="711D53FC" w14:textId="77777777" w:rsidR="00305BA8" w:rsidRPr="00305BA8" w:rsidRDefault="00305BA8" w:rsidP="00305BA8">
            <w:pPr>
              <w:tabs>
                <w:tab w:val="left" w:pos="3600"/>
              </w:tabs>
              <w:spacing w:after="160" w:line="259" w:lineRule="auto"/>
              <w:rPr>
                <w:rFonts w:ascii="Times New Roman" w:hAnsi="Times New Roman" w:cs="Times New Roman"/>
                <w:b/>
                <w:bCs/>
                <w:szCs w:val="22"/>
              </w:rPr>
            </w:pPr>
            <w:r w:rsidRPr="00305BA8">
              <w:rPr>
                <w:rFonts w:ascii="Times New Roman" w:hAnsi="Times New Roman" w:cs="Times New Roman"/>
                <w:b/>
                <w:bCs/>
                <w:szCs w:val="22"/>
              </w:rPr>
              <w:t>Outcome</w:t>
            </w:r>
          </w:p>
        </w:tc>
        <w:tc>
          <w:tcPr>
            <w:tcW w:w="1980" w:type="dxa"/>
            <w:hideMark/>
          </w:tcPr>
          <w:p w14:paraId="0D2BE5E2" w14:textId="66A1EC68" w:rsidR="00305BA8" w:rsidRPr="00305BA8" w:rsidRDefault="00305BA8" w:rsidP="00305BA8">
            <w:pPr>
              <w:tabs>
                <w:tab w:val="left" w:pos="3600"/>
              </w:tabs>
              <w:spacing w:after="160" w:line="259" w:lineRule="auto"/>
              <w:rPr>
                <w:rFonts w:ascii="Times New Roman" w:hAnsi="Times New Roman" w:cs="Times New Roman"/>
                <w:b/>
                <w:bCs/>
                <w:szCs w:val="22"/>
              </w:rPr>
            </w:pPr>
            <w:r w:rsidRPr="00305BA8">
              <w:rPr>
                <w:rFonts w:ascii="Times New Roman" w:hAnsi="Times New Roman" w:cs="Times New Roman"/>
                <w:b/>
                <w:bCs/>
                <w:szCs w:val="22"/>
              </w:rPr>
              <w:t>Anticipated Absolute Effects</w:t>
            </w:r>
          </w:p>
        </w:tc>
        <w:tc>
          <w:tcPr>
            <w:tcW w:w="1260" w:type="dxa"/>
            <w:hideMark/>
          </w:tcPr>
          <w:p w14:paraId="681EC1D3" w14:textId="77777777" w:rsidR="00305BA8" w:rsidRPr="00305BA8" w:rsidRDefault="00305BA8" w:rsidP="00305BA8">
            <w:pPr>
              <w:tabs>
                <w:tab w:val="left" w:pos="3600"/>
              </w:tabs>
              <w:spacing w:after="160" w:line="259" w:lineRule="auto"/>
              <w:rPr>
                <w:rFonts w:ascii="Times New Roman" w:hAnsi="Times New Roman" w:cs="Times New Roman"/>
                <w:b/>
                <w:bCs/>
                <w:szCs w:val="22"/>
              </w:rPr>
            </w:pPr>
            <w:r w:rsidRPr="00305BA8">
              <w:rPr>
                <w:rFonts w:ascii="Times New Roman" w:hAnsi="Times New Roman" w:cs="Times New Roman"/>
                <w:b/>
                <w:bCs/>
                <w:szCs w:val="22"/>
              </w:rPr>
              <w:t>Relative Effect (95% CI)</w:t>
            </w:r>
          </w:p>
        </w:tc>
        <w:tc>
          <w:tcPr>
            <w:tcW w:w="1463" w:type="dxa"/>
            <w:hideMark/>
          </w:tcPr>
          <w:p w14:paraId="7EFEBABA" w14:textId="77777777" w:rsidR="00305BA8" w:rsidRPr="00305BA8" w:rsidRDefault="00305BA8" w:rsidP="00305BA8">
            <w:pPr>
              <w:tabs>
                <w:tab w:val="left" w:pos="3600"/>
              </w:tabs>
              <w:spacing w:after="160" w:line="259" w:lineRule="auto"/>
              <w:rPr>
                <w:rFonts w:ascii="Times New Roman" w:hAnsi="Times New Roman" w:cs="Times New Roman"/>
                <w:b/>
                <w:bCs/>
                <w:szCs w:val="22"/>
              </w:rPr>
            </w:pPr>
            <w:r w:rsidRPr="00305BA8">
              <w:rPr>
                <w:rFonts w:ascii="Times New Roman" w:hAnsi="Times New Roman" w:cs="Times New Roman"/>
                <w:b/>
                <w:bCs/>
                <w:szCs w:val="22"/>
              </w:rPr>
              <w:t>No. of Participants (Studies)</w:t>
            </w:r>
          </w:p>
        </w:tc>
        <w:tc>
          <w:tcPr>
            <w:tcW w:w="1327" w:type="dxa"/>
            <w:hideMark/>
          </w:tcPr>
          <w:p w14:paraId="0D4E742C" w14:textId="77777777" w:rsidR="00305BA8" w:rsidRPr="00305BA8" w:rsidRDefault="00305BA8" w:rsidP="00305BA8">
            <w:pPr>
              <w:tabs>
                <w:tab w:val="left" w:pos="3600"/>
              </w:tabs>
              <w:spacing w:after="160" w:line="259" w:lineRule="auto"/>
              <w:rPr>
                <w:rFonts w:ascii="Times New Roman" w:hAnsi="Times New Roman" w:cs="Times New Roman"/>
                <w:b/>
                <w:bCs/>
                <w:szCs w:val="22"/>
              </w:rPr>
            </w:pPr>
            <w:r w:rsidRPr="00305BA8">
              <w:rPr>
                <w:rFonts w:ascii="Times New Roman" w:hAnsi="Times New Roman" w:cs="Times New Roman"/>
                <w:b/>
                <w:bCs/>
                <w:szCs w:val="22"/>
              </w:rPr>
              <w:t>Certainty of Evidence (GRADE)</w:t>
            </w:r>
          </w:p>
        </w:tc>
        <w:tc>
          <w:tcPr>
            <w:tcW w:w="2160" w:type="dxa"/>
            <w:hideMark/>
          </w:tcPr>
          <w:p w14:paraId="15CB868A" w14:textId="77777777" w:rsidR="00305BA8" w:rsidRPr="00305BA8" w:rsidRDefault="00305BA8" w:rsidP="00305BA8">
            <w:pPr>
              <w:tabs>
                <w:tab w:val="left" w:pos="3600"/>
              </w:tabs>
              <w:spacing w:after="160" w:line="259" w:lineRule="auto"/>
              <w:rPr>
                <w:rFonts w:ascii="Times New Roman" w:hAnsi="Times New Roman" w:cs="Times New Roman"/>
                <w:b/>
                <w:bCs/>
                <w:szCs w:val="22"/>
              </w:rPr>
            </w:pPr>
            <w:r w:rsidRPr="00305BA8">
              <w:rPr>
                <w:rFonts w:ascii="Times New Roman" w:hAnsi="Times New Roman" w:cs="Times New Roman"/>
                <w:b/>
                <w:bCs/>
                <w:szCs w:val="22"/>
              </w:rPr>
              <w:t>Comments</w:t>
            </w:r>
          </w:p>
        </w:tc>
      </w:tr>
      <w:tr w:rsidR="00305BA8" w:rsidRPr="00305BA8" w14:paraId="22D1E75E" w14:textId="77777777" w:rsidTr="00305BA8">
        <w:trPr>
          <w:jc w:val="center"/>
        </w:trPr>
        <w:tc>
          <w:tcPr>
            <w:tcW w:w="1620" w:type="dxa"/>
            <w:hideMark/>
          </w:tcPr>
          <w:p w14:paraId="479A94D9" w14:textId="77777777" w:rsidR="00305BA8" w:rsidRPr="00305BA8" w:rsidRDefault="00305BA8" w:rsidP="00305BA8">
            <w:pPr>
              <w:tabs>
                <w:tab w:val="left" w:pos="3600"/>
              </w:tabs>
              <w:spacing w:after="160" w:line="259" w:lineRule="auto"/>
              <w:rPr>
                <w:rFonts w:ascii="Times New Roman" w:hAnsi="Times New Roman" w:cs="Times New Roman"/>
                <w:szCs w:val="22"/>
              </w:rPr>
            </w:pPr>
            <w:r w:rsidRPr="00305BA8">
              <w:rPr>
                <w:rFonts w:ascii="Times New Roman" w:hAnsi="Times New Roman" w:cs="Times New Roman"/>
                <w:szCs w:val="22"/>
              </w:rPr>
              <w:t>Return of spontaneous circulation (ROSC)</w:t>
            </w:r>
          </w:p>
        </w:tc>
        <w:tc>
          <w:tcPr>
            <w:tcW w:w="1980" w:type="dxa"/>
            <w:hideMark/>
          </w:tcPr>
          <w:p w14:paraId="104D175C" w14:textId="77777777" w:rsidR="00305BA8" w:rsidRPr="00305BA8" w:rsidRDefault="00305BA8" w:rsidP="00305BA8">
            <w:pPr>
              <w:tabs>
                <w:tab w:val="left" w:pos="3600"/>
              </w:tabs>
              <w:spacing w:after="160" w:line="259" w:lineRule="auto"/>
              <w:rPr>
                <w:rFonts w:ascii="Times New Roman" w:hAnsi="Times New Roman" w:cs="Times New Roman"/>
                <w:szCs w:val="22"/>
              </w:rPr>
            </w:pPr>
            <w:r w:rsidRPr="00305BA8">
              <w:rPr>
                <w:rFonts w:ascii="Times New Roman" w:hAnsi="Times New Roman" w:cs="Times New Roman"/>
                <w:szCs w:val="22"/>
              </w:rPr>
              <w:t>BVM (control): 25% ROSC (typical OHCA baseline); Mechanical ventilation: 30% ROSC (absolute +4.8%)</w:t>
            </w:r>
          </w:p>
        </w:tc>
        <w:tc>
          <w:tcPr>
            <w:tcW w:w="1260" w:type="dxa"/>
            <w:hideMark/>
          </w:tcPr>
          <w:p w14:paraId="7885E5AE" w14:textId="77777777" w:rsidR="00305BA8" w:rsidRPr="00305BA8" w:rsidRDefault="00305BA8" w:rsidP="00305BA8">
            <w:pPr>
              <w:tabs>
                <w:tab w:val="left" w:pos="3600"/>
              </w:tabs>
              <w:spacing w:after="160" w:line="259" w:lineRule="auto"/>
              <w:rPr>
                <w:rFonts w:ascii="Times New Roman" w:hAnsi="Times New Roman" w:cs="Times New Roman"/>
                <w:szCs w:val="22"/>
              </w:rPr>
            </w:pPr>
            <w:r w:rsidRPr="00305BA8">
              <w:rPr>
                <w:rFonts w:ascii="Times New Roman" w:hAnsi="Times New Roman" w:cs="Times New Roman"/>
                <w:szCs w:val="22"/>
              </w:rPr>
              <w:t>OR 1.26 (1.13–1.41)</w:t>
            </w:r>
          </w:p>
        </w:tc>
        <w:tc>
          <w:tcPr>
            <w:tcW w:w="1463" w:type="dxa"/>
            <w:hideMark/>
          </w:tcPr>
          <w:p w14:paraId="43C94C6E" w14:textId="77777777" w:rsidR="00305BA8" w:rsidRPr="00305BA8" w:rsidRDefault="00305BA8" w:rsidP="00305BA8">
            <w:pPr>
              <w:tabs>
                <w:tab w:val="left" w:pos="3600"/>
              </w:tabs>
              <w:spacing w:after="160" w:line="259" w:lineRule="auto"/>
              <w:rPr>
                <w:rFonts w:ascii="Times New Roman" w:hAnsi="Times New Roman" w:cs="Times New Roman"/>
                <w:szCs w:val="22"/>
              </w:rPr>
            </w:pPr>
            <w:r w:rsidRPr="00305BA8">
              <w:rPr>
                <w:rFonts w:ascii="Times New Roman" w:hAnsi="Times New Roman" w:cs="Times New Roman"/>
                <w:szCs w:val="22"/>
              </w:rPr>
              <w:t>7,201 patients (7 studies)</w:t>
            </w:r>
          </w:p>
        </w:tc>
        <w:tc>
          <w:tcPr>
            <w:tcW w:w="1327" w:type="dxa"/>
            <w:hideMark/>
          </w:tcPr>
          <w:p w14:paraId="1C85FA58" w14:textId="77777777" w:rsidR="00305BA8" w:rsidRPr="00305BA8" w:rsidRDefault="00305BA8" w:rsidP="00305BA8">
            <w:pPr>
              <w:tabs>
                <w:tab w:val="left" w:pos="3600"/>
              </w:tabs>
              <w:spacing w:after="160" w:line="259" w:lineRule="auto"/>
              <w:rPr>
                <w:rFonts w:ascii="Times New Roman" w:hAnsi="Times New Roman" w:cs="Times New Roman"/>
                <w:szCs w:val="22"/>
              </w:rPr>
            </w:pPr>
            <w:r w:rsidRPr="00305BA8">
              <w:rPr>
                <w:rFonts w:ascii="Times New Roman" w:hAnsi="Times New Roman" w:cs="Times New Roman"/>
                <w:szCs w:val="22"/>
              </w:rPr>
              <w:t>Low</w:t>
            </w:r>
          </w:p>
        </w:tc>
        <w:tc>
          <w:tcPr>
            <w:tcW w:w="2160" w:type="dxa"/>
            <w:hideMark/>
          </w:tcPr>
          <w:p w14:paraId="5AE1C866" w14:textId="77777777" w:rsidR="00305BA8" w:rsidRPr="00305BA8" w:rsidRDefault="00305BA8" w:rsidP="00305BA8">
            <w:pPr>
              <w:tabs>
                <w:tab w:val="left" w:pos="3600"/>
              </w:tabs>
              <w:spacing w:after="160" w:line="259" w:lineRule="auto"/>
              <w:rPr>
                <w:rFonts w:ascii="Times New Roman" w:hAnsi="Times New Roman" w:cs="Times New Roman"/>
                <w:szCs w:val="22"/>
              </w:rPr>
            </w:pPr>
            <w:r w:rsidRPr="00305BA8">
              <w:rPr>
                <w:rFonts w:ascii="Times New Roman" w:hAnsi="Times New Roman" w:cs="Times New Roman"/>
                <w:szCs w:val="22"/>
              </w:rPr>
              <w:t>Downgraded for risk of bias (observational predominance) and imprecision (small RCTs). No heterogeneity (I² = 0%).</w:t>
            </w:r>
          </w:p>
        </w:tc>
      </w:tr>
      <w:tr w:rsidR="00305BA8" w:rsidRPr="00305BA8" w14:paraId="7D872BF8" w14:textId="77777777" w:rsidTr="00305BA8">
        <w:trPr>
          <w:jc w:val="center"/>
        </w:trPr>
        <w:tc>
          <w:tcPr>
            <w:tcW w:w="1620" w:type="dxa"/>
            <w:hideMark/>
          </w:tcPr>
          <w:p w14:paraId="69A5D3B8" w14:textId="77777777" w:rsidR="00305BA8" w:rsidRPr="00305BA8" w:rsidRDefault="00305BA8" w:rsidP="00305BA8">
            <w:pPr>
              <w:tabs>
                <w:tab w:val="left" w:pos="3600"/>
              </w:tabs>
              <w:spacing w:after="160" w:line="259" w:lineRule="auto"/>
              <w:rPr>
                <w:rFonts w:ascii="Times New Roman" w:hAnsi="Times New Roman" w:cs="Times New Roman"/>
                <w:szCs w:val="22"/>
              </w:rPr>
            </w:pPr>
            <w:r w:rsidRPr="00305BA8">
              <w:rPr>
                <w:rFonts w:ascii="Times New Roman" w:hAnsi="Times New Roman" w:cs="Times New Roman"/>
                <w:szCs w:val="22"/>
              </w:rPr>
              <w:t>Survival to hospital discharge</w:t>
            </w:r>
          </w:p>
        </w:tc>
        <w:tc>
          <w:tcPr>
            <w:tcW w:w="1980" w:type="dxa"/>
            <w:hideMark/>
          </w:tcPr>
          <w:p w14:paraId="19B81A21" w14:textId="77777777" w:rsidR="00305BA8" w:rsidRPr="00305BA8" w:rsidRDefault="00305BA8" w:rsidP="00305BA8">
            <w:pPr>
              <w:tabs>
                <w:tab w:val="left" w:pos="3600"/>
              </w:tabs>
              <w:spacing w:after="160" w:line="259" w:lineRule="auto"/>
              <w:rPr>
                <w:rFonts w:ascii="Times New Roman" w:hAnsi="Times New Roman" w:cs="Times New Roman"/>
                <w:szCs w:val="22"/>
              </w:rPr>
            </w:pPr>
            <w:r w:rsidRPr="00305BA8">
              <w:rPr>
                <w:rFonts w:ascii="Times New Roman" w:hAnsi="Times New Roman" w:cs="Times New Roman"/>
                <w:szCs w:val="22"/>
              </w:rPr>
              <w:t>BVM (control): 10.9% survival; Mechanical ventilation: 16.2% survival (approximately +5.3% absolute)</w:t>
            </w:r>
          </w:p>
        </w:tc>
        <w:tc>
          <w:tcPr>
            <w:tcW w:w="1260" w:type="dxa"/>
            <w:hideMark/>
          </w:tcPr>
          <w:p w14:paraId="46CF2720" w14:textId="77777777" w:rsidR="00305BA8" w:rsidRPr="00305BA8" w:rsidRDefault="00305BA8" w:rsidP="00305BA8">
            <w:pPr>
              <w:tabs>
                <w:tab w:val="left" w:pos="3600"/>
              </w:tabs>
              <w:spacing w:after="160" w:line="259" w:lineRule="auto"/>
              <w:rPr>
                <w:rFonts w:ascii="Times New Roman" w:hAnsi="Times New Roman" w:cs="Times New Roman"/>
                <w:szCs w:val="22"/>
              </w:rPr>
            </w:pPr>
            <w:r w:rsidRPr="00305BA8">
              <w:rPr>
                <w:rFonts w:ascii="Times New Roman" w:hAnsi="Times New Roman" w:cs="Times New Roman"/>
                <w:szCs w:val="22"/>
              </w:rPr>
              <w:t>OR 1.74 (1.16–2.60)</w:t>
            </w:r>
          </w:p>
        </w:tc>
        <w:tc>
          <w:tcPr>
            <w:tcW w:w="1463" w:type="dxa"/>
            <w:hideMark/>
          </w:tcPr>
          <w:p w14:paraId="141CC6E0" w14:textId="16E17E63" w:rsidR="00305BA8" w:rsidRPr="00305BA8" w:rsidRDefault="00B55B29" w:rsidP="00305BA8">
            <w:pPr>
              <w:tabs>
                <w:tab w:val="left" w:pos="3600"/>
              </w:tabs>
              <w:spacing w:after="160" w:line="259" w:lineRule="auto"/>
              <w:rPr>
                <w:rFonts w:ascii="Times New Roman" w:hAnsi="Times New Roman" w:cs="Times New Roman"/>
                <w:szCs w:val="22"/>
              </w:rPr>
            </w:pPr>
            <w:r>
              <w:rPr>
                <w:rFonts w:ascii="Times New Roman" w:hAnsi="Times New Roman" w:cs="Angsana New"/>
              </w:rPr>
              <w:t>1,103</w:t>
            </w:r>
            <w:r w:rsidR="00305BA8" w:rsidRPr="00305BA8">
              <w:rPr>
                <w:rFonts w:ascii="Times New Roman" w:hAnsi="Times New Roman" w:cs="Times New Roman"/>
                <w:szCs w:val="22"/>
              </w:rPr>
              <w:t xml:space="preserve"> patients (3 studies)</w:t>
            </w:r>
          </w:p>
        </w:tc>
        <w:tc>
          <w:tcPr>
            <w:tcW w:w="1327" w:type="dxa"/>
            <w:hideMark/>
          </w:tcPr>
          <w:p w14:paraId="2F064775" w14:textId="77777777" w:rsidR="00305BA8" w:rsidRPr="00305BA8" w:rsidRDefault="00305BA8" w:rsidP="00305BA8">
            <w:pPr>
              <w:tabs>
                <w:tab w:val="left" w:pos="3600"/>
              </w:tabs>
              <w:spacing w:after="160" w:line="259" w:lineRule="auto"/>
              <w:rPr>
                <w:rFonts w:ascii="Times New Roman" w:hAnsi="Times New Roman" w:cs="Times New Roman"/>
                <w:szCs w:val="22"/>
              </w:rPr>
            </w:pPr>
            <w:r w:rsidRPr="00305BA8">
              <w:rPr>
                <w:rFonts w:ascii="Times New Roman" w:hAnsi="Times New Roman" w:cs="Times New Roman"/>
                <w:szCs w:val="22"/>
              </w:rPr>
              <w:t>Low</w:t>
            </w:r>
          </w:p>
        </w:tc>
        <w:tc>
          <w:tcPr>
            <w:tcW w:w="2160" w:type="dxa"/>
            <w:hideMark/>
          </w:tcPr>
          <w:p w14:paraId="1EF0234E" w14:textId="77777777" w:rsidR="00305BA8" w:rsidRPr="00305BA8" w:rsidRDefault="00305BA8" w:rsidP="00305BA8">
            <w:pPr>
              <w:tabs>
                <w:tab w:val="left" w:pos="3600"/>
              </w:tabs>
              <w:spacing w:after="160" w:line="259" w:lineRule="auto"/>
              <w:rPr>
                <w:rFonts w:ascii="Times New Roman" w:hAnsi="Times New Roman" w:cs="Times New Roman"/>
                <w:szCs w:val="22"/>
              </w:rPr>
            </w:pPr>
            <w:r w:rsidRPr="00305BA8">
              <w:rPr>
                <w:rFonts w:ascii="Times New Roman" w:hAnsi="Times New Roman" w:cs="Times New Roman"/>
                <w:szCs w:val="22"/>
              </w:rPr>
              <w:t>Evidence was predominantly observational, with only one small RCT. The randomized estimate was imprecise, although no statistical heterogeneity was observed (I² = 0%).</w:t>
            </w:r>
          </w:p>
        </w:tc>
      </w:tr>
    </w:tbl>
    <w:p w14:paraId="7C77436E" w14:textId="77777777" w:rsidR="002C4FBB" w:rsidRPr="002C4FBB" w:rsidRDefault="002C4FBB" w:rsidP="00634C98">
      <w:pPr>
        <w:tabs>
          <w:tab w:val="left" w:pos="3600"/>
        </w:tabs>
        <w:rPr>
          <w:rFonts w:ascii="Times New Roman" w:hAnsi="Times New Roman" w:cs="Times New Roman"/>
          <w:szCs w:val="22"/>
        </w:rPr>
      </w:pPr>
    </w:p>
    <w:sectPr w:rsidR="002C4FBB" w:rsidRPr="002C4FBB" w:rsidSect="002C4FB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264"/>
    <w:rsid w:val="00004757"/>
    <w:rsid w:val="000175AB"/>
    <w:rsid w:val="0002332B"/>
    <w:rsid w:val="00031B24"/>
    <w:rsid w:val="0004007B"/>
    <w:rsid w:val="000539E9"/>
    <w:rsid w:val="00061716"/>
    <w:rsid w:val="00067DB8"/>
    <w:rsid w:val="00097264"/>
    <w:rsid w:val="000A5C30"/>
    <w:rsid w:val="000C4B0A"/>
    <w:rsid w:val="000D67C1"/>
    <w:rsid w:val="000F024E"/>
    <w:rsid w:val="001959B7"/>
    <w:rsid w:val="001B11CF"/>
    <w:rsid w:val="001E1BAA"/>
    <w:rsid w:val="00224725"/>
    <w:rsid w:val="0025719C"/>
    <w:rsid w:val="0025737C"/>
    <w:rsid w:val="00262F0B"/>
    <w:rsid w:val="002A4EDB"/>
    <w:rsid w:val="002C4FBB"/>
    <w:rsid w:val="002E176B"/>
    <w:rsid w:val="002F5FD7"/>
    <w:rsid w:val="003030BB"/>
    <w:rsid w:val="00305BA8"/>
    <w:rsid w:val="003258F5"/>
    <w:rsid w:val="00372C39"/>
    <w:rsid w:val="003A1BB6"/>
    <w:rsid w:val="003D12A5"/>
    <w:rsid w:val="003E2F91"/>
    <w:rsid w:val="003F7A1B"/>
    <w:rsid w:val="004074FE"/>
    <w:rsid w:val="00407797"/>
    <w:rsid w:val="00411DAB"/>
    <w:rsid w:val="00413138"/>
    <w:rsid w:val="004164FB"/>
    <w:rsid w:val="00430EF3"/>
    <w:rsid w:val="0045098A"/>
    <w:rsid w:val="004B25BE"/>
    <w:rsid w:val="004B4C21"/>
    <w:rsid w:val="004E190E"/>
    <w:rsid w:val="004E5A90"/>
    <w:rsid w:val="00525ABF"/>
    <w:rsid w:val="00590506"/>
    <w:rsid w:val="005C2666"/>
    <w:rsid w:val="005E56CB"/>
    <w:rsid w:val="005E576F"/>
    <w:rsid w:val="0060738E"/>
    <w:rsid w:val="00613D92"/>
    <w:rsid w:val="00616182"/>
    <w:rsid w:val="00634C98"/>
    <w:rsid w:val="00661437"/>
    <w:rsid w:val="006945A8"/>
    <w:rsid w:val="006B7229"/>
    <w:rsid w:val="006F4712"/>
    <w:rsid w:val="00721675"/>
    <w:rsid w:val="007718B2"/>
    <w:rsid w:val="00772557"/>
    <w:rsid w:val="007B4A62"/>
    <w:rsid w:val="007D2173"/>
    <w:rsid w:val="007E1509"/>
    <w:rsid w:val="007E4DF9"/>
    <w:rsid w:val="007F75E1"/>
    <w:rsid w:val="00812350"/>
    <w:rsid w:val="0081315E"/>
    <w:rsid w:val="00815C42"/>
    <w:rsid w:val="0082662A"/>
    <w:rsid w:val="00846C9B"/>
    <w:rsid w:val="00886CDC"/>
    <w:rsid w:val="008A5A6C"/>
    <w:rsid w:val="008D6220"/>
    <w:rsid w:val="008E6924"/>
    <w:rsid w:val="008F2AA2"/>
    <w:rsid w:val="008F2C40"/>
    <w:rsid w:val="009404C8"/>
    <w:rsid w:val="009E51F8"/>
    <w:rsid w:val="00A37A9D"/>
    <w:rsid w:val="00A55832"/>
    <w:rsid w:val="00AD0049"/>
    <w:rsid w:val="00AD1F15"/>
    <w:rsid w:val="00AD45F5"/>
    <w:rsid w:val="00AF0CDD"/>
    <w:rsid w:val="00B04146"/>
    <w:rsid w:val="00B17754"/>
    <w:rsid w:val="00B2650D"/>
    <w:rsid w:val="00B27BE1"/>
    <w:rsid w:val="00B27D0F"/>
    <w:rsid w:val="00B55B29"/>
    <w:rsid w:val="00BA6E4E"/>
    <w:rsid w:val="00BB0FD0"/>
    <w:rsid w:val="00BB2F8C"/>
    <w:rsid w:val="00BB3403"/>
    <w:rsid w:val="00BD2D59"/>
    <w:rsid w:val="00BE33D9"/>
    <w:rsid w:val="00C30386"/>
    <w:rsid w:val="00C3078D"/>
    <w:rsid w:val="00C43E8D"/>
    <w:rsid w:val="00C7533A"/>
    <w:rsid w:val="00CF1DD0"/>
    <w:rsid w:val="00D02A8E"/>
    <w:rsid w:val="00D04B45"/>
    <w:rsid w:val="00D05AAB"/>
    <w:rsid w:val="00D259C3"/>
    <w:rsid w:val="00D27A70"/>
    <w:rsid w:val="00D90598"/>
    <w:rsid w:val="00D958F5"/>
    <w:rsid w:val="00DA666C"/>
    <w:rsid w:val="00DB6788"/>
    <w:rsid w:val="00DC1ECE"/>
    <w:rsid w:val="00DD236C"/>
    <w:rsid w:val="00E04918"/>
    <w:rsid w:val="00E54748"/>
    <w:rsid w:val="00E663E1"/>
    <w:rsid w:val="00E67FBA"/>
    <w:rsid w:val="00E72794"/>
    <w:rsid w:val="00EF46DB"/>
    <w:rsid w:val="00F251FE"/>
    <w:rsid w:val="00F5350F"/>
    <w:rsid w:val="00F561E6"/>
    <w:rsid w:val="00F721BE"/>
    <w:rsid w:val="00F9515A"/>
    <w:rsid w:val="00FA54B9"/>
    <w:rsid w:val="00FC4A8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6617A9"/>
  <w15:chartTrackingRefBased/>
  <w15:docId w15:val="{CD8C8E9F-27C0-4B9E-8244-6D8DF4F7C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7264"/>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097264"/>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097264"/>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0972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2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2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2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2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2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264"/>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rsid w:val="00097264"/>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097264"/>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0972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2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2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2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2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264"/>
    <w:rPr>
      <w:rFonts w:eastAsiaTheme="majorEastAsia" w:cstheme="majorBidi"/>
      <w:color w:val="272727" w:themeColor="text1" w:themeTint="D8"/>
    </w:rPr>
  </w:style>
  <w:style w:type="paragraph" w:styleId="Title">
    <w:name w:val="Title"/>
    <w:basedOn w:val="Normal"/>
    <w:next w:val="Normal"/>
    <w:link w:val="TitleChar"/>
    <w:uiPriority w:val="10"/>
    <w:qFormat/>
    <w:rsid w:val="00097264"/>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097264"/>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097264"/>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097264"/>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097264"/>
    <w:pPr>
      <w:spacing w:before="160"/>
      <w:jc w:val="center"/>
    </w:pPr>
    <w:rPr>
      <w:i/>
      <w:iCs/>
      <w:color w:val="404040" w:themeColor="text1" w:themeTint="BF"/>
    </w:rPr>
  </w:style>
  <w:style w:type="character" w:customStyle="1" w:styleId="QuoteChar">
    <w:name w:val="Quote Char"/>
    <w:basedOn w:val="DefaultParagraphFont"/>
    <w:link w:val="Quote"/>
    <w:uiPriority w:val="29"/>
    <w:rsid w:val="00097264"/>
    <w:rPr>
      <w:i/>
      <w:iCs/>
      <w:color w:val="404040" w:themeColor="text1" w:themeTint="BF"/>
    </w:rPr>
  </w:style>
  <w:style w:type="paragraph" w:styleId="ListParagraph">
    <w:name w:val="List Paragraph"/>
    <w:basedOn w:val="Normal"/>
    <w:uiPriority w:val="34"/>
    <w:qFormat/>
    <w:rsid w:val="00097264"/>
    <w:pPr>
      <w:ind w:left="720"/>
      <w:contextualSpacing/>
    </w:pPr>
  </w:style>
  <w:style w:type="character" w:styleId="IntenseEmphasis">
    <w:name w:val="Intense Emphasis"/>
    <w:basedOn w:val="DefaultParagraphFont"/>
    <w:uiPriority w:val="21"/>
    <w:qFormat/>
    <w:rsid w:val="00097264"/>
    <w:rPr>
      <w:i/>
      <w:iCs/>
      <w:color w:val="0F4761" w:themeColor="accent1" w:themeShade="BF"/>
    </w:rPr>
  </w:style>
  <w:style w:type="paragraph" w:styleId="IntenseQuote">
    <w:name w:val="Intense Quote"/>
    <w:basedOn w:val="Normal"/>
    <w:next w:val="Normal"/>
    <w:link w:val="IntenseQuoteChar"/>
    <w:uiPriority w:val="30"/>
    <w:qFormat/>
    <w:rsid w:val="000972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264"/>
    <w:rPr>
      <w:i/>
      <w:iCs/>
      <w:color w:val="0F4761" w:themeColor="accent1" w:themeShade="BF"/>
    </w:rPr>
  </w:style>
  <w:style w:type="character" w:styleId="IntenseReference">
    <w:name w:val="Intense Reference"/>
    <w:basedOn w:val="DefaultParagraphFont"/>
    <w:uiPriority w:val="32"/>
    <w:qFormat/>
    <w:rsid w:val="00097264"/>
    <w:rPr>
      <w:b/>
      <w:bCs/>
      <w:smallCaps/>
      <w:color w:val="0F4761" w:themeColor="accent1" w:themeShade="BF"/>
      <w:spacing w:val="5"/>
    </w:rPr>
  </w:style>
  <w:style w:type="table" w:styleId="TableGrid">
    <w:name w:val="Table Grid"/>
    <w:basedOn w:val="TableNormal"/>
    <w:uiPriority w:val="39"/>
    <w:rsid w:val="00407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C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5455687">
      <w:marLeft w:val="0"/>
      <w:marRight w:val="0"/>
      <w:marTop w:val="0"/>
      <w:marBottom w:val="0"/>
      <w:divBdr>
        <w:top w:val="none" w:sz="0" w:space="0" w:color="auto"/>
        <w:left w:val="none" w:sz="0" w:space="0" w:color="auto"/>
        <w:bottom w:val="none" w:sz="0" w:space="0" w:color="auto"/>
        <w:right w:val="none" w:sz="0" w:space="0" w:color="auto"/>
      </w:divBdr>
    </w:div>
    <w:div w:id="216823611">
      <w:marLeft w:val="0"/>
      <w:marRight w:val="0"/>
      <w:marTop w:val="0"/>
      <w:marBottom w:val="0"/>
      <w:divBdr>
        <w:top w:val="none" w:sz="0" w:space="0" w:color="auto"/>
        <w:left w:val="none" w:sz="0" w:space="0" w:color="auto"/>
        <w:bottom w:val="none" w:sz="0" w:space="0" w:color="auto"/>
        <w:right w:val="none" w:sz="0" w:space="0" w:color="auto"/>
      </w:divBdr>
    </w:div>
    <w:div w:id="363793983">
      <w:marLeft w:val="0"/>
      <w:marRight w:val="0"/>
      <w:marTop w:val="0"/>
      <w:marBottom w:val="0"/>
      <w:divBdr>
        <w:top w:val="none" w:sz="0" w:space="0" w:color="auto"/>
        <w:left w:val="none" w:sz="0" w:space="0" w:color="auto"/>
        <w:bottom w:val="none" w:sz="0" w:space="0" w:color="auto"/>
        <w:right w:val="none" w:sz="0" w:space="0" w:color="auto"/>
      </w:divBdr>
    </w:div>
    <w:div w:id="433746698">
      <w:marLeft w:val="0"/>
      <w:marRight w:val="0"/>
      <w:marTop w:val="0"/>
      <w:marBottom w:val="0"/>
      <w:divBdr>
        <w:top w:val="none" w:sz="0" w:space="0" w:color="auto"/>
        <w:left w:val="none" w:sz="0" w:space="0" w:color="auto"/>
        <w:bottom w:val="none" w:sz="0" w:space="0" w:color="auto"/>
        <w:right w:val="none" w:sz="0" w:space="0" w:color="auto"/>
      </w:divBdr>
    </w:div>
    <w:div w:id="614142271">
      <w:marLeft w:val="0"/>
      <w:marRight w:val="0"/>
      <w:marTop w:val="0"/>
      <w:marBottom w:val="0"/>
      <w:divBdr>
        <w:top w:val="none" w:sz="0" w:space="0" w:color="auto"/>
        <w:left w:val="none" w:sz="0" w:space="0" w:color="auto"/>
        <w:bottom w:val="none" w:sz="0" w:space="0" w:color="auto"/>
        <w:right w:val="none" w:sz="0" w:space="0" w:color="auto"/>
      </w:divBdr>
    </w:div>
    <w:div w:id="614485978">
      <w:marLeft w:val="0"/>
      <w:marRight w:val="0"/>
      <w:marTop w:val="0"/>
      <w:marBottom w:val="0"/>
      <w:divBdr>
        <w:top w:val="none" w:sz="0" w:space="0" w:color="auto"/>
        <w:left w:val="none" w:sz="0" w:space="0" w:color="auto"/>
        <w:bottom w:val="none" w:sz="0" w:space="0" w:color="auto"/>
        <w:right w:val="none" w:sz="0" w:space="0" w:color="auto"/>
      </w:divBdr>
    </w:div>
    <w:div w:id="663432132">
      <w:marLeft w:val="0"/>
      <w:marRight w:val="0"/>
      <w:marTop w:val="0"/>
      <w:marBottom w:val="0"/>
      <w:divBdr>
        <w:top w:val="none" w:sz="0" w:space="0" w:color="auto"/>
        <w:left w:val="none" w:sz="0" w:space="0" w:color="auto"/>
        <w:bottom w:val="none" w:sz="0" w:space="0" w:color="auto"/>
        <w:right w:val="none" w:sz="0" w:space="0" w:color="auto"/>
      </w:divBdr>
    </w:div>
    <w:div w:id="827283022">
      <w:marLeft w:val="0"/>
      <w:marRight w:val="0"/>
      <w:marTop w:val="0"/>
      <w:marBottom w:val="0"/>
      <w:divBdr>
        <w:top w:val="none" w:sz="0" w:space="0" w:color="auto"/>
        <w:left w:val="none" w:sz="0" w:space="0" w:color="auto"/>
        <w:bottom w:val="none" w:sz="0" w:space="0" w:color="auto"/>
        <w:right w:val="none" w:sz="0" w:space="0" w:color="auto"/>
      </w:divBdr>
    </w:div>
    <w:div w:id="2023050250">
      <w:marLeft w:val="0"/>
      <w:marRight w:val="0"/>
      <w:marTop w:val="0"/>
      <w:marBottom w:val="0"/>
      <w:divBdr>
        <w:top w:val="none" w:sz="0" w:space="0" w:color="auto"/>
        <w:left w:val="none" w:sz="0" w:space="0" w:color="auto"/>
        <w:bottom w:val="none" w:sz="0" w:space="0" w:color="auto"/>
        <w:right w:val="none" w:sz="0" w:space="0" w:color="auto"/>
      </w:divBdr>
    </w:div>
    <w:div w:id="21108498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9</Pages>
  <Words>2383</Words>
  <Characters>13586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Thanat Tangpaisarn</dc:creator>
  <cp:keywords/>
  <dc:description/>
  <cp:lastModifiedBy>WACHIRA WONGTANASARASIN</cp:lastModifiedBy>
  <cp:revision>32</cp:revision>
  <dcterms:created xsi:type="dcterms:W3CDTF">2026-09-09T04:51:00Z</dcterms:created>
  <dcterms:modified xsi:type="dcterms:W3CDTF">2026-09-24T02:41:00Z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d304518a-bfa7-4500-bb7e-5b76d28a350a</vt:lpwstr>
  </property>
</Properties>
</file>