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229164" w14:textId="77777777" w:rsidR="00EF790F" w:rsidRPr="003D4E8C" w:rsidRDefault="00EF790F" w:rsidP="00EF790F">
      <w:pPr>
        <w:keepNext/>
        <w:keepLines/>
        <w:spacing w:before="120" w:after="120" w:line="259" w:lineRule="auto"/>
        <w:outlineLvl w:val="2"/>
        <w:rPr>
          <w:rFonts w:ascii="Times New Roman" w:eastAsia="Times New Roman" w:hAnsi="Times New Roman" w:cs="Times New Roman"/>
          <w:b/>
          <w:bCs/>
          <w:color w:val="2F5496"/>
          <w:kern w:val="0"/>
          <w:sz w:val="24"/>
          <w:szCs w:val="24"/>
          <w:rtl/>
          <w:lang w:eastAsia="en-GB"/>
          <w14:ligatures w14:val="none"/>
        </w:rPr>
      </w:pPr>
      <w:r w:rsidRPr="003D4E8C">
        <w:rPr>
          <w:rFonts w:ascii="Times New Roman" w:eastAsia="Times New Roman" w:hAnsi="Times New Roman" w:cs="Times New Roman"/>
          <w:b/>
          <w:bCs/>
          <w:color w:val="2F5496"/>
          <w:kern w:val="0"/>
          <w:sz w:val="24"/>
          <w:szCs w:val="24"/>
          <w:lang w:eastAsia="en-GB"/>
          <w14:ligatures w14:val="none"/>
        </w:rPr>
        <w:t xml:space="preserve">Supplementary Table 2. Examples of potential service responses mapped to </w:t>
      </w:r>
      <w:proofErr w:type="spellStart"/>
      <w:r w:rsidRPr="003D4E8C">
        <w:rPr>
          <w:rFonts w:ascii="Times New Roman" w:eastAsia="Times New Roman" w:hAnsi="Times New Roman" w:cs="Times New Roman"/>
          <w:b/>
          <w:bCs/>
          <w:color w:val="2F5496"/>
          <w:kern w:val="0"/>
          <w:sz w:val="24"/>
          <w:szCs w:val="24"/>
          <w:lang w:eastAsia="en-GB"/>
          <w14:ligatures w14:val="none"/>
        </w:rPr>
        <w:t>Tanahashi</w:t>
      </w:r>
      <w:proofErr w:type="spellEnd"/>
      <w:r w:rsidRPr="003D4E8C">
        <w:rPr>
          <w:rFonts w:ascii="Times New Roman" w:eastAsia="Times New Roman" w:hAnsi="Times New Roman" w:cs="Times New Roman"/>
          <w:b/>
          <w:bCs/>
          <w:color w:val="2F5496"/>
          <w:kern w:val="0"/>
          <w:sz w:val="24"/>
          <w:szCs w:val="24"/>
          <w:lang w:eastAsia="en-GB"/>
          <w14:ligatures w14:val="none"/>
        </w:rPr>
        <w:t xml:space="preserve"> and HSPA domains</w:t>
      </w:r>
    </w:p>
    <w:p w14:paraId="27F7A2A2" w14:textId="77777777" w:rsidR="00EF790F" w:rsidRDefault="00EF790F" w:rsidP="00414A8E">
      <w:pPr>
        <w:spacing w:after="0" w:line="240" w:lineRule="auto"/>
        <w:rPr>
          <w:rFonts w:ascii="Arial" w:hAnsi="Arial" w:cs="Arial"/>
          <w:sz w:val="20"/>
          <w:szCs w:val="20"/>
          <w:rtl/>
          <w:lang w:bidi="fa-I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91"/>
        <w:gridCol w:w="2125"/>
        <w:gridCol w:w="2416"/>
        <w:gridCol w:w="1873"/>
        <w:gridCol w:w="1847"/>
        <w:gridCol w:w="2372"/>
        <w:gridCol w:w="1450"/>
      </w:tblGrid>
      <w:tr w:rsidR="00EF790F" w:rsidRPr="003D4E8C" w14:paraId="01F5D9BD" w14:textId="77777777" w:rsidTr="00EF790F">
        <w:trPr>
          <w:tblHeader/>
        </w:trPr>
        <w:tc>
          <w:tcPr>
            <w:tcW w:w="2091" w:type="dxa"/>
            <w:vAlign w:val="center"/>
          </w:tcPr>
          <w:p w14:paraId="15D0A960" w14:textId="77777777" w:rsidR="00EF790F" w:rsidRPr="003D4E8C" w:rsidRDefault="00EF790F" w:rsidP="00EF790F">
            <w:pPr>
              <w:spacing w:before="120" w:after="12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D4E8C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Barrier / Gap (from findings)</w:t>
            </w:r>
          </w:p>
        </w:tc>
        <w:tc>
          <w:tcPr>
            <w:tcW w:w="2125" w:type="dxa"/>
            <w:vAlign w:val="center"/>
          </w:tcPr>
          <w:p w14:paraId="00FE95E1" w14:textId="77777777" w:rsidR="00EF790F" w:rsidRPr="003D4E8C" w:rsidRDefault="00EF790F" w:rsidP="00EF790F">
            <w:pPr>
              <w:spacing w:before="120" w:after="12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D4E8C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Intervention (what to do)</w:t>
            </w:r>
          </w:p>
        </w:tc>
        <w:tc>
          <w:tcPr>
            <w:tcW w:w="2416" w:type="dxa"/>
            <w:vAlign w:val="center"/>
          </w:tcPr>
          <w:p w14:paraId="41C88F96" w14:textId="77777777" w:rsidR="00EF790F" w:rsidRPr="003D4E8C" w:rsidRDefault="00EF790F" w:rsidP="00EF790F">
            <w:pPr>
              <w:spacing w:before="120" w:after="12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D4E8C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Evidence &amp; Context</w:t>
            </w:r>
          </w:p>
        </w:tc>
        <w:tc>
          <w:tcPr>
            <w:tcW w:w="1873" w:type="dxa"/>
            <w:vAlign w:val="center"/>
          </w:tcPr>
          <w:p w14:paraId="463945D5" w14:textId="77777777" w:rsidR="00EF790F" w:rsidRPr="003D4E8C" w:rsidRDefault="00EF790F" w:rsidP="00EF790F">
            <w:pPr>
              <w:spacing w:before="120" w:after="12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D4E8C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Access Stage (</w:t>
            </w:r>
            <w:proofErr w:type="spellStart"/>
            <w:r w:rsidRPr="003D4E8C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Tanahashi</w:t>
            </w:r>
            <w:proofErr w:type="spellEnd"/>
            <w:r w:rsidRPr="003D4E8C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1847" w:type="dxa"/>
            <w:vAlign w:val="center"/>
          </w:tcPr>
          <w:p w14:paraId="1E38E79B" w14:textId="77777777" w:rsidR="00EF790F" w:rsidRPr="003D4E8C" w:rsidRDefault="00EF790F" w:rsidP="00EF790F">
            <w:pPr>
              <w:spacing w:before="120" w:after="12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D4E8C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HSPA Block(s)</w:t>
            </w:r>
          </w:p>
        </w:tc>
        <w:tc>
          <w:tcPr>
            <w:tcW w:w="2372" w:type="dxa"/>
            <w:vAlign w:val="center"/>
          </w:tcPr>
          <w:p w14:paraId="0819D604" w14:textId="77777777" w:rsidR="00EF790F" w:rsidRPr="003D4E8C" w:rsidRDefault="00EF790F" w:rsidP="00EF790F">
            <w:pPr>
              <w:spacing w:before="120" w:after="12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D4E8C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Sustainability Notes</w:t>
            </w:r>
          </w:p>
        </w:tc>
        <w:tc>
          <w:tcPr>
            <w:tcW w:w="1450" w:type="dxa"/>
            <w:vAlign w:val="center"/>
          </w:tcPr>
          <w:p w14:paraId="62340D7A" w14:textId="77777777" w:rsidR="00EF790F" w:rsidRPr="003D4E8C" w:rsidRDefault="00EF790F" w:rsidP="00EF790F">
            <w:pPr>
              <w:spacing w:before="120" w:after="12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3D4E8C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References</w:t>
            </w:r>
          </w:p>
        </w:tc>
      </w:tr>
      <w:tr w:rsidR="00EF790F" w:rsidRPr="003D4E8C" w14:paraId="67030EF4" w14:textId="77777777" w:rsidTr="00EF790F">
        <w:tc>
          <w:tcPr>
            <w:tcW w:w="2091" w:type="dxa"/>
            <w:vAlign w:val="center"/>
          </w:tcPr>
          <w:p w14:paraId="268BC09E" w14:textId="77777777" w:rsidR="00EF790F" w:rsidRPr="003D4E8C" w:rsidRDefault="00EF790F" w:rsidP="00EF790F">
            <w:pPr>
              <w:spacing w:before="120" w:after="120"/>
              <w:rPr>
                <w:rFonts w:asciiTheme="majorBidi" w:hAnsiTheme="majorBidi" w:cstheme="majorBidi"/>
              </w:rPr>
            </w:pPr>
            <w:r w:rsidRPr="003D4E8C">
              <w:rPr>
                <w:rFonts w:asciiTheme="majorBidi" w:hAnsiTheme="majorBidi" w:cstheme="majorBidi"/>
                <w:color w:val="000000"/>
              </w:rPr>
              <w:t>Atypical symptoms missed by FAST/MPDS; limited real-time specialist input/ supportive tools</w:t>
            </w:r>
          </w:p>
        </w:tc>
        <w:tc>
          <w:tcPr>
            <w:tcW w:w="2125" w:type="dxa"/>
            <w:vAlign w:val="center"/>
          </w:tcPr>
          <w:p w14:paraId="5A69290A" w14:textId="77777777" w:rsidR="00EF790F" w:rsidRPr="003D4E8C" w:rsidRDefault="00EF790F" w:rsidP="00EF790F">
            <w:pPr>
              <w:spacing w:before="120" w:after="120"/>
              <w:rPr>
                <w:rFonts w:asciiTheme="majorBidi" w:hAnsiTheme="majorBidi" w:cstheme="majorBidi"/>
              </w:rPr>
            </w:pPr>
            <w:r w:rsidRPr="003D4E8C">
              <w:rPr>
                <w:rFonts w:asciiTheme="majorBidi" w:hAnsiTheme="majorBidi" w:cstheme="majorBidi"/>
                <w:b/>
                <w:bCs/>
                <w:color w:val="000000"/>
              </w:rPr>
              <w:t>Telemedicine consults in ambulances</w:t>
            </w:r>
            <w:r w:rsidRPr="003D4E8C">
              <w:rPr>
                <w:rFonts w:asciiTheme="majorBidi" w:hAnsiTheme="majorBidi" w:cstheme="majorBidi"/>
                <w:color w:val="000000"/>
              </w:rPr>
              <w:t xml:space="preserve"> (live video with stroke specialist for assessment/triage)</w:t>
            </w:r>
          </w:p>
        </w:tc>
        <w:tc>
          <w:tcPr>
            <w:tcW w:w="2416" w:type="dxa"/>
            <w:vAlign w:val="center"/>
          </w:tcPr>
          <w:p w14:paraId="0F5854F4" w14:textId="77777777" w:rsidR="00EF790F" w:rsidRPr="003D4E8C" w:rsidRDefault="00EF790F" w:rsidP="00EF790F">
            <w:pPr>
              <w:spacing w:before="120" w:after="120"/>
              <w:rPr>
                <w:rFonts w:asciiTheme="majorBidi" w:hAnsiTheme="majorBidi" w:cstheme="majorBidi"/>
              </w:rPr>
            </w:pPr>
            <w:proofErr w:type="spellStart"/>
            <w:r w:rsidRPr="003D4E8C">
              <w:rPr>
                <w:rFonts w:asciiTheme="majorBidi" w:hAnsiTheme="majorBidi" w:cstheme="majorBidi"/>
                <w:color w:val="000000"/>
              </w:rPr>
              <w:t>TEMPiS</w:t>
            </w:r>
            <w:proofErr w:type="spellEnd"/>
            <w:r w:rsidRPr="003D4E8C">
              <w:rPr>
                <w:rFonts w:asciiTheme="majorBidi" w:hAnsiTheme="majorBidi" w:cstheme="majorBidi"/>
                <w:color w:val="000000"/>
              </w:rPr>
              <w:t>, Bavaria (Germany): tele-stroke reduced diagnostic errors, improved outcomes</w:t>
            </w:r>
          </w:p>
        </w:tc>
        <w:tc>
          <w:tcPr>
            <w:tcW w:w="1873" w:type="dxa"/>
            <w:vAlign w:val="center"/>
          </w:tcPr>
          <w:p w14:paraId="4ABFD2D5" w14:textId="77777777" w:rsidR="00EF790F" w:rsidRPr="003D4E8C" w:rsidRDefault="00EF790F" w:rsidP="00EF790F">
            <w:pPr>
              <w:spacing w:before="120" w:after="120"/>
              <w:rPr>
                <w:rFonts w:asciiTheme="majorBidi" w:hAnsiTheme="majorBidi" w:cstheme="majorBidi"/>
              </w:rPr>
            </w:pPr>
            <w:r w:rsidRPr="003D4E8C">
              <w:rPr>
                <w:rFonts w:asciiTheme="majorBidi" w:hAnsiTheme="majorBidi" w:cstheme="majorBidi"/>
                <w:color w:val="000000"/>
              </w:rPr>
              <w:t>Effective coverage; Contact</w:t>
            </w:r>
          </w:p>
        </w:tc>
        <w:tc>
          <w:tcPr>
            <w:tcW w:w="1847" w:type="dxa"/>
            <w:vAlign w:val="center"/>
          </w:tcPr>
          <w:p w14:paraId="3C080614" w14:textId="77777777" w:rsidR="00EF790F" w:rsidRPr="003D4E8C" w:rsidRDefault="00EF790F" w:rsidP="00EF790F">
            <w:pPr>
              <w:spacing w:before="120" w:after="120"/>
              <w:rPr>
                <w:rFonts w:asciiTheme="majorBidi" w:hAnsiTheme="majorBidi" w:cstheme="majorBidi"/>
              </w:rPr>
            </w:pPr>
            <w:r w:rsidRPr="003D4E8C">
              <w:rPr>
                <w:rFonts w:asciiTheme="majorBidi" w:hAnsiTheme="majorBidi" w:cstheme="majorBidi"/>
                <w:color w:val="000000"/>
              </w:rPr>
              <w:t>Medical products &amp; technologies; Service delivery; Workforce</w:t>
            </w:r>
          </w:p>
        </w:tc>
        <w:tc>
          <w:tcPr>
            <w:tcW w:w="2372" w:type="dxa"/>
            <w:vAlign w:val="center"/>
          </w:tcPr>
          <w:p w14:paraId="1ADDF8CC" w14:textId="77777777" w:rsidR="00EF790F" w:rsidRPr="003D4E8C" w:rsidRDefault="00EF790F" w:rsidP="00EF790F">
            <w:pPr>
              <w:spacing w:before="120" w:after="120"/>
              <w:rPr>
                <w:rFonts w:asciiTheme="majorBidi" w:hAnsiTheme="majorBidi" w:cstheme="majorBidi"/>
              </w:rPr>
            </w:pPr>
            <w:r w:rsidRPr="003D4E8C">
              <w:rPr>
                <w:rFonts w:asciiTheme="majorBidi" w:hAnsiTheme="majorBidi" w:cstheme="majorBidi"/>
                <w:color w:val="000000"/>
              </w:rPr>
              <w:t>Needs stable IT + training; operating costs low after setup; potential downstream savings</w:t>
            </w:r>
          </w:p>
        </w:tc>
        <w:tc>
          <w:tcPr>
            <w:tcW w:w="1450" w:type="dxa"/>
            <w:vAlign w:val="center"/>
          </w:tcPr>
          <w:p w14:paraId="509E612E" w14:textId="035BCCA2" w:rsidR="00EF790F" w:rsidRPr="003D4E8C" w:rsidRDefault="00EF790F" w:rsidP="00EF790F">
            <w:pPr>
              <w:spacing w:before="120" w:after="120"/>
              <w:jc w:val="center"/>
              <w:rPr>
                <w:rFonts w:asciiTheme="majorBidi" w:hAnsiTheme="majorBidi" w:cstheme="majorBidi"/>
                <w:lang w:val="nl-NL"/>
              </w:rPr>
            </w:pPr>
            <w:r w:rsidRPr="00EF790F">
              <w:rPr>
                <w:rFonts w:asciiTheme="majorBidi" w:hAnsiTheme="majorBidi" w:cstheme="majorBidi"/>
              </w:rPr>
              <w:t>[1,2]</w:t>
            </w:r>
          </w:p>
        </w:tc>
      </w:tr>
      <w:tr w:rsidR="00EF790F" w:rsidRPr="003D4E8C" w14:paraId="721E550C" w14:textId="77777777" w:rsidTr="00EF790F">
        <w:tc>
          <w:tcPr>
            <w:tcW w:w="2091" w:type="dxa"/>
            <w:vAlign w:val="center"/>
          </w:tcPr>
          <w:p w14:paraId="7B61A065" w14:textId="77777777" w:rsidR="00EF790F" w:rsidRPr="003D4E8C" w:rsidRDefault="00EF790F" w:rsidP="00EF790F">
            <w:pPr>
              <w:spacing w:before="120" w:after="120"/>
              <w:rPr>
                <w:rFonts w:asciiTheme="majorBidi" w:hAnsiTheme="majorBidi" w:cstheme="majorBidi"/>
              </w:rPr>
            </w:pPr>
            <w:r w:rsidRPr="003D4E8C">
              <w:rPr>
                <w:rFonts w:asciiTheme="majorBidi" w:hAnsiTheme="majorBidi" w:cstheme="majorBidi"/>
                <w:color w:val="000000"/>
              </w:rPr>
              <w:t>Long rural response/transfer times; centralised hubs</w:t>
            </w:r>
          </w:p>
        </w:tc>
        <w:tc>
          <w:tcPr>
            <w:tcW w:w="2125" w:type="dxa"/>
            <w:vAlign w:val="center"/>
          </w:tcPr>
          <w:p w14:paraId="6B534943" w14:textId="77777777" w:rsidR="00EF790F" w:rsidRPr="003D4E8C" w:rsidRDefault="00EF790F" w:rsidP="00EF790F">
            <w:pPr>
              <w:spacing w:before="120" w:after="120"/>
              <w:rPr>
                <w:rFonts w:asciiTheme="majorBidi" w:hAnsiTheme="majorBidi" w:cstheme="majorBidi"/>
              </w:rPr>
            </w:pPr>
            <w:r w:rsidRPr="003D4E8C">
              <w:rPr>
                <w:rFonts w:asciiTheme="majorBidi" w:hAnsiTheme="majorBidi" w:cstheme="majorBidi"/>
                <w:b/>
                <w:bCs/>
                <w:color w:val="000000"/>
              </w:rPr>
              <w:t>Mobile Stroke Units (MSUs)</w:t>
            </w:r>
            <w:r w:rsidRPr="003D4E8C">
              <w:rPr>
                <w:rFonts w:asciiTheme="majorBidi" w:hAnsiTheme="majorBidi" w:cstheme="majorBidi"/>
                <w:color w:val="000000"/>
              </w:rPr>
              <w:t xml:space="preserve"> with CT + specialist</w:t>
            </w:r>
          </w:p>
        </w:tc>
        <w:tc>
          <w:tcPr>
            <w:tcW w:w="2416" w:type="dxa"/>
            <w:vAlign w:val="center"/>
          </w:tcPr>
          <w:p w14:paraId="752E71DE" w14:textId="77777777" w:rsidR="00EF790F" w:rsidRPr="003D4E8C" w:rsidRDefault="00EF790F" w:rsidP="00EF790F">
            <w:pPr>
              <w:spacing w:before="120" w:after="120"/>
              <w:rPr>
                <w:rFonts w:asciiTheme="majorBidi" w:hAnsiTheme="majorBidi" w:cstheme="majorBidi"/>
              </w:rPr>
            </w:pPr>
            <w:r w:rsidRPr="003D4E8C">
              <w:rPr>
                <w:rFonts w:asciiTheme="majorBidi" w:hAnsiTheme="majorBidi" w:cstheme="majorBidi"/>
                <w:color w:val="000000"/>
              </w:rPr>
              <w:t>Melbourne MSU (Australia): ↓ time-to-treatment ~40%; ↑ timely thrombolysis</w:t>
            </w:r>
          </w:p>
        </w:tc>
        <w:tc>
          <w:tcPr>
            <w:tcW w:w="1873" w:type="dxa"/>
            <w:vAlign w:val="center"/>
          </w:tcPr>
          <w:p w14:paraId="11D34C76" w14:textId="77777777" w:rsidR="00EF790F" w:rsidRPr="003D4E8C" w:rsidRDefault="00EF790F" w:rsidP="00EF790F">
            <w:pPr>
              <w:spacing w:before="120" w:after="120"/>
              <w:rPr>
                <w:rFonts w:asciiTheme="majorBidi" w:hAnsiTheme="majorBidi" w:cstheme="majorBidi"/>
              </w:rPr>
            </w:pPr>
            <w:r w:rsidRPr="003D4E8C">
              <w:rPr>
                <w:rFonts w:asciiTheme="majorBidi" w:hAnsiTheme="majorBidi" w:cstheme="majorBidi"/>
                <w:color w:val="000000"/>
              </w:rPr>
              <w:t>Accessibility; Effective coverage</w:t>
            </w:r>
          </w:p>
        </w:tc>
        <w:tc>
          <w:tcPr>
            <w:tcW w:w="1847" w:type="dxa"/>
            <w:vAlign w:val="center"/>
          </w:tcPr>
          <w:p w14:paraId="7228F340" w14:textId="77777777" w:rsidR="00EF790F" w:rsidRPr="003D4E8C" w:rsidRDefault="00EF790F" w:rsidP="00EF790F">
            <w:pPr>
              <w:spacing w:before="120" w:after="120"/>
              <w:rPr>
                <w:rFonts w:asciiTheme="majorBidi" w:hAnsiTheme="majorBidi" w:cstheme="majorBidi"/>
              </w:rPr>
            </w:pPr>
            <w:r w:rsidRPr="003D4E8C">
              <w:rPr>
                <w:rFonts w:asciiTheme="majorBidi" w:hAnsiTheme="majorBidi" w:cstheme="majorBidi"/>
                <w:color w:val="000000"/>
              </w:rPr>
              <w:t>Service delivery; Facilities; Financing</w:t>
            </w:r>
          </w:p>
        </w:tc>
        <w:tc>
          <w:tcPr>
            <w:tcW w:w="2372" w:type="dxa"/>
            <w:vAlign w:val="center"/>
          </w:tcPr>
          <w:p w14:paraId="2808DAC8" w14:textId="77777777" w:rsidR="00EF790F" w:rsidRPr="003D4E8C" w:rsidRDefault="00EF790F" w:rsidP="00EF790F">
            <w:pPr>
              <w:spacing w:before="120" w:after="120"/>
              <w:rPr>
                <w:rFonts w:asciiTheme="majorBidi" w:hAnsiTheme="majorBidi" w:cstheme="majorBidi"/>
              </w:rPr>
            </w:pPr>
            <w:r w:rsidRPr="003D4E8C">
              <w:rPr>
                <w:rFonts w:asciiTheme="majorBidi" w:hAnsiTheme="majorBidi" w:cstheme="majorBidi"/>
                <w:color w:val="000000"/>
              </w:rPr>
              <w:t>High CAPEX/OPEX; needs dedicated funding or PPP; strong outcome gains support the case</w:t>
            </w:r>
          </w:p>
        </w:tc>
        <w:tc>
          <w:tcPr>
            <w:tcW w:w="1450" w:type="dxa"/>
            <w:vAlign w:val="center"/>
          </w:tcPr>
          <w:p w14:paraId="76BE004C" w14:textId="0F39DE60" w:rsidR="00EF790F" w:rsidRPr="003D4E8C" w:rsidRDefault="00EF790F" w:rsidP="00EF790F">
            <w:pPr>
              <w:spacing w:before="120" w:after="120"/>
              <w:jc w:val="center"/>
              <w:rPr>
                <w:rFonts w:asciiTheme="majorBidi" w:hAnsiTheme="majorBidi" w:cstheme="majorBidi"/>
                <w:lang w:val="nl-NL"/>
              </w:rPr>
            </w:pPr>
            <w:r w:rsidRPr="00EF790F">
              <w:rPr>
                <w:rFonts w:asciiTheme="majorBidi" w:hAnsiTheme="majorBidi" w:cstheme="majorBidi"/>
              </w:rPr>
              <w:t>[3–5]</w:t>
            </w:r>
          </w:p>
        </w:tc>
      </w:tr>
      <w:tr w:rsidR="00EF790F" w:rsidRPr="003D4E8C" w14:paraId="0C664E38" w14:textId="77777777" w:rsidTr="00EF790F">
        <w:tc>
          <w:tcPr>
            <w:tcW w:w="2091" w:type="dxa"/>
            <w:vAlign w:val="center"/>
          </w:tcPr>
          <w:p w14:paraId="10B1ADDD" w14:textId="77777777" w:rsidR="00EF790F" w:rsidRPr="003D4E8C" w:rsidRDefault="00EF790F" w:rsidP="00EF790F">
            <w:pPr>
              <w:spacing w:before="120" w:after="120"/>
              <w:rPr>
                <w:rFonts w:asciiTheme="majorBidi" w:hAnsiTheme="majorBidi" w:cstheme="majorBidi"/>
              </w:rPr>
            </w:pPr>
            <w:r w:rsidRPr="003D4E8C">
              <w:rPr>
                <w:rFonts w:asciiTheme="majorBidi" w:hAnsiTheme="majorBidi" w:cstheme="majorBidi"/>
                <w:color w:val="000000"/>
              </w:rPr>
              <w:t>Lack of stroke-specific capability among EMS/call-handlers</w:t>
            </w:r>
          </w:p>
        </w:tc>
        <w:tc>
          <w:tcPr>
            <w:tcW w:w="2125" w:type="dxa"/>
            <w:vAlign w:val="center"/>
          </w:tcPr>
          <w:p w14:paraId="0B67BE8C" w14:textId="77777777" w:rsidR="00EF790F" w:rsidRPr="003D4E8C" w:rsidRDefault="00EF790F" w:rsidP="00EF790F">
            <w:pPr>
              <w:spacing w:before="120" w:after="120"/>
              <w:rPr>
                <w:rFonts w:asciiTheme="majorBidi" w:hAnsiTheme="majorBidi" w:cstheme="majorBidi"/>
              </w:rPr>
            </w:pPr>
            <w:r w:rsidRPr="003D4E8C">
              <w:rPr>
                <w:rFonts w:asciiTheme="majorBidi" w:hAnsiTheme="majorBidi" w:cstheme="majorBidi"/>
                <w:b/>
                <w:bCs/>
                <w:color w:val="000000"/>
              </w:rPr>
              <w:t>Mandatory stroke-specific CPD</w:t>
            </w:r>
            <w:r w:rsidRPr="003D4E8C">
              <w:rPr>
                <w:rFonts w:asciiTheme="majorBidi" w:hAnsiTheme="majorBidi" w:cstheme="majorBidi"/>
                <w:color w:val="000000"/>
              </w:rPr>
              <w:t xml:space="preserve"> (protected time; modular e-learning)</w:t>
            </w:r>
          </w:p>
        </w:tc>
        <w:tc>
          <w:tcPr>
            <w:tcW w:w="2416" w:type="dxa"/>
            <w:vAlign w:val="center"/>
          </w:tcPr>
          <w:p w14:paraId="2605AA5F" w14:textId="77777777" w:rsidR="00EF790F" w:rsidRPr="003D4E8C" w:rsidRDefault="00EF790F" w:rsidP="00EF790F">
            <w:pPr>
              <w:spacing w:before="120" w:after="120"/>
              <w:rPr>
                <w:rFonts w:asciiTheme="majorBidi" w:hAnsiTheme="majorBidi" w:cstheme="majorBidi"/>
              </w:rPr>
            </w:pPr>
            <w:r w:rsidRPr="003D4E8C">
              <w:rPr>
                <w:rFonts w:asciiTheme="majorBidi" w:hAnsiTheme="majorBidi" w:cstheme="majorBidi"/>
                <w:color w:val="000000"/>
              </w:rPr>
              <w:t xml:space="preserve">Norway: mandatory CPD improved recognition incl. </w:t>
            </w:r>
            <w:proofErr w:type="spellStart"/>
            <w:r w:rsidRPr="003D4E8C">
              <w:rPr>
                <w:rFonts w:asciiTheme="majorBidi" w:hAnsiTheme="majorBidi" w:cstheme="majorBidi"/>
                <w:color w:val="000000"/>
              </w:rPr>
              <w:t>atypicals</w:t>
            </w:r>
            <w:proofErr w:type="spellEnd"/>
          </w:p>
        </w:tc>
        <w:tc>
          <w:tcPr>
            <w:tcW w:w="1873" w:type="dxa"/>
            <w:vAlign w:val="center"/>
          </w:tcPr>
          <w:p w14:paraId="4265CA1D" w14:textId="77777777" w:rsidR="00EF790F" w:rsidRPr="003D4E8C" w:rsidRDefault="00EF790F" w:rsidP="00EF790F">
            <w:pPr>
              <w:spacing w:before="120" w:after="120"/>
              <w:rPr>
                <w:rFonts w:asciiTheme="majorBidi" w:hAnsiTheme="majorBidi" w:cstheme="majorBidi"/>
              </w:rPr>
            </w:pPr>
            <w:r w:rsidRPr="003D4E8C">
              <w:rPr>
                <w:rFonts w:asciiTheme="majorBidi" w:hAnsiTheme="majorBidi" w:cstheme="majorBidi"/>
                <w:color w:val="000000"/>
              </w:rPr>
              <w:t>Availability; Effective coverage</w:t>
            </w:r>
          </w:p>
        </w:tc>
        <w:tc>
          <w:tcPr>
            <w:tcW w:w="1847" w:type="dxa"/>
            <w:vAlign w:val="center"/>
          </w:tcPr>
          <w:p w14:paraId="56079EF0" w14:textId="77777777" w:rsidR="00EF790F" w:rsidRPr="003D4E8C" w:rsidRDefault="00EF790F" w:rsidP="00EF790F">
            <w:pPr>
              <w:spacing w:before="120" w:after="120"/>
              <w:rPr>
                <w:rFonts w:asciiTheme="majorBidi" w:hAnsiTheme="majorBidi" w:cstheme="majorBidi"/>
              </w:rPr>
            </w:pPr>
            <w:r w:rsidRPr="003D4E8C">
              <w:rPr>
                <w:rFonts w:asciiTheme="majorBidi" w:hAnsiTheme="majorBidi" w:cstheme="majorBidi"/>
                <w:color w:val="000000"/>
              </w:rPr>
              <w:t>Workforce; Information</w:t>
            </w:r>
          </w:p>
        </w:tc>
        <w:tc>
          <w:tcPr>
            <w:tcW w:w="2372" w:type="dxa"/>
            <w:vAlign w:val="center"/>
          </w:tcPr>
          <w:p w14:paraId="7D69464F" w14:textId="77777777" w:rsidR="00EF790F" w:rsidRPr="003D4E8C" w:rsidRDefault="00EF790F" w:rsidP="00EF790F">
            <w:pPr>
              <w:spacing w:before="120" w:after="120"/>
              <w:rPr>
                <w:rFonts w:asciiTheme="majorBidi" w:hAnsiTheme="majorBidi" w:cstheme="majorBidi"/>
              </w:rPr>
            </w:pPr>
            <w:r w:rsidRPr="003D4E8C">
              <w:rPr>
                <w:rFonts w:asciiTheme="majorBidi" w:hAnsiTheme="majorBidi" w:cstheme="majorBidi"/>
                <w:color w:val="000000"/>
              </w:rPr>
              <w:t>Low cost; integrates with existing LMS; scalable</w:t>
            </w:r>
          </w:p>
        </w:tc>
        <w:tc>
          <w:tcPr>
            <w:tcW w:w="1450" w:type="dxa"/>
            <w:vAlign w:val="center"/>
          </w:tcPr>
          <w:p w14:paraId="4ABB3ED5" w14:textId="48FD9532" w:rsidR="00EF790F" w:rsidRPr="003D4E8C" w:rsidRDefault="00EF790F" w:rsidP="00EF790F">
            <w:pPr>
              <w:spacing w:before="120" w:after="120"/>
              <w:jc w:val="center"/>
              <w:rPr>
                <w:rFonts w:asciiTheme="majorBidi" w:hAnsiTheme="majorBidi" w:cstheme="majorBidi"/>
                <w:lang w:val="nb-NO"/>
              </w:rPr>
            </w:pPr>
            <w:r w:rsidRPr="00EF790F">
              <w:rPr>
                <w:rFonts w:asciiTheme="majorBidi" w:hAnsiTheme="majorBidi" w:cstheme="majorBidi"/>
              </w:rPr>
              <w:t>[6–9]</w:t>
            </w:r>
          </w:p>
        </w:tc>
      </w:tr>
      <w:tr w:rsidR="00EF790F" w:rsidRPr="003D4E8C" w14:paraId="46D33A8E" w14:textId="77777777" w:rsidTr="00EF790F">
        <w:tc>
          <w:tcPr>
            <w:tcW w:w="2091" w:type="dxa"/>
            <w:vAlign w:val="center"/>
          </w:tcPr>
          <w:p w14:paraId="4BD36FD8" w14:textId="77777777" w:rsidR="00EF790F" w:rsidRPr="003D4E8C" w:rsidRDefault="00EF790F" w:rsidP="00EF790F">
            <w:pPr>
              <w:spacing w:before="120" w:after="120"/>
              <w:rPr>
                <w:rFonts w:asciiTheme="majorBidi" w:hAnsiTheme="majorBidi" w:cstheme="majorBidi"/>
              </w:rPr>
            </w:pPr>
            <w:r w:rsidRPr="003D4E8C">
              <w:rPr>
                <w:rFonts w:asciiTheme="majorBidi" w:hAnsiTheme="majorBidi" w:cstheme="majorBidi"/>
                <w:color w:val="000000"/>
              </w:rPr>
              <w:t>Low urgency/action despite FAST; materials not inclusive</w:t>
            </w:r>
          </w:p>
        </w:tc>
        <w:tc>
          <w:tcPr>
            <w:tcW w:w="2125" w:type="dxa"/>
            <w:vAlign w:val="center"/>
          </w:tcPr>
          <w:p w14:paraId="09767F79" w14:textId="77777777" w:rsidR="00EF790F" w:rsidRPr="003D4E8C" w:rsidRDefault="00EF790F" w:rsidP="00EF790F">
            <w:pPr>
              <w:spacing w:before="120" w:after="120"/>
              <w:rPr>
                <w:rFonts w:asciiTheme="majorBidi" w:hAnsiTheme="majorBidi" w:cstheme="majorBidi"/>
              </w:rPr>
            </w:pPr>
            <w:r w:rsidRPr="003D4E8C">
              <w:rPr>
                <w:rFonts w:asciiTheme="majorBidi" w:hAnsiTheme="majorBidi" w:cstheme="majorBidi"/>
                <w:b/>
                <w:bCs/>
                <w:color w:val="000000"/>
              </w:rPr>
              <w:t xml:space="preserve">Multilingual, </w:t>
            </w:r>
            <w:proofErr w:type="gramStart"/>
            <w:r w:rsidRPr="003D4E8C">
              <w:rPr>
                <w:rFonts w:asciiTheme="majorBidi" w:hAnsiTheme="majorBidi" w:cstheme="majorBidi"/>
                <w:b/>
                <w:bCs/>
                <w:color w:val="000000"/>
              </w:rPr>
              <w:t>culturally-tailored</w:t>
            </w:r>
            <w:proofErr w:type="gramEnd"/>
            <w:r w:rsidRPr="003D4E8C">
              <w:rPr>
                <w:rFonts w:asciiTheme="majorBidi" w:hAnsiTheme="majorBidi" w:cstheme="majorBidi"/>
                <w:b/>
                <w:bCs/>
                <w:color w:val="000000"/>
              </w:rPr>
              <w:t xml:space="preserve"> FAST campaign</w:t>
            </w:r>
            <w:r w:rsidRPr="003D4E8C">
              <w:rPr>
                <w:rFonts w:asciiTheme="majorBidi" w:hAnsiTheme="majorBidi" w:cstheme="majorBidi"/>
                <w:color w:val="000000"/>
              </w:rPr>
              <w:t xml:space="preserve"> co-designed with communities</w:t>
            </w:r>
          </w:p>
        </w:tc>
        <w:tc>
          <w:tcPr>
            <w:tcW w:w="2416" w:type="dxa"/>
            <w:vAlign w:val="center"/>
          </w:tcPr>
          <w:p w14:paraId="2204FBCF" w14:textId="77777777" w:rsidR="00EF790F" w:rsidRPr="003D4E8C" w:rsidRDefault="00EF790F" w:rsidP="00EF790F">
            <w:pPr>
              <w:spacing w:before="120" w:after="120"/>
              <w:rPr>
                <w:rFonts w:asciiTheme="majorBidi" w:hAnsiTheme="majorBidi" w:cstheme="majorBidi"/>
              </w:rPr>
            </w:pPr>
            <w:r w:rsidRPr="003D4E8C">
              <w:rPr>
                <w:rFonts w:asciiTheme="majorBidi" w:hAnsiTheme="majorBidi" w:cstheme="majorBidi"/>
                <w:color w:val="000000"/>
              </w:rPr>
              <w:t>Sweden: tailored materials improved awareness in immigrant groups</w:t>
            </w:r>
          </w:p>
        </w:tc>
        <w:tc>
          <w:tcPr>
            <w:tcW w:w="1873" w:type="dxa"/>
            <w:vAlign w:val="center"/>
          </w:tcPr>
          <w:p w14:paraId="343CE62D" w14:textId="77777777" w:rsidR="00EF790F" w:rsidRPr="003D4E8C" w:rsidRDefault="00EF790F" w:rsidP="00EF790F">
            <w:pPr>
              <w:spacing w:before="120" w:after="120"/>
              <w:rPr>
                <w:rFonts w:asciiTheme="majorBidi" w:hAnsiTheme="majorBidi" w:cstheme="majorBidi"/>
              </w:rPr>
            </w:pPr>
            <w:r w:rsidRPr="003D4E8C">
              <w:rPr>
                <w:rFonts w:asciiTheme="majorBidi" w:hAnsiTheme="majorBidi" w:cstheme="majorBidi"/>
                <w:color w:val="000000"/>
              </w:rPr>
              <w:t>Acceptability; Contact</w:t>
            </w:r>
          </w:p>
        </w:tc>
        <w:tc>
          <w:tcPr>
            <w:tcW w:w="1847" w:type="dxa"/>
            <w:vAlign w:val="center"/>
          </w:tcPr>
          <w:p w14:paraId="1F572C1C" w14:textId="77777777" w:rsidR="00EF790F" w:rsidRPr="003D4E8C" w:rsidRDefault="00EF790F" w:rsidP="00EF790F">
            <w:pPr>
              <w:spacing w:before="120" w:after="120"/>
              <w:rPr>
                <w:rFonts w:asciiTheme="majorBidi" w:hAnsiTheme="majorBidi" w:cstheme="majorBidi"/>
              </w:rPr>
            </w:pPr>
            <w:r w:rsidRPr="003D4E8C">
              <w:rPr>
                <w:rFonts w:asciiTheme="majorBidi" w:hAnsiTheme="majorBidi" w:cstheme="majorBidi"/>
                <w:color w:val="000000"/>
              </w:rPr>
              <w:t>Information; Governance; Partnerships</w:t>
            </w:r>
          </w:p>
        </w:tc>
        <w:tc>
          <w:tcPr>
            <w:tcW w:w="2372" w:type="dxa"/>
            <w:vAlign w:val="center"/>
          </w:tcPr>
          <w:p w14:paraId="6E43E6E4" w14:textId="77777777" w:rsidR="00EF790F" w:rsidRPr="003D4E8C" w:rsidRDefault="00EF790F" w:rsidP="00EF790F">
            <w:pPr>
              <w:spacing w:before="120" w:after="120"/>
              <w:rPr>
                <w:rFonts w:asciiTheme="majorBidi" w:hAnsiTheme="majorBidi" w:cstheme="majorBidi"/>
              </w:rPr>
            </w:pPr>
            <w:r w:rsidRPr="003D4E8C">
              <w:rPr>
                <w:rFonts w:asciiTheme="majorBidi" w:hAnsiTheme="majorBidi" w:cstheme="majorBidi"/>
                <w:color w:val="000000"/>
              </w:rPr>
              <w:t>Needs sustained funding; leverage community orgs + digital channels to lower cost.</w:t>
            </w:r>
          </w:p>
        </w:tc>
        <w:tc>
          <w:tcPr>
            <w:tcW w:w="1450" w:type="dxa"/>
            <w:vAlign w:val="center"/>
          </w:tcPr>
          <w:p w14:paraId="3DFDA5ED" w14:textId="25D5C178" w:rsidR="00EF790F" w:rsidRPr="003D4E8C" w:rsidRDefault="00EF790F" w:rsidP="00EF790F">
            <w:pPr>
              <w:spacing w:before="120" w:after="120"/>
              <w:jc w:val="center"/>
              <w:rPr>
                <w:rFonts w:asciiTheme="majorBidi" w:hAnsiTheme="majorBidi" w:cstheme="majorBidi"/>
                <w:lang w:val="nl-NL"/>
              </w:rPr>
            </w:pPr>
            <w:r w:rsidRPr="00EF790F">
              <w:rPr>
                <w:rFonts w:asciiTheme="majorBidi" w:hAnsiTheme="majorBidi" w:cstheme="majorBidi"/>
              </w:rPr>
              <w:t>[10–13]</w:t>
            </w:r>
          </w:p>
        </w:tc>
      </w:tr>
      <w:tr w:rsidR="00EF790F" w:rsidRPr="003D4E8C" w14:paraId="6245C05A" w14:textId="77777777" w:rsidTr="00EF790F">
        <w:tc>
          <w:tcPr>
            <w:tcW w:w="2091" w:type="dxa"/>
            <w:vAlign w:val="center"/>
          </w:tcPr>
          <w:p w14:paraId="307A420A" w14:textId="77777777" w:rsidR="00EF790F" w:rsidRPr="003D4E8C" w:rsidRDefault="00EF790F" w:rsidP="00EF790F">
            <w:pPr>
              <w:spacing w:before="120" w:after="120"/>
              <w:rPr>
                <w:rFonts w:asciiTheme="majorBidi" w:hAnsiTheme="majorBidi" w:cstheme="majorBidi"/>
              </w:rPr>
            </w:pPr>
            <w:r w:rsidRPr="003D4E8C">
              <w:rPr>
                <w:rFonts w:asciiTheme="majorBidi" w:hAnsiTheme="majorBidi" w:cstheme="majorBidi"/>
                <w:color w:val="000000"/>
              </w:rPr>
              <w:t>Structural disadvantage for rural/coastal areas</w:t>
            </w:r>
          </w:p>
        </w:tc>
        <w:tc>
          <w:tcPr>
            <w:tcW w:w="2125" w:type="dxa"/>
            <w:vAlign w:val="center"/>
          </w:tcPr>
          <w:p w14:paraId="5D44350D" w14:textId="77777777" w:rsidR="00EF790F" w:rsidRPr="003D4E8C" w:rsidRDefault="00EF790F" w:rsidP="00EF790F">
            <w:pPr>
              <w:spacing w:before="120" w:after="120"/>
              <w:rPr>
                <w:rFonts w:asciiTheme="majorBidi" w:hAnsiTheme="majorBidi" w:cstheme="majorBidi"/>
              </w:rPr>
            </w:pPr>
            <w:r w:rsidRPr="003D4E8C">
              <w:rPr>
                <w:rFonts w:asciiTheme="majorBidi" w:hAnsiTheme="majorBidi" w:cstheme="majorBidi"/>
                <w:b/>
                <w:bCs/>
                <w:color w:val="000000"/>
              </w:rPr>
              <w:t>Decentralise EMS stations / add rural units</w:t>
            </w:r>
            <w:r w:rsidRPr="003D4E8C">
              <w:rPr>
                <w:rFonts w:asciiTheme="majorBidi" w:hAnsiTheme="majorBidi" w:cstheme="majorBidi"/>
                <w:color w:val="000000"/>
              </w:rPr>
              <w:t xml:space="preserve"> (coverage rebalancing)</w:t>
            </w:r>
          </w:p>
        </w:tc>
        <w:tc>
          <w:tcPr>
            <w:tcW w:w="2416" w:type="dxa"/>
            <w:vAlign w:val="center"/>
          </w:tcPr>
          <w:p w14:paraId="1CB40F23" w14:textId="77777777" w:rsidR="00EF790F" w:rsidRPr="003D4E8C" w:rsidRDefault="00EF790F" w:rsidP="00EF790F">
            <w:pPr>
              <w:spacing w:before="120" w:after="120"/>
              <w:rPr>
                <w:rFonts w:asciiTheme="majorBidi" w:hAnsiTheme="majorBidi" w:cstheme="majorBidi"/>
              </w:rPr>
            </w:pPr>
            <w:r w:rsidRPr="003D4E8C">
              <w:rPr>
                <w:rFonts w:asciiTheme="majorBidi" w:hAnsiTheme="majorBidi" w:cstheme="majorBidi"/>
                <w:color w:val="000000"/>
              </w:rPr>
              <w:t>Rural Scotland: decentralisation ↓ mean response time ~20%</w:t>
            </w:r>
          </w:p>
        </w:tc>
        <w:tc>
          <w:tcPr>
            <w:tcW w:w="1873" w:type="dxa"/>
            <w:vAlign w:val="center"/>
          </w:tcPr>
          <w:p w14:paraId="42B57C45" w14:textId="77777777" w:rsidR="00EF790F" w:rsidRPr="003D4E8C" w:rsidRDefault="00EF790F" w:rsidP="00EF790F">
            <w:pPr>
              <w:spacing w:before="120" w:after="120"/>
              <w:rPr>
                <w:rFonts w:asciiTheme="majorBidi" w:hAnsiTheme="majorBidi" w:cstheme="majorBidi"/>
              </w:rPr>
            </w:pPr>
            <w:r w:rsidRPr="003D4E8C">
              <w:rPr>
                <w:rFonts w:asciiTheme="majorBidi" w:hAnsiTheme="majorBidi" w:cstheme="majorBidi"/>
                <w:color w:val="000000"/>
              </w:rPr>
              <w:t>Accessibility</w:t>
            </w:r>
          </w:p>
        </w:tc>
        <w:tc>
          <w:tcPr>
            <w:tcW w:w="1847" w:type="dxa"/>
            <w:vAlign w:val="center"/>
          </w:tcPr>
          <w:p w14:paraId="476D32A4" w14:textId="77777777" w:rsidR="00EF790F" w:rsidRPr="003D4E8C" w:rsidRDefault="00EF790F" w:rsidP="00EF790F">
            <w:pPr>
              <w:spacing w:before="120" w:after="120"/>
              <w:rPr>
                <w:rFonts w:asciiTheme="majorBidi" w:hAnsiTheme="majorBidi" w:cstheme="majorBidi"/>
              </w:rPr>
            </w:pPr>
            <w:r w:rsidRPr="003D4E8C">
              <w:rPr>
                <w:rFonts w:asciiTheme="majorBidi" w:hAnsiTheme="majorBidi" w:cstheme="majorBidi"/>
                <w:color w:val="000000"/>
              </w:rPr>
              <w:t>Service delivery; Financing; Facilities</w:t>
            </w:r>
          </w:p>
        </w:tc>
        <w:tc>
          <w:tcPr>
            <w:tcW w:w="2372" w:type="dxa"/>
            <w:vAlign w:val="center"/>
          </w:tcPr>
          <w:p w14:paraId="433C93AC" w14:textId="77777777" w:rsidR="00EF790F" w:rsidRPr="003D4E8C" w:rsidRDefault="00EF790F" w:rsidP="00EF790F">
            <w:pPr>
              <w:spacing w:before="120" w:after="120"/>
              <w:rPr>
                <w:rFonts w:asciiTheme="majorBidi" w:hAnsiTheme="majorBidi" w:cstheme="majorBidi"/>
              </w:rPr>
            </w:pPr>
            <w:r w:rsidRPr="003D4E8C">
              <w:rPr>
                <w:rFonts w:asciiTheme="majorBidi" w:hAnsiTheme="majorBidi" w:cstheme="majorBidi"/>
                <w:color w:val="000000"/>
              </w:rPr>
              <w:t>High upfront; long-term gains via shorter travel, fuel savings, better outcomes</w:t>
            </w:r>
          </w:p>
        </w:tc>
        <w:tc>
          <w:tcPr>
            <w:tcW w:w="1450" w:type="dxa"/>
            <w:vAlign w:val="center"/>
          </w:tcPr>
          <w:p w14:paraId="05F9FC03" w14:textId="0C06E096" w:rsidR="00EF790F" w:rsidRPr="003D4E8C" w:rsidRDefault="00EF790F" w:rsidP="00EF790F">
            <w:pPr>
              <w:spacing w:before="120" w:after="120"/>
              <w:jc w:val="center"/>
              <w:rPr>
                <w:rFonts w:asciiTheme="majorBidi" w:hAnsiTheme="majorBidi" w:cstheme="majorBidi"/>
              </w:rPr>
            </w:pPr>
            <w:r w:rsidRPr="00EF790F">
              <w:rPr>
                <w:rFonts w:asciiTheme="majorBidi" w:hAnsiTheme="majorBidi" w:cstheme="majorBidi"/>
              </w:rPr>
              <w:t>[14,15]</w:t>
            </w:r>
          </w:p>
        </w:tc>
      </w:tr>
      <w:tr w:rsidR="00EF790F" w:rsidRPr="003D4E8C" w14:paraId="30B8946B" w14:textId="77777777" w:rsidTr="00EF790F">
        <w:tc>
          <w:tcPr>
            <w:tcW w:w="2091" w:type="dxa"/>
            <w:vAlign w:val="center"/>
          </w:tcPr>
          <w:p w14:paraId="28F11E8E" w14:textId="77777777" w:rsidR="00EF790F" w:rsidRPr="003D4E8C" w:rsidRDefault="00EF790F" w:rsidP="00EF790F">
            <w:pPr>
              <w:spacing w:before="120" w:after="120"/>
              <w:rPr>
                <w:rFonts w:asciiTheme="majorBidi" w:hAnsiTheme="majorBidi" w:cstheme="majorBidi"/>
              </w:rPr>
            </w:pPr>
            <w:r w:rsidRPr="003D4E8C">
              <w:rPr>
                <w:rFonts w:asciiTheme="majorBidi" w:hAnsiTheme="majorBidi" w:cstheme="majorBidi"/>
                <w:color w:val="000000"/>
              </w:rPr>
              <w:lastRenderedPageBreak/>
              <w:t>Private EMS without NHS devices/apps</w:t>
            </w:r>
          </w:p>
        </w:tc>
        <w:tc>
          <w:tcPr>
            <w:tcW w:w="2125" w:type="dxa"/>
            <w:vAlign w:val="center"/>
          </w:tcPr>
          <w:p w14:paraId="452DE99A" w14:textId="77777777" w:rsidR="00EF790F" w:rsidRPr="003D4E8C" w:rsidRDefault="00EF790F" w:rsidP="00EF790F">
            <w:pPr>
              <w:spacing w:before="120" w:after="120"/>
              <w:rPr>
                <w:rFonts w:asciiTheme="majorBidi" w:hAnsiTheme="majorBidi" w:cstheme="majorBidi"/>
              </w:rPr>
            </w:pPr>
            <w:r w:rsidRPr="003D4E8C">
              <w:rPr>
                <w:rFonts w:asciiTheme="majorBidi" w:hAnsiTheme="majorBidi" w:cstheme="majorBidi"/>
                <w:b/>
                <w:bCs/>
                <w:color w:val="000000"/>
              </w:rPr>
              <w:t>Device parity &amp; platform access for private crews</w:t>
            </w:r>
            <w:r w:rsidRPr="003D4E8C">
              <w:rPr>
                <w:rFonts w:asciiTheme="majorBidi" w:hAnsiTheme="majorBidi" w:cstheme="majorBidi"/>
                <w:color w:val="000000"/>
              </w:rPr>
              <w:t xml:space="preserve"> (iPads; tele-apps; shared protocols)</w:t>
            </w:r>
          </w:p>
        </w:tc>
        <w:tc>
          <w:tcPr>
            <w:tcW w:w="2416" w:type="dxa"/>
            <w:vAlign w:val="center"/>
          </w:tcPr>
          <w:p w14:paraId="0D67A5BF" w14:textId="77777777" w:rsidR="00EF790F" w:rsidRPr="003D4E8C" w:rsidRDefault="00EF790F" w:rsidP="00EF790F">
            <w:pPr>
              <w:spacing w:before="120" w:after="120"/>
              <w:rPr>
                <w:rFonts w:asciiTheme="majorBidi" w:hAnsiTheme="majorBidi" w:cstheme="majorBidi"/>
              </w:rPr>
            </w:pPr>
            <w:r w:rsidRPr="003D4E8C">
              <w:rPr>
                <w:rFonts w:asciiTheme="majorBidi" w:hAnsiTheme="majorBidi" w:cstheme="majorBidi"/>
                <w:color w:val="000000"/>
              </w:rPr>
              <w:t>East of England examples: improved consistency/coordination reported</w:t>
            </w:r>
          </w:p>
        </w:tc>
        <w:tc>
          <w:tcPr>
            <w:tcW w:w="1873" w:type="dxa"/>
            <w:vAlign w:val="center"/>
          </w:tcPr>
          <w:p w14:paraId="5C4E39F8" w14:textId="77777777" w:rsidR="00EF790F" w:rsidRPr="003D4E8C" w:rsidRDefault="00EF790F" w:rsidP="00EF790F">
            <w:pPr>
              <w:spacing w:before="120" w:after="120"/>
              <w:rPr>
                <w:rFonts w:asciiTheme="majorBidi" w:hAnsiTheme="majorBidi" w:cstheme="majorBidi"/>
              </w:rPr>
            </w:pPr>
            <w:r w:rsidRPr="003D4E8C">
              <w:rPr>
                <w:rFonts w:asciiTheme="majorBidi" w:hAnsiTheme="majorBidi" w:cstheme="majorBidi"/>
                <w:color w:val="000000"/>
              </w:rPr>
              <w:t>Availability; Accessibility</w:t>
            </w:r>
          </w:p>
        </w:tc>
        <w:tc>
          <w:tcPr>
            <w:tcW w:w="1847" w:type="dxa"/>
            <w:vAlign w:val="center"/>
          </w:tcPr>
          <w:p w14:paraId="4012D807" w14:textId="77777777" w:rsidR="00EF790F" w:rsidRPr="003D4E8C" w:rsidRDefault="00EF790F" w:rsidP="00EF790F">
            <w:pPr>
              <w:spacing w:before="120" w:after="120"/>
              <w:rPr>
                <w:rFonts w:asciiTheme="majorBidi" w:hAnsiTheme="majorBidi" w:cstheme="majorBidi"/>
              </w:rPr>
            </w:pPr>
            <w:r w:rsidRPr="003D4E8C">
              <w:rPr>
                <w:rFonts w:asciiTheme="majorBidi" w:hAnsiTheme="majorBidi" w:cstheme="majorBidi"/>
                <w:color w:val="000000"/>
              </w:rPr>
              <w:t>Medical products &amp; technologies; Service delivery; Information</w:t>
            </w:r>
          </w:p>
        </w:tc>
        <w:tc>
          <w:tcPr>
            <w:tcW w:w="2372" w:type="dxa"/>
            <w:vAlign w:val="center"/>
          </w:tcPr>
          <w:p w14:paraId="2DF664D4" w14:textId="77777777" w:rsidR="00EF790F" w:rsidRPr="003D4E8C" w:rsidRDefault="00EF790F" w:rsidP="00EF790F">
            <w:pPr>
              <w:spacing w:before="120" w:after="120"/>
              <w:rPr>
                <w:rFonts w:asciiTheme="majorBidi" w:hAnsiTheme="majorBidi" w:cstheme="majorBidi"/>
              </w:rPr>
            </w:pPr>
            <w:r w:rsidRPr="003D4E8C">
              <w:rPr>
                <w:rFonts w:asciiTheme="majorBidi" w:hAnsiTheme="majorBidi" w:cstheme="majorBidi"/>
                <w:color w:val="000000"/>
              </w:rPr>
              <w:t>Low maintenance after rollout; improves interoperability, reduces duplication</w:t>
            </w:r>
          </w:p>
        </w:tc>
        <w:tc>
          <w:tcPr>
            <w:tcW w:w="1450" w:type="dxa"/>
            <w:vAlign w:val="center"/>
          </w:tcPr>
          <w:p w14:paraId="6086DC26" w14:textId="55366BB6" w:rsidR="00EF790F" w:rsidRPr="003D4E8C" w:rsidRDefault="00EF790F" w:rsidP="00EF790F">
            <w:pPr>
              <w:spacing w:before="120" w:after="120"/>
              <w:jc w:val="center"/>
              <w:rPr>
                <w:rFonts w:asciiTheme="majorBidi" w:hAnsiTheme="majorBidi" w:cstheme="majorBidi"/>
              </w:rPr>
            </w:pPr>
            <w:r w:rsidRPr="00EF790F">
              <w:rPr>
                <w:rFonts w:asciiTheme="majorBidi" w:hAnsiTheme="majorBidi" w:cstheme="majorBidi"/>
              </w:rPr>
              <w:t>[2,16]</w:t>
            </w:r>
          </w:p>
        </w:tc>
      </w:tr>
      <w:tr w:rsidR="00EF790F" w:rsidRPr="003D4E8C" w14:paraId="55B6ED8F" w14:textId="77777777" w:rsidTr="00EF790F">
        <w:tc>
          <w:tcPr>
            <w:tcW w:w="2091" w:type="dxa"/>
            <w:vAlign w:val="center"/>
          </w:tcPr>
          <w:p w14:paraId="342294F4" w14:textId="77777777" w:rsidR="00EF790F" w:rsidRPr="003D4E8C" w:rsidRDefault="00EF790F" w:rsidP="00EF790F">
            <w:pPr>
              <w:spacing w:before="120" w:after="120"/>
              <w:rPr>
                <w:rFonts w:asciiTheme="majorBidi" w:hAnsiTheme="majorBidi" w:cstheme="majorBidi"/>
              </w:rPr>
            </w:pPr>
            <w:r w:rsidRPr="003D4E8C">
              <w:rPr>
                <w:rFonts w:asciiTheme="majorBidi" w:hAnsiTheme="majorBidi" w:cstheme="majorBidi"/>
                <w:color w:val="000000"/>
              </w:rPr>
              <w:t>Lagged feedback (SSNAP); limited frontline learning</w:t>
            </w:r>
          </w:p>
        </w:tc>
        <w:tc>
          <w:tcPr>
            <w:tcW w:w="2125" w:type="dxa"/>
            <w:vAlign w:val="center"/>
          </w:tcPr>
          <w:p w14:paraId="2DB92471" w14:textId="77777777" w:rsidR="00EF790F" w:rsidRPr="003D4E8C" w:rsidRDefault="00EF790F" w:rsidP="00EF790F">
            <w:pPr>
              <w:spacing w:before="120" w:after="120"/>
              <w:rPr>
                <w:rFonts w:asciiTheme="majorBidi" w:hAnsiTheme="majorBidi" w:cstheme="majorBidi"/>
              </w:rPr>
            </w:pPr>
            <w:r w:rsidRPr="003D4E8C">
              <w:rPr>
                <w:rFonts w:asciiTheme="majorBidi" w:hAnsiTheme="majorBidi" w:cstheme="majorBidi"/>
                <w:b/>
                <w:bCs/>
                <w:color w:val="000000"/>
              </w:rPr>
              <w:t>Real-time digital feedback platform</w:t>
            </w:r>
            <w:r w:rsidRPr="003D4E8C">
              <w:rPr>
                <w:rFonts w:asciiTheme="majorBidi" w:hAnsiTheme="majorBidi" w:cstheme="majorBidi"/>
                <w:color w:val="000000"/>
              </w:rPr>
              <w:t xml:space="preserve"> for EMS (case outcomes, KPIs)</w:t>
            </w:r>
          </w:p>
        </w:tc>
        <w:tc>
          <w:tcPr>
            <w:tcW w:w="2416" w:type="dxa"/>
            <w:vAlign w:val="center"/>
          </w:tcPr>
          <w:p w14:paraId="32B7C7B0" w14:textId="77777777" w:rsidR="00EF790F" w:rsidRPr="003D4E8C" w:rsidRDefault="00EF790F" w:rsidP="00EF790F">
            <w:pPr>
              <w:spacing w:before="120" w:after="120"/>
              <w:rPr>
                <w:rFonts w:asciiTheme="majorBidi" w:hAnsiTheme="majorBidi" w:cstheme="majorBidi"/>
              </w:rPr>
            </w:pPr>
            <w:r w:rsidRPr="003D4E8C">
              <w:rPr>
                <w:rFonts w:asciiTheme="majorBidi" w:hAnsiTheme="majorBidi" w:cstheme="majorBidi"/>
                <w:color w:val="000000"/>
              </w:rPr>
              <w:t>Bavaria &amp; Australia: real-time feedback associated with performance gains</w:t>
            </w:r>
          </w:p>
        </w:tc>
        <w:tc>
          <w:tcPr>
            <w:tcW w:w="1873" w:type="dxa"/>
            <w:vAlign w:val="center"/>
          </w:tcPr>
          <w:p w14:paraId="4F746D19" w14:textId="77777777" w:rsidR="00EF790F" w:rsidRPr="003D4E8C" w:rsidRDefault="00EF790F" w:rsidP="00EF790F">
            <w:pPr>
              <w:spacing w:before="120" w:after="120"/>
              <w:rPr>
                <w:rFonts w:asciiTheme="majorBidi" w:hAnsiTheme="majorBidi" w:cstheme="majorBidi"/>
              </w:rPr>
            </w:pPr>
            <w:r w:rsidRPr="003D4E8C">
              <w:rPr>
                <w:rFonts w:asciiTheme="majorBidi" w:hAnsiTheme="majorBidi" w:cstheme="majorBidi"/>
                <w:color w:val="000000"/>
              </w:rPr>
              <w:t>Effective coverage (learning); Acceptability (public info)</w:t>
            </w:r>
          </w:p>
        </w:tc>
        <w:tc>
          <w:tcPr>
            <w:tcW w:w="1847" w:type="dxa"/>
            <w:vAlign w:val="center"/>
          </w:tcPr>
          <w:p w14:paraId="408A40D5" w14:textId="77777777" w:rsidR="00EF790F" w:rsidRPr="003D4E8C" w:rsidRDefault="00EF790F" w:rsidP="00EF790F">
            <w:pPr>
              <w:spacing w:before="120" w:after="120"/>
              <w:rPr>
                <w:rFonts w:asciiTheme="majorBidi" w:hAnsiTheme="majorBidi" w:cstheme="majorBidi"/>
              </w:rPr>
            </w:pPr>
            <w:r w:rsidRPr="003D4E8C">
              <w:rPr>
                <w:rFonts w:asciiTheme="majorBidi" w:hAnsiTheme="majorBidi" w:cstheme="majorBidi"/>
                <w:color w:val="000000"/>
              </w:rPr>
              <w:t>Information; Governance</w:t>
            </w:r>
          </w:p>
        </w:tc>
        <w:tc>
          <w:tcPr>
            <w:tcW w:w="2372" w:type="dxa"/>
            <w:vAlign w:val="center"/>
          </w:tcPr>
          <w:p w14:paraId="12E602AC" w14:textId="77777777" w:rsidR="00EF790F" w:rsidRPr="003D4E8C" w:rsidRDefault="00EF790F" w:rsidP="00EF790F">
            <w:pPr>
              <w:spacing w:before="120" w:after="120"/>
              <w:rPr>
                <w:rFonts w:asciiTheme="majorBidi" w:hAnsiTheme="majorBidi" w:cstheme="majorBidi"/>
              </w:rPr>
            </w:pPr>
            <w:r w:rsidRPr="003D4E8C">
              <w:rPr>
                <w:rFonts w:asciiTheme="majorBidi" w:hAnsiTheme="majorBidi" w:cstheme="majorBidi"/>
                <w:color w:val="000000"/>
              </w:rPr>
              <w:t>Higher setup; lower running costs; supports continuous improvement; may reduce training spend.</w:t>
            </w:r>
          </w:p>
        </w:tc>
        <w:tc>
          <w:tcPr>
            <w:tcW w:w="1450" w:type="dxa"/>
            <w:vAlign w:val="center"/>
          </w:tcPr>
          <w:p w14:paraId="1D014B6A" w14:textId="59C9AFA3" w:rsidR="00EF790F" w:rsidRPr="003D4E8C" w:rsidRDefault="00EF790F" w:rsidP="00EF790F">
            <w:pPr>
              <w:spacing w:before="120" w:after="120"/>
              <w:jc w:val="center"/>
              <w:rPr>
                <w:rFonts w:asciiTheme="majorBidi" w:hAnsiTheme="majorBidi" w:cstheme="majorBidi"/>
                <w:lang w:val="nl-NL"/>
              </w:rPr>
            </w:pPr>
            <w:r w:rsidRPr="00EF790F">
              <w:rPr>
                <w:rFonts w:asciiTheme="majorBidi" w:hAnsiTheme="majorBidi" w:cstheme="majorBidi"/>
              </w:rPr>
              <w:t>[1,5,17]</w:t>
            </w:r>
          </w:p>
        </w:tc>
      </w:tr>
    </w:tbl>
    <w:p w14:paraId="0C8BC88E" w14:textId="77777777" w:rsidR="00EF790F" w:rsidRDefault="00EF790F" w:rsidP="00414A8E">
      <w:pPr>
        <w:spacing w:after="0" w:line="240" w:lineRule="auto"/>
        <w:rPr>
          <w:rFonts w:ascii="Arial" w:hAnsi="Arial" w:cs="Arial"/>
          <w:sz w:val="20"/>
          <w:szCs w:val="20"/>
          <w:rtl/>
          <w:lang w:bidi="fa-IR"/>
        </w:rPr>
      </w:pPr>
    </w:p>
    <w:p w14:paraId="04AB3162" w14:textId="77777777" w:rsidR="00EF790F" w:rsidRDefault="00EF790F" w:rsidP="00414A8E">
      <w:pPr>
        <w:spacing w:after="0" w:line="240" w:lineRule="auto"/>
        <w:rPr>
          <w:rFonts w:ascii="Arial" w:hAnsi="Arial" w:cs="Arial"/>
          <w:sz w:val="20"/>
          <w:szCs w:val="20"/>
          <w:rtl/>
          <w:lang w:bidi="fa-IR"/>
        </w:rPr>
      </w:pPr>
    </w:p>
    <w:p w14:paraId="21E679F5" w14:textId="5F849959" w:rsidR="00EF790F" w:rsidRPr="00EF790F" w:rsidRDefault="00EF790F" w:rsidP="00EF79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rtl/>
          <w:lang w:eastAsia="en-GB"/>
          <w14:ligatures w14:val="none"/>
        </w:rPr>
      </w:pPr>
      <w:r w:rsidRPr="00EF790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References:</w:t>
      </w:r>
    </w:p>
    <w:p w14:paraId="4B664BC2" w14:textId="77777777" w:rsidR="00EF790F" w:rsidRPr="00EF790F" w:rsidRDefault="00EF790F" w:rsidP="00EF790F">
      <w:pPr>
        <w:numPr>
          <w:ilvl w:val="0"/>
          <w:numId w:val="1"/>
        </w:numPr>
        <w:tabs>
          <w:tab w:val="clear" w:pos="720"/>
          <w:tab w:val="num" w:pos="360"/>
        </w:tabs>
        <w:spacing w:before="120" w:after="120" w:line="240" w:lineRule="auto"/>
        <w:ind w:left="357" w:hanging="357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F790F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Audebert HJ, Schultes K, Tietz V, </w:t>
      </w:r>
      <w:proofErr w:type="spellStart"/>
      <w:r w:rsidRPr="00EF790F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Heuschmann</w:t>
      </w:r>
      <w:proofErr w:type="spellEnd"/>
      <w:r w:rsidRPr="00EF790F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PU, Bogdahn U, Haberl RL, et al. Long-term effects of specialised stroke care with telemedicine support in community hospitals on behalf of the Telemedical Project for Integrative Stroke Care (</w:t>
      </w:r>
      <w:proofErr w:type="spellStart"/>
      <w:r w:rsidRPr="00EF790F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TEMPiS</w:t>
      </w:r>
      <w:proofErr w:type="spellEnd"/>
      <w:r w:rsidRPr="00EF790F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). </w:t>
      </w:r>
      <w:r w:rsidRPr="00EF790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GB"/>
          <w14:ligatures w14:val="none"/>
        </w:rPr>
        <w:t>Stroke</w:t>
      </w:r>
      <w:r w:rsidRPr="00EF790F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. 2009;40(3):902–908. </w:t>
      </w:r>
    </w:p>
    <w:p w14:paraId="2E75331C" w14:textId="77777777" w:rsidR="00EF790F" w:rsidRPr="00EF790F" w:rsidRDefault="00EF790F" w:rsidP="00EF790F">
      <w:pPr>
        <w:numPr>
          <w:ilvl w:val="0"/>
          <w:numId w:val="1"/>
        </w:numPr>
        <w:tabs>
          <w:tab w:val="clear" w:pos="720"/>
          <w:tab w:val="num" w:pos="360"/>
        </w:tabs>
        <w:spacing w:before="120" w:after="120" w:line="240" w:lineRule="auto"/>
        <w:ind w:left="357" w:hanging="357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proofErr w:type="spellStart"/>
      <w:r w:rsidRPr="00EF790F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Basnawi</w:t>
      </w:r>
      <w:proofErr w:type="spellEnd"/>
      <w:r w:rsidRPr="00EF790F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A. Addressing challenges in EMS department operations: a comprehensive analysis of key issues and solutions. </w:t>
      </w:r>
      <w:r w:rsidRPr="00EF790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GB"/>
          <w14:ligatures w14:val="none"/>
        </w:rPr>
        <w:t>Emergency Care and Medicine</w:t>
      </w:r>
      <w:r w:rsidRPr="00EF790F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. 2023;1(1):11–23. </w:t>
      </w:r>
    </w:p>
    <w:p w14:paraId="613686A5" w14:textId="77777777" w:rsidR="00EF790F" w:rsidRPr="00EF790F" w:rsidRDefault="00EF790F" w:rsidP="00EF790F">
      <w:pPr>
        <w:numPr>
          <w:ilvl w:val="0"/>
          <w:numId w:val="1"/>
        </w:numPr>
        <w:tabs>
          <w:tab w:val="clear" w:pos="720"/>
          <w:tab w:val="num" w:pos="360"/>
        </w:tabs>
        <w:spacing w:before="120" w:after="120" w:line="240" w:lineRule="auto"/>
        <w:ind w:left="357" w:hanging="357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F790F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Zhao H, Coote S, Easton D, Langenberg F, Stephenson M, Smith K, et al. Melbourne Mobile Stroke Unit and reperfusion therapy: greater clinical impact of thrombectomy than thrombolysis. </w:t>
      </w:r>
      <w:r w:rsidRPr="00EF790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GB"/>
          <w14:ligatures w14:val="none"/>
        </w:rPr>
        <w:t>Stroke</w:t>
      </w:r>
      <w:r w:rsidRPr="00EF790F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. 2020;51(3):922–930. </w:t>
      </w:r>
    </w:p>
    <w:p w14:paraId="03D8611B" w14:textId="77777777" w:rsidR="00EF790F" w:rsidRPr="00EF790F" w:rsidRDefault="00EF790F" w:rsidP="00EF790F">
      <w:pPr>
        <w:numPr>
          <w:ilvl w:val="0"/>
          <w:numId w:val="1"/>
        </w:numPr>
        <w:tabs>
          <w:tab w:val="clear" w:pos="720"/>
          <w:tab w:val="num" w:pos="360"/>
        </w:tabs>
        <w:spacing w:before="120" w:after="120" w:line="240" w:lineRule="auto"/>
        <w:ind w:left="357" w:hanging="357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F790F">
        <w:rPr>
          <w:rFonts w:ascii="Times New Roman" w:eastAsia="Times New Roman" w:hAnsi="Times New Roman" w:cs="Times New Roman"/>
          <w:kern w:val="0"/>
          <w:sz w:val="24"/>
          <w:szCs w:val="24"/>
          <w:lang w:val="nb-NO" w:eastAsia="en-GB"/>
          <w14:ligatures w14:val="none"/>
        </w:rPr>
        <w:t xml:space="preserve">Ebinger M, Winter B, Wendt M, Weber JE, Waldschmidt C, Rozanski M, et al. </w:t>
      </w:r>
      <w:r w:rsidRPr="00EF790F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Effect of the use of ambulance-based thrombolysis on time to thrombolysis in acute ischemic stroke: a randomised clinical trial. </w:t>
      </w:r>
      <w:r w:rsidRPr="00EF790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GB"/>
          <w14:ligatures w14:val="none"/>
        </w:rPr>
        <w:t>JAMA</w:t>
      </w:r>
      <w:r w:rsidRPr="00EF790F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. 2014;311(16):1622–1631. </w:t>
      </w:r>
    </w:p>
    <w:p w14:paraId="1F11F146" w14:textId="77777777" w:rsidR="00EF790F" w:rsidRPr="00EF790F" w:rsidRDefault="00EF790F" w:rsidP="00EF790F">
      <w:pPr>
        <w:numPr>
          <w:ilvl w:val="0"/>
          <w:numId w:val="1"/>
        </w:numPr>
        <w:tabs>
          <w:tab w:val="clear" w:pos="720"/>
          <w:tab w:val="num" w:pos="360"/>
        </w:tabs>
        <w:spacing w:before="120" w:after="120" w:line="240" w:lineRule="auto"/>
        <w:ind w:left="357" w:hanging="357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F790F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Kim J, Easton D, Zhao H, Coote S, Sookram G, Smith K, et al. Economic evaluation of the Melbourne Mobile Stroke Unit. </w:t>
      </w:r>
      <w:r w:rsidRPr="00EF790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GB"/>
          <w14:ligatures w14:val="none"/>
        </w:rPr>
        <w:t>Int J Stroke</w:t>
      </w:r>
      <w:r w:rsidRPr="00EF790F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. 2021;16(4):466–475. </w:t>
      </w:r>
    </w:p>
    <w:p w14:paraId="0E61C135" w14:textId="77777777" w:rsidR="00EF790F" w:rsidRPr="00EF790F" w:rsidRDefault="00EF790F" w:rsidP="00EF790F">
      <w:pPr>
        <w:numPr>
          <w:ilvl w:val="0"/>
          <w:numId w:val="1"/>
        </w:numPr>
        <w:tabs>
          <w:tab w:val="clear" w:pos="720"/>
          <w:tab w:val="num" w:pos="360"/>
        </w:tabs>
        <w:spacing w:before="120" w:after="120" w:line="240" w:lineRule="auto"/>
        <w:ind w:left="357" w:hanging="357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F790F">
        <w:rPr>
          <w:rFonts w:ascii="Times New Roman" w:eastAsia="Times New Roman" w:hAnsi="Times New Roman" w:cs="Times New Roman"/>
          <w:kern w:val="0"/>
          <w:sz w:val="24"/>
          <w:szCs w:val="24"/>
          <w:lang w:val="nb-NO" w:eastAsia="en-GB"/>
          <w14:ligatures w14:val="none"/>
        </w:rPr>
        <w:lastRenderedPageBreak/>
        <w:t xml:space="preserve">Guterud M, Hardeland C, Bugge HF, Sandset EC, Svendsen EJ, Hov MR. </w:t>
      </w:r>
      <w:r w:rsidRPr="00EF790F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Experiences from a cluster-randomised trial exploring triage and diagnostic accuracy in paramedic-suspected stroke: a qualitative interview study. </w:t>
      </w:r>
      <w:proofErr w:type="spellStart"/>
      <w:r w:rsidRPr="00EF790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GB"/>
          <w14:ligatures w14:val="none"/>
        </w:rPr>
        <w:t>Eur</w:t>
      </w:r>
      <w:proofErr w:type="spellEnd"/>
      <w:r w:rsidRPr="00EF790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GB"/>
          <w14:ligatures w14:val="none"/>
        </w:rPr>
        <w:t xml:space="preserve"> J Neurol</w:t>
      </w:r>
      <w:r w:rsidRPr="00EF790F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. 2024;31(5</w:t>
      </w:r>
      <w:proofErr w:type="gramStart"/>
      <w:r w:rsidRPr="00EF790F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):e</w:t>
      </w:r>
      <w:proofErr w:type="gramEnd"/>
      <w:r w:rsidRPr="00EF790F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16252. </w:t>
      </w:r>
    </w:p>
    <w:p w14:paraId="573DB943" w14:textId="77777777" w:rsidR="00EF790F" w:rsidRPr="00EF790F" w:rsidRDefault="00EF790F" w:rsidP="00EF790F">
      <w:pPr>
        <w:numPr>
          <w:ilvl w:val="0"/>
          <w:numId w:val="1"/>
        </w:numPr>
        <w:tabs>
          <w:tab w:val="clear" w:pos="720"/>
          <w:tab w:val="num" w:pos="360"/>
        </w:tabs>
        <w:spacing w:before="120" w:after="120" w:line="240" w:lineRule="auto"/>
        <w:ind w:left="357" w:hanging="357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F790F">
        <w:rPr>
          <w:rFonts w:ascii="Times New Roman" w:eastAsia="Times New Roman" w:hAnsi="Times New Roman" w:cs="Times New Roman"/>
          <w:kern w:val="0"/>
          <w:sz w:val="24"/>
          <w:szCs w:val="24"/>
          <w:lang w:val="nb-NO" w:eastAsia="en-GB"/>
          <w14:ligatures w14:val="none"/>
        </w:rPr>
        <w:t xml:space="preserve">Bugge HF, Guterud M, Bache KCG, Braarud AC, Eriksen E, Fremstad KO, et al. </w:t>
      </w:r>
      <w:r w:rsidRPr="00EF790F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Paramedic Norwegian Acute Stroke Prehospital Project study protocol: a stepped wedge randomised trial of stroke screening using the National Institutes of Health Stroke Scale in the ambulance. </w:t>
      </w:r>
      <w:r w:rsidRPr="00EF790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GB"/>
          <w14:ligatures w14:val="none"/>
        </w:rPr>
        <w:t>Trials</w:t>
      </w:r>
      <w:r w:rsidRPr="00EF790F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. 2022;23(1):113. </w:t>
      </w:r>
    </w:p>
    <w:p w14:paraId="75F92337" w14:textId="77777777" w:rsidR="00EF790F" w:rsidRPr="00EF790F" w:rsidRDefault="00EF790F" w:rsidP="00EF790F">
      <w:pPr>
        <w:numPr>
          <w:ilvl w:val="0"/>
          <w:numId w:val="1"/>
        </w:numPr>
        <w:tabs>
          <w:tab w:val="clear" w:pos="720"/>
          <w:tab w:val="num" w:pos="360"/>
        </w:tabs>
        <w:spacing w:before="120" w:after="120" w:line="240" w:lineRule="auto"/>
        <w:ind w:left="357" w:hanging="357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F790F">
        <w:rPr>
          <w:rFonts w:ascii="Times New Roman" w:eastAsia="Times New Roman" w:hAnsi="Times New Roman" w:cs="Times New Roman"/>
          <w:kern w:val="0"/>
          <w:sz w:val="24"/>
          <w:szCs w:val="24"/>
          <w:lang w:val="nb-NO" w:eastAsia="en-GB"/>
          <w14:ligatures w14:val="none"/>
        </w:rPr>
        <w:t xml:space="preserve">Guterud M, Bugge HF, Røislien J, Larsen K, Eriksen E, Ingebretsen SH, et al. </w:t>
      </w:r>
      <w:r w:rsidRPr="00EF790F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Interrater agreement on National Institutes of Health Stroke Scale between paramedics and stroke physicians: validation study for the digital training model in the Paramedic Norwegian Acute Stroke Prehospital Project. </w:t>
      </w:r>
      <w:r w:rsidRPr="00EF790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GB"/>
          <w14:ligatures w14:val="none"/>
        </w:rPr>
        <w:t>JMIR Neurotech</w:t>
      </w:r>
      <w:r w:rsidRPr="00EF790F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. 2022;1(1</w:t>
      </w:r>
      <w:proofErr w:type="gramStart"/>
      <w:r w:rsidRPr="00EF790F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):e</w:t>
      </w:r>
      <w:proofErr w:type="gramEnd"/>
      <w:r w:rsidRPr="00EF790F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39444. </w:t>
      </w:r>
    </w:p>
    <w:p w14:paraId="71C8FA0D" w14:textId="77777777" w:rsidR="00EF790F" w:rsidRPr="00EF790F" w:rsidRDefault="00EF790F" w:rsidP="00EF790F">
      <w:pPr>
        <w:numPr>
          <w:ilvl w:val="0"/>
          <w:numId w:val="1"/>
        </w:numPr>
        <w:tabs>
          <w:tab w:val="clear" w:pos="720"/>
          <w:tab w:val="num" w:pos="360"/>
        </w:tabs>
        <w:spacing w:before="120" w:after="120" w:line="240" w:lineRule="auto"/>
        <w:ind w:left="357" w:hanging="357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F790F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Main PAE, Anderson S. Evidence for continuing professional development standards for regulated health practitioners in Australia: a systematic review. </w:t>
      </w:r>
      <w:r w:rsidRPr="00EF790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GB"/>
          <w14:ligatures w14:val="none"/>
        </w:rPr>
        <w:t xml:space="preserve">Hum </w:t>
      </w:r>
      <w:proofErr w:type="spellStart"/>
      <w:r w:rsidRPr="00EF790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GB"/>
          <w14:ligatures w14:val="none"/>
        </w:rPr>
        <w:t>Resour</w:t>
      </w:r>
      <w:proofErr w:type="spellEnd"/>
      <w:r w:rsidRPr="00EF790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GB"/>
          <w14:ligatures w14:val="none"/>
        </w:rPr>
        <w:t xml:space="preserve"> Health</w:t>
      </w:r>
      <w:r w:rsidRPr="00EF790F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. 2023;21(1):23. </w:t>
      </w:r>
    </w:p>
    <w:p w14:paraId="462DB557" w14:textId="77777777" w:rsidR="00EF790F" w:rsidRPr="00EF790F" w:rsidRDefault="00EF790F" w:rsidP="00EF790F">
      <w:pPr>
        <w:numPr>
          <w:ilvl w:val="0"/>
          <w:numId w:val="1"/>
        </w:numPr>
        <w:tabs>
          <w:tab w:val="clear" w:pos="720"/>
          <w:tab w:val="num" w:pos="360"/>
        </w:tabs>
        <w:spacing w:before="120" w:after="120" w:line="240" w:lineRule="auto"/>
        <w:ind w:left="357" w:hanging="357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F790F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Menkin JA, McCreath HE, Song SY, Carrillo CA, Reyes CE, Trejo L, et al. Worth the Walk: culturally tailored stroke risk factor reduction intervention in community senior centres. </w:t>
      </w:r>
      <w:r w:rsidRPr="00EF790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GB"/>
          <w14:ligatures w14:val="none"/>
        </w:rPr>
        <w:t>J Am Heart Assoc</w:t>
      </w:r>
      <w:r w:rsidRPr="00EF790F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. 2019;8(6</w:t>
      </w:r>
      <w:proofErr w:type="gramStart"/>
      <w:r w:rsidRPr="00EF790F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):e</w:t>
      </w:r>
      <w:proofErr w:type="gramEnd"/>
      <w:r w:rsidRPr="00EF790F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011088. </w:t>
      </w:r>
    </w:p>
    <w:p w14:paraId="6292A4BE" w14:textId="77777777" w:rsidR="00EF790F" w:rsidRPr="00EF790F" w:rsidRDefault="00EF790F" w:rsidP="00EF790F">
      <w:pPr>
        <w:numPr>
          <w:ilvl w:val="0"/>
          <w:numId w:val="1"/>
        </w:numPr>
        <w:tabs>
          <w:tab w:val="clear" w:pos="720"/>
          <w:tab w:val="num" w:pos="360"/>
        </w:tabs>
        <w:spacing w:before="120" w:after="120" w:line="240" w:lineRule="auto"/>
        <w:ind w:left="357" w:hanging="357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F790F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Williams O, Teresi J, </w:t>
      </w:r>
      <w:proofErr w:type="spellStart"/>
      <w:r w:rsidRPr="00EF790F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Eimicke</w:t>
      </w:r>
      <w:proofErr w:type="spellEnd"/>
      <w:r w:rsidRPr="00EF790F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JP, Abel-Bey A, </w:t>
      </w:r>
      <w:proofErr w:type="spellStart"/>
      <w:r w:rsidRPr="00EF790F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Hassankhani</w:t>
      </w:r>
      <w:proofErr w:type="spellEnd"/>
      <w:r w:rsidRPr="00EF790F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M, Valdez L, et al. Effect of stroke education pamphlets versus a 12-minute culturally tailored stroke film on stroke preparedness among Black and Hispanic churchgoers: a cluster randomised clinical trial. </w:t>
      </w:r>
      <w:r w:rsidRPr="00EF790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GB"/>
          <w14:ligatures w14:val="none"/>
        </w:rPr>
        <w:t>JAMA Neurol</w:t>
      </w:r>
      <w:r w:rsidRPr="00EF790F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. 2019;76(10):1211–1218. </w:t>
      </w:r>
    </w:p>
    <w:p w14:paraId="2EC6FA92" w14:textId="77777777" w:rsidR="00EF790F" w:rsidRPr="00EF790F" w:rsidRDefault="00EF790F" w:rsidP="00EF790F">
      <w:pPr>
        <w:numPr>
          <w:ilvl w:val="0"/>
          <w:numId w:val="1"/>
        </w:numPr>
        <w:tabs>
          <w:tab w:val="clear" w:pos="720"/>
          <w:tab w:val="num" w:pos="360"/>
        </w:tabs>
        <w:spacing w:before="120" w:after="120" w:line="240" w:lineRule="auto"/>
        <w:ind w:left="357" w:hanging="357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proofErr w:type="spellStart"/>
      <w:r w:rsidRPr="00EF790F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Tsakpounidou</w:t>
      </w:r>
      <w:proofErr w:type="spellEnd"/>
      <w:r w:rsidRPr="00EF790F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K, van der Merwe J, Klinke ME, Webb C, </w:t>
      </w:r>
      <w:proofErr w:type="spellStart"/>
      <w:r w:rsidRPr="00EF790F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Ouriques</w:t>
      </w:r>
      <w:proofErr w:type="spellEnd"/>
      <w:r w:rsidRPr="00EF790F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Martins SC, Proios H. FAST Heroes: results of cross-country implementation of a global school-based stroke education campaign. </w:t>
      </w:r>
      <w:r w:rsidRPr="00EF790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GB"/>
          <w14:ligatures w14:val="none"/>
        </w:rPr>
        <w:t>Front Public Health</w:t>
      </w:r>
      <w:r w:rsidRPr="00EF790F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. </w:t>
      </w:r>
      <w:proofErr w:type="gramStart"/>
      <w:r w:rsidRPr="00EF790F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2022;10:849023</w:t>
      </w:r>
      <w:proofErr w:type="gramEnd"/>
      <w:r w:rsidRPr="00EF790F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. </w:t>
      </w:r>
    </w:p>
    <w:p w14:paraId="22877BF2" w14:textId="77777777" w:rsidR="00EF790F" w:rsidRPr="00EF790F" w:rsidRDefault="00EF790F" w:rsidP="00EF790F">
      <w:pPr>
        <w:numPr>
          <w:ilvl w:val="0"/>
          <w:numId w:val="1"/>
        </w:numPr>
        <w:tabs>
          <w:tab w:val="clear" w:pos="720"/>
          <w:tab w:val="num" w:pos="360"/>
        </w:tabs>
        <w:spacing w:before="120" w:after="120" w:line="240" w:lineRule="auto"/>
        <w:ind w:left="357" w:hanging="357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F790F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McClelland G, Hepburn S, Finch T, Price CI. How do interventions to improve the efficiency of acute stroke care affect prehospital times? A systematic review and narrative synthesis. </w:t>
      </w:r>
      <w:r w:rsidRPr="00EF790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GB"/>
          <w14:ligatures w14:val="none"/>
        </w:rPr>
        <w:t>BMC Emerg Med</w:t>
      </w:r>
      <w:r w:rsidRPr="00EF790F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. 2022;22(1):153. </w:t>
      </w:r>
    </w:p>
    <w:p w14:paraId="42AAC2A3" w14:textId="77777777" w:rsidR="00EF790F" w:rsidRPr="00EF790F" w:rsidRDefault="00EF790F" w:rsidP="00EF790F">
      <w:pPr>
        <w:numPr>
          <w:ilvl w:val="0"/>
          <w:numId w:val="1"/>
        </w:numPr>
        <w:tabs>
          <w:tab w:val="clear" w:pos="720"/>
          <w:tab w:val="num" w:pos="360"/>
        </w:tabs>
        <w:spacing w:before="120" w:after="120" w:line="240" w:lineRule="auto"/>
        <w:ind w:left="357" w:hanging="357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F790F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McHenry RD, Moultrie CE, </w:t>
      </w:r>
      <w:proofErr w:type="spellStart"/>
      <w:r w:rsidRPr="00EF790F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Cadamy</w:t>
      </w:r>
      <w:proofErr w:type="spellEnd"/>
      <w:r w:rsidRPr="00EF790F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AJ, Corfield AR, Mackay DF, Pell JP. Pre-hospital and retrieval medicine in Scotland: a retrospective cohort study of the workload and outcomes of the emergency medical retrieval service in the first decade of national coverage. </w:t>
      </w:r>
      <w:r w:rsidRPr="00EF790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GB"/>
          <w14:ligatures w14:val="none"/>
        </w:rPr>
        <w:t xml:space="preserve">Scand J Trauma </w:t>
      </w:r>
      <w:proofErr w:type="spellStart"/>
      <w:r w:rsidRPr="00EF790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GB"/>
          <w14:ligatures w14:val="none"/>
        </w:rPr>
        <w:t>Resusc</w:t>
      </w:r>
      <w:proofErr w:type="spellEnd"/>
      <w:r w:rsidRPr="00EF790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GB"/>
          <w14:ligatures w14:val="none"/>
        </w:rPr>
        <w:t xml:space="preserve"> Emerg Med</w:t>
      </w:r>
      <w:r w:rsidRPr="00EF790F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. 2023;31(1):39. </w:t>
      </w:r>
    </w:p>
    <w:p w14:paraId="2BF9CB3F" w14:textId="77777777" w:rsidR="00EF790F" w:rsidRPr="00EF790F" w:rsidRDefault="00EF790F" w:rsidP="00EF790F">
      <w:pPr>
        <w:numPr>
          <w:ilvl w:val="0"/>
          <w:numId w:val="1"/>
        </w:numPr>
        <w:tabs>
          <w:tab w:val="clear" w:pos="720"/>
          <w:tab w:val="num" w:pos="360"/>
        </w:tabs>
        <w:spacing w:before="120" w:after="120" w:line="240" w:lineRule="auto"/>
        <w:ind w:left="357" w:hanging="357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F790F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Corfield AR, Thomas L, Inglis A, Hearns S. A rural emergency medical retrieval service: the first year. </w:t>
      </w:r>
      <w:r w:rsidRPr="00EF790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GB"/>
          <w14:ligatures w14:val="none"/>
        </w:rPr>
        <w:t>Emerg Med J</w:t>
      </w:r>
      <w:r w:rsidRPr="00EF790F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. 2006;23(9):679–683. </w:t>
      </w:r>
    </w:p>
    <w:p w14:paraId="28F6F62C" w14:textId="77777777" w:rsidR="00EF790F" w:rsidRPr="00EF790F" w:rsidRDefault="00EF790F" w:rsidP="00EF790F">
      <w:pPr>
        <w:numPr>
          <w:ilvl w:val="0"/>
          <w:numId w:val="1"/>
        </w:numPr>
        <w:tabs>
          <w:tab w:val="clear" w:pos="720"/>
          <w:tab w:val="num" w:pos="360"/>
        </w:tabs>
        <w:spacing w:before="120" w:after="120" w:line="240" w:lineRule="auto"/>
        <w:ind w:left="357" w:hanging="357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F790F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Ramsay AIG, Ledger J, </w:t>
      </w:r>
      <w:proofErr w:type="spellStart"/>
      <w:r w:rsidRPr="00EF790F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Tomini</w:t>
      </w:r>
      <w:proofErr w:type="spellEnd"/>
      <w:r w:rsidRPr="00EF790F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SM, Hall C, Hargroves D, Hunter P, et al. Prehospital video triage of potential stroke patients in North Central London and East Kent: rapid mixed-methods service evaluation. </w:t>
      </w:r>
      <w:r w:rsidRPr="00EF790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GB"/>
          <w14:ligatures w14:val="none"/>
        </w:rPr>
        <w:t>Health Soc Care Deliv Res</w:t>
      </w:r>
      <w:r w:rsidRPr="00EF790F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. 2022;10(26). doi:10.3310/IQZN1725. </w:t>
      </w:r>
    </w:p>
    <w:p w14:paraId="254EB800" w14:textId="77777777" w:rsidR="00EF790F" w:rsidRPr="00EF790F" w:rsidRDefault="00EF790F" w:rsidP="00EF790F">
      <w:pPr>
        <w:numPr>
          <w:ilvl w:val="0"/>
          <w:numId w:val="1"/>
        </w:numPr>
        <w:tabs>
          <w:tab w:val="clear" w:pos="720"/>
          <w:tab w:val="num" w:pos="360"/>
        </w:tabs>
        <w:spacing w:before="120" w:after="120" w:line="240" w:lineRule="auto"/>
        <w:ind w:left="357" w:hanging="357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proofErr w:type="spellStart"/>
      <w:r w:rsidRPr="00EF790F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Kanchayawong</w:t>
      </w:r>
      <w:proofErr w:type="spellEnd"/>
      <w:r w:rsidRPr="00EF790F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P, </w:t>
      </w:r>
      <w:proofErr w:type="spellStart"/>
      <w:r w:rsidRPr="00EF790F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Aramvanitch</w:t>
      </w:r>
      <w:proofErr w:type="spellEnd"/>
      <w:r w:rsidRPr="00EF790F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K, </w:t>
      </w:r>
      <w:proofErr w:type="spellStart"/>
      <w:r w:rsidRPr="00EF790F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Yuksen</w:t>
      </w:r>
      <w:proofErr w:type="spellEnd"/>
      <w:r w:rsidRPr="00EF790F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C, </w:t>
      </w:r>
      <w:proofErr w:type="spellStart"/>
      <w:r w:rsidRPr="00EF790F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Trakulsrichai</w:t>
      </w:r>
      <w:proofErr w:type="spellEnd"/>
      <w:r w:rsidRPr="00EF790F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S, </w:t>
      </w:r>
      <w:proofErr w:type="spellStart"/>
      <w:r w:rsidRPr="00EF790F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Sricharoen</w:t>
      </w:r>
      <w:proofErr w:type="spellEnd"/>
      <w:r w:rsidRPr="00EF790F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P, </w:t>
      </w:r>
      <w:proofErr w:type="spellStart"/>
      <w:r w:rsidRPr="00EF790F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Suwatcharangkoon</w:t>
      </w:r>
      <w:proofErr w:type="spellEnd"/>
      <w:r w:rsidRPr="00EF790F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S, et al. Real-time telemedical oversight improves prehospital stroke metrics: a five-year cohort study. </w:t>
      </w:r>
      <w:r w:rsidRPr="00EF790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GB"/>
          <w14:ligatures w14:val="none"/>
        </w:rPr>
        <w:t xml:space="preserve">Arch </w:t>
      </w:r>
      <w:proofErr w:type="spellStart"/>
      <w:r w:rsidRPr="00EF790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GB"/>
          <w14:ligatures w14:val="none"/>
        </w:rPr>
        <w:t>Acad</w:t>
      </w:r>
      <w:proofErr w:type="spellEnd"/>
      <w:r w:rsidRPr="00EF790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GB"/>
          <w14:ligatures w14:val="none"/>
        </w:rPr>
        <w:t xml:space="preserve"> Emerg Med</w:t>
      </w:r>
      <w:r w:rsidRPr="00EF790F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. 2025;13(1</w:t>
      </w:r>
      <w:proofErr w:type="gramStart"/>
      <w:r w:rsidRPr="00EF790F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):e</w:t>
      </w:r>
      <w:proofErr w:type="gramEnd"/>
      <w:r w:rsidRPr="00EF790F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57. </w:t>
      </w:r>
    </w:p>
    <w:p w14:paraId="44F4DB4A" w14:textId="77777777" w:rsidR="00EF790F" w:rsidRPr="00414A8E" w:rsidRDefault="00EF790F" w:rsidP="00EF790F">
      <w:pPr>
        <w:spacing w:after="0" w:line="240" w:lineRule="auto"/>
        <w:rPr>
          <w:rFonts w:ascii="Arial" w:hAnsi="Arial" w:cs="Arial" w:hint="cs"/>
          <w:sz w:val="20"/>
          <w:szCs w:val="20"/>
          <w:lang w:bidi="fa-IR"/>
        </w:rPr>
      </w:pPr>
    </w:p>
    <w:sectPr w:rsidR="00EF790F" w:rsidRPr="00414A8E" w:rsidSect="00EF790F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5265E1"/>
    <w:multiLevelType w:val="multilevel"/>
    <w:tmpl w:val="21228D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746493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MjcwNDMzNTAwszQ1NDJR0lEKTi0uzszPAykwrAUAJj2ItCwAAAA="/>
  </w:docVars>
  <w:rsids>
    <w:rsidRoot w:val="00EF790F"/>
    <w:rsid w:val="00414A8E"/>
    <w:rsid w:val="00B71367"/>
    <w:rsid w:val="00D6483B"/>
    <w:rsid w:val="00DF6F4B"/>
    <w:rsid w:val="00EF7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5C810D"/>
  <w15:chartTrackingRefBased/>
  <w15:docId w15:val="{CC224083-4158-4082-A5AC-43B73FB65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F79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F79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F790F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F79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790F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F79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F79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F79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F79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F790F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F790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F790F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F790F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790F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F790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F790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F790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F790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F79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F79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790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79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F790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F790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F790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F790F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790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790F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F790F"/>
    <w:rPr>
      <w:b/>
      <w:bCs/>
      <w:smallCaps/>
      <w:color w:val="365F91" w:themeColor="accent1" w:themeShade="BF"/>
      <w:spacing w:val="5"/>
    </w:rPr>
  </w:style>
  <w:style w:type="table" w:styleId="TableGrid">
    <w:name w:val="Table Grid"/>
    <w:basedOn w:val="TableNormal"/>
    <w:uiPriority w:val="59"/>
    <w:rsid w:val="00EF790F"/>
    <w:pPr>
      <w:spacing w:after="0" w:line="240" w:lineRule="auto"/>
    </w:pPr>
    <w:rPr>
      <w:rFonts w:ascii="Calibri" w:eastAsia="Calibri" w:hAnsi="Calibri" w:cs="Calibri"/>
      <w:kern w:val="0"/>
      <w:lang w:eastAsia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985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1012</Words>
  <Characters>5771</Characters>
  <Application>Microsoft Office Word</Application>
  <DocSecurity>0</DocSecurity>
  <Lines>48</Lines>
  <Paragraphs>13</Paragraphs>
  <ScaleCrop>false</ScaleCrop>
  <Company/>
  <LinksUpToDate>false</LinksUpToDate>
  <CharactersWithSpaces>6770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Majdzadeh, Reza</dc:creator>
  <cp:keywords/>
  <dc:description/>
  <cp:lastModifiedBy>Majdzadeh, Reza</cp:lastModifiedBy>
  <cp:revision>1</cp:revision>
  <dcterms:created xsi:type="dcterms:W3CDTF">2026-06-27T06:50:00Z</dcterms:created>
  <dcterms:modified xsi:type="dcterms:W3CDTF">2026-06-27T07:07:00Z</dcterms:modified>
</cp:coreProperties>
</file>