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>
          <w:b/>
          <w:bCs/>
          <w:sz w:val="36"/>
          <w:szCs w:val="36"/>
        </w:rPr>
        <w:t>Supplementary material: Estimating inconsistency in network meta-analysis using importance sampling</w:t>
      </w:r>
    </w:p>
    <w:p>
      <w:pPr>
        <w:pStyle w:val="style0"/>
        <w:spacing w:line="100" w:lineRule="atLeast"/>
      </w:pPr>
      <w:r>
        <w:rPr>
          <w:b/>
          <w:bCs/>
          <w:sz w:val="36"/>
          <w:szCs w:val="36"/>
        </w:rPr>
      </w:r>
    </w:p>
    <w:p>
      <w:pPr>
        <w:pStyle w:val="style0"/>
        <w:spacing w:line="100" w:lineRule="atLeast"/>
      </w:pPr>
      <w:bookmarkStart w:id="0" w:name="_GoBack"/>
      <w:bookmarkEnd w:id="0"/>
      <w:r>
        <w:rPr>
          <w:rFonts w:cs="Times New Roman"/>
          <w:b/>
          <w:bCs/>
          <w:color w:val="000000"/>
          <w:sz w:val="28"/>
          <w:szCs w:val="28"/>
          <w:lang w:bidi="ar-SA" w:eastAsia="en-GB"/>
        </w:rPr>
        <w:t>Difference between R and BUGS results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  <w:t>Dataset EG1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tbl>
      <w:tblPr>
        <w:jc w:val="left"/>
        <w:tblInd w:type="dxa" w:w="35"/>
        <w:tblBorders>
          <w:top w:color="000001" w:space="0" w:sz="2" w:val="single"/>
          <w:left w:color="000001" w:space="0" w:sz="2" w:val="single"/>
          <w:bottom w:color="000001" w:space="0" w:sz="2" w:val="single"/>
        </w:tblBorders>
      </w:tblPr>
      <w:tblGrid>
        <w:gridCol w:w="1160"/>
        <w:gridCol w:w="7840"/>
      </w:tblGrid>
      <w:tr>
        <w:trPr>
          <w:cantSplit w:val="false"/>
        </w:trPr>
        <w:tc>
          <w:tcPr>
            <w:tcW w:type="dxa" w:w="1160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/>
            </w:r>
          </w:p>
        </w:tc>
        <w:tc>
          <w:tcPr>
            <w:tcW w:type="dxa" w:w="7840"/>
            <w:gridSpan w:val="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Cs w:val="20"/>
                <w:lang w:bidi="ar-SA" w:eastAsia="en-GB"/>
              </w:rPr>
              <w:t>Difference between R and BUGS output (SE)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/>
            </w:r>
          </w:p>
        </w:tc>
        <w:tc>
          <w:tcPr>
            <w:tcW w:type="dxa" w:w="1920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-SA" w:eastAsia="en-GB"/>
              </w:rPr>
              <w:t>Inconsistency prior equal to heterogeneity prior</w:t>
            </w:r>
          </w:p>
        </w:tc>
        <w:tc>
          <w:tcPr>
            <w:tcW w:type="dxa" w:w="2863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-SA" w:eastAsia="en-GB"/>
              </w:rPr>
              <w:t>Prior mean inconsistency one half of prior mean of heterogeneity</w:t>
            </w:r>
          </w:p>
        </w:tc>
        <w:tc>
          <w:tcPr>
            <w:tcW w:type="dxa" w:w="305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-SA" w:eastAsia="en-GB"/>
              </w:rPr>
              <w:t xml:space="preserve">Prior mean inconsistency one tenth of prior mean of heterogeneity 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delta2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0.0016 (0.0025)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0.0008 (0.0019)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-0.0001 (0.0012)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delta3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0.0035 (0.0057)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-0.0041 (0.0048)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0.0034 (0.0038)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delta4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0.0054 (0.0064)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-0.0047 (0.0055)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0.0022 (0.0042)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delta5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0.0015 (0.0050)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-0.0015 (0.0043)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0.0021 (0.0034)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delta6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0.0033 (0.0060)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0.0006 (0.0049)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0.0024 (0.0038)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delta7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0.0065 (0.0148)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0.0214 (0.0132)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0.0024 (0.0119)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delta8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0.0094 (0.0080)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0.0008 (0.0070)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0.0081 (0.0058)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tau2beta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0.0000 (0.0002)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0.0001 (0.0002)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0.0000 (0.0002)</w:t>
            </w:r>
          </w:p>
        </w:tc>
      </w:tr>
      <w:tr>
        <w:trPr>
          <w:cantSplit w:val="false"/>
        </w:trPr>
        <w:tc>
          <w:tcPr>
            <w:tcW w:type="dxa" w:w="116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tau2omega</w:t>
            </w:r>
          </w:p>
        </w:tc>
        <w:tc>
          <w:tcPr>
            <w:tcW w:type="dxa" w:w="192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0.0007 (0.0007)</w:t>
            </w:r>
          </w:p>
        </w:tc>
        <w:tc>
          <w:tcPr>
            <w:tcW w:type="dxa" w:w="2863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-0.0003 (0.0004)</w:t>
            </w:r>
          </w:p>
        </w:tc>
        <w:tc>
          <w:tcPr>
            <w:tcW w:type="dxa" w:w="3057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-0.0003 (0.0001)</w:t>
            </w:r>
          </w:p>
        </w:tc>
      </w:tr>
    </w:tbl>
    <w:p>
      <w:pPr>
        <w:pStyle w:val="style0"/>
        <w:widowControl/>
        <w:suppressAutoHyphens w:val="false"/>
        <w:spacing w:after="0" w:before="0" w:line="100" w:lineRule="atLeast"/>
        <w:jc w:val="center"/>
      </w:pPr>
      <w:bookmarkStart w:id="1" w:name="__DdeLink__4252_1052773593"/>
      <w:bookmarkEnd w:id="1"/>
      <w:r>
        <w:rPr>
          <w:rFonts w:cs="Times New Roman"/>
          <w:color w:val="000000"/>
          <w:lang w:bidi="ar-SA" w:eastAsia="en-GB"/>
        </w:rPr>
        <w:t>Table 7: EG1: Difference between R and BUGS estimates (SE: Square root of sum of squared MC errors)</w:t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  <w:t>Dataset EG2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tbl>
      <w:tblPr>
        <w:jc w:val="left"/>
        <w:tblInd w:type="dxa" w:w="35"/>
        <w:tblBorders>
          <w:top w:color="000001" w:space="0" w:sz="2" w:val="single"/>
          <w:left w:color="000001" w:space="0" w:sz="2" w:val="single"/>
          <w:bottom w:color="000001" w:space="0" w:sz="2" w:val="single"/>
        </w:tblBorders>
      </w:tblPr>
      <w:tblGrid>
        <w:gridCol w:w="1158"/>
        <w:gridCol w:w="7842"/>
      </w:tblGrid>
      <w:tr>
        <w:trPr>
          <w:trHeight w:hRule="atLeast" w:val="519"/>
          <w:cantSplit w:val="false"/>
        </w:trPr>
        <w:tc>
          <w:tcPr>
            <w:tcW w:type="dxa" w:w="115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/>
            </w:r>
          </w:p>
        </w:tc>
        <w:tc>
          <w:tcPr>
            <w:tcW w:type="dxa" w:w="7842"/>
            <w:gridSpan w:val="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Cs w:val="20"/>
                <w:lang w:bidi="ar-SA" w:eastAsia="en-GB"/>
              </w:rPr>
              <w:t>Difference between R and BUGS output (SE)</w:t>
            </w:r>
          </w:p>
        </w:tc>
      </w:tr>
      <w:tr>
        <w:trPr>
          <w:trHeight w:hRule="atLeast" w:val="519"/>
          <w:cantSplit w:val="false"/>
        </w:trPr>
        <w:tc>
          <w:tcPr>
            <w:tcW w:type="dxa" w:w="115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/>
            </w:r>
          </w:p>
        </w:tc>
        <w:tc>
          <w:tcPr>
            <w:tcW w:type="dxa" w:w="1930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-SA" w:eastAsia="en-GB"/>
              </w:rPr>
              <w:t>Inconsistency prior equal to heterogeneity prior</w:t>
            </w:r>
          </w:p>
        </w:tc>
        <w:tc>
          <w:tcPr>
            <w:tcW w:type="dxa" w:w="2862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-SA" w:eastAsia="en-GB"/>
              </w:rPr>
              <w:t>Prior mean inconsistency one half of prior mean of heterogeneity</w:t>
            </w:r>
          </w:p>
        </w:tc>
        <w:tc>
          <w:tcPr>
            <w:tcW w:type="dxa" w:w="30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0"/>
              <w:widowControl/>
              <w:suppressAutoHyphens w:val="false"/>
              <w:spacing w:after="0" w:before="0" w:line="100" w:lineRule="atLeast"/>
              <w:jc w:val="center"/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bidi="ar-SA" w:eastAsia="en-GB"/>
              </w:rPr>
              <w:t xml:space="preserve">Prior mean inconsistency one tenth of prior mean of heterogeneity </w:t>
            </w:r>
          </w:p>
        </w:tc>
      </w:tr>
      <w:tr>
        <w:trPr>
          <w:trHeight w:hRule="atLeast" w:val="394"/>
          <w:cantSplit w:val="false"/>
        </w:trPr>
        <w:tc>
          <w:tcPr>
            <w:tcW w:type="dxa" w:w="115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delta2</w:t>
            </w:r>
          </w:p>
        </w:tc>
        <w:tc>
          <w:tcPr>
            <w:tcW w:type="dxa" w:w="193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-0.0041 (0.0065)</w:t>
            </w:r>
          </w:p>
        </w:tc>
        <w:tc>
          <w:tcPr>
            <w:tcW w:type="dxa" w:w="286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0.0059 (0.0053)</w:t>
            </w:r>
          </w:p>
        </w:tc>
        <w:tc>
          <w:tcPr>
            <w:tcW w:type="dxa" w:w="305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-0.0019 (0.0040)</w:t>
            </w:r>
          </w:p>
        </w:tc>
      </w:tr>
      <w:tr>
        <w:trPr>
          <w:trHeight w:hRule="atLeast" w:val="394"/>
          <w:cantSplit w:val="false"/>
        </w:trPr>
        <w:tc>
          <w:tcPr>
            <w:tcW w:type="dxa" w:w="115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delta3</w:t>
            </w:r>
          </w:p>
        </w:tc>
        <w:tc>
          <w:tcPr>
            <w:tcW w:type="dxa" w:w="193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-0.0042 (0.0075)</w:t>
            </w:r>
          </w:p>
        </w:tc>
        <w:tc>
          <w:tcPr>
            <w:tcW w:type="dxa" w:w="286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0.0067 (0.0062)</w:t>
            </w:r>
          </w:p>
        </w:tc>
        <w:tc>
          <w:tcPr>
            <w:tcW w:type="dxa" w:w="305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-0.0056 (0.0044)</w:t>
            </w:r>
          </w:p>
        </w:tc>
      </w:tr>
      <w:tr>
        <w:trPr>
          <w:trHeight w:hRule="atLeast" w:val="384"/>
          <w:cantSplit w:val="false"/>
        </w:trPr>
        <w:tc>
          <w:tcPr>
            <w:tcW w:type="dxa" w:w="115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delta4</w:t>
            </w:r>
          </w:p>
        </w:tc>
        <w:tc>
          <w:tcPr>
            <w:tcW w:type="dxa" w:w="193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-0.0039 (0.0065)</w:t>
            </w:r>
          </w:p>
        </w:tc>
        <w:tc>
          <w:tcPr>
            <w:tcW w:type="dxa" w:w="286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0.0054 (0.0055)</w:t>
            </w:r>
          </w:p>
        </w:tc>
        <w:tc>
          <w:tcPr>
            <w:tcW w:type="dxa" w:w="305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-0.0032 (0.0040)</w:t>
            </w:r>
          </w:p>
        </w:tc>
      </w:tr>
      <w:tr>
        <w:trPr>
          <w:trHeight w:hRule="atLeast" w:val="394"/>
          <w:cantSplit w:val="false"/>
        </w:trPr>
        <w:tc>
          <w:tcPr>
            <w:tcW w:type="dxa" w:w="115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tau2beta</w:t>
            </w:r>
          </w:p>
        </w:tc>
        <w:tc>
          <w:tcPr>
            <w:tcW w:type="dxa" w:w="193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0.0002 (0.0015)</w:t>
            </w:r>
          </w:p>
        </w:tc>
        <w:tc>
          <w:tcPr>
            <w:tcW w:type="dxa" w:w="286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0.0016 (0.0018)</w:t>
            </w:r>
          </w:p>
        </w:tc>
        <w:tc>
          <w:tcPr>
            <w:tcW w:type="dxa" w:w="305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0.0005 (0.0018)</w:t>
            </w:r>
          </w:p>
        </w:tc>
      </w:tr>
      <w:tr>
        <w:trPr>
          <w:trHeight w:hRule="atLeast" w:val="40"/>
          <w:cantSplit w:val="false"/>
        </w:trPr>
        <w:tc>
          <w:tcPr>
            <w:tcW w:type="dxa" w:w="1158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tau2omega</w:t>
            </w:r>
          </w:p>
        </w:tc>
        <w:tc>
          <w:tcPr>
            <w:tcW w:type="dxa" w:w="1930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-0.0036 (0.0032)</w:t>
            </w:r>
          </w:p>
        </w:tc>
        <w:tc>
          <w:tcPr>
            <w:tcW w:type="dxa" w:w="2862"/>
            <w:tcBorders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-0.0023 (0.0031)</w:t>
            </w:r>
          </w:p>
        </w:tc>
        <w:tc>
          <w:tcPr>
            <w:tcW w:type="dxa" w:w="3050"/>
            <w:tcBorders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"/>
              <w:bottom w:type="dxa" w:w="0"/>
              <w:right w:type="dxa" w:w="10"/>
            </w:tcMar>
          </w:tcPr>
          <w:p>
            <w:pPr>
              <w:pStyle w:val="style24"/>
              <w:jc w:val="center"/>
            </w:pPr>
            <w:r>
              <w:rPr>
                <w:bCs/>
              </w:rPr>
              <w:t>0.0027 (0.0023)</w:t>
            </w:r>
          </w:p>
        </w:tc>
      </w:tr>
    </w:tbl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color w:val="000000"/>
          <w:lang w:bidi="ar-SA" w:eastAsia="en-GB"/>
        </w:rPr>
        <w:t>Table 8: EG2: Difference in Monte Carlo error between R and BUGS estimates (SE: Square root of sum of squared MC errors)</w:t>
      </w:r>
    </w:p>
    <w:sectPr>
      <w:type w:val="nextPage"/>
      <w:pgSz w:h="16838" w:w="11906"/>
      <w:pgMar w:bottom="1440" w:footer="0" w:gutter="0" w:header="0" w:left="1440" w:right="1440" w:top="144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  <w:spacing w:after="200" w:before="0" w:line="276" w:lineRule="auto"/>
    </w:pPr>
    <w:rPr>
      <w:rFonts w:ascii="Times New Roman" w:cs="Lohit Hindi" w:eastAsia="Droid Sans" w:hAnsi="Times New Roman"/>
      <w:color w:val="auto"/>
      <w:sz w:val="24"/>
      <w:szCs w:val="24"/>
      <w:lang w:bidi="hi-IN" w:eastAsia="zh-CN" w:val="en-GB"/>
    </w:rPr>
  </w:style>
  <w:style w:styleId="style15" w:type="character">
    <w:name w:val="Default Paragraph Font"/>
    <w:next w:val="style15"/>
    <w:rPr/>
  </w:style>
  <w:style w:styleId="style16" w:type="character">
    <w:name w:val="annotation reference"/>
    <w:basedOn w:val="style15"/>
    <w:next w:val="style16"/>
    <w:rPr>
      <w:sz w:val="16"/>
      <w:szCs w:val="16"/>
    </w:rPr>
  </w:style>
  <w:style w:styleId="style17" w:type="character">
    <w:name w:val="Comment Text Char"/>
    <w:basedOn w:val="style15"/>
    <w:next w:val="style17"/>
    <w:rPr>
      <w:rFonts w:ascii="Times New Roman" w:cs="Mangal" w:eastAsia="Droid Sans" w:hAnsi="Times New Roman"/>
      <w:sz w:val="20"/>
      <w:szCs w:val="18"/>
      <w:lang w:bidi="hi-IN" w:eastAsia="zh-CN"/>
    </w:rPr>
  </w:style>
  <w:style w:styleId="style18" w:type="character">
    <w:name w:val="Balloon Text Char"/>
    <w:basedOn w:val="style15"/>
    <w:next w:val="style18"/>
    <w:rPr>
      <w:rFonts w:ascii="Tahoma" w:cs="Mangal" w:eastAsia="Droid Sans" w:hAnsi="Tahoma"/>
      <w:sz w:val="16"/>
      <w:szCs w:val="14"/>
      <w:lang w:bidi="hi-IN" w:eastAsia="zh-CN"/>
    </w:rPr>
  </w:style>
  <w:style w:styleId="style19" w:type="paragraph">
    <w:name w:val="Heading"/>
    <w:basedOn w:val="style0"/>
    <w:next w:val="style20"/>
    <w:pPr>
      <w:keepNext/>
      <w:spacing w:after="120" w:before="240"/>
    </w:pPr>
    <w:rPr>
      <w:rFonts w:ascii="Arial" w:cs="Lohit Hindi" w:eastAsia="Droid Sans" w:hAnsi="Arial"/>
      <w:sz w:val="28"/>
      <w:szCs w:val="28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cs="Lohit Hindi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3" w:type="paragraph">
    <w:name w:val="Index"/>
    <w:basedOn w:val="style0"/>
    <w:next w:val="style23"/>
    <w:pPr>
      <w:suppressLineNumbers/>
    </w:pPr>
    <w:rPr>
      <w:rFonts w:cs="Lohit Hindi"/>
    </w:rPr>
  </w:style>
  <w:style w:styleId="style24" w:type="paragraph">
    <w:name w:val="Table Contents"/>
    <w:basedOn w:val="style0"/>
    <w:next w:val="style24"/>
    <w:pPr>
      <w:suppressLineNumbers/>
    </w:pPr>
    <w:rPr/>
  </w:style>
  <w:style w:styleId="style25" w:type="paragraph">
    <w:name w:val="annotation text"/>
    <w:basedOn w:val="style0"/>
    <w:next w:val="style25"/>
    <w:pPr>
      <w:spacing w:line="100" w:lineRule="atLeast"/>
    </w:pPr>
    <w:rPr>
      <w:rFonts w:cs="Mangal"/>
      <w:sz w:val="20"/>
      <w:szCs w:val="18"/>
    </w:rPr>
  </w:style>
  <w:style w:styleId="style26" w:type="paragraph">
    <w:name w:val="Balloon Text"/>
    <w:basedOn w:val="style0"/>
    <w:next w:val="style26"/>
    <w:pPr>
      <w:spacing w:after="0" w:before="0" w:line="100" w:lineRule="atLeast"/>
    </w:pPr>
    <w:rPr>
      <w:rFonts w:ascii="Tahoma" w:cs="Mangal" w:hAnsi="Tahoma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2015-08-20T11:05:00.00Z</dcterms:created>
  <dc:creator>Martin Law</dc:creator>
  <cp:lastModifiedBy>Martin Law</cp:lastModifiedBy>
  <dcterms:modified xsi:type="dcterms:W3CDTF">2015-08-24T10:47:00.00Z</dcterms:modified>
  <cp:revision>3</cp:revision>
</cp:coreProperties>
</file>