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Additional file </w:t>
      </w:r>
      <w:r w:rsidRPr="00A3717D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Estimators of Fleiss' K (with standard error) and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alpha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>Estimation of Fleiss’ K and its standard error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The total number of subjects is denoted by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, the number of ratings per subject by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, and the number of categories by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k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The index for the subject is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1,…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proofErr w:type="gramEnd"/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and the index for the category is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j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= 1,…,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k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Then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ij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is the number of raters who classed the subject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into the category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j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The proportion of all assignments to category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j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is defined as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j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GB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Nn</m:t>
              </m:r>
            </m:den>
          </m:f>
          <m: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ij</m:t>
                  </m:r>
                </m:sub>
              </m:sSub>
            </m:e>
          </m:nary>
        </m:oMath>
      </m:oMathPara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with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lang w:val="en-GB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j=1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=n</m:t>
            </m:r>
          </m:e>
        </m:nary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(because of no missing values) and </w:t>
      </w: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lang w:val="en-GB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j=1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=1</m:t>
            </m:r>
          </m:e>
        </m:nary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. Then the estimated K for category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j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is defined as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sSub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K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j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GB"/>
            </w:rPr>
            <m:t>=1-</m:t>
          </m:r>
          <m:f>
            <m:f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(n-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)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Nn(n-1)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</m:t>
                  </m:r>
                </m:sub>
              </m:sSub>
            </m:den>
          </m:f>
        </m:oMath>
      </m:oMathPara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 xml:space="preserve">with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w:proofErr w:type="gramEnd"/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j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GB"/>
          </w:rPr>
          <m:t>=1-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j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. This leads to an estimate of the overall K as 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acc>
            <m:acc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accPr>
            <m:e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K</m:t>
              </m:r>
            </m:e>
          </m:acc>
          <m:r>
            <w:rPr>
              <w:rFonts w:ascii="Cambria Math" w:hAnsi="Cambria Math" w:cs="Times New Roman"/>
              <w:sz w:val="20"/>
              <w:szCs w:val="20"/>
              <w:lang w:val="en-GB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K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</m:e>
              </m:nary>
            </m:den>
          </m:f>
        </m:oMath>
      </m:oMathPara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Then the large sample standard error, derived by Fleiss et al. [1], which is appropriate for testing that the true value is 0, is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GB"/>
            </w:rPr>
            <m:t>se</m:t>
          </m:r>
          <m:d>
            <m:d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K</m:t>
                  </m:r>
                </m:e>
              </m:acc>
            </m:e>
          </m:d>
          <m:r>
            <w:rPr>
              <w:rFonts w:ascii="Cambria Math" w:hAnsi="Cambria Math" w:cs="Times New Roman"/>
              <w:sz w:val="20"/>
              <w:szCs w:val="20"/>
              <w:lang w:val="en-GB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2</m:t>
                  </m:r>
                </m:e>
              </m:rad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Nn(n-1)</m:t>
                      </m:r>
                    </m:e>
                  </m:rad>
                </m:e>
              </m:nary>
            </m:den>
          </m:f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k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sub>
                          </m:sSub>
                        </m:e>
                      </m:nary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-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sSub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-p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</m:sub>
                      </m:sSub>
                    </m:e>
                  </m:d>
                </m:e>
              </m:nary>
            </m:e>
          </m:rad>
          <m: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.</m:t>
          </m:r>
        </m:oMath>
      </m:oMathPara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For details we refer also to Fleiss et al. [2], pages 598-626.</w:t>
      </w:r>
    </w:p>
    <w:p w:rsidR="00A769ED" w:rsidRDefault="00A769ED" w:rsidP="00A769ED">
      <w:pPr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br w:type="page"/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lastRenderedPageBreak/>
        <w:t xml:space="preserve">Estimation of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GB"/>
        </w:rPr>
        <w:t>Krippendorff’s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alpha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As mentioned in the text, we assume that all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subjects were assessed by at least two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. Then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Krippendorff’s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 in its most general form (for all measurement scales and two or more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and categories) is defined by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>Α</m:t>
          </m:r>
          <m:r>
            <w:rPr>
              <w:rFonts w:ascii="Cambria Math" w:hAnsi="Cambria Math" w:cs="Times New Roman"/>
              <w:sz w:val="20"/>
              <w:szCs w:val="20"/>
              <w:lang w:val="en-GB"/>
            </w:rPr>
            <m:t>=1-</m:t>
          </m:r>
          <m:f>
            <m:f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o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  <w:lang w:val="en-GB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fPr>
            <m:num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naryPr>
                    <m: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'</m:t>
                          </m:r>
                        </m:sup>
                      </m:sSup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'</m:t>
                              </m:r>
                            </m:sup>
                          </m:sSup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2</m:t>
                          </m:r>
                        </m:sup>
                      </m:sSubSup>
                    </m:e>
                  </m:nary>
                </m:e>
              </m:nary>
            </m:num>
            <m:den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en-GB"/>
                        </w:rPr>
                      </m:ctrlPr>
                    </m:naryPr>
                    <m: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'</m:t>
                          </m:r>
                        </m:sup>
                      </m:sSup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'</m:t>
                              </m:r>
                            </m:sup>
                          </m:sSup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GB"/>
                            </w:rPr>
                            <m:t>2</m:t>
                          </m:r>
                        </m:sup>
                      </m:sSubSup>
                    </m:e>
                  </m:nary>
                </m:e>
              </m:nary>
            </m:den>
          </m:f>
          <m: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  (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>category</m:t>
          </m:r>
          <m:r>
            <w:rPr>
              <w:rFonts w:ascii="Cambria Math" w:hAnsi="Cambria Math" w:cs="Times New Roman"/>
              <w:sz w:val="20"/>
              <w:szCs w:val="20"/>
              <w:lang w:val="en-GB"/>
            </w:rPr>
            <m:t xml:space="preserve"> j,</m:t>
          </m:r>
          <m:sSup>
            <m:sSupPr>
              <m:ctrlPr>
                <w:rPr>
                  <w:rFonts w:ascii="Cambria Math" w:hAnsi="Cambria Math" w:cs="Times New Roman"/>
                  <w:i/>
                  <w:lang w:val="en-GB"/>
                </w:rPr>
              </m:ctrlPr>
            </m:sSupPr>
            <m:e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j</m:t>
              </m:r>
            </m:e>
            <m:sup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'</m:t>
              </m:r>
            </m:sup>
          </m:sSup>
          <m:r>
            <w:rPr>
              <w:rFonts w:ascii="Cambria Math" w:hAnsi="Cambria Math" w:cs="Times New Roman"/>
              <w:sz w:val="20"/>
              <w:szCs w:val="20"/>
              <w:lang w:val="en-GB"/>
            </w:rPr>
            <m:t>=1…,k),</m:t>
          </m:r>
        </m:oMath>
      </m:oMathPara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with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o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as observed disagreement and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e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as disagreement expected by chance [3]. The observed coincidences are defined as</w:t>
      </w:r>
    </w:p>
    <w:p w:rsidR="00A769ED" w:rsidRDefault="00A769ED" w:rsidP="00A769ED">
      <w:pPr>
        <w:spacing w:before="200" w:after="0"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GB"/>
                </w:rPr>
                <m:t>o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GB"/>
                </w:rPr>
                <m:t>jj'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GB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lang w:val="en-GB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GB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GB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="Times New Roman" w:hAnsi="Cambria Math" w:cs="Times New Roman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>number of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 xml:space="preserve"> j-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val="en-GB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>pairs in subject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 xml:space="preserve"> i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val="en-GB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>-1</m:t>
                  </m:r>
                </m:den>
              </m:f>
            </m:e>
          </m:nary>
          <m:r>
            <w:rPr>
              <w:rFonts w:ascii="Cambria Math" w:eastAsia="Times New Roman" w:hAnsi="Cambria Math" w:cs="Times New Roman"/>
              <w:sz w:val="20"/>
              <w:szCs w:val="20"/>
              <w:lang w:val="en-GB"/>
            </w:rPr>
            <m:t>,</m:t>
          </m:r>
        </m:oMath>
      </m:oMathPara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where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i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is the number of raters who assessed subject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. In contrast, the coincidences expected by chance are defined as</w:t>
      </w:r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GB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GB"/>
                </w:rPr>
                <m:t>jj'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GB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lang w:val="en-GB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eqArrPr>
                <m:e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val="en-GB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val="en-GB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val="en-GB"/>
                            </w:rPr>
                            <m:t>n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'</m:t>
                              </m:r>
                            </m:sup>
                          </m:sSup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val="en-GB"/>
                        </w:rPr>
                        <m:t>-1)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GB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lang w:val="en-GB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i</m:t>
                              </m:r>
                            </m:sub>
                            <m:sup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-1</m:t>
                              </m:r>
                            </m:e>
                          </m:nary>
                        </m:e>
                      </m:d>
                    </m:den>
                  </m:f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>if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 xml:space="preserve">  j=j'</m:t>
                  </m:r>
                </m:e>
                <m:e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val="en-GB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val="en-GB"/>
                            </w:rPr>
                            <m:t>j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val="en-GB"/>
                            </w:rPr>
                            <m:t>n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j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'</m:t>
                              </m:r>
                            </m:sup>
                          </m:sSup>
                        </m:sub>
                      </m:sSub>
                    </m:num>
                    <m:den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GB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lang w:val="en-GB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i</m:t>
                              </m:r>
                            </m:sub>
                            <m:sup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lang w:val="en-GB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val="en-GB"/>
                                </w:rPr>
                                <m:t>-1</m:t>
                              </m:r>
                            </m:e>
                          </m:nary>
                        </m:e>
                      </m:d>
                    </m:den>
                  </m:f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>if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GB"/>
                    </w:rPr>
                    <m:t xml:space="preserve">  j≠j'</m:t>
                  </m:r>
                </m:e>
              </m:eqArr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GB"/>
            </w:rPr>
            <m:t>,</m:t>
          </m:r>
        </m:oMath>
      </m:oMathPara>
    </w:p>
    <w:p w:rsidR="00A769ED" w:rsidRDefault="00A769ED" w:rsidP="00A769ED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with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j</m:t>
            </m:r>
          </m:sub>
        </m:sSub>
        <m:r>
          <w:rPr>
            <w:rFonts w:ascii="Cambria Math" w:eastAsia="Times New Roman" w:hAnsi="Cambria Math" w:cs="Times New Roman"/>
            <w:sz w:val="20"/>
            <w:szCs w:val="20"/>
            <w:lang w:val="en-GB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j'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as number of ratings in category </w:t>
      </w:r>
      <m:oMath>
        <m:r>
          <w:rPr>
            <w:rFonts w:ascii="Cambria Math" w:eastAsia="Times New Roman" w:hAnsi="Cambria Math" w:cs="Times New Roman"/>
            <w:sz w:val="20"/>
            <w:szCs w:val="20"/>
            <w:lang w:val="en-GB"/>
          </w:rPr>
          <m:t xml:space="preserve">j, 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GB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j</m:t>
            </m:r>
          </m:e>
          <m:sup>
            <m:r>
              <w:rPr>
                <w:rFonts w:ascii="Cambria Math" w:eastAsia="Times New Roman" w:hAnsi="Cambria Math" w:cs="Times New Roman"/>
                <w:sz w:val="20"/>
                <w:szCs w:val="20"/>
                <w:lang w:val="en-GB"/>
              </w:rPr>
              <m:t>'</m:t>
            </m:r>
          </m:sup>
        </m:sSup>
        <m:r>
          <w:rPr>
            <w:rFonts w:ascii="Cambria Math" w:eastAsia="Times New Roman" w:hAnsi="Cambria Math" w:cs="Times New Roman"/>
            <w:sz w:val="20"/>
            <w:szCs w:val="20"/>
            <w:lang w:val="en-GB"/>
          </w:rPr>
          <m:t>=1,…,k</m:t>
        </m:r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. The metric-specific difference function </w:t>
      </w:r>
      <m:oMath>
        <m:sSubSup>
          <m:sSubSupPr>
            <m:ctrlPr>
              <w:rPr>
                <w:rFonts w:ascii="Cambria Math" w:hAnsi="Cambria Math" w:cs="Times New Roman"/>
                <w:i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δ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jj'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2</m:t>
            </m:r>
          </m:sup>
        </m:sSubSup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for the categories </w:t>
      </w:r>
      <m:oMath>
        <m:r>
          <w:rPr>
            <w:rFonts w:ascii="Cambria Math" w:hAnsi="Cambria Math" w:cs="Times New Roman"/>
            <w:sz w:val="20"/>
            <w:szCs w:val="20"/>
            <w:lang w:val="en-GB"/>
          </w:rPr>
          <m:t>j,</m:t>
        </m:r>
        <m:sSup>
          <m:sSupPr>
            <m:ctrlPr>
              <w:rPr>
                <w:rFonts w:ascii="Cambria Math" w:hAnsi="Cambria Math" w:cs="Times New Roman"/>
                <w:i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j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'</m:t>
            </m:r>
          </m:sup>
        </m:sSup>
        <m:r>
          <w:rPr>
            <w:rFonts w:ascii="Cambria Math" w:hAnsi="Cambria Math" w:cs="Times New Roman"/>
            <w:sz w:val="20"/>
            <w:szCs w:val="20"/>
            <w:lang w:val="en-GB"/>
          </w:rPr>
          <m:t>=1,…,k</m:t>
        </m:r>
      </m:oMath>
      <w:r>
        <w:rPr>
          <w:rFonts w:ascii="Times New Roman" w:hAnsi="Times New Roman" w:cs="Times New Roman"/>
          <w:sz w:val="20"/>
          <w:szCs w:val="20"/>
          <w:lang w:val="en-GB"/>
        </w:rPr>
        <w:t xml:space="preserve"> is defined as follows:</w:t>
      </w:r>
    </w:p>
    <w:p w:rsidR="00A769ED" w:rsidRDefault="00A769ED" w:rsidP="00A769ED">
      <w:pPr>
        <w:pStyle w:val="Listenabsatz"/>
        <w:numPr>
          <w:ilvl w:val="0"/>
          <w:numId w:val="1"/>
        </w:num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Nominal scale: </w:t>
      </w:r>
      <m:oMath>
        <m:sSubSup>
          <m:sSubSupPr>
            <m:ctrlPr>
              <w:rPr>
                <w:rFonts w:ascii="Cambria Math" w:eastAsia="Times New Roman" w:hAnsi="Cambria Math"/>
                <w:i/>
                <w:lang w:val="en-GB"/>
              </w:rPr>
            </m:ctrlPr>
          </m:sSubSupPr>
          <m:e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δ</m:t>
            </m:r>
          </m:e>
          <m:sub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jj'</m:t>
            </m:r>
          </m:sub>
          <m:sup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/>
            <w:sz w:val="20"/>
            <w:szCs w:val="20"/>
            <w:lang w:val="en-GB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/>
                <w:i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i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0"/>
                      <w:szCs w:val="20"/>
                      <w:lang w:val="en-GB"/>
                    </w:rPr>
                    <m:t xml:space="preserve"> 0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  <w:lang w:val="en-GB"/>
                    </w:rPr>
                    <m:t xml:space="preserve">if  </m:t>
                  </m:r>
                  <m:r>
                    <w:rPr>
                      <w:rFonts w:ascii="Cambria Math" w:eastAsia="Times New Roman" w:hAnsi="Cambria Math"/>
                      <w:sz w:val="20"/>
                      <w:szCs w:val="20"/>
                      <w:lang w:val="en-GB"/>
                    </w:rPr>
                    <m:t>j=j'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0"/>
                      <w:szCs w:val="20"/>
                      <w:lang w:val="en-GB"/>
                    </w:rPr>
                    <m:t xml:space="preserve"> 1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  <w:lang w:val="en-GB"/>
                    </w:rPr>
                    <m:t xml:space="preserve">if  </m:t>
                  </m:r>
                  <m:r>
                    <w:rPr>
                      <w:rFonts w:ascii="Cambria Math" w:eastAsia="Times New Roman" w:hAnsi="Cambria Math"/>
                      <w:sz w:val="20"/>
                      <w:szCs w:val="20"/>
                      <w:lang w:val="en-GB"/>
                    </w:rPr>
                    <m:t>j≠j'</m:t>
                  </m:r>
                </m:e>
              </m:mr>
            </m:m>
          </m:e>
        </m:d>
      </m:oMath>
    </w:p>
    <w:p w:rsidR="00A769ED" w:rsidRDefault="00A769ED" w:rsidP="00A769ED">
      <w:pPr>
        <w:pStyle w:val="Listenabsatz"/>
        <w:numPr>
          <w:ilvl w:val="0"/>
          <w:numId w:val="1"/>
        </w:num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Ordinal scale: </w:t>
      </w:r>
      <m:oMath>
        <m:sSubSup>
          <m:sSubSupPr>
            <m:ctrlPr>
              <w:rPr>
                <w:rFonts w:ascii="Cambria Math" w:eastAsia="Times New Roman" w:hAnsi="Cambria Math"/>
                <w:i/>
                <w:lang w:val="en-GB"/>
              </w:rPr>
            </m:ctrlPr>
          </m:sSubSupPr>
          <m:e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δ</m:t>
            </m:r>
          </m:e>
          <m:sub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jj'</m:t>
            </m:r>
          </m:sub>
          <m:sup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/>
            <w:sz w:val="20"/>
            <w:szCs w:val="20"/>
            <w:lang w:val="en-GB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lang w:val="en-GB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/>
                    <w:i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0"/>
                            <w:szCs w:val="20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0"/>
                            <w:szCs w:val="20"/>
                            <w:lang w:val="en-GB"/>
                          </w:rPr>
                          <m:t>j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GB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/>
                    <w:sz w:val="20"/>
                    <w:szCs w:val="20"/>
                    <w:lang w:val="en-GB"/>
                  </w:rPr>
                  <m:t>+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GB"/>
                      </w:rPr>
                      <m:t>g&gt;j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GB"/>
                      </w:rPr>
                      <m:t>g&lt;j'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0"/>
                            <w:szCs w:val="20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0"/>
                            <w:szCs w:val="20"/>
                            <w:lang w:val="en-GB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GB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 w:val="20"/>
                                <w:szCs w:val="20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 w:val="20"/>
                                <w:szCs w:val="20"/>
                                <w:lang w:val="en-GB"/>
                              </w:rPr>
                              <m:t>j'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Times New Roman" w:hAnsi="Cambria Math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den>
                    </m:f>
                  </m:e>
                </m:nary>
              </m:e>
            </m:d>
          </m:e>
          <m:sup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2</m:t>
            </m:r>
          </m:sup>
        </m:sSup>
      </m:oMath>
      <w:r>
        <w:rPr>
          <w:rFonts w:ascii="Times New Roman" w:hAnsi="Times New Roman"/>
          <w:sz w:val="20"/>
          <w:szCs w:val="20"/>
          <w:lang w:val="en-GB"/>
        </w:rPr>
        <w:t xml:space="preserve"> where  </w:t>
      </w:r>
      <m:oMath>
        <m:r>
          <w:rPr>
            <w:rFonts w:ascii="Cambria Math" w:eastAsia="Times New Roman" w:hAnsi="Cambria Math"/>
            <w:sz w:val="20"/>
            <w:szCs w:val="20"/>
            <w:lang w:val="en-GB"/>
          </w:rPr>
          <m:t>j&lt;j'</m:t>
        </m:r>
      </m:oMath>
    </w:p>
    <w:p w:rsidR="00A769ED" w:rsidRDefault="00A769ED" w:rsidP="00A769ED">
      <w:pPr>
        <w:pStyle w:val="Listenabsatz"/>
        <w:numPr>
          <w:ilvl w:val="0"/>
          <w:numId w:val="1"/>
        </w:num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Interval metric scale: </w:t>
      </w:r>
      <m:oMath>
        <m:sSubSup>
          <m:sSubSupPr>
            <m:ctrlPr>
              <w:rPr>
                <w:rFonts w:ascii="Cambria Math" w:eastAsia="Times New Roman" w:hAnsi="Cambria Math"/>
                <w:i/>
                <w:lang w:val="en-GB"/>
              </w:rPr>
            </m:ctrlPr>
          </m:sSubSupPr>
          <m:e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δ</m:t>
            </m:r>
          </m:e>
          <m:sub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jj'</m:t>
            </m:r>
          </m:sub>
          <m:sup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/>
            <w:sz w:val="20"/>
            <w:szCs w:val="20"/>
            <w:lang w:val="en-GB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lang w:val="en-GB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en-GB"/>
                  </w:rPr>
                  <m:t>j-j'</m:t>
                </m:r>
              </m:e>
            </m:d>
          </m:e>
          <m:sup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2</m:t>
            </m:r>
          </m:sup>
        </m:sSup>
      </m:oMath>
    </w:p>
    <w:p w:rsidR="00A769ED" w:rsidRDefault="00A769ED" w:rsidP="00A769ED">
      <w:pPr>
        <w:pStyle w:val="Listenabsatz"/>
        <w:numPr>
          <w:ilvl w:val="0"/>
          <w:numId w:val="1"/>
        </w:num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Ratio metric scale: </w:t>
      </w:r>
      <m:oMath>
        <m:sSubSup>
          <m:sSubSupPr>
            <m:ctrlPr>
              <w:rPr>
                <w:rFonts w:ascii="Cambria Math" w:eastAsia="Times New Roman" w:hAnsi="Cambria Math"/>
                <w:i/>
                <w:lang w:val="en-GB"/>
              </w:rPr>
            </m:ctrlPr>
          </m:sSubSupPr>
          <m:e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δ</m:t>
            </m:r>
          </m:e>
          <m:sub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jj'</m:t>
            </m:r>
          </m:sub>
          <m:sup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/>
            <w:sz w:val="20"/>
            <w:szCs w:val="20"/>
            <w:lang w:val="en-GB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lang w:val="en-GB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/>
                    <w:i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GB"/>
                      </w:rPr>
                      <m:t>j-j'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GB"/>
                      </w:rPr>
                      <m:t>j+j'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/>
                <w:sz w:val="20"/>
                <w:szCs w:val="20"/>
                <w:lang w:val="en-GB"/>
              </w:rPr>
              <m:t>2</m:t>
            </m:r>
          </m:sup>
        </m:sSup>
      </m:oMath>
      <w:r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A769ED" w:rsidRPr="00B15570" w:rsidRDefault="00A769ED" w:rsidP="00A769ED">
      <w:p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bookmarkStart w:id="0" w:name="_GoBack"/>
      <w:r w:rsidRPr="00B15570">
        <w:rPr>
          <w:rFonts w:ascii="Times New Roman" w:hAnsi="Times New Roman"/>
          <w:sz w:val="20"/>
          <w:szCs w:val="20"/>
          <w:lang w:val="en-GB"/>
        </w:rPr>
        <w:t xml:space="preserve">[1] Fleiss JL, Cohen J,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Everitt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BS.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Large sample standard errors of kappa and weighted kappa.</w:t>
      </w:r>
      <w:proofErr w:type="gramEnd"/>
      <w:r w:rsidRPr="00B15570">
        <w:rPr>
          <w:rFonts w:ascii="Times New Roman" w:hAnsi="Times New Roman"/>
          <w:sz w:val="20"/>
          <w:szCs w:val="20"/>
          <w:lang w:val="en-GB"/>
        </w:rPr>
        <w:t xml:space="preserve"> Psychological Bulletin 1969, 72(5): 323-327</w:t>
      </w:r>
      <w:r>
        <w:rPr>
          <w:rFonts w:ascii="Times New Roman" w:hAnsi="Times New Roman"/>
          <w:sz w:val="20"/>
          <w:szCs w:val="20"/>
          <w:lang w:val="en-GB"/>
        </w:rPr>
        <w:t>.</w:t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br/>
      </w:r>
      <w:r w:rsidRPr="00B15570">
        <w:rPr>
          <w:rFonts w:ascii="Times New Roman" w:hAnsi="Times New Roman"/>
          <w:sz w:val="20"/>
          <w:szCs w:val="20"/>
          <w:lang w:val="nl-NL"/>
        </w:rPr>
        <w:t xml:space="preserve">[2] Fleiss JL, Levin </w:t>
      </w:r>
      <w:bookmarkEnd w:id="0"/>
      <w:r w:rsidRPr="00B15570">
        <w:rPr>
          <w:rFonts w:ascii="Times New Roman" w:hAnsi="Times New Roman"/>
          <w:sz w:val="20"/>
          <w:szCs w:val="20"/>
          <w:lang w:val="nl-NL"/>
        </w:rPr>
        <w:t xml:space="preserve">B, Paik MC. 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Statistical methods for rates and proportions (3rd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ed</w:t>
      </w:r>
      <w:proofErr w:type="gramEnd"/>
      <w:r w:rsidRPr="00B15570">
        <w:rPr>
          <w:rFonts w:ascii="Times New Roman" w:hAnsi="Times New Roman"/>
          <w:sz w:val="20"/>
          <w:szCs w:val="20"/>
          <w:lang w:val="en-GB"/>
        </w:rPr>
        <w:t xml:space="preserve">.).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John Wiley &amp; Sons, Inc. Hoboken, New Jersey; 2003.</w:t>
      </w:r>
      <w:proofErr w:type="gramEnd"/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br/>
      </w:r>
      <w:proofErr w:type="gramStart"/>
      <w:r>
        <w:rPr>
          <w:rFonts w:ascii="Times New Roman" w:hAnsi="Times New Roman"/>
          <w:sz w:val="20"/>
          <w:szCs w:val="20"/>
          <w:lang w:val="en-GB"/>
        </w:rPr>
        <w:lastRenderedPageBreak/>
        <w:t>[3</w:t>
      </w:r>
      <w:r w:rsidRPr="00B15570">
        <w:rPr>
          <w:rFonts w:ascii="Times New Roman" w:hAnsi="Times New Roman"/>
          <w:sz w:val="20"/>
          <w:szCs w:val="20"/>
          <w:lang w:val="en-GB"/>
        </w:rPr>
        <w:t>] Krippendorff K. Estimating the reliability, systematic error, and random error of interval data.</w:t>
      </w:r>
      <w:proofErr w:type="gramEnd"/>
      <w:r w:rsidRPr="00B15570">
        <w:rPr>
          <w:rFonts w:ascii="Times New Roman" w:hAnsi="Times New Roman"/>
          <w:sz w:val="20"/>
          <w:szCs w:val="20"/>
          <w:lang w:val="en-GB"/>
        </w:rPr>
        <w:t xml:space="preserve"> Educational and Psychological Measurement 1970, 30:61-70.</w:t>
      </w:r>
    </w:p>
    <w:p w:rsidR="00BB54B5" w:rsidRDefault="00BB54B5"/>
    <w:sectPr w:rsidR="00BB54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AB9"/>
    <w:multiLevelType w:val="hybridMultilevel"/>
    <w:tmpl w:val="08B44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ED"/>
    <w:rsid w:val="0037526E"/>
    <w:rsid w:val="00716B21"/>
    <w:rsid w:val="00A769ED"/>
    <w:rsid w:val="00B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69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A769ED"/>
    <w:pPr>
      <w:ind w:left="720"/>
      <w:contextualSpacing/>
    </w:pPr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6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69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A769ED"/>
    <w:pPr>
      <w:ind w:left="720"/>
      <w:contextualSpacing/>
    </w:pPr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6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azapf</dc:creator>
  <cp:lastModifiedBy>azapf</cp:lastModifiedBy>
  <cp:revision>2</cp:revision>
  <dcterms:created xsi:type="dcterms:W3CDTF">2016-07-26T08:12:00Z</dcterms:created>
  <dcterms:modified xsi:type="dcterms:W3CDTF">2016-07-26T09:16:00Z</dcterms:modified>
</cp:coreProperties>
</file>