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EAA" w:rsidRPr="00A3717D" w:rsidRDefault="00FA5EAA" w:rsidP="00FA5EAA">
      <w:pPr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/>
          <w:b/>
          <w:sz w:val="20"/>
          <w:szCs w:val="20"/>
          <w:lang w:val="en-GB"/>
        </w:rPr>
        <w:t xml:space="preserve">Additional file </w:t>
      </w:r>
      <w:r>
        <w:rPr>
          <w:rFonts w:ascii="Times New Roman" w:hAnsi="Times New Roman"/>
          <w:b/>
          <w:sz w:val="20"/>
          <w:szCs w:val="20"/>
          <w:lang w:val="en-GB"/>
        </w:rPr>
        <w:t>4: Case study</w:t>
      </w:r>
      <w:r>
        <w:rPr>
          <w:rFonts w:ascii="Times New Roman" w:hAnsi="Times New Roman"/>
          <w:b/>
          <w:sz w:val="20"/>
          <w:szCs w:val="20"/>
          <w:lang w:val="en-GB"/>
        </w:rPr>
        <w:t xml:space="preserve"> – description, dataset, syntax, and output</w:t>
      </w:r>
    </w:p>
    <w:p w:rsidR="00FA5EAA" w:rsidRDefault="00FA5EAA" w:rsidP="00FA5EA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FA5EAA" w:rsidRDefault="00FA5EAA" w:rsidP="00FA5EA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>
        <w:rPr>
          <w:rFonts w:ascii="Times New Roman" w:hAnsi="Times New Roman" w:cs="Times New Roman"/>
          <w:i/>
          <w:sz w:val="20"/>
          <w:szCs w:val="20"/>
          <w:lang w:val="en-GB"/>
        </w:rPr>
        <w:t>Description of the case study</w:t>
      </w:r>
    </w:p>
    <w:p w:rsidR="00FA5EAA" w:rsidRDefault="00FA5EAA" w:rsidP="00FA5EA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FA5EAA" w:rsidRDefault="00FA5EAA" w:rsidP="00FA5E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In order to illustrate the theoretical considerations learnt from the simulation study, we applied the same approach to a real world dataset focusing on the inter-rater agreement in the histopathological assessment of breast cancer as used for epidemiological studies and clinical decision-making. The first n=50 breast cancer biopsies of the year 2013 that had been sent in for routine histopathological diagnostics </w:t>
      </w:r>
      <w:r>
        <w:rPr>
          <w:rFonts w:ascii="Times New Roman" w:hAnsi="Times New Roman"/>
          <w:sz w:val="20"/>
          <w:szCs w:val="20"/>
          <w:lang w:val="en-GB"/>
        </w:rPr>
        <w:t xml:space="preserve">at the Institute of Pathology, </w:t>
      </w:r>
      <w:proofErr w:type="spellStart"/>
      <w:r>
        <w:rPr>
          <w:rFonts w:ascii="Times New Roman" w:hAnsi="Times New Roman"/>
          <w:sz w:val="20"/>
          <w:szCs w:val="20"/>
          <w:lang w:val="en-GB"/>
        </w:rPr>
        <w:t>Diagnostik</w:t>
      </w:r>
      <w:proofErr w:type="spellEnd"/>
      <w:r>
        <w:rPr>
          <w:rFonts w:ascii="Times New Roman" w:hAnsi="Times New Roman"/>
          <w:sz w:val="20"/>
          <w:szCs w:val="20"/>
          <w:lang w:val="en-GB"/>
        </w:rPr>
        <w:t xml:space="preserve"> Ernst von Bergmann GmbH (Potsdam, Germany),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were retrospectively included in the study. For the present study, the samples were independently re-evaluated by four senior pathologists, who are experienced in breast cancer pathology and immunohistochemistry, and who were blinded to the primary diagnosis and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immunohistochemical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staining results. The lesions had primarily been identified as invasive ductal (n=46), invasive lobular (n=3) or mucinous (n=1) breast carcinoma;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immunohistochemical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examinations of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estrogen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receptor (ER), progesterone receptor (PR), proliferation index (MIB-1) and human epidermal growth factor receptor 2 (HER-2) had primarily been executed at the time of clinical diagnosis, using a standardized staining system 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BenchMark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GX, Roche, Berlin, Germany). Evaluation of immunohistochemistry had been carried out according to the German guidelines for breast cancer [1] (pp. 96-98). For ER and PR, the staining intensity was graded as absent (0), weak (1), moderate (2) or strong (3), the percentage of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immunoreactive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tumor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cells was estimated in steps of ten-percent and pooled in groups as ‘no stained receptors’ (0), ‘&lt; 10%’ (1), ‘10-50%’ (2), ‘51-80%’ (3) and ‘&gt;80%’ (4). However, if the percentage was below ten percent, an attempt was made to assign percentages with accuracy of one percent-increments. Staining intensity and percentage were combined to a so-called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immunoreactive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score (IRS) [2]. For MIB-1 the percentage was evaluated in the same manner irrespective of the staining intensity. The HER-2 staining was evaluated according to current national and international practice [1 (pp. 99-100), 3]: Score 0, staining in no more than 10 %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tumor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cells; Score 1+, incomplete membranous staining in more than 10 %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tumor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cells; Score 2+, weak or moderate complete membranous staining in more than 10 %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tumor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cells; Score 3+, strong complete membranous staining in more than 10 %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tumor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cells. Additionally, we dichotomized the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immunoreactive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score (IRS) (which is used for ER detection and results from multiplication of ER staining intensity with the category of proportion of reactive cells): We regarded IRS 0-2 negative and IRS ≥3 positive for ER expression [2]. MIB-1 was defined as negative if less than 20%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tumor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cells were found, and above as positive [4]. HER-2 was negative if an original score of 0 or 1 was present, positive if it was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3,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and intermediate if 2 [3]. We evaluated all measures of interest using Fleiss’ K and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Krippendorff’s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alpha with their CIs as described for the simulation study.</w:t>
      </w:r>
    </w:p>
    <w:p w:rsidR="00FA5EAA" w:rsidRDefault="00FA5EAA" w:rsidP="00FA5EAA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A5EAA" w:rsidRDefault="00FA5EAA" w:rsidP="00FA5EAA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[1] Interdisciplinary S3 Guidelines for the Diagnosis, Treatment and Follow-up Care of Breast Cancer. Long version 3.0, Update 2012, German Cancer Society and German Society for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Gynecology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and Obstetrics</w:t>
      </w:r>
    </w:p>
    <w:p w:rsidR="00FA5EAA" w:rsidRDefault="00FA5EAA" w:rsidP="00FA5EAA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[2]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Remmele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W,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Stegner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HE.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 xml:space="preserve">Recommendation for uniform definition of an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immunoreactive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score (IRS) for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immunohistochemical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estrogen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receptor detection (ER-ICA) in breast cancer tissue.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Pathologe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1987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;8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(3):138-40</w:t>
      </w:r>
    </w:p>
    <w:p w:rsidR="00FA5EAA" w:rsidRDefault="00FA5EAA" w:rsidP="00FA5EAA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[3] Carlson RW,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Moench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SJ, Hammond ME, Perez EA, Burstein HJ, Allred DC, Vogel CL, Goldstein LJ,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Somlo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G,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Gradishar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WJ,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Hudis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CA,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Jahanzeb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M, Stark A, Wolff AC, Press MF, Winer EP, Paik S,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Ljung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BM; NCCN HER2 Testing in Breast Cancer Task Force. HER2 testing in breast cancer: NCCN Task Force report and recommendations. Journal of National Comprehensive Cancer Network 2006 Jul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;4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Suppl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3:S1-22</w:t>
      </w:r>
    </w:p>
    <w:p w:rsidR="00FA5EAA" w:rsidRDefault="00FA5EAA" w:rsidP="00FA5EAA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[4] Rocca A,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Farolfi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A,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Maltoni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R,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Carretta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E,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Melegari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E,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Ferrario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C,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Cecconetto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L,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Sarti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S,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Schirone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A,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Fedeli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A,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Andreis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D,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Pietri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E, Ibrahim T,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Montalto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E,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Amadori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D. Efficacy of endocrine therapy in relation to progesterone receptor and Ki67 expression in advanced breast cancer. Breast Cancer Research and Treatment 2015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;152:57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-65.</w:t>
      </w:r>
    </w:p>
    <w:p w:rsidR="00FA5EAA" w:rsidRDefault="00FA5EAA" w:rsidP="00FA5EAA">
      <w:pPr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br w:type="page"/>
      </w:r>
    </w:p>
    <w:p w:rsidR="00FA5EAA" w:rsidRDefault="00FA5EAA" w:rsidP="00FA5EA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>
        <w:rPr>
          <w:rFonts w:ascii="Times New Roman" w:hAnsi="Times New Roman" w:cs="Times New Roman"/>
          <w:i/>
          <w:sz w:val="20"/>
          <w:szCs w:val="20"/>
          <w:lang w:val="en-GB"/>
        </w:rPr>
        <w:lastRenderedPageBreak/>
        <w:t>Example dataset</w:t>
      </w:r>
    </w:p>
    <w:p w:rsidR="00FA5EAA" w:rsidRDefault="00FA5EAA" w:rsidP="00FA5EA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Rater 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Rater B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Rater 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Rater D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3</w:t>
            </w:r>
          </w:p>
        </w:tc>
      </w:tr>
      <w:tr w:rsidR="00FA5EAA" w:rsidTr="003C06A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AA" w:rsidRDefault="00FA5EAA" w:rsidP="003C06AD">
            <w:pPr>
              <w:keepNext/>
              <w:jc w:val="both"/>
              <w:rPr>
                <w:rFonts w:ascii="Times New Roman" w:hAnsi="Times New Roman"/>
                <w:b/>
                <w:lang w:val="en-GB" w:eastAsia="de-DE"/>
              </w:rPr>
            </w:pPr>
            <w:r>
              <w:rPr>
                <w:rFonts w:ascii="Times New Roman" w:hAnsi="Times New Roman"/>
                <w:lang w:eastAsia="de-DE"/>
              </w:rPr>
              <w:t>0</w:t>
            </w:r>
          </w:p>
        </w:tc>
      </w:tr>
    </w:tbl>
    <w:p w:rsidR="00FA5EAA" w:rsidRPr="00FA5EAA" w:rsidRDefault="00FA5EAA" w:rsidP="00FA5E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FA5EAA" w:rsidRDefault="00FA5EAA" w:rsidP="00FA5EA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FA5EAA" w:rsidRDefault="00FA5EAA">
      <w:pPr>
        <w:rPr>
          <w:rFonts w:ascii="Times New Roman" w:hAnsi="Times New Roman" w:cs="Times New Roman"/>
          <w:i/>
          <w:sz w:val="20"/>
          <w:szCs w:val="20"/>
          <w:lang w:val="en-GB"/>
        </w:rPr>
      </w:pPr>
      <w:r>
        <w:rPr>
          <w:rFonts w:ascii="Times New Roman" w:hAnsi="Times New Roman" w:cs="Times New Roman"/>
          <w:i/>
          <w:sz w:val="20"/>
          <w:szCs w:val="20"/>
          <w:lang w:val="en-GB"/>
        </w:rPr>
        <w:br w:type="page"/>
      </w:r>
    </w:p>
    <w:p w:rsidR="00FA5EAA" w:rsidRPr="00A3717D" w:rsidRDefault="00FA5EAA" w:rsidP="00FA5E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bookmarkStart w:id="0" w:name="_GoBack"/>
      <w:bookmarkEnd w:id="0"/>
      <w:r w:rsidRPr="00A3717D">
        <w:rPr>
          <w:rFonts w:ascii="Times New Roman" w:hAnsi="Times New Roman" w:cs="Times New Roman"/>
          <w:i/>
          <w:sz w:val="20"/>
          <w:szCs w:val="20"/>
          <w:lang w:val="en-GB"/>
        </w:rPr>
        <w:lastRenderedPageBreak/>
        <w:t xml:space="preserve">Syntax for example dataset </w:t>
      </w:r>
      <w:r w:rsidRPr="00A3717D">
        <w:rPr>
          <w:rFonts w:ascii="Times New Roman" w:hAnsi="Times New Roman" w:cs="Times New Roman"/>
          <w:sz w:val="20"/>
          <w:szCs w:val="20"/>
          <w:lang w:val="en-GB"/>
        </w:rPr>
        <w:t xml:space="preserve">(see </w:t>
      </w:r>
      <w:r w:rsidRPr="00A3717D">
        <w:rPr>
          <w:rFonts w:ascii="Times New Roman" w:hAnsi="Times New Roman" w:cs="Times New Roman"/>
          <w:sz w:val="20"/>
          <w:szCs w:val="20"/>
          <w:lang w:val="en-GB"/>
        </w:rPr>
        <w:fldChar w:fldCharType="begin"/>
      </w:r>
      <w:r w:rsidRPr="00A3717D">
        <w:rPr>
          <w:rFonts w:ascii="Times New Roman" w:hAnsi="Times New Roman" w:cs="Times New Roman"/>
          <w:sz w:val="20"/>
          <w:szCs w:val="20"/>
          <w:lang w:val="en-GB"/>
        </w:rPr>
        <w:instrText xml:space="preserve"> REF _Ref436207874 \h  \* MERGEFORMAT </w:instrText>
      </w:r>
      <w:r w:rsidRPr="00A3717D">
        <w:rPr>
          <w:rFonts w:ascii="Times New Roman" w:hAnsi="Times New Roman" w:cs="Times New Roman"/>
          <w:sz w:val="20"/>
          <w:szCs w:val="20"/>
          <w:lang w:val="en-GB"/>
        </w:rPr>
      </w:r>
      <w:r w:rsidRPr="00A3717D">
        <w:rPr>
          <w:rFonts w:ascii="Times New Roman" w:hAnsi="Times New Roman" w:cs="Times New Roman"/>
          <w:sz w:val="20"/>
          <w:szCs w:val="20"/>
          <w:lang w:val="en-GB"/>
        </w:rPr>
        <w:fldChar w:fldCharType="separate"/>
      </w:r>
      <w:r w:rsidRPr="00A3717D">
        <w:rPr>
          <w:rFonts w:ascii="Times New Roman" w:hAnsi="Times New Roman" w:cs="Times New Roman"/>
          <w:sz w:val="20"/>
          <w:szCs w:val="20"/>
          <w:lang w:val="en-GB"/>
        </w:rPr>
        <w:t xml:space="preserve">Table S </w:t>
      </w:r>
      <w:r w:rsidRPr="00A3717D">
        <w:rPr>
          <w:rFonts w:ascii="Times New Roman" w:hAnsi="Times New Roman" w:cs="Times New Roman"/>
          <w:noProof/>
          <w:sz w:val="20"/>
          <w:szCs w:val="20"/>
          <w:lang w:val="en-GB"/>
        </w:rPr>
        <w:t>1</w:t>
      </w:r>
      <w:r w:rsidRPr="00A3717D">
        <w:rPr>
          <w:rFonts w:ascii="Times New Roman" w:hAnsi="Times New Roman" w:cs="Times New Roman"/>
          <w:sz w:val="20"/>
          <w:szCs w:val="20"/>
          <w:lang w:val="en-GB"/>
        </w:rPr>
        <w:fldChar w:fldCharType="end"/>
      </w:r>
      <w:r w:rsidRPr="00A3717D"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:rsidR="00FA5EAA" w:rsidRDefault="00FA5EAA" w:rsidP="00FA5E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FA5EAA" w:rsidRDefault="00FA5EAA" w:rsidP="00FA5E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k_alpha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(data)</w:t>
      </w:r>
    </w:p>
    <w:p w:rsidR="00FA5EAA" w:rsidRDefault="00FA5EAA" w:rsidP="00FA5E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FA5EAA" w:rsidRDefault="00FA5EAA" w:rsidP="00FA5E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k_alpha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(data, scaling=”ordinal”)</w:t>
      </w:r>
    </w:p>
    <w:p w:rsidR="00FA5EAA" w:rsidRDefault="00FA5EAA" w:rsidP="00FA5E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FA5EAA" w:rsidRDefault="00FA5EAA" w:rsidP="00FA5E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FA5EAA" w:rsidRPr="00A3717D" w:rsidRDefault="00FA5EAA" w:rsidP="00FA5EA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A3717D">
        <w:rPr>
          <w:rFonts w:ascii="Times New Roman" w:hAnsi="Times New Roman"/>
          <w:i/>
          <w:sz w:val="20"/>
          <w:szCs w:val="20"/>
          <w:lang w:val="en-GB"/>
        </w:rPr>
        <w:t>Output for example syntax</w:t>
      </w:r>
    </w:p>
    <w:p w:rsidR="00FA5EAA" w:rsidRDefault="00FA5EAA" w:rsidP="00FA5EA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FA5EAA" w:rsidRDefault="00FA5EAA" w:rsidP="00FA5E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k_alpha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(data)</w:t>
      </w:r>
    </w:p>
    <w:p w:rsidR="00FA5EAA" w:rsidRDefault="00FA5EAA" w:rsidP="00FA5EA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FA5EAA" w:rsidRDefault="00FA5EAA" w:rsidP="00FA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 xml:space="preserve">[1] "The measurement scale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is  nominal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 xml:space="preserve"> ."</w:t>
      </w:r>
    </w:p>
    <w:p w:rsidR="00FA5EAA" w:rsidRDefault="00FA5EAA" w:rsidP="00FA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[1] "###### Fleiss' K ######"</w:t>
      </w:r>
    </w:p>
    <w:p w:rsidR="00FA5EAA" w:rsidRDefault="00FA5EAA" w:rsidP="00FA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[1] "The observed agreement in all complete cases is 44 %."</w:t>
      </w:r>
    </w:p>
    <w:p w:rsidR="00FA5EAA" w:rsidRDefault="00FA5EAA" w:rsidP="00FA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[1] "N (number of subjects without missing values) = 50"</w:t>
      </w:r>
    </w:p>
    <w:p w:rsidR="00FA5EAA" w:rsidRDefault="00FA5EAA" w:rsidP="00FA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[1] "n (number of ratings) = 4"</w:t>
      </w:r>
    </w:p>
    <w:p w:rsidR="00FA5EAA" w:rsidRDefault="00FA5EAA" w:rsidP="00FA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 xml:space="preserve">[1] "k (number of categories)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=  5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"</w:t>
      </w:r>
    </w:p>
    <w:p w:rsidR="00FA5EAA" w:rsidRDefault="00FA5EAA" w:rsidP="00FA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[1] "Point estimator of Fleiss' K = 0.5625"</w:t>
      </w:r>
    </w:p>
    <w:p w:rsidR="00FA5EAA" w:rsidRDefault="00FA5EAA" w:rsidP="00FA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[1] "Asymptotic two-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sided  95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 xml:space="preserve"> % confidence interval for Fleiss' K: 0.4964  ;  0.6286"</w:t>
      </w:r>
    </w:p>
    <w:p w:rsidR="00FA5EAA" w:rsidRDefault="00FA5EAA" w:rsidP="00FA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[1] "Two-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sided  95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 xml:space="preserve"> % Bootstrap confidence interval for Fleiss' K: 0.4454  ;  0.6652"</w:t>
      </w:r>
    </w:p>
    <w:p w:rsidR="00FA5EAA" w:rsidRDefault="00FA5EAA" w:rsidP="00FA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 xml:space="preserve">[1] "######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Krippendorff's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 xml:space="preserve"> alpha ######"</w:t>
      </w:r>
    </w:p>
    <w:p w:rsidR="00FA5EAA" w:rsidRDefault="00FA5EAA" w:rsidP="00FA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[1] "The observed agreement in all cases with at least two ratings is 44 %."</w:t>
      </w:r>
    </w:p>
    <w:p w:rsidR="00FA5EAA" w:rsidRDefault="00FA5EAA" w:rsidP="00FA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[1] "N (number of subjects with two or more ratings) = 50"</w:t>
      </w:r>
    </w:p>
    <w:p w:rsidR="00FA5EAA" w:rsidRDefault="00FA5EAA" w:rsidP="00FA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[1] "n (number of ratings) = 4"</w:t>
      </w:r>
    </w:p>
    <w:p w:rsidR="00FA5EAA" w:rsidRDefault="00FA5EAA" w:rsidP="00FA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 xml:space="preserve">[1] "k (number of categories)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=  5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"</w:t>
      </w:r>
    </w:p>
    <w:p w:rsidR="00FA5EAA" w:rsidRDefault="00FA5EAA" w:rsidP="00FA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 xml:space="preserve">[1] "Point estimator of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Krippendorff's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 xml:space="preserve"> alpha = 0.5647"</w:t>
      </w:r>
    </w:p>
    <w:p w:rsidR="00FA5EAA" w:rsidRDefault="00FA5EAA" w:rsidP="00FA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[1] "Two-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sided  95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 xml:space="preserve"> % Bootstrap confidence interval for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>Krippendorff's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  <w:t xml:space="preserve"> alpha: 0.4524  ;  0.6683"</w:t>
      </w:r>
    </w:p>
    <w:p w:rsidR="00FA5EAA" w:rsidRDefault="00FA5EAA" w:rsidP="00FA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</w:pPr>
    </w:p>
    <w:p w:rsidR="00FA5EAA" w:rsidRDefault="00FA5EAA" w:rsidP="00FA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E1E2E5"/>
          <w:lang w:val="en-US" w:eastAsia="de-DE"/>
        </w:rPr>
      </w:pPr>
    </w:p>
    <w:p w:rsidR="00FA5EAA" w:rsidRDefault="00FA5EAA" w:rsidP="00FA5E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&gt;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k_alpha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(data, scaling=”ordinal”)</w:t>
      </w:r>
    </w:p>
    <w:p w:rsidR="00FA5EAA" w:rsidRDefault="00FA5EAA" w:rsidP="00FA5EA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FA5EAA" w:rsidRDefault="00FA5EAA" w:rsidP="00FA5EAA">
      <w:pPr>
        <w:pStyle w:val="HTMLVorformatiert"/>
        <w:rPr>
          <w:rFonts w:ascii="Times New Roman" w:hAnsi="Times New Roman" w:cs="Times New Roman"/>
          <w:color w:val="000000"/>
          <w:shd w:val="clear" w:color="auto" w:fill="E1E2E5"/>
          <w:lang w:val="en-US"/>
        </w:rPr>
      </w:pPr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 xml:space="preserve">[1] "The measurement scale </w:t>
      </w:r>
      <w:proofErr w:type="gramStart"/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>is  ordinal</w:t>
      </w:r>
      <w:proofErr w:type="gramEnd"/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 xml:space="preserve"> ."</w:t>
      </w:r>
    </w:p>
    <w:p w:rsidR="00FA5EAA" w:rsidRDefault="00FA5EAA" w:rsidP="00FA5EAA">
      <w:pPr>
        <w:pStyle w:val="HTMLVorformatiert"/>
        <w:rPr>
          <w:rFonts w:ascii="Times New Roman" w:hAnsi="Times New Roman" w:cs="Times New Roman"/>
          <w:color w:val="000000"/>
          <w:shd w:val="clear" w:color="auto" w:fill="E1E2E5"/>
          <w:lang w:val="en-US"/>
        </w:rPr>
      </w:pPr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>[1] "###### Fleiss' K ######"</w:t>
      </w:r>
    </w:p>
    <w:p w:rsidR="00FA5EAA" w:rsidRDefault="00FA5EAA" w:rsidP="00FA5EAA">
      <w:pPr>
        <w:pStyle w:val="HTMLVorformatiert"/>
        <w:rPr>
          <w:rFonts w:ascii="Times New Roman" w:hAnsi="Times New Roman" w:cs="Times New Roman"/>
          <w:color w:val="000000"/>
          <w:shd w:val="clear" w:color="auto" w:fill="E1E2E5"/>
          <w:lang w:val="en-US"/>
        </w:rPr>
      </w:pPr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>[1] "Fleiss' K cannot be calculated, because it is only appropriate for nominal data."</w:t>
      </w:r>
    </w:p>
    <w:p w:rsidR="00FA5EAA" w:rsidRDefault="00FA5EAA" w:rsidP="00FA5EAA">
      <w:pPr>
        <w:pStyle w:val="HTMLVorformatiert"/>
        <w:rPr>
          <w:rFonts w:ascii="Times New Roman" w:hAnsi="Times New Roman" w:cs="Times New Roman"/>
          <w:color w:val="000000"/>
          <w:shd w:val="clear" w:color="auto" w:fill="E1E2E5"/>
          <w:lang w:val="en-US"/>
        </w:rPr>
      </w:pPr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 xml:space="preserve">[1] "###### </w:t>
      </w:r>
      <w:proofErr w:type="spellStart"/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>Krippendorff's</w:t>
      </w:r>
      <w:proofErr w:type="spellEnd"/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 xml:space="preserve"> alpha ######"</w:t>
      </w:r>
    </w:p>
    <w:p w:rsidR="00FA5EAA" w:rsidRDefault="00FA5EAA" w:rsidP="00FA5EAA">
      <w:pPr>
        <w:pStyle w:val="HTMLVorformatiert"/>
        <w:rPr>
          <w:rFonts w:ascii="Times New Roman" w:hAnsi="Times New Roman" w:cs="Times New Roman"/>
          <w:color w:val="000000"/>
          <w:shd w:val="clear" w:color="auto" w:fill="E1E2E5"/>
          <w:lang w:val="en-US"/>
        </w:rPr>
      </w:pPr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>[1] "The observed agreement in all cases with at least two ratings is 44 %."</w:t>
      </w:r>
    </w:p>
    <w:p w:rsidR="00FA5EAA" w:rsidRDefault="00FA5EAA" w:rsidP="00FA5EAA">
      <w:pPr>
        <w:pStyle w:val="HTMLVorformatiert"/>
        <w:rPr>
          <w:rFonts w:ascii="Times New Roman" w:hAnsi="Times New Roman" w:cs="Times New Roman"/>
          <w:color w:val="000000"/>
          <w:shd w:val="clear" w:color="auto" w:fill="E1E2E5"/>
          <w:lang w:val="en-US"/>
        </w:rPr>
      </w:pPr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>[1] "N (number of subjects with two or more ratings) = 50"</w:t>
      </w:r>
    </w:p>
    <w:p w:rsidR="00FA5EAA" w:rsidRDefault="00FA5EAA" w:rsidP="00FA5EAA">
      <w:pPr>
        <w:pStyle w:val="HTMLVorformatiert"/>
        <w:rPr>
          <w:rFonts w:ascii="Times New Roman" w:hAnsi="Times New Roman" w:cs="Times New Roman"/>
          <w:color w:val="000000"/>
          <w:shd w:val="clear" w:color="auto" w:fill="E1E2E5"/>
          <w:lang w:val="en-US"/>
        </w:rPr>
      </w:pPr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>[1] "n (number of ratings) = 4"</w:t>
      </w:r>
    </w:p>
    <w:p w:rsidR="00FA5EAA" w:rsidRDefault="00FA5EAA" w:rsidP="00FA5EAA">
      <w:pPr>
        <w:pStyle w:val="HTMLVorformatiert"/>
        <w:rPr>
          <w:rFonts w:ascii="Times New Roman" w:hAnsi="Times New Roman" w:cs="Times New Roman"/>
          <w:color w:val="000000"/>
          <w:shd w:val="clear" w:color="auto" w:fill="E1E2E5"/>
          <w:lang w:val="en-US"/>
        </w:rPr>
      </w:pPr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 xml:space="preserve">[1] "k (number of categories) </w:t>
      </w:r>
      <w:proofErr w:type="gramStart"/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>=  5</w:t>
      </w:r>
      <w:proofErr w:type="gramEnd"/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>"</w:t>
      </w:r>
    </w:p>
    <w:p w:rsidR="00FA5EAA" w:rsidRDefault="00FA5EAA" w:rsidP="00FA5EAA">
      <w:pPr>
        <w:pStyle w:val="HTMLVorformatiert"/>
        <w:rPr>
          <w:rFonts w:ascii="Times New Roman" w:hAnsi="Times New Roman" w:cs="Times New Roman"/>
          <w:color w:val="000000"/>
          <w:shd w:val="clear" w:color="auto" w:fill="E1E2E5"/>
          <w:lang w:val="en-US"/>
        </w:rPr>
      </w:pPr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 xml:space="preserve">[1] "Point estimator of </w:t>
      </w:r>
      <w:proofErr w:type="spellStart"/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>Krippendorff's</w:t>
      </w:r>
      <w:proofErr w:type="spellEnd"/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 xml:space="preserve"> alpha = 0.8343"</w:t>
      </w:r>
    </w:p>
    <w:p w:rsidR="00BB54B5" w:rsidRPr="00FA5EAA" w:rsidRDefault="00FA5EAA" w:rsidP="00FA5EAA">
      <w:pPr>
        <w:pStyle w:val="HTMLVorformatiert"/>
        <w:rPr>
          <w:rFonts w:ascii="Times New Roman" w:hAnsi="Times New Roman" w:cs="Times New Roman"/>
          <w:color w:val="000000"/>
          <w:shd w:val="clear" w:color="auto" w:fill="E1E2E5"/>
          <w:lang w:val="en-US"/>
        </w:rPr>
      </w:pPr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>[1] "Two-</w:t>
      </w:r>
      <w:proofErr w:type="gramStart"/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>sided  95</w:t>
      </w:r>
      <w:proofErr w:type="gramEnd"/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 xml:space="preserve"> % Bootstrap confidence interval for </w:t>
      </w:r>
      <w:proofErr w:type="spellStart"/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>Krippendo</w:t>
      </w:r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>rff's</w:t>
      </w:r>
      <w:proofErr w:type="spellEnd"/>
      <w:r>
        <w:rPr>
          <w:rFonts w:ascii="Times New Roman" w:hAnsi="Times New Roman" w:cs="Times New Roman"/>
          <w:color w:val="000000"/>
          <w:shd w:val="clear" w:color="auto" w:fill="E1E2E5"/>
          <w:lang w:val="en-US"/>
        </w:rPr>
        <w:t xml:space="preserve"> alpha: 0.7122  ;  0.9007"</w:t>
      </w:r>
    </w:p>
    <w:sectPr w:rsidR="00BB54B5" w:rsidRPr="00FA5E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EAA"/>
    <w:rsid w:val="00BB54B5"/>
    <w:rsid w:val="00FA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A5EA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unhideWhenUsed/>
    <w:rsid w:val="00FA5E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FA5EAA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Beschriftung">
    <w:name w:val="caption"/>
    <w:basedOn w:val="Standard"/>
    <w:next w:val="Standard"/>
    <w:uiPriority w:val="99"/>
    <w:semiHidden/>
    <w:unhideWhenUsed/>
    <w:qFormat/>
    <w:rsid w:val="00FA5EAA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table" w:styleId="Tabellenraster">
    <w:name w:val="Table Grid"/>
    <w:basedOn w:val="NormaleTabelle"/>
    <w:uiPriority w:val="99"/>
    <w:rsid w:val="00FA5EA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A5EA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unhideWhenUsed/>
    <w:rsid w:val="00FA5E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FA5EAA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Beschriftung">
    <w:name w:val="caption"/>
    <w:basedOn w:val="Standard"/>
    <w:next w:val="Standard"/>
    <w:uiPriority w:val="99"/>
    <w:semiHidden/>
    <w:unhideWhenUsed/>
    <w:qFormat/>
    <w:rsid w:val="00FA5EAA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table" w:styleId="Tabellenraster">
    <w:name w:val="Table Grid"/>
    <w:basedOn w:val="NormaleTabelle"/>
    <w:uiPriority w:val="99"/>
    <w:rsid w:val="00FA5EA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Göttingen</Company>
  <LinksUpToDate>false</LinksUpToDate>
  <CharactersWithSpaces>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azapf</dc:creator>
  <cp:lastModifiedBy>azapf</cp:lastModifiedBy>
  <cp:revision>1</cp:revision>
  <dcterms:created xsi:type="dcterms:W3CDTF">2016-07-26T08:38:00Z</dcterms:created>
  <dcterms:modified xsi:type="dcterms:W3CDTF">2016-07-26T08:41:00Z</dcterms:modified>
</cp:coreProperties>
</file>