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3F32CCF" w14:textId="77777777" w:rsidR="00342E07" w:rsidRDefault="005356A1">
      <w:pPr>
        <w:pStyle w:val="Title"/>
        <w:jc w:val="both"/>
        <w:rPr>
          <w:rFonts w:ascii="Arial" w:hAnsi="Arial" w:cs="Arial"/>
          <w:lang w:val="en-US"/>
        </w:rPr>
      </w:pPr>
      <w:bookmarkStart w:id="0" w:name="__DdeLink__5197_1114282649"/>
      <w:r>
        <w:rPr>
          <w:rFonts w:ascii="Arial" w:hAnsi="Arial" w:cs="Arial"/>
          <w:lang w:val="en-US"/>
        </w:rPr>
        <w:t>Multiple Score Comparison</w:t>
      </w:r>
      <w:bookmarkEnd w:id="0"/>
      <w:r>
        <w:rPr>
          <w:rFonts w:ascii="Arial" w:hAnsi="Arial" w:cs="Arial"/>
          <w:lang w:val="en-US"/>
        </w:rPr>
        <w:t>: A network meta-analysis approach to comparison and external validation of prognostic scores</w:t>
      </w:r>
    </w:p>
    <w:p w14:paraId="630AD1D2" w14:textId="77777777" w:rsidR="00342E07" w:rsidRDefault="00342E07">
      <w:pPr>
        <w:pStyle w:val="BodyText"/>
        <w:spacing w:after="170" w:line="240" w:lineRule="auto"/>
        <w:rPr>
          <w:rFonts w:ascii="Arial" w:hAnsi="Arial" w:cs="Arial"/>
          <w:color w:val="000000"/>
          <w:lang w:val="en-US"/>
        </w:rPr>
      </w:pPr>
    </w:p>
    <w:p w14:paraId="31205037" w14:textId="77777777" w:rsidR="00342E07" w:rsidRDefault="00342E07">
      <w:pPr>
        <w:spacing w:before="280" w:after="280" w:line="240" w:lineRule="auto"/>
        <w:jc w:val="both"/>
        <w:rPr>
          <w:rFonts w:cs="Courier New"/>
          <w:b/>
          <w:color w:val="000000"/>
        </w:rPr>
      </w:pPr>
    </w:p>
    <w:p w14:paraId="3FB2092D" w14:textId="77777777" w:rsidR="00342E07" w:rsidRDefault="005356A1">
      <w:pPr>
        <w:spacing w:before="280" w:after="280" w:line="240" w:lineRule="auto"/>
        <w:jc w:val="center"/>
        <w:rPr>
          <w:rFonts w:ascii="Arial" w:hAnsi="Arial" w:cs="Arial"/>
          <w:b/>
          <w:color w:val="000000"/>
          <w:sz w:val="40"/>
          <w:szCs w:val="40"/>
        </w:rPr>
      </w:pPr>
      <w:r>
        <w:rPr>
          <w:rFonts w:ascii="Arial" w:hAnsi="Arial" w:cs="Arial"/>
          <w:b/>
          <w:color w:val="000000"/>
          <w:sz w:val="40"/>
          <w:szCs w:val="40"/>
        </w:rPr>
        <w:t>Online-Only Material</w:t>
      </w:r>
    </w:p>
    <w:p w14:paraId="2C16C9DB" w14:textId="77777777" w:rsidR="00342E07" w:rsidRPr="00911A46" w:rsidRDefault="005356A1" w:rsidP="00911A46">
      <w:pPr>
        <w:rPr>
          <w:rStyle w:val="st"/>
          <w:rFonts w:ascii="Arial" w:hAnsi="Arial"/>
          <w:b/>
          <w:sz w:val="24"/>
          <w:szCs w:val="24"/>
        </w:rPr>
      </w:pPr>
      <w:bookmarkStart w:id="1" w:name="_Toc488490624"/>
      <w:bookmarkEnd w:id="1"/>
      <w:r w:rsidRPr="00911A46">
        <w:rPr>
          <w:rStyle w:val="st"/>
          <w:rFonts w:ascii="Arial" w:hAnsi="Arial"/>
          <w:b/>
          <w:sz w:val="24"/>
          <w:szCs w:val="24"/>
        </w:rPr>
        <w:t>Table of contents</w:t>
      </w:r>
    </w:p>
    <w:sdt>
      <w:sdtPr>
        <w:rPr>
          <w:rFonts w:ascii="Calibri" w:hAnsi="Calibri"/>
          <w:b w:val="0"/>
          <w:bCs w:val="0"/>
          <w:color w:val="00000A"/>
          <w:sz w:val="22"/>
          <w:szCs w:val="22"/>
        </w:rPr>
        <w:id w:val="-884784690"/>
        <w:docPartObj>
          <w:docPartGallery w:val="Table of Contents"/>
          <w:docPartUnique/>
        </w:docPartObj>
      </w:sdtPr>
      <w:sdtEndPr>
        <w:rPr>
          <w:noProof/>
        </w:rPr>
      </w:sdtEndPr>
      <w:sdtContent>
        <w:p w14:paraId="014AAD7B" w14:textId="77777777" w:rsidR="00911A46" w:rsidRDefault="00911A46">
          <w:pPr>
            <w:pStyle w:val="TOCHeading"/>
          </w:pPr>
        </w:p>
        <w:p w14:paraId="28EDEFC6" w14:textId="77777777" w:rsidR="00911A46" w:rsidRDefault="00911A46">
          <w:pPr>
            <w:pStyle w:val="TOC1"/>
            <w:tabs>
              <w:tab w:val="right" w:leader="dot" w:pos="9396"/>
            </w:tabs>
            <w:rPr>
              <w:rFonts w:eastAsiaTheme="minorEastAsia" w:cstheme="minorBidi"/>
              <w:b w:val="0"/>
              <w:noProof/>
              <w:color w:val="auto"/>
              <w:lang w:val="de-CH" w:eastAsia="ja-JP"/>
            </w:rPr>
          </w:pPr>
          <w:r>
            <w:rPr>
              <w:b w:val="0"/>
            </w:rPr>
            <w:fldChar w:fldCharType="begin"/>
          </w:r>
          <w:r>
            <w:instrText xml:space="preserve"> TOC \o "1-3" \h \z \u </w:instrText>
          </w:r>
          <w:r>
            <w:rPr>
              <w:b w:val="0"/>
            </w:rPr>
            <w:fldChar w:fldCharType="separate"/>
          </w:r>
          <w:r>
            <w:rPr>
              <w:noProof/>
            </w:rPr>
            <w:t>STATISTICAL BACKGROUND</w:t>
          </w:r>
          <w:r>
            <w:rPr>
              <w:noProof/>
            </w:rPr>
            <w:tab/>
          </w:r>
          <w:r>
            <w:rPr>
              <w:noProof/>
            </w:rPr>
            <w:fldChar w:fldCharType="begin"/>
          </w:r>
          <w:r>
            <w:rPr>
              <w:noProof/>
            </w:rPr>
            <w:instrText xml:space="preserve"> PAGEREF _Toc373597603 \h </w:instrText>
          </w:r>
          <w:r>
            <w:rPr>
              <w:noProof/>
            </w:rPr>
          </w:r>
          <w:r>
            <w:rPr>
              <w:noProof/>
            </w:rPr>
            <w:fldChar w:fldCharType="separate"/>
          </w:r>
          <w:r>
            <w:rPr>
              <w:noProof/>
            </w:rPr>
            <w:t>2</w:t>
          </w:r>
          <w:r>
            <w:rPr>
              <w:noProof/>
            </w:rPr>
            <w:fldChar w:fldCharType="end"/>
          </w:r>
        </w:p>
        <w:p w14:paraId="4B14393A" w14:textId="77777777" w:rsidR="00911A46" w:rsidRDefault="00911A46">
          <w:pPr>
            <w:pStyle w:val="TOC2"/>
            <w:tabs>
              <w:tab w:val="right" w:leader="dot" w:pos="9396"/>
            </w:tabs>
            <w:rPr>
              <w:rFonts w:eastAsiaTheme="minorEastAsia" w:cstheme="minorBidi"/>
              <w:b w:val="0"/>
              <w:noProof/>
              <w:color w:val="auto"/>
              <w:sz w:val="24"/>
              <w:szCs w:val="24"/>
              <w:lang w:val="de-CH" w:eastAsia="ja-JP"/>
            </w:rPr>
          </w:pPr>
          <w:r>
            <w:rPr>
              <w:noProof/>
            </w:rPr>
            <w:t>Code discussion</w:t>
          </w:r>
          <w:r>
            <w:rPr>
              <w:noProof/>
            </w:rPr>
            <w:tab/>
          </w:r>
          <w:r>
            <w:rPr>
              <w:noProof/>
            </w:rPr>
            <w:fldChar w:fldCharType="begin"/>
          </w:r>
          <w:r>
            <w:rPr>
              <w:noProof/>
            </w:rPr>
            <w:instrText xml:space="preserve"> PAGEREF _Toc373597604 \h </w:instrText>
          </w:r>
          <w:r>
            <w:rPr>
              <w:noProof/>
            </w:rPr>
          </w:r>
          <w:r>
            <w:rPr>
              <w:noProof/>
            </w:rPr>
            <w:fldChar w:fldCharType="separate"/>
          </w:r>
          <w:r>
            <w:rPr>
              <w:noProof/>
            </w:rPr>
            <w:t>7</w:t>
          </w:r>
          <w:r>
            <w:rPr>
              <w:noProof/>
            </w:rPr>
            <w:fldChar w:fldCharType="end"/>
          </w:r>
        </w:p>
        <w:p w14:paraId="61E4312F" w14:textId="77777777" w:rsidR="00911A46" w:rsidRDefault="00911A46">
          <w:pPr>
            <w:pStyle w:val="TOC2"/>
            <w:tabs>
              <w:tab w:val="right" w:leader="dot" w:pos="9396"/>
            </w:tabs>
            <w:rPr>
              <w:rFonts w:eastAsiaTheme="minorEastAsia" w:cstheme="minorBidi"/>
              <w:b w:val="0"/>
              <w:noProof/>
              <w:color w:val="auto"/>
              <w:sz w:val="24"/>
              <w:szCs w:val="24"/>
              <w:lang w:val="de-CH" w:eastAsia="ja-JP"/>
            </w:rPr>
          </w:pPr>
          <w:r>
            <w:rPr>
              <w:noProof/>
            </w:rPr>
            <w:t>Data Description</w:t>
          </w:r>
          <w:r>
            <w:rPr>
              <w:noProof/>
            </w:rPr>
            <w:tab/>
          </w:r>
          <w:r>
            <w:rPr>
              <w:noProof/>
            </w:rPr>
            <w:fldChar w:fldCharType="begin"/>
          </w:r>
          <w:r>
            <w:rPr>
              <w:noProof/>
            </w:rPr>
            <w:instrText xml:space="preserve"> PAGEREF _Toc373597605 \h </w:instrText>
          </w:r>
          <w:r>
            <w:rPr>
              <w:noProof/>
            </w:rPr>
          </w:r>
          <w:r>
            <w:rPr>
              <w:noProof/>
            </w:rPr>
            <w:fldChar w:fldCharType="separate"/>
          </w:r>
          <w:r>
            <w:rPr>
              <w:noProof/>
            </w:rPr>
            <w:t>9</w:t>
          </w:r>
          <w:r>
            <w:rPr>
              <w:noProof/>
            </w:rPr>
            <w:fldChar w:fldCharType="end"/>
          </w:r>
        </w:p>
        <w:p w14:paraId="0A3FC8C5" w14:textId="77777777" w:rsidR="00911A46" w:rsidRDefault="00911A46">
          <w:pPr>
            <w:pStyle w:val="TOC2"/>
            <w:tabs>
              <w:tab w:val="right" w:leader="dot" w:pos="9396"/>
            </w:tabs>
            <w:rPr>
              <w:rFonts w:eastAsiaTheme="minorEastAsia" w:cstheme="minorBidi"/>
              <w:b w:val="0"/>
              <w:noProof/>
              <w:color w:val="auto"/>
              <w:sz w:val="24"/>
              <w:szCs w:val="24"/>
              <w:lang w:val="de-CH" w:eastAsia="ja-JP"/>
            </w:rPr>
          </w:pPr>
          <w:r>
            <w:rPr>
              <w:noProof/>
            </w:rPr>
            <w:t>Examination of network structure</w:t>
          </w:r>
          <w:r>
            <w:rPr>
              <w:noProof/>
            </w:rPr>
            <w:tab/>
          </w:r>
          <w:r>
            <w:rPr>
              <w:noProof/>
            </w:rPr>
            <w:fldChar w:fldCharType="begin"/>
          </w:r>
          <w:r>
            <w:rPr>
              <w:noProof/>
            </w:rPr>
            <w:instrText xml:space="preserve"> PAGEREF _Toc373597606 \h </w:instrText>
          </w:r>
          <w:r>
            <w:rPr>
              <w:noProof/>
            </w:rPr>
          </w:r>
          <w:r>
            <w:rPr>
              <w:noProof/>
            </w:rPr>
            <w:fldChar w:fldCharType="separate"/>
          </w:r>
          <w:r>
            <w:rPr>
              <w:noProof/>
            </w:rPr>
            <w:t>12</w:t>
          </w:r>
          <w:r>
            <w:rPr>
              <w:noProof/>
            </w:rPr>
            <w:fldChar w:fldCharType="end"/>
          </w:r>
        </w:p>
        <w:p w14:paraId="4C05E83C" w14:textId="77777777" w:rsidR="00911A46" w:rsidRDefault="00911A46">
          <w:pPr>
            <w:pStyle w:val="TOC2"/>
            <w:tabs>
              <w:tab w:val="right" w:leader="dot" w:pos="9396"/>
            </w:tabs>
            <w:rPr>
              <w:rFonts w:eastAsiaTheme="minorEastAsia" w:cstheme="minorBidi"/>
              <w:b w:val="0"/>
              <w:noProof/>
              <w:color w:val="auto"/>
              <w:sz w:val="24"/>
              <w:szCs w:val="24"/>
              <w:lang w:val="de-CH" w:eastAsia="ja-JP"/>
            </w:rPr>
          </w:pPr>
          <w:r>
            <w:rPr>
              <w:noProof/>
            </w:rPr>
            <w:t>R Code for Network Plot</w:t>
          </w:r>
          <w:r>
            <w:rPr>
              <w:noProof/>
            </w:rPr>
            <w:tab/>
          </w:r>
          <w:r>
            <w:rPr>
              <w:noProof/>
            </w:rPr>
            <w:fldChar w:fldCharType="begin"/>
          </w:r>
          <w:r>
            <w:rPr>
              <w:noProof/>
            </w:rPr>
            <w:instrText xml:space="preserve"> PAGEREF _Toc373597607 \h </w:instrText>
          </w:r>
          <w:r>
            <w:rPr>
              <w:noProof/>
            </w:rPr>
          </w:r>
          <w:r>
            <w:rPr>
              <w:noProof/>
            </w:rPr>
            <w:fldChar w:fldCharType="separate"/>
          </w:r>
          <w:r>
            <w:rPr>
              <w:noProof/>
            </w:rPr>
            <w:t>14</w:t>
          </w:r>
          <w:r>
            <w:rPr>
              <w:noProof/>
            </w:rPr>
            <w:fldChar w:fldCharType="end"/>
          </w:r>
        </w:p>
        <w:p w14:paraId="19AB2841" w14:textId="77777777" w:rsidR="00911A46" w:rsidRDefault="00911A46">
          <w:pPr>
            <w:pStyle w:val="TOC1"/>
            <w:tabs>
              <w:tab w:val="right" w:leader="dot" w:pos="9396"/>
            </w:tabs>
            <w:rPr>
              <w:rFonts w:eastAsiaTheme="minorEastAsia" w:cstheme="minorBidi"/>
              <w:b w:val="0"/>
              <w:noProof/>
              <w:color w:val="auto"/>
              <w:lang w:val="de-CH" w:eastAsia="ja-JP"/>
            </w:rPr>
          </w:pPr>
          <w:r>
            <w:rPr>
              <w:noProof/>
            </w:rPr>
            <w:t>MSC: HETEROGENEITY</w:t>
          </w:r>
          <w:r>
            <w:rPr>
              <w:noProof/>
            </w:rPr>
            <w:tab/>
          </w:r>
          <w:r>
            <w:rPr>
              <w:noProof/>
            </w:rPr>
            <w:fldChar w:fldCharType="begin"/>
          </w:r>
          <w:r>
            <w:rPr>
              <w:noProof/>
            </w:rPr>
            <w:instrText xml:space="preserve"> PAGEREF _Toc373597608 \h </w:instrText>
          </w:r>
          <w:r>
            <w:rPr>
              <w:noProof/>
            </w:rPr>
          </w:r>
          <w:r>
            <w:rPr>
              <w:noProof/>
            </w:rPr>
            <w:fldChar w:fldCharType="separate"/>
          </w:r>
          <w:r>
            <w:rPr>
              <w:noProof/>
            </w:rPr>
            <w:t>21</w:t>
          </w:r>
          <w:r>
            <w:rPr>
              <w:noProof/>
            </w:rPr>
            <w:fldChar w:fldCharType="end"/>
          </w:r>
        </w:p>
        <w:p w14:paraId="56341303" w14:textId="77777777" w:rsidR="00911A46" w:rsidRDefault="00911A46">
          <w:pPr>
            <w:pStyle w:val="TOC2"/>
            <w:tabs>
              <w:tab w:val="right" w:leader="dot" w:pos="9396"/>
            </w:tabs>
            <w:rPr>
              <w:rFonts w:eastAsiaTheme="minorEastAsia" w:cstheme="minorBidi"/>
              <w:b w:val="0"/>
              <w:noProof/>
              <w:color w:val="auto"/>
              <w:sz w:val="24"/>
              <w:szCs w:val="24"/>
              <w:lang w:val="de-CH" w:eastAsia="ja-JP"/>
            </w:rPr>
          </w:pPr>
          <w:r>
            <w:rPr>
              <w:noProof/>
            </w:rPr>
            <w:t>Tau pooled vs tau group</w:t>
          </w:r>
          <w:r>
            <w:rPr>
              <w:noProof/>
            </w:rPr>
            <w:tab/>
          </w:r>
          <w:r>
            <w:rPr>
              <w:noProof/>
            </w:rPr>
            <w:fldChar w:fldCharType="begin"/>
          </w:r>
          <w:r>
            <w:rPr>
              <w:noProof/>
            </w:rPr>
            <w:instrText xml:space="preserve"> PAGEREF _Toc373597609 \h </w:instrText>
          </w:r>
          <w:r>
            <w:rPr>
              <w:noProof/>
            </w:rPr>
          </w:r>
          <w:r>
            <w:rPr>
              <w:noProof/>
            </w:rPr>
            <w:fldChar w:fldCharType="separate"/>
          </w:r>
          <w:r>
            <w:rPr>
              <w:noProof/>
            </w:rPr>
            <w:t>21</w:t>
          </w:r>
          <w:r>
            <w:rPr>
              <w:noProof/>
            </w:rPr>
            <w:fldChar w:fldCharType="end"/>
          </w:r>
        </w:p>
        <w:p w14:paraId="26CA4C48" w14:textId="77777777" w:rsidR="00911A46" w:rsidRDefault="00911A46">
          <w:pPr>
            <w:pStyle w:val="TOC1"/>
            <w:tabs>
              <w:tab w:val="right" w:leader="dot" w:pos="9396"/>
            </w:tabs>
            <w:rPr>
              <w:rFonts w:eastAsiaTheme="minorEastAsia" w:cstheme="minorBidi"/>
              <w:b w:val="0"/>
              <w:noProof/>
              <w:color w:val="auto"/>
              <w:lang w:val="de-CH" w:eastAsia="ja-JP"/>
            </w:rPr>
          </w:pPr>
          <w:r>
            <w:rPr>
              <w:noProof/>
            </w:rPr>
            <w:t>MSC: TRANSITIVITY</w:t>
          </w:r>
          <w:r>
            <w:rPr>
              <w:noProof/>
            </w:rPr>
            <w:tab/>
          </w:r>
          <w:r>
            <w:rPr>
              <w:noProof/>
            </w:rPr>
            <w:fldChar w:fldCharType="begin"/>
          </w:r>
          <w:r>
            <w:rPr>
              <w:noProof/>
            </w:rPr>
            <w:instrText xml:space="preserve"> PAGEREF _Toc373597610 \h </w:instrText>
          </w:r>
          <w:r>
            <w:rPr>
              <w:noProof/>
            </w:rPr>
          </w:r>
          <w:r>
            <w:rPr>
              <w:noProof/>
            </w:rPr>
            <w:fldChar w:fldCharType="separate"/>
          </w:r>
          <w:r>
            <w:rPr>
              <w:noProof/>
            </w:rPr>
            <w:t>25</w:t>
          </w:r>
          <w:r>
            <w:rPr>
              <w:noProof/>
            </w:rPr>
            <w:fldChar w:fldCharType="end"/>
          </w:r>
        </w:p>
        <w:p w14:paraId="39DD391A" w14:textId="77777777" w:rsidR="00911A46" w:rsidRDefault="00911A46">
          <w:pPr>
            <w:pStyle w:val="TOC2"/>
            <w:tabs>
              <w:tab w:val="right" w:leader="dot" w:pos="9396"/>
            </w:tabs>
            <w:rPr>
              <w:rFonts w:eastAsiaTheme="minorEastAsia" w:cstheme="minorBidi"/>
              <w:b w:val="0"/>
              <w:noProof/>
              <w:color w:val="auto"/>
              <w:sz w:val="24"/>
              <w:szCs w:val="24"/>
              <w:lang w:val="de-CH" w:eastAsia="ja-JP"/>
            </w:rPr>
          </w:pPr>
          <w:r>
            <w:rPr>
              <w:noProof/>
            </w:rPr>
            <w:t>AUC vs FEV1 %pred. range</w:t>
          </w:r>
          <w:r>
            <w:rPr>
              <w:noProof/>
            </w:rPr>
            <w:tab/>
          </w:r>
          <w:r>
            <w:rPr>
              <w:noProof/>
            </w:rPr>
            <w:fldChar w:fldCharType="begin"/>
          </w:r>
          <w:r>
            <w:rPr>
              <w:noProof/>
            </w:rPr>
            <w:instrText xml:space="preserve"> PAGEREF _Toc373597611 \h </w:instrText>
          </w:r>
          <w:r>
            <w:rPr>
              <w:noProof/>
            </w:rPr>
          </w:r>
          <w:r>
            <w:rPr>
              <w:noProof/>
            </w:rPr>
            <w:fldChar w:fldCharType="separate"/>
          </w:r>
          <w:r>
            <w:rPr>
              <w:noProof/>
            </w:rPr>
            <w:t>27</w:t>
          </w:r>
          <w:r>
            <w:rPr>
              <w:noProof/>
            </w:rPr>
            <w:fldChar w:fldCharType="end"/>
          </w:r>
        </w:p>
        <w:p w14:paraId="76E47734" w14:textId="77777777" w:rsidR="00911A46" w:rsidRDefault="00911A46">
          <w:pPr>
            <w:pStyle w:val="TOC2"/>
            <w:tabs>
              <w:tab w:val="right" w:leader="dot" w:pos="9396"/>
            </w:tabs>
            <w:rPr>
              <w:rFonts w:eastAsiaTheme="minorEastAsia" w:cstheme="minorBidi"/>
              <w:b w:val="0"/>
              <w:noProof/>
              <w:color w:val="auto"/>
              <w:sz w:val="24"/>
              <w:szCs w:val="24"/>
              <w:lang w:val="de-CH" w:eastAsia="ja-JP"/>
            </w:rPr>
          </w:pPr>
          <w:r>
            <w:rPr>
              <w:noProof/>
            </w:rPr>
            <w:t>AUC vs FEV1% pred. variance</w:t>
          </w:r>
          <w:r>
            <w:rPr>
              <w:noProof/>
            </w:rPr>
            <w:tab/>
          </w:r>
          <w:r>
            <w:rPr>
              <w:noProof/>
            </w:rPr>
            <w:fldChar w:fldCharType="begin"/>
          </w:r>
          <w:r>
            <w:rPr>
              <w:noProof/>
            </w:rPr>
            <w:instrText xml:space="preserve"> PAGEREF _Toc373597612 \h </w:instrText>
          </w:r>
          <w:r>
            <w:rPr>
              <w:noProof/>
            </w:rPr>
          </w:r>
          <w:r>
            <w:rPr>
              <w:noProof/>
            </w:rPr>
            <w:fldChar w:fldCharType="separate"/>
          </w:r>
          <w:r>
            <w:rPr>
              <w:noProof/>
            </w:rPr>
            <w:t>30</w:t>
          </w:r>
          <w:r>
            <w:rPr>
              <w:noProof/>
            </w:rPr>
            <w:fldChar w:fldCharType="end"/>
          </w:r>
        </w:p>
        <w:p w14:paraId="35BE0126" w14:textId="77777777" w:rsidR="00911A46" w:rsidRDefault="00911A46">
          <w:pPr>
            <w:pStyle w:val="TOC2"/>
            <w:tabs>
              <w:tab w:val="right" w:leader="dot" w:pos="9396"/>
            </w:tabs>
            <w:rPr>
              <w:rFonts w:eastAsiaTheme="minorEastAsia" w:cstheme="minorBidi"/>
              <w:b w:val="0"/>
              <w:noProof/>
              <w:color w:val="auto"/>
              <w:sz w:val="24"/>
              <w:szCs w:val="24"/>
              <w:lang w:val="de-CH" w:eastAsia="ja-JP"/>
            </w:rPr>
          </w:pPr>
          <w:r>
            <w:rPr>
              <w:noProof/>
            </w:rPr>
            <w:t>AUC vs mortality percentage</w:t>
          </w:r>
          <w:r>
            <w:rPr>
              <w:noProof/>
            </w:rPr>
            <w:tab/>
          </w:r>
          <w:r>
            <w:rPr>
              <w:noProof/>
            </w:rPr>
            <w:fldChar w:fldCharType="begin"/>
          </w:r>
          <w:r>
            <w:rPr>
              <w:noProof/>
            </w:rPr>
            <w:instrText xml:space="preserve"> PAGEREF _Toc373597613 \h </w:instrText>
          </w:r>
          <w:r>
            <w:rPr>
              <w:noProof/>
            </w:rPr>
          </w:r>
          <w:r>
            <w:rPr>
              <w:noProof/>
            </w:rPr>
            <w:fldChar w:fldCharType="separate"/>
          </w:r>
          <w:r>
            <w:rPr>
              <w:noProof/>
            </w:rPr>
            <w:t>32</w:t>
          </w:r>
          <w:r>
            <w:rPr>
              <w:noProof/>
            </w:rPr>
            <w:fldChar w:fldCharType="end"/>
          </w:r>
        </w:p>
        <w:p w14:paraId="553EE100" w14:textId="77777777" w:rsidR="00911A46" w:rsidRDefault="00911A46">
          <w:pPr>
            <w:pStyle w:val="TOC2"/>
            <w:tabs>
              <w:tab w:val="right" w:leader="dot" w:pos="9396"/>
            </w:tabs>
            <w:rPr>
              <w:rFonts w:eastAsiaTheme="minorEastAsia" w:cstheme="minorBidi"/>
              <w:b w:val="0"/>
              <w:noProof/>
              <w:color w:val="auto"/>
              <w:sz w:val="24"/>
              <w:szCs w:val="24"/>
              <w:lang w:val="de-CH" w:eastAsia="ja-JP"/>
            </w:rPr>
          </w:pPr>
          <w:r>
            <w:rPr>
              <w:noProof/>
            </w:rPr>
            <w:t>AUC vs exercise capacity range</w:t>
          </w:r>
          <w:r>
            <w:rPr>
              <w:noProof/>
            </w:rPr>
            <w:tab/>
          </w:r>
          <w:r>
            <w:rPr>
              <w:noProof/>
            </w:rPr>
            <w:fldChar w:fldCharType="begin"/>
          </w:r>
          <w:r>
            <w:rPr>
              <w:noProof/>
            </w:rPr>
            <w:instrText xml:space="preserve"> PAGEREF _Toc373597614 \h </w:instrText>
          </w:r>
          <w:r>
            <w:rPr>
              <w:noProof/>
            </w:rPr>
          </w:r>
          <w:r>
            <w:rPr>
              <w:noProof/>
            </w:rPr>
            <w:fldChar w:fldCharType="separate"/>
          </w:r>
          <w:r>
            <w:rPr>
              <w:noProof/>
            </w:rPr>
            <w:t>34</w:t>
          </w:r>
          <w:r>
            <w:rPr>
              <w:noProof/>
            </w:rPr>
            <w:fldChar w:fldCharType="end"/>
          </w:r>
        </w:p>
        <w:p w14:paraId="684AA0CD" w14:textId="77777777" w:rsidR="00911A46" w:rsidRDefault="00911A46">
          <w:pPr>
            <w:pStyle w:val="TOC2"/>
            <w:tabs>
              <w:tab w:val="right" w:leader="dot" w:pos="9396"/>
            </w:tabs>
            <w:rPr>
              <w:rFonts w:eastAsiaTheme="minorEastAsia" w:cstheme="minorBidi"/>
              <w:b w:val="0"/>
              <w:noProof/>
              <w:color w:val="auto"/>
              <w:sz w:val="24"/>
              <w:szCs w:val="24"/>
              <w:lang w:val="de-CH" w:eastAsia="ja-JP"/>
            </w:rPr>
          </w:pPr>
          <w:r>
            <w:rPr>
              <w:noProof/>
            </w:rPr>
            <w:t>AUC vs median age</w:t>
          </w:r>
          <w:r>
            <w:rPr>
              <w:noProof/>
            </w:rPr>
            <w:tab/>
          </w:r>
          <w:r>
            <w:rPr>
              <w:noProof/>
            </w:rPr>
            <w:fldChar w:fldCharType="begin"/>
          </w:r>
          <w:r>
            <w:rPr>
              <w:noProof/>
            </w:rPr>
            <w:instrText xml:space="preserve"> PAGEREF _Toc373597615 \h </w:instrText>
          </w:r>
          <w:r>
            <w:rPr>
              <w:noProof/>
            </w:rPr>
          </w:r>
          <w:r>
            <w:rPr>
              <w:noProof/>
            </w:rPr>
            <w:fldChar w:fldCharType="separate"/>
          </w:r>
          <w:r>
            <w:rPr>
              <w:noProof/>
            </w:rPr>
            <w:t>36</w:t>
          </w:r>
          <w:r>
            <w:rPr>
              <w:noProof/>
            </w:rPr>
            <w:fldChar w:fldCharType="end"/>
          </w:r>
        </w:p>
        <w:p w14:paraId="1207D695" w14:textId="77777777" w:rsidR="00911A46" w:rsidRDefault="00911A46">
          <w:pPr>
            <w:pStyle w:val="TOC2"/>
            <w:tabs>
              <w:tab w:val="right" w:leader="dot" w:pos="9396"/>
            </w:tabs>
            <w:rPr>
              <w:rFonts w:eastAsiaTheme="minorEastAsia" w:cstheme="minorBidi"/>
              <w:b w:val="0"/>
              <w:noProof/>
              <w:color w:val="auto"/>
              <w:sz w:val="24"/>
              <w:szCs w:val="24"/>
              <w:lang w:val="de-CH" w:eastAsia="ja-JP"/>
            </w:rPr>
          </w:pPr>
          <w:r>
            <w:rPr>
              <w:noProof/>
            </w:rPr>
            <w:t>AUC vs variance age</w:t>
          </w:r>
          <w:r>
            <w:rPr>
              <w:noProof/>
            </w:rPr>
            <w:tab/>
          </w:r>
          <w:r>
            <w:rPr>
              <w:noProof/>
            </w:rPr>
            <w:fldChar w:fldCharType="begin"/>
          </w:r>
          <w:r>
            <w:rPr>
              <w:noProof/>
            </w:rPr>
            <w:instrText xml:space="preserve"> PAGEREF _Toc373597616 \h </w:instrText>
          </w:r>
          <w:r>
            <w:rPr>
              <w:noProof/>
            </w:rPr>
          </w:r>
          <w:r>
            <w:rPr>
              <w:noProof/>
            </w:rPr>
            <w:fldChar w:fldCharType="separate"/>
          </w:r>
          <w:r>
            <w:rPr>
              <w:noProof/>
            </w:rPr>
            <w:t>38</w:t>
          </w:r>
          <w:r>
            <w:rPr>
              <w:noProof/>
            </w:rPr>
            <w:fldChar w:fldCharType="end"/>
          </w:r>
        </w:p>
        <w:p w14:paraId="51BFBA24" w14:textId="77777777" w:rsidR="00911A46" w:rsidRDefault="00911A46">
          <w:pPr>
            <w:pStyle w:val="TOC2"/>
            <w:tabs>
              <w:tab w:val="right" w:leader="dot" w:pos="9396"/>
            </w:tabs>
            <w:rPr>
              <w:rFonts w:eastAsiaTheme="minorEastAsia" w:cstheme="minorBidi"/>
              <w:b w:val="0"/>
              <w:noProof/>
              <w:color w:val="auto"/>
              <w:sz w:val="24"/>
              <w:szCs w:val="24"/>
              <w:lang w:val="de-CH" w:eastAsia="ja-JP"/>
            </w:rPr>
          </w:pPr>
          <w:r>
            <w:rPr>
              <w:noProof/>
            </w:rPr>
            <w:t>AUC vs size cohort (#cases)</w:t>
          </w:r>
          <w:r>
            <w:rPr>
              <w:noProof/>
            </w:rPr>
            <w:tab/>
          </w:r>
          <w:r>
            <w:rPr>
              <w:noProof/>
            </w:rPr>
            <w:fldChar w:fldCharType="begin"/>
          </w:r>
          <w:r>
            <w:rPr>
              <w:noProof/>
            </w:rPr>
            <w:instrText xml:space="preserve"> PAGEREF _Toc373597617 \h </w:instrText>
          </w:r>
          <w:r>
            <w:rPr>
              <w:noProof/>
            </w:rPr>
          </w:r>
          <w:r>
            <w:rPr>
              <w:noProof/>
            </w:rPr>
            <w:fldChar w:fldCharType="separate"/>
          </w:r>
          <w:r>
            <w:rPr>
              <w:noProof/>
            </w:rPr>
            <w:t>39</w:t>
          </w:r>
          <w:r>
            <w:rPr>
              <w:noProof/>
            </w:rPr>
            <w:fldChar w:fldCharType="end"/>
          </w:r>
        </w:p>
        <w:p w14:paraId="4354D0C4" w14:textId="77777777" w:rsidR="00911A46" w:rsidRDefault="00911A46">
          <w:pPr>
            <w:pStyle w:val="TOC1"/>
            <w:tabs>
              <w:tab w:val="right" w:leader="dot" w:pos="9396"/>
            </w:tabs>
            <w:rPr>
              <w:rFonts w:eastAsiaTheme="minorEastAsia" w:cstheme="minorBidi"/>
              <w:b w:val="0"/>
              <w:noProof/>
              <w:color w:val="auto"/>
              <w:lang w:val="de-CH" w:eastAsia="ja-JP"/>
            </w:rPr>
          </w:pPr>
          <w:r>
            <w:rPr>
              <w:noProof/>
            </w:rPr>
            <w:t>INCOSISTENCY</w:t>
          </w:r>
          <w:r>
            <w:rPr>
              <w:noProof/>
            </w:rPr>
            <w:tab/>
          </w:r>
          <w:r>
            <w:rPr>
              <w:noProof/>
            </w:rPr>
            <w:fldChar w:fldCharType="begin"/>
          </w:r>
          <w:r>
            <w:rPr>
              <w:noProof/>
            </w:rPr>
            <w:instrText xml:space="preserve"> PAGEREF _Toc373597618 \h </w:instrText>
          </w:r>
          <w:r>
            <w:rPr>
              <w:noProof/>
            </w:rPr>
          </w:r>
          <w:r>
            <w:rPr>
              <w:noProof/>
            </w:rPr>
            <w:fldChar w:fldCharType="separate"/>
          </w:r>
          <w:r>
            <w:rPr>
              <w:noProof/>
            </w:rPr>
            <w:t>40</w:t>
          </w:r>
          <w:r>
            <w:rPr>
              <w:noProof/>
            </w:rPr>
            <w:fldChar w:fldCharType="end"/>
          </w:r>
        </w:p>
        <w:p w14:paraId="27D9D94E" w14:textId="77777777" w:rsidR="00911A46" w:rsidRDefault="00911A46">
          <w:pPr>
            <w:pStyle w:val="TOC1"/>
            <w:tabs>
              <w:tab w:val="right" w:leader="dot" w:pos="9396"/>
            </w:tabs>
            <w:rPr>
              <w:rFonts w:eastAsiaTheme="minorEastAsia" w:cstheme="minorBidi"/>
              <w:b w:val="0"/>
              <w:noProof/>
              <w:color w:val="auto"/>
              <w:lang w:val="de-CH" w:eastAsia="ja-JP"/>
            </w:rPr>
          </w:pPr>
          <w:r>
            <w:rPr>
              <w:noProof/>
            </w:rPr>
            <w:t>INDIRECT EVIDENCE</w:t>
          </w:r>
          <w:r>
            <w:rPr>
              <w:noProof/>
            </w:rPr>
            <w:tab/>
          </w:r>
          <w:r>
            <w:rPr>
              <w:noProof/>
            </w:rPr>
            <w:fldChar w:fldCharType="begin"/>
          </w:r>
          <w:r>
            <w:rPr>
              <w:noProof/>
            </w:rPr>
            <w:instrText xml:space="preserve"> PAGEREF _Toc373597619 \h </w:instrText>
          </w:r>
          <w:r>
            <w:rPr>
              <w:noProof/>
            </w:rPr>
          </w:r>
          <w:r>
            <w:rPr>
              <w:noProof/>
            </w:rPr>
            <w:fldChar w:fldCharType="separate"/>
          </w:r>
          <w:r>
            <w:rPr>
              <w:noProof/>
            </w:rPr>
            <w:t>42</w:t>
          </w:r>
          <w:r>
            <w:rPr>
              <w:noProof/>
            </w:rPr>
            <w:fldChar w:fldCharType="end"/>
          </w:r>
        </w:p>
        <w:p w14:paraId="6B72409A" w14:textId="77777777" w:rsidR="00911A46" w:rsidRDefault="00911A46">
          <w:pPr>
            <w:pStyle w:val="TOC1"/>
            <w:tabs>
              <w:tab w:val="right" w:leader="dot" w:pos="9396"/>
            </w:tabs>
            <w:rPr>
              <w:rFonts w:eastAsiaTheme="minorEastAsia" w:cstheme="minorBidi"/>
              <w:b w:val="0"/>
              <w:noProof/>
              <w:color w:val="auto"/>
              <w:lang w:val="de-CH" w:eastAsia="ja-JP"/>
            </w:rPr>
          </w:pPr>
          <w:r>
            <w:rPr>
              <w:noProof/>
            </w:rPr>
            <w:t>MULTIPLE IMPUTATION</w:t>
          </w:r>
          <w:r>
            <w:rPr>
              <w:noProof/>
            </w:rPr>
            <w:tab/>
          </w:r>
          <w:r>
            <w:rPr>
              <w:noProof/>
            </w:rPr>
            <w:fldChar w:fldCharType="begin"/>
          </w:r>
          <w:r>
            <w:rPr>
              <w:noProof/>
            </w:rPr>
            <w:instrText xml:space="preserve"> PAGEREF _Toc373597620 \h </w:instrText>
          </w:r>
          <w:r>
            <w:rPr>
              <w:noProof/>
            </w:rPr>
          </w:r>
          <w:r>
            <w:rPr>
              <w:noProof/>
            </w:rPr>
            <w:fldChar w:fldCharType="separate"/>
          </w:r>
          <w:r>
            <w:rPr>
              <w:noProof/>
            </w:rPr>
            <w:t>43</w:t>
          </w:r>
          <w:r>
            <w:rPr>
              <w:noProof/>
            </w:rPr>
            <w:fldChar w:fldCharType="end"/>
          </w:r>
        </w:p>
        <w:p w14:paraId="192547CA" w14:textId="77777777" w:rsidR="00911A46" w:rsidRDefault="00911A46">
          <w:pPr>
            <w:pStyle w:val="TOC1"/>
            <w:tabs>
              <w:tab w:val="right" w:leader="dot" w:pos="9396"/>
            </w:tabs>
            <w:rPr>
              <w:rFonts w:eastAsiaTheme="minorEastAsia" w:cstheme="minorBidi"/>
              <w:b w:val="0"/>
              <w:noProof/>
              <w:color w:val="auto"/>
              <w:lang w:val="de-CH" w:eastAsia="ja-JP"/>
            </w:rPr>
          </w:pPr>
          <w:r>
            <w:rPr>
              <w:noProof/>
            </w:rPr>
            <w:t>SUCRA p-score</w:t>
          </w:r>
          <w:r>
            <w:rPr>
              <w:noProof/>
            </w:rPr>
            <w:tab/>
          </w:r>
          <w:r>
            <w:rPr>
              <w:noProof/>
            </w:rPr>
            <w:fldChar w:fldCharType="begin"/>
          </w:r>
          <w:r>
            <w:rPr>
              <w:noProof/>
            </w:rPr>
            <w:instrText xml:space="preserve"> PAGEREF _Toc373597621 \h </w:instrText>
          </w:r>
          <w:r>
            <w:rPr>
              <w:noProof/>
            </w:rPr>
          </w:r>
          <w:r>
            <w:rPr>
              <w:noProof/>
            </w:rPr>
            <w:fldChar w:fldCharType="separate"/>
          </w:r>
          <w:r>
            <w:rPr>
              <w:noProof/>
            </w:rPr>
            <w:t>46</w:t>
          </w:r>
          <w:r>
            <w:rPr>
              <w:noProof/>
            </w:rPr>
            <w:fldChar w:fldCharType="end"/>
          </w:r>
        </w:p>
        <w:p w14:paraId="463FBCF7" w14:textId="77777777" w:rsidR="00911A46" w:rsidRDefault="00911A46">
          <w:pPr>
            <w:pStyle w:val="TOC1"/>
            <w:tabs>
              <w:tab w:val="right" w:leader="dot" w:pos="9396"/>
            </w:tabs>
            <w:rPr>
              <w:rFonts w:eastAsiaTheme="minorEastAsia" w:cstheme="minorBidi"/>
              <w:b w:val="0"/>
              <w:noProof/>
              <w:color w:val="auto"/>
              <w:lang w:val="de-CH" w:eastAsia="ja-JP"/>
            </w:rPr>
          </w:pPr>
          <w:r w:rsidRPr="0007437E">
            <w:rPr>
              <w:noProof/>
              <w:highlight w:val="white"/>
            </w:rPr>
            <w:t>CORRELATIONS AMONG SCORES</w:t>
          </w:r>
          <w:r>
            <w:rPr>
              <w:noProof/>
            </w:rPr>
            <w:tab/>
          </w:r>
          <w:r>
            <w:rPr>
              <w:noProof/>
            </w:rPr>
            <w:fldChar w:fldCharType="begin"/>
          </w:r>
          <w:r>
            <w:rPr>
              <w:noProof/>
            </w:rPr>
            <w:instrText xml:space="preserve"> PAGEREF _Toc373597622 \h </w:instrText>
          </w:r>
          <w:r>
            <w:rPr>
              <w:noProof/>
            </w:rPr>
          </w:r>
          <w:r>
            <w:rPr>
              <w:noProof/>
            </w:rPr>
            <w:fldChar w:fldCharType="separate"/>
          </w:r>
          <w:r>
            <w:rPr>
              <w:noProof/>
            </w:rPr>
            <w:t>47</w:t>
          </w:r>
          <w:r>
            <w:rPr>
              <w:noProof/>
            </w:rPr>
            <w:fldChar w:fldCharType="end"/>
          </w:r>
        </w:p>
        <w:p w14:paraId="16412C7F" w14:textId="77777777" w:rsidR="00911A46" w:rsidRDefault="00911A46">
          <w:pPr>
            <w:pStyle w:val="TOC1"/>
            <w:tabs>
              <w:tab w:val="right" w:leader="dot" w:pos="9396"/>
            </w:tabs>
            <w:rPr>
              <w:rFonts w:eastAsiaTheme="minorEastAsia" w:cstheme="minorBidi"/>
              <w:b w:val="0"/>
              <w:noProof/>
              <w:color w:val="auto"/>
              <w:lang w:val="de-CH" w:eastAsia="ja-JP"/>
            </w:rPr>
          </w:pPr>
          <w:r w:rsidRPr="0007437E">
            <w:rPr>
              <w:noProof/>
              <w:highlight w:val="white"/>
            </w:rPr>
            <w:t>SCORES</w:t>
          </w:r>
          <w:r>
            <w:rPr>
              <w:noProof/>
            </w:rPr>
            <w:tab/>
          </w:r>
          <w:r>
            <w:rPr>
              <w:noProof/>
            </w:rPr>
            <w:fldChar w:fldCharType="begin"/>
          </w:r>
          <w:r>
            <w:rPr>
              <w:noProof/>
            </w:rPr>
            <w:instrText xml:space="preserve"> PAGEREF _Toc373597623 \h </w:instrText>
          </w:r>
          <w:r>
            <w:rPr>
              <w:noProof/>
            </w:rPr>
          </w:r>
          <w:r>
            <w:rPr>
              <w:noProof/>
            </w:rPr>
            <w:fldChar w:fldCharType="separate"/>
          </w:r>
          <w:r>
            <w:rPr>
              <w:noProof/>
            </w:rPr>
            <w:t>47</w:t>
          </w:r>
          <w:r>
            <w:rPr>
              <w:noProof/>
            </w:rPr>
            <w:fldChar w:fldCharType="end"/>
          </w:r>
        </w:p>
        <w:p w14:paraId="5D54B2AA" w14:textId="77777777" w:rsidR="00911A46" w:rsidRDefault="00911A46">
          <w:pPr>
            <w:pStyle w:val="TOC1"/>
            <w:tabs>
              <w:tab w:val="right" w:leader="dot" w:pos="9396"/>
            </w:tabs>
            <w:rPr>
              <w:rFonts w:eastAsiaTheme="minorEastAsia" w:cstheme="minorBidi"/>
              <w:b w:val="0"/>
              <w:noProof/>
              <w:color w:val="auto"/>
              <w:lang w:val="de-CH" w:eastAsia="ja-JP"/>
            </w:rPr>
          </w:pPr>
          <w:r>
            <w:rPr>
              <w:noProof/>
            </w:rPr>
            <w:t>REFERENCES</w:t>
          </w:r>
          <w:r>
            <w:rPr>
              <w:noProof/>
            </w:rPr>
            <w:tab/>
          </w:r>
          <w:r>
            <w:rPr>
              <w:noProof/>
            </w:rPr>
            <w:fldChar w:fldCharType="begin"/>
          </w:r>
          <w:r>
            <w:rPr>
              <w:noProof/>
            </w:rPr>
            <w:instrText xml:space="preserve"> PAGEREF _Toc373597624 \h </w:instrText>
          </w:r>
          <w:r>
            <w:rPr>
              <w:noProof/>
            </w:rPr>
          </w:r>
          <w:r>
            <w:rPr>
              <w:noProof/>
            </w:rPr>
            <w:fldChar w:fldCharType="separate"/>
          </w:r>
          <w:r>
            <w:rPr>
              <w:noProof/>
            </w:rPr>
            <w:t>48</w:t>
          </w:r>
          <w:r>
            <w:rPr>
              <w:noProof/>
            </w:rPr>
            <w:fldChar w:fldCharType="end"/>
          </w:r>
        </w:p>
        <w:p w14:paraId="15571C3F" w14:textId="77777777" w:rsidR="00911A46" w:rsidRDefault="00911A46">
          <w:r>
            <w:rPr>
              <w:b/>
              <w:bCs/>
              <w:noProof/>
            </w:rPr>
            <w:fldChar w:fldCharType="end"/>
          </w:r>
        </w:p>
      </w:sdtContent>
    </w:sdt>
    <w:p w14:paraId="49E3535C" w14:textId="77777777" w:rsidR="00911A46" w:rsidRDefault="00911A46">
      <w:pPr>
        <w:pStyle w:val="TOCHeading"/>
      </w:pPr>
    </w:p>
    <w:p w14:paraId="3101CC49" w14:textId="77777777" w:rsidR="00342E07" w:rsidRDefault="005356A1">
      <w:pPr>
        <w:pStyle w:val="Heading1"/>
        <w:spacing w:before="0" w:after="170" w:line="480" w:lineRule="auto"/>
      </w:pPr>
      <w:bookmarkStart w:id="2" w:name="_Toc488490625"/>
      <w:bookmarkStart w:id="3" w:name="_Toc373597603"/>
      <w:r>
        <w:rPr>
          <w:sz w:val="24"/>
          <w:szCs w:val="24"/>
        </w:rPr>
        <w:t>STATISTICAL BACKGROUND</w:t>
      </w:r>
      <w:bookmarkEnd w:id="2"/>
      <w:bookmarkEnd w:id="3"/>
      <w:r>
        <w:rPr>
          <w:sz w:val="24"/>
          <w:szCs w:val="24"/>
        </w:rPr>
        <w:t xml:space="preserve"> </w:t>
      </w:r>
    </w:p>
    <w:p w14:paraId="2D06DA85" w14:textId="77777777" w:rsidR="00342E07" w:rsidRDefault="005356A1">
      <w:pPr>
        <w:pStyle w:val="BodyText"/>
        <w:spacing w:after="170" w:line="480" w:lineRule="auto"/>
        <w:rPr>
          <w:rFonts w:ascii="Arial" w:hAnsi="Arial"/>
        </w:rPr>
      </w:pPr>
      <w:r>
        <w:rPr>
          <w:rFonts w:ascii="Arial" w:hAnsi="Arial"/>
        </w:rPr>
        <w:t>In this section we present the statistical background on which we relied to develop the MSC meta-analysis, mainly related to which performance measure to use, how to take advantage of indirect comparison through network meta-analysis.</w:t>
      </w:r>
    </w:p>
    <w:p w14:paraId="7AF9FD86" w14:textId="77777777" w:rsidR="00342E07" w:rsidRDefault="005356A1">
      <w:pPr>
        <w:pStyle w:val="BodyText"/>
        <w:spacing w:after="170" w:line="480" w:lineRule="auto"/>
      </w:pPr>
      <w:r>
        <w:rPr>
          <w:rFonts w:ascii="Arial" w:hAnsi="Arial" w:cs="Arial"/>
        </w:rPr>
        <w:t xml:space="preserve">The first task was to determine an appropriate endpoint for comparison of prediction models. The chosen performance measure should be a single value, should have a scale </w:t>
      </w:r>
      <w:bookmarkStart w:id="4" w:name="_GoBack"/>
      <w:bookmarkEnd w:id="4"/>
      <w:r>
        <w:rPr>
          <w:rFonts w:ascii="Arial" w:hAnsi="Arial" w:cs="Arial"/>
        </w:rPr>
        <w:t>independent of the data considered, should not be dependent on any grouping, and should have a defined variance estimate. We considered area under the ROC curve (AUC), Brier score, the Hosmer-</w:t>
      </w:r>
      <w:proofErr w:type="spellStart"/>
      <w:r>
        <w:rPr>
          <w:rFonts w:ascii="Arial" w:hAnsi="Arial" w:cs="Arial"/>
        </w:rPr>
        <w:t>Lemeshow</w:t>
      </w:r>
      <w:proofErr w:type="spellEnd"/>
      <w:r>
        <w:rPr>
          <w:rFonts w:ascii="Arial" w:hAnsi="Arial" w:cs="Arial"/>
        </w:rPr>
        <w:t xml:space="preserve"> test </w:t>
      </w:r>
      <w:r>
        <w:fldChar w:fldCharType="begin" w:fldLock="1"/>
      </w:r>
      <w:r>
        <w:instrText>ADDIN CSL_CITATION { "citationItems" : [ { "id" : "ITEM-1", "itemData" : { "DOI" : "10.1080/03610928008827941", "ISSN" : "0361-0926", "author" : [ { "dropping-particle" : "", "family" : "Hosmer", "given" : "D.W.", "non-dropping-particle" : "", "parse-names" : false, "suffix" : "" }, { "dropping-particle" : "", "family" : "Lemeshow", "given" : "Stanley", "non-dropping-particle" : "", "parse-names" : false, "suffix" : "" } ], "container-title" : "Communications in Statistics - Theory and Methods", "id" : "ITEM-1", "issue" : "10", "issued" : { "date-parts" : [ [ "1980" ] ] }, "page" : "1043-1069", "title" : "Goodness of fit tests for the multiple logistic regression model", "type" : "article-journal", "volume" : "9" }, "uris" : [ "http://www.mendeley.com/documents/?uuid=ecccfcd3-a5ce-47fe-96fd-43b2277b3772" ] }, { "id" : "ITEM-2", "itemData" : { "DOI" : "10.1002/(SICI)1097-0258(19970515)16:9&lt;965::AID-SIM509&gt;3.0.CO;2-O", "ISBN" : "0277-6715 (Print)\\r0277-6715 (Linking)", "ISSN" : "02776715", "PMID" : "9160492", "abstract" : "Recent work has shown that there may be disadvantages in the use of the chi-square-like goodness-of-fit tests for the logistic regression model proposed by Hosmer and Lemeshow that use fixed groups of the estimated probabilities. A particular concern with these grouping strategies based on estimated probabilities, fitted values, is that groups may contain subjects with widely different values of the covariates. It is possible to demonstrate situations where one set of fixed groups shows the model fits while the test rejects fit using a different set of fixed groups. We compare the performance by simulation of these tests to tests based on smoothed residuals proposed by le Cessie and Van Houwelingen and Royston, a score test for an extended logistic regression model proposed by Stukel, the Pearson chi-square and the unweighted residual sum-of-squares. These simulations demonstrate that all but one of Royston's tests have the correct size. An examination of the performance of the tests when the correct model has a quadratic term but a model containing only the linear term has been fit shows that the Pearson chi-square, the unweighted sum-of-squares, the Hosmer-Lemeshow decile of risk, the smoothed residual sum-of-squares and Stukel's score test, have power exceeding 50 per cent to detect moderate departures from linearity when the sample size is 100 and have power over 90 per cent for these same alternatives for samples of size 500. All tests had no power when the correct model had an interaction between a dichotomous and continuous covariate but only the continuous covariate model was fit. Power to detect an incorrectly specified link was poor for samples of size 100. For samples of size 500 Stukel's score test had the best power but it only exceeded 50 per cent to detect an asymmetric link function. The power of the unweighted sum-of-squares test to detect an incorrectly specified link function was slightly less than Stukel's score test. We illustrate the tests within the context of a model for factors associated with low birth weight.", "author" : [ { "dropping-particle" : "", "family" : "Hosmer", "given" : "D.W.", "non-dropping-particle" : "", "parse-names" : false, "suffix" : "" }, { "dropping-particle" : "", "family" : "Hosmer", "given" : "T.", "non-dropping-particle" : "", "parse-names" : false, "suffix" : "" }, { "dropping-particle" : "", "family" : "Cessie", "given" : "S.", "non-dropping-particle" : "Le", "parse-names" : false, "suffix" : "" }, { "dropping-particle" : "", "family" : "Lemeshow", "given" : "Stanley", "non-dropping-particle" : "", "parse-names" : false, "suffix" : "" } ], "container-title" : "Statistics in Medicine", "id" : "ITEM-2", "issue" : "9", "issued" : { "date-parts" : [ [ "1997" ] ] }, "page" : "965-980", "title" : "A comparison of goodness-of-fit tests for the logistic regression model", "type" : "article-journal", "volume" : "16" }, "uris" : [ "http://www.mendeley.com/documents/?uuid=c3b31116-8b64-4bd1-9920-fe5ef3fb9a84" ] }, { "id" : "ITEM-3", "itemData" : { "abstract" : "Hosmer, D.. L.S., 2004. Applied Logistic Regression, Wiley.", "author" : [ { "dropping-particle" : "", "family" : "Hosmer", "given" : "David W.", "non-dropping-particle" : "", "parse-names" : false, "suffix" : "" }, { "dropping-particle" : "", "family" : "Lemeshow", "given" : "Stanley", "non-dropping-particle" : "", "parse-names" : false, "suffix" : "" } ], "id" : "ITEM-3", "issued" : { "date-parts" : [ [ "2004" ] ] }, "publisher" : "Wiley", "title" : "Applied Logistic Regression", "type" : "book" }, "uris" : [ "http://www.mendeley.com/documents/?uuid=9373d4c4-2ff5-4cf7-b735-3c1d848f4385" ] } ], "mendeley" : { "formattedCitation" : "[1\u20133]", "plainTextFormattedCitation" : "[1\u20133]", "previouslyFormattedCitation" : "[1\u20133]" }, "properties" : { "noteIndex" : 0 }, "schema" : "https://github.com/citation-style-language/schema/raw/master/csl-citation.json" }</w:instrText>
      </w:r>
      <w:r>
        <w:fldChar w:fldCharType="separate"/>
      </w:r>
      <w:bookmarkStart w:id="5" w:name="__Fieldmark__191_1374788089"/>
      <w:r>
        <w:rPr>
          <w:rFonts w:ascii="Arial" w:hAnsi="Arial" w:cs="Arial"/>
          <w:noProof/>
        </w:rPr>
        <w:t>[</w:t>
      </w:r>
      <w:bookmarkStart w:id="6" w:name="__Fieldmark__212_1114282649"/>
      <w:bookmarkStart w:id="7" w:name="__Fieldmark__196_931786406"/>
      <w:r>
        <w:rPr>
          <w:rFonts w:ascii="Arial" w:hAnsi="Arial" w:cs="Arial"/>
          <w:noProof/>
        </w:rPr>
        <w:t>1–3]</w:t>
      </w:r>
      <w:r>
        <w:fldChar w:fldCharType="end"/>
      </w:r>
      <w:bookmarkEnd w:id="5"/>
      <w:bookmarkEnd w:id="6"/>
      <w:bookmarkEnd w:id="7"/>
      <w:r>
        <w:rPr>
          <w:rFonts w:ascii="Arial" w:hAnsi="Arial" w:cs="Arial"/>
        </w:rPr>
        <w:t>, the calibration slope</w:t>
      </w:r>
      <w:r>
        <w:fldChar w:fldCharType="begin" w:fldLock="1"/>
      </w:r>
      <w:r>
        <w:instrText>ADDIN CSL_CITATION { "citationItems" : [ { "id" : "ITEM-1", "itemData" : { "ISBN" : "9789039360156", "author" : [ { "dropping-particle" : "", "family" : "Debray", "given" : "Thomas P A", "non-dropping-particle" : "", "parse-names" : false, "suffix" : "" } ], "id" : "ITEM-1", "issued" : { "date-parts" : [ [ "2013" ] ] }, "title" : "Meta-analysis of clinical prediction models", "type" : "book" }, "uris" : [ "http://www.mendeley.com/documents/?uuid=72455de0-041a-4118-b1a2-97b5c781b8f8" ] } ], "mendeley" : { "formattedCitation" : "[4]", "plainTextFormattedCitation" : "[4]", "previouslyFormattedCitation" : "[4]" }, "properties" : { "noteIndex" : 0 }, "schema" : "https://github.com/citation-style-language/schema/raw/master/csl-citation.json" }</w:instrText>
      </w:r>
      <w:r>
        <w:fldChar w:fldCharType="separate"/>
      </w:r>
      <w:bookmarkStart w:id="8" w:name="__Fieldmark__200_1374788089"/>
      <w:r>
        <w:rPr>
          <w:rFonts w:ascii="Arial" w:hAnsi="Arial" w:cs="Arial"/>
          <w:noProof/>
        </w:rPr>
        <w:t>[</w:t>
      </w:r>
      <w:bookmarkStart w:id="9" w:name="__Fieldmark__219_1114282649"/>
      <w:bookmarkStart w:id="10" w:name="__Fieldmark__203_931786406"/>
      <w:r>
        <w:rPr>
          <w:rFonts w:ascii="Arial" w:hAnsi="Arial" w:cs="Arial"/>
          <w:noProof/>
        </w:rPr>
        <w:t>4]</w:t>
      </w:r>
      <w:r>
        <w:fldChar w:fldCharType="end"/>
      </w:r>
      <w:bookmarkEnd w:id="8"/>
      <w:bookmarkEnd w:id="9"/>
      <w:bookmarkEnd w:id="10"/>
      <w:r>
        <w:rPr>
          <w:rFonts w:ascii="Arial" w:hAnsi="Arial" w:cs="Arial"/>
        </w:rPr>
        <w:t xml:space="preserve"> and the net reclassification index (NRI)</w:t>
      </w:r>
      <w:r>
        <w:fldChar w:fldCharType="begin" w:fldLock="1"/>
      </w:r>
      <w:r>
        <w:instrText>ADDIN CSL_CITATION { "citationItems" : [ { "id" : "ITEM-1", "itemData" : { "DOI" : "10.1097/EDE.0000000000000018", "ISBN" : "0000000000000", "ISSN" : "1531-5487", "PMID" : "24240655", "abstract" : "Net reclassification indices have recently become popular statistics for measuring the prediction increment of new biomarkers. We review the various types of net reclassification indices and their correct interpretations. We evaluate the advantages and disadvantages of quantifying the prediction increment with these indices. For predefined risk categories, we relate net reclassification indices to existing measures of the prediction increment. We also consider statistical methodology for constructing confidence intervals for net reclassification indices and evaluate the merits of hypothesis testing based on such indices. We recommend that investigators using net reclassification indices should report them separately for events (cases) and nonevents (controls). When there are two risk categories, the components of net reclassification indices are the same as the changes in the true- and false-positive rates. We advocate the use of true- and false-positive rates and suggest it is more useful for investigators to retain the existing, descriptive terms. When there are three or more risk categories, we recommend against net reclassification indices because they do not adequately account for clinically important differences in shifts among risk categories. The category-free net reclassification index is a new descriptive device designed to avoid predefined risk categories. However, it experiences many of the same problems as other measures such as the area under the receiver operating characteristic curve. In addition, the category-free index can mislead investigators by overstating the incremental value of a biomarker, even in independent validation data. When investigators want to test a null hypothesis of no prediction increment, the well-established tests for coefficients in the regression model are superior to the net reclassification index. If investigators want to use net reclassification indices, confidence intervals should be calculated using bootstrap methods rather than published variance formulas. The preferred single-number summary of the prediction increment is the improvement in net benefit.", "author" : [ { "dropping-particle" : "", "family" : "Kerr", "given" : "Kathleen F", "non-dropping-particle" : "", "parse-names" : false, "suffix" : "" }, { "dropping-particle" : "", "family" : "Wang", "given" : "Zheyu", "non-dropping-particle" : "", "parse-names" : false, "suffix" : "" }, { "dropping-particle" : "", "family" : "Janes", "given" : "Holly", "non-dropping-particle" : "", "parse-names" : false, "suffix" : "" }, { "dropping-particle" : "", "family" : "McClelland", "given" : "Robyn L", "non-dropping-particle" : "", "parse-names" : false, "suffix" : "" }, { "dropping-particle" : "", "family" : "Psaty", "given" : "Bruce M", "non-dropping-particle" : "", "parse-names" : false, "suffix" : "" }, { "dropping-particle" : "", "family" : "Pepe", "given" : "Margaret S.", "non-dropping-particle" : "", "parse-names" : false, "suffix" : "" } ], "container-title" : "Epidemiology (Cambridge, Mass.)", "id" : "ITEM-1", "issue" : "1", "issued" : { "date-parts" : [ [ "2014" ] ] }, "page" : "114-21", "title" : "Net reclassification indices for evaluating risk prediction instruments: a critical review.", "type" : "article-journal", "volume" : "25" }, "uris" : [ "http://www.mendeley.com/documents/?uuid=ffb52c44-2a99-4729-9c78-36c37bd6aa7b" ] } ], "mendeley" : { "formattedCitation" : "[5]", "plainTextFormattedCitation" : "[5]", "previouslyFormattedCitation" : "[5]" }, "properties" : { "noteIndex" : 0 }, "schema" : "https://github.com/citation-style-language/schema/raw/master/csl-citation.json" }</w:instrText>
      </w:r>
      <w:r>
        <w:fldChar w:fldCharType="separate"/>
      </w:r>
      <w:bookmarkStart w:id="11" w:name="__Fieldmark__209_1374788089"/>
      <w:r>
        <w:rPr>
          <w:rFonts w:ascii="Arial" w:hAnsi="Arial" w:cs="Arial"/>
          <w:noProof/>
        </w:rPr>
        <w:t>[</w:t>
      </w:r>
      <w:bookmarkStart w:id="12" w:name="__Fieldmark__226_1114282649"/>
      <w:bookmarkStart w:id="13" w:name="__Fieldmark__210_931786406"/>
      <w:r>
        <w:rPr>
          <w:rFonts w:ascii="Arial" w:hAnsi="Arial" w:cs="Arial"/>
          <w:noProof/>
        </w:rPr>
        <w:t>5]</w:t>
      </w:r>
      <w:r>
        <w:fldChar w:fldCharType="end"/>
      </w:r>
      <w:bookmarkEnd w:id="11"/>
      <w:bookmarkEnd w:id="12"/>
      <w:bookmarkEnd w:id="13"/>
      <w:r>
        <w:rPr>
          <w:rFonts w:ascii="Arial" w:hAnsi="Arial" w:cs="Arial"/>
        </w:rPr>
        <w:t>. The scale of the Brier score depends on the data and the score has no meaningful variance estimate. The Hosmer-</w:t>
      </w:r>
      <w:proofErr w:type="spellStart"/>
      <w:r>
        <w:rPr>
          <w:rFonts w:ascii="Arial" w:hAnsi="Arial" w:cs="Arial"/>
        </w:rPr>
        <w:t>Lemeshow</w:t>
      </w:r>
      <w:proofErr w:type="spellEnd"/>
      <w:r>
        <w:rPr>
          <w:rFonts w:ascii="Arial" w:hAnsi="Arial" w:cs="Arial"/>
        </w:rPr>
        <w:t xml:space="preserve"> test is highly dependent on the grouping used</w:t>
      </w:r>
      <w:r>
        <w:fldChar w:fldCharType="begin" w:fldLock="1"/>
      </w:r>
      <w:r>
        <w:instrText>ADDIN CSL_CITATION { "citationItems" : [ { "id" : "ITEM-1", "itemData" : { "ISBN" : "978-3-319-19424-0", "author" : [ { "dropping-particle" : "", "family" : "Harrell", "given" : "Frank E", "non-dropping-particle" : "", "parse-names" : false, "suffix" : "" } ], "editor" : [ { "dropping-particle" : "", "family" : "Bickel", "given" : "P.", "non-dropping-particle" : "", "parse-names" : false, "suffix" : "" }, { "dropping-particle" : "", "family" : "Diggle", "given" : "P.", "non-dropping-particle" : "", "parse-names" : false, "suffix" : "" }, { "dropping-particle" : "", "family" : "Feinberg", "given" : "S.E.", "non-dropping-particle" : "", "parse-names" : false, "suffix" : "" }, { "dropping-particle" : "", "family" : "Gather", "given" : "U.", "non-dropping-particle" : "", "parse-names" : false, "suffix" : "" }, { "dropping-particle" : "", "family" : "Olkin", "given" : "I.", "non-dropping-particle" : "", "parse-names" : false, "suffix" : "" }, { "dropping-particle" : "", "family" : "Zeger", "given" : "S.", "non-dropping-particle" : "", "parse-names" : false, "suffix" : "" } ], "id" : "ITEM-1", "issued" : { "date-parts" : [ [ "2015" ] ] }, "publisher" : "Springer - Statistics for Biology and Health; ISBN: 978-3-319-19424-0", "title" : "Regression Modelling Strategies", "type" : "book" }, "uris" : [ "http://www.mendeley.com/documents/?uuid=49515165-bf16-469b-aeb4-e864a526f185" ] }, { "id" : "ITEM-2", "itemData" : { "DOI" : "10.1002/(SICI)1097-0258(19970515)16:9&lt;965::AID-SIM509&gt;3.0.CO;2-O", "ISBN" : "0277-6715 (Print)\\r0277-6715 (Linking)", "ISSN" : "02776715", "PMID" : "9160492", "abstract" : "Recent work has shown that there may be disadvantages in the use of the chi-square-like goodness-of-fit tests for the logistic regression model proposed by Hosmer and Lemeshow that use fixed groups of the estimated probabilities. A particular concern with these grouping strategies based on estimated probabilities, fitted values, is that groups may contain subjects with widely different values of the covariates. It is possible to demonstrate situations where one set of fixed groups shows the model fits while the test rejects fit using a different set of fixed groups. We compare the performance by simulation of these tests to tests based on smoothed residuals proposed by le Cessie and Van Houwelingen and Royston, a score test for an extended logistic regression model proposed by Stukel, the Pearson chi-square and the unweighted residual sum-of-squares. These simulations demonstrate that all but one of Royston's tests have the correct size. An examination of the performance of the tests when the correct model has a quadratic term but a model containing only the linear term has been fit shows that the Pearson chi-square, the unweighted sum-of-squares, the Hosmer-Lemeshow decile of risk, the smoothed residual sum-of-squares and Stukel's score test, have power exceeding 50 per cent to detect moderate departures from linearity when the sample size is 100 and have power over 90 per cent for these same alternatives for samples of size 500. All tests had no power when the correct model had an interaction between a dichotomous and continuous covariate but only the continuous covariate model was fit. Power to detect an incorrectly specified link was poor for samples of size 100. For samples of size 500 Stukel's score test had the best power but it only exceeded 50 per cent to detect an asymmetric link function. The power of the unweighted sum-of-squares test to detect an incorrectly specified link function was slightly less than Stukel's score test. We illustrate the tests within the context of a model for factors associated with low birth weight.", "author" : [ { "dropping-particle" : "", "family" : "Hosmer", "given" : "D.W.", "non-dropping-particle" : "", "parse-names" : false, "suffix" : "" }, { "dropping-particle" : "", "family" : "Hosmer", "given" : "T.", "non-dropping-particle" : "", "parse-names" : false, "suffix" : "" }, { "dropping-particle" : "", "family" : "Cessie", "given" : "S.", "non-dropping-particle" : "Le", "parse-names" : false, "suffix" : "" }, { "dropping-particle" : "", "family" : "Lemeshow", "given" : "Stanley", "non-dropping-particle" : "", "parse-names" : false, "suffix" : "" } ], "container-title" : "Statistics in Medicine", "id" : "ITEM-2", "issue" : "9", "issued" : { "date-parts" : [ [ "1997" ] ] }, "page" : "965-980", "title" : "A comparison of goodness-of-fit tests for the logistic regression model", "type" : "article-journal", "volume" : "16" }, "uris" : [ "http://www.mendeley.com/documents/?uuid=c3b31116-8b64-4bd1-9920-fe5ef3fb9a84" ] } ], "mendeley" : { "formattedCitation" : "[2, 6]", "plainTextFormattedCitation" : "[2, 6]", "previouslyFormattedCitation" : "[2, 6]" }, "properties" : { "noteIndex" : 0 }, "schema" : "https://github.com/citation-style-language/schema/raw/master/csl-citation.json" }</w:instrText>
      </w:r>
      <w:r>
        <w:fldChar w:fldCharType="separate"/>
      </w:r>
      <w:bookmarkStart w:id="14" w:name="__Fieldmark__220_1374788089"/>
      <w:r>
        <w:rPr>
          <w:rFonts w:ascii="Arial" w:hAnsi="Arial" w:cs="Arial"/>
          <w:noProof/>
        </w:rPr>
        <w:t>[</w:t>
      </w:r>
      <w:bookmarkStart w:id="15" w:name="__Fieldmark__233_1114282649"/>
      <w:bookmarkStart w:id="16" w:name="__Fieldmark__217_931786406"/>
      <w:r>
        <w:rPr>
          <w:rFonts w:ascii="Arial" w:hAnsi="Arial" w:cs="Arial"/>
          <w:noProof/>
        </w:rPr>
        <w:t>2, 6]</w:t>
      </w:r>
      <w:r>
        <w:fldChar w:fldCharType="end"/>
      </w:r>
      <w:bookmarkEnd w:id="14"/>
      <w:bookmarkEnd w:id="15"/>
      <w:bookmarkEnd w:id="16"/>
      <w:r>
        <w:rPr>
          <w:rFonts w:ascii="Arial" w:hAnsi="Arial" w:cs="Arial"/>
        </w:rPr>
        <w:t>, and was therefore also excluded. NRI has defined scales and variance estimates (</w:t>
      </w:r>
      <w:proofErr w:type="spellStart"/>
      <w:r>
        <w:rPr>
          <w:rFonts w:ascii="Arial" w:hAnsi="Arial" w:cs="Arial"/>
        </w:rPr>
        <w:t>Pencina</w:t>
      </w:r>
      <w:proofErr w:type="spellEnd"/>
      <w:r>
        <w:rPr>
          <w:rFonts w:ascii="Arial" w:hAnsi="Arial" w:cs="Arial"/>
        </w:rPr>
        <w:t xml:space="preserve"> 2008). However, NRI has been shown not to be a proper score in that even an uninformative new variable can lead to significant improvement in NRI (Pepe 2015) and some authors have suggested that it may give misleading results. The calibration slope has a defined variance estimate, and is represented by a beta coefficient from a regression model; thus, has maximum likelihood estimation (MLE) properties (e.g. approximate normality).(Snell 2016) However, the calibration slope has of difficult interpretation in a comparative setting because the optimal value of 1 is not an extreme of its range  Furthermore, its trend would make it difficult to give a meaning to difference of performance and then to eventually rank the scores. Finally, the AUC has a set range of values regardless of the </w:t>
      </w:r>
      <w:r>
        <w:rPr>
          <w:rFonts w:ascii="Arial" w:hAnsi="Arial" w:cs="Arial"/>
        </w:rPr>
        <w:lastRenderedPageBreak/>
        <w:t xml:space="preserve">cohort to which it is applied [0,1], it is easy to provide a ranking with its values (the higher the better the model), it has an analytical form its variance (Hanley 1982), it is easy to interpret, insensitive to outcome incidence and commonly accepted by the prediction model community. </w:t>
      </w:r>
    </w:p>
    <w:p w14:paraId="637FFC62" w14:textId="77777777" w:rsidR="00342E07" w:rsidRDefault="005356A1">
      <w:pPr>
        <w:pStyle w:val="BodyText"/>
        <w:spacing w:after="170" w:line="480" w:lineRule="auto"/>
      </w:pPr>
      <w:r>
        <w:rPr>
          <w:rFonts w:ascii="Arial" w:hAnsi="Arial" w:cs="Arial"/>
        </w:rPr>
        <w:t xml:space="preserve">Therefore, we selected AUC </w:t>
      </w:r>
      <w:r w:rsidR="007C278A">
        <w:rPr>
          <w:rFonts w:ascii="Arial" w:hAnsi="Arial" w:cs="Arial"/>
        </w:rPr>
        <w:t xml:space="preserve">for </w:t>
      </w:r>
      <w:r>
        <w:rPr>
          <w:rFonts w:ascii="Arial" w:hAnsi="Arial" w:cs="Arial"/>
        </w:rPr>
        <w:t xml:space="preserve">our methodology. AUC gives an estimate of a prediction model’s discriminative ability, </w:t>
      </w:r>
      <w:r>
        <w:fldChar w:fldCharType="begin" w:fldLock="1"/>
      </w:r>
      <w:r>
        <w:instrText>ADDIN CSL_CITATION { "citationItems" : [ { "id" : "ITEM-1", "itemData" : { "ISBN" : "978-1-4419-2648-7", "author" : [ { "dropping-particle" : "", "family" : "Steyerberg", "given" : "Ewout W.", "non-dropping-particle" : "", "parse-names" : false, "suffix" : "" } ], "editor" : [ { "dropping-particle" : "", "family" : "Gail", "given" : "M.", "non-dropping-particle" : "", "parse-names" : false, "suffix" : "" }, { "dropping-particle" : "", "family" : "Krickeberg", "given" : "K.", "non-dropping-particle" : "", "parse-names" : false, "suffix" : "" }, { "dropping-particle" : "", "family" : "Sarnet", "given" : "J.", "non-dropping-particle" : "", "parse-names" : false, "suffix" : "" }, { "dropping-particle" : "", "family" : "Tsiatis", "given" : "A", "non-dropping-particle" : "", "parse-names" : false, "suffix" : "" }, { "dropping-particle" : "", "family" : "Wong", "given" : "W.", "non-dropping-particle" : "", "parse-names" : false, "suffix" : "" } ], "id" : "ITEM-1", "issued" : { "date-parts" : [ [ "2010" ] ] }, "number-of-pages" : "497", "publisher" : "Springer - Statistics for Biology and Health - ISBN: 978-1-4419-2648-7", "title" : "Clinical Prediction Models", "type" : "book" }, "uris" : [ "http://www.mendeley.com/documents/?uuid=bdc329d4-b2f8-4a43-b01c-564ecf6c2f19" ] } ], "mendeley" : { "formattedCitation" : "[7]", "plainTextFormattedCitation" : "[7]", "previouslyFormattedCitation" : "[7]" }, "properties" : { "noteIndex" : 0 }, "schema" : "https://github.com/citation-style-language/schema/raw/master/csl-citation.json" }</w:instrText>
      </w:r>
      <w:r>
        <w:fldChar w:fldCharType="separate"/>
      </w:r>
      <w:bookmarkStart w:id="17" w:name="__Fieldmark__238_1374788089"/>
      <w:r>
        <w:rPr>
          <w:rFonts w:ascii="Arial" w:hAnsi="Arial" w:cs="Arial"/>
          <w:noProof/>
        </w:rPr>
        <w:t>[</w:t>
      </w:r>
      <w:bookmarkStart w:id="18" w:name="__Fieldmark__249_1114282649"/>
      <w:bookmarkStart w:id="19" w:name="__Fieldmark__227_931786406"/>
      <w:r>
        <w:rPr>
          <w:rFonts w:ascii="Arial" w:hAnsi="Arial" w:cs="Arial"/>
          <w:noProof/>
        </w:rPr>
        <w:t>7]</w:t>
      </w:r>
      <w:r>
        <w:fldChar w:fldCharType="end"/>
      </w:r>
      <w:bookmarkEnd w:id="17"/>
      <w:bookmarkEnd w:id="18"/>
      <w:bookmarkEnd w:id="19"/>
      <w:r>
        <w:rPr>
          <w:rFonts w:ascii="Arial" w:hAnsi="Arial" w:cs="Arial"/>
        </w:rPr>
        <w:t xml:space="preserve"> and therefore we consider differences in AUC, as a comparative measure of model performance. In principle, ratios of AUCs could have also </w:t>
      </w:r>
      <w:proofErr w:type="gramStart"/>
      <w:r>
        <w:rPr>
          <w:rFonts w:ascii="Arial" w:hAnsi="Arial" w:cs="Arial"/>
        </w:rPr>
        <w:t>be</w:t>
      </w:r>
      <w:proofErr w:type="gramEnd"/>
      <w:r>
        <w:rPr>
          <w:rFonts w:ascii="Arial" w:hAnsi="Arial" w:cs="Arial"/>
        </w:rPr>
        <w:t xml:space="preserve"> considered but in the literature the difference of AUCs has received more attention. Variance estimates for differences in AUC can be estimated</w:t>
      </w:r>
      <w:r>
        <w:fldChar w:fldCharType="begin" w:fldLock="1"/>
      </w:r>
      <w:r>
        <w:instrText>ADDIN CSL_CITATION { "citationItems" : [ { "id" : "ITEM-1", "itemData" : { "author" : [ { "dropping-particle" : "", "family" : "Hanley", "given" : "James A.", "non-dropping-particle" : "", "parse-names" : false, "suffix" : "" }, { "dropping-particle" : "", "family" : "McNeil", "given" : "Barbara J.", "non-dropping-particle" : "", "parse-names" : false, "suffix" : "" } ], "container-title" : "Radiology", "id" : "ITEM-1", "issued" : { "date-parts" : [ [ "1983" ] ] }, "note" : "2 AUC elaborate con gli stessi pazienti sono correlate. Quindi anche valori AUC1-AUC2 che sembrano non significative possono esserlo. Qui esaminato il caso di stessi pazienti, ma la correlazione diventa ancora piu' grande se i macchinari sono gli stessi (e la persona che analizzy i dati e' sempre la stessa). Diverse misure sembrano essere piu' correlate per i malati che per i non malati.", "page" : "839-843", "title" : "A Method of Comparing the Areas under Receiver Operating Characteristic Curves Derived from the Same Cases", "type" : "article-journal", "volume" : "148" }, "uris" : [ "http://www.mendeley.com/documents/?uuid=8f158ef0-5916-4e38-b4fd-78a7a01b3793" ] }, { "id" : "ITEM-2", "itemData" : { "DOI" : "10.1002/sim.5889", "ISBN" : "1097-0258 (Electronic)\\r0277-6715 (Linking)", "ISSN" : "02776715", "PMID" : "23824874", "abstract" : "The performance of a diagnostic tool yielding quantitative or ordinal measurements is often assessed in terms of its area under the receiver operating characteristic curve (AUC). As new diagnostic tools are constantly being developed, a frequently occurring task is to compare multiple AUCs as derived from the same group of subjects. For this purpose, previous methods have usually used an omnibus chi-square test, which may not be very informative. We present here methods for comparing several correlated AUCs using simultaneous confidence intervals. To improve small sample properties, we adopt the method of variance estimates recovery in which confidence limits for each AUC are obtained on the basis of the logit and inverse hyperbolic sine transformations. A simulation study demonstrates the superior performance of the proposed approach. The methods are illustrated with two examples. Copyright \u00a9 2013 John Wiley &amp; Sons, Ltd.", "author" : [ { "dropping-particle" : "", "family" : "Zou", "given" : "G. Y.", "non-dropping-particle" : "", "parse-names" : false, "suffix" : "" }, { "dropping-particle" : "", "family" : "Yue", "given" : "Li", "non-dropping-particle" : "", "parse-names" : false, "suffix" : "" } ], "container-title" : "Statistics in Medicine", "id" : "ITEM-2", "issue" : "29", "issued" : { "date-parts" : [ [ "2013" ] ] }, "page" : "5077-5090", "title" : "Using confidence intervals to compare several correlated areas under the receiver operating characteristic curves", "type" : "article-journal", "volume" : "32" }, "uris" : [ "http://www.mendeley.com/documents/?uuid=edce4e90-20cd-4392-88cf-220f0901cae9" ] } ], "mendeley" : { "formattedCitation" : "[8, 9]", "plainTextFormattedCitation" : "[8, 9]", "previouslyFormattedCitation" : "[8, 9]" }, "properties" : { "noteIndex" : 0 }, "schema" : "https://github.com/citation-style-language/schema/raw/master/csl-citation.json" }</w:instrText>
      </w:r>
      <w:r>
        <w:fldChar w:fldCharType="separate"/>
      </w:r>
      <w:bookmarkStart w:id="20" w:name="__Fieldmark__253_1374788089"/>
      <w:r>
        <w:rPr>
          <w:rFonts w:ascii="Arial" w:hAnsi="Arial" w:cs="Arial"/>
          <w:noProof/>
        </w:rPr>
        <w:t>[</w:t>
      </w:r>
      <w:bookmarkStart w:id="21" w:name="__Fieldmark__261_1114282649"/>
      <w:bookmarkStart w:id="22" w:name="__Fieldmark__237_931786406"/>
      <w:r>
        <w:rPr>
          <w:rFonts w:ascii="Arial" w:hAnsi="Arial" w:cs="Arial"/>
          <w:noProof/>
        </w:rPr>
        <w:t>8, 9]</w:t>
      </w:r>
      <w:r>
        <w:fldChar w:fldCharType="end"/>
      </w:r>
      <w:bookmarkEnd w:id="20"/>
      <w:bookmarkEnd w:id="21"/>
      <w:bookmarkEnd w:id="22"/>
      <w:r>
        <w:rPr>
          <w:rFonts w:ascii="Arial" w:hAnsi="Arial" w:cs="Arial"/>
        </w:rPr>
        <w:t xml:space="preserve"> .</w:t>
      </w:r>
    </w:p>
    <w:p w14:paraId="40021B6F" w14:textId="77777777" w:rsidR="00342E07" w:rsidRDefault="005356A1">
      <w:pPr>
        <w:pStyle w:val="BodyText"/>
        <w:spacing w:after="170" w:line="480" w:lineRule="auto"/>
      </w:pPr>
      <w:r>
        <w:rPr>
          <w:rFonts w:ascii="Arial" w:hAnsi="Arial" w:cs="Arial"/>
        </w:rPr>
        <w:t>The next step wa</w:t>
      </w:r>
      <w:r>
        <w:rPr>
          <w:rFonts w:ascii="Arial" w:hAnsi="Arial"/>
        </w:rPr>
        <w:t xml:space="preserve">s to examine the features of the network, and find an appropriate method for performing the MSC. Already considering the difference in performance between two scores evaluated on the same patients a correlation is </w:t>
      </w:r>
      <w:proofErr w:type="gramStart"/>
      <w:r>
        <w:rPr>
          <w:rFonts w:ascii="Arial" w:hAnsi="Arial"/>
        </w:rPr>
        <w:t>introduced(</w:t>
      </w:r>
      <w:proofErr w:type="gramEnd"/>
      <w:r>
        <w:rPr>
          <w:rFonts w:ascii="Arial" w:hAnsi="Arial"/>
        </w:rPr>
        <w:t>Hanley 1983). A guide was recently published to highlight the correct procedure for an overview of the performance of a score by performing a systematic review and meta-analysis across studies.</w:t>
      </w:r>
      <w:r>
        <w:fldChar w:fldCharType="begin" w:fldLock="1"/>
      </w:r>
      <w:r>
        <w:instrText>ADDIN CSL_CITATION { "citationItems" : [ { "id" : "ITEM-1", "itemData" : { "DOI" : "10.1136/bmj.i6460", "ISSN" : "1756-1833", "PMID" : "28057641", "author" : [ { "dropping-particle" : "", "family" : "Debray", "given" : "Thomas P A", "non-dropping-particle" : "", "parse-names" : false, "suffix" : "" }, { "dropping-particle" : "", "family" : "Damen", "given" : "Johanna A A G", "non-dropping-particle" : "", "parse-names" : false, "suffix" : "" }, { "dropping-particle" : "", "family" : "Snell", "given" : "Kym I E", "non-dropping-particle" : "", "parse-names" : false, "suffix" : "" }, { "dropping-particle" : "", "family" : "Ensor", "given" : "Joie", "non-dropping-particle" : "", "parse-names" : false, "suffix" : "" }, { "dropping-particle" : "", "family" : "Hooft", "given" : "Lotty", "non-dropping-particle" : "", "parse-names" : false, "suffix" : "" }, { "dropping-particle" : "", "family" : "Reitsma", "given" : "Johannes B", "non-dropping-particle" : "", "parse-names" : false, "suffix" : "" }, { "dropping-particle" : "", "family" : "Riley", "given" : "Richard D", "non-dropping-particle" : "", "parse-names" : false, "suffix" : "" }, { "dropping-particle" : "", "family" : "Moons", "given" : "Karel G.M.", "non-dropping-particle" : "", "parse-names" : false, "suffix" : "" } ], "container-title" : "Bmj", "id" : "ITEM-1", "issued" : { "date-parts" : [ [ "2017" ] ] }, "page" : "i6460", "title" : "A guide to systematic review and meta-analysis of prediction model performance", "type" : "article-journal" }, "uris" : [ "http://www.mendeley.com/documents/?uuid=9b55923b-dfaf-4f97-aa7c-af081d621406" ] } ], "mendeley" : { "formattedCitation" : "[10]", "plainTextFormattedCitation" : "[10]", "previouslyFormattedCitation" : "[10]" }, "properties" : { "noteIndex" : 0 }, "schema" : "https://github.com/citation-style-language/schema/raw/master/csl-citation.json" }</w:instrText>
      </w:r>
      <w:r>
        <w:fldChar w:fldCharType="separate"/>
      </w:r>
      <w:bookmarkStart w:id="23" w:name="__Fieldmark__269_1374788089"/>
      <w:r>
        <w:rPr>
          <w:rFonts w:ascii="Arial" w:hAnsi="Arial"/>
          <w:noProof/>
        </w:rPr>
        <w:t>[</w:t>
      </w:r>
      <w:bookmarkStart w:id="24" w:name="__Fieldmark__279_1114282649"/>
      <w:bookmarkStart w:id="25" w:name="__Fieldmark__249_931786406"/>
      <w:r>
        <w:rPr>
          <w:rFonts w:ascii="Arial" w:hAnsi="Arial"/>
          <w:noProof/>
        </w:rPr>
        <w:t>10]</w:t>
      </w:r>
      <w:r>
        <w:fldChar w:fldCharType="end"/>
      </w:r>
      <w:bookmarkEnd w:id="23"/>
      <w:bookmarkEnd w:id="24"/>
      <w:bookmarkEnd w:id="25"/>
      <w:r>
        <w:rPr>
          <w:rFonts w:ascii="Arial" w:hAnsi="Arial"/>
        </w:rPr>
        <w:t xml:space="preserve"> However, in general, more than 2 scores per cohort can be assessed. </w:t>
      </w:r>
      <w:proofErr w:type="spellStart"/>
      <w:r>
        <w:rPr>
          <w:rFonts w:ascii="Arial" w:hAnsi="Arial"/>
          <w:lang w:val="en-US"/>
        </w:rPr>
        <w:t>Franchini</w:t>
      </w:r>
      <w:proofErr w:type="spellEnd"/>
      <w:r>
        <w:rPr>
          <w:rFonts w:ascii="Arial" w:hAnsi="Arial"/>
          <w:lang w:val="en-US"/>
        </w:rPr>
        <w:t xml:space="preserve"> et al</w:t>
      </w:r>
      <w:r>
        <w:fldChar w:fldCharType="begin" w:fldLock="1"/>
      </w:r>
      <w:r>
        <w:instrText>ADDIN CSL_CITATION { "citationItems" : [ { "id" : "ITEM-1", "itemData" : { "DOI" : "10.1002/jrsm.1049", "ISBN" : "17592879", "ISSN" : "17592879", "PMID" : "26062087", "abstract" : "BACKGROUND: In network meta-analyses, several treatments can be compared by connecting evidence from clinical trials that have investigated two or more treatments. The resulting trial network allows estimating the relative effects of all pairs of treatments taking indirect evidence into account. For a valid analysis of the network, consistent information from different pathways is assumed. Consistency can be checked by contrasting effect estimates from direct comparisons with the evidence of the remaining network. Unfortunately, one deviating direct comparison may have side effects on the network estimates of others, thus producing hot spots of inconsistency. METHODS: We provide a tool, the net heat plot, to render transparent which direct comparisons drive each network estimate and to display hot spots of inconsistency: this permits singling out which of the suspicious direct comparisons are sufficient to explain the presence of inconsistency. We base our methods on fixed-effects models. For disclosure of potential drivers, the plot comprises the contribution of each direct estimate to network estimates resulting from regression diagnostics. In combination, we show heat colors corresponding to the change in agreement between direct and indirect estimate when relaxing the assumption of consistency for one direct comparison. A clustering procedure is applied to the heat matrix in order to find hot spots of inconsistency. RESULTS: The method is shown to work with several examples, which are constructed by perturbing the effect of single study designs, and with two published network meta-analyses. Once the possible sources of inconsistencies are identified, our method also reveals which network estimates they affect. CONCLUSION: Our proposal is seen to be useful for identifying sources of inconsistencies in the network together with the interrelatedness of effect estimates. It opens the way for a further analysis based on subject matter considerations.", "author" : [ { "dropping-particle" : "", "family" : "Franchini", "given" : "a. J.", "non-dropping-particle" : "", "parse-names" : false, "suffix" : "" }, { "dropping-particle" : "", "family" : "Dias", "given" : "S.", "non-dropping-particle" : "", "parse-names" : false, "suffix" : "" }, { "dropping-particle" : "", "family" : "Ades", "given" : "a. E.", "non-dropping-particle" : "", "parse-names" : false, "suffix" : "" }, { "dropping-particle" : "", "family" : "Jansen", "given" : "J. P.", "non-dropping-particle" : "", "parse-names" : false, "suffix" : "" }, { "dropping-particle" : "", "family" : "Welton", "given" : "N. J.", "non-dropping-particle" : "", "parse-names" : false, "suffix" : "" } ], "container-title" : "Research Synthesis Methods", "id" : "ITEM-1", "issue" : "2", "issued" : { "date-parts" : [ [ "2012" ] ] }, "page" : "142-160", "title" : "Accounting for correlation in network meta-analysis with multi-arm trials", "type" : "article-journal", "volume" : "3" }, "uris" : [ "http://www.mendeley.com/documents/?uuid=6218f3dd-8dae-4067-898b-1dd114ac7f42" ] } ], "mendeley" : { "formattedCitation" : "[11]", "plainTextFormattedCitation" : "[11]", "previouslyFormattedCitation" : "[11]" }, "properties" : { "noteIndex" : 0 }, "schema" : "https://github.com/citation-style-language/schema/raw/master/csl-citation.json" }</w:instrText>
      </w:r>
      <w:r>
        <w:fldChar w:fldCharType="separate"/>
      </w:r>
      <w:bookmarkStart w:id="26" w:name="__Fieldmark__280_1374788089"/>
      <w:r>
        <w:rPr>
          <w:rFonts w:ascii="Arial" w:hAnsi="Arial"/>
          <w:noProof/>
          <w:lang w:val="en-US"/>
        </w:rPr>
        <w:t>[</w:t>
      </w:r>
      <w:bookmarkStart w:id="27" w:name="__Fieldmark__288_1114282649"/>
      <w:bookmarkStart w:id="28" w:name="__Fieldmark__257_931786406"/>
      <w:r>
        <w:rPr>
          <w:rFonts w:ascii="Arial" w:hAnsi="Arial"/>
          <w:noProof/>
          <w:lang w:val="en-US"/>
        </w:rPr>
        <w:t>11]</w:t>
      </w:r>
      <w:r>
        <w:fldChar w:fldCharType="end"/>
      </w:r>
      <w:bookmarkEnd w:id="26"/>
      <w:bookmarkEnd w:id="27"/>
      <w:bookmarkEnd w:id="28"/>
      <w:r>
        <w:rPr>
          <w:rFonts w:ascii="Arial" w:hAnsi="Arial"/>
          <w:lang w:val="en-US"/>
        </w:rPr>
        <w:t xml:space="preserve"> have shown that incorrect results can be obtained if the correlation in multi-arm trials is ignored.</w:t>
      </w:r>
      <w:r>
        <w:rPr>
          <w:rFonts w:ascii="Arial" w:hAnsi="Arial" w:cs="Arial"/>
          <w:lang w:val="en-US"/>
        </w:rPr>
        <w:t xml:space="preserve"> </w:t>
      </w:r>
      <w:r>
        <w:rPr>
          <w:rFonts w:ascii="Arial" w:hAnsi="Arial" w:cs="Arial"/>
        </w:rPr>
        <w:t>Simple meta-analysis of prognostic scores was performed for the comparison of 2 scores (one obtained from the other adding a biomarker, thus, for performance measure the Net Reclassification Index was used).</w:t>
      </w:r>
      <w:r>
        <w:fldChar w:fldCharType="begin" w:fldLock="1"/>
      </w:r>
      <w:r>
        <w:instrText>ADDIN CSL_CITATION { "citationItems" : [ { "id" : "ITEM-1", "itemData" : { "DOI" : "10.1093/aje/kwt298", "ISSN" : "00029262", "PMID" : "24366051", "abstract" : "Individual participant time-to-event data from multiple prospective epidemiologic studies enable detailed investigation into the predictive ability of risk models. Here we address the challenges in appropriately combining such information across studies. Methods are exemplified by analyses of log C-reactive protein and conventional risk factors for coronary heart disease in the Emerging Risk Factors Collaboration, a collation of individual data from multiple prospective studies with an average follow-up duration of 9.8 years (dates varied). We derive risk prediction models using Cox proportional hazards regression analysis stratified by study and obtain estimates of risk discrimination, Harrell's concordance index, and Royston's discrimination measure within each study; we then combine the estimates across studies using a weighted meta-analysis. Various weighting approaches are compared and lead us to recommend using the number of events in each study. We also discuss the calculation of measures of reclassification for multiple studies. We further show that comparison of differences in predictive ability across subgroups should be based only on within-study information and that combining measures of risk discrimination from case-control studies and prospective studies is problematic. The concordance index and discrimination measure gave qualitatively similar results throughout. While the concordance index was very heterogeneous between studies, principally because of differing age ranges, the increments in the concordance index from adding log C-reactive protein to conventional risk factors were more homogeneous.", "author" : [ { "dropping-particle" : "", "family" : "Pennells", "given" : "Lisa", "non-dropping-particle" : "", "parse-names" : false, "suffix" : "" }, { "dropping-particle" : "", "family" : "Kaptoge", "given" : "Stephen", "non-dropping-particle" : "", "parse-names" : false, "suffix" : "" }, { "dropping-particle" : "", "family" : "White", "given" : "Ian R.", "non-dropping-particle" : "", "parse-names" : false, "suffix" : "" }, { "dropping-particle" : "", "family" : "Thompson", "given" : "Simon G.", "non-dropping-particle" : "", "parse-names" : false, "suffix" : "" }, { "dropping-particle" : "", "family" : "Wood", "given" : "Angela M.", "non-dropping-particle" : "", "parse-names" : false, "suffix" : "" } ], "container-title" : "AJE (American Journal of Epidemiology)", "id" : "ITEM-1", "issue" : "5", "issued" : { "date-parts" : [ [ "2014" ] ] }, "page" : "621-632", "title" : "Assessing risk prediction models using individual participant data from multiple studies", "type" : "article-journal", "volume" : "179" }, "uris" : [ "http://www.mendeley.com/documents/?uuid=fc0bb631-eafa-43b6-aa27-d70f814873f8" ] } ], "mendeley" : { "formattedCitation" : "[12]", "plainTextFormattedCitation" : "[12]", "previouslyFormattedCitation" : "[12]" }, "properties" : { "noteIndex" : 0 }, "schema" : "https://github.com/citation-style-language/schema/raw/master/csl-citation.json" }</w:instrText>
      </w:r>
      <w:r>
        <w:fldChar w:fldCharType="separate"/>
      </w:r>
      <w:bookmarkStart w:id="29" w:name="__Fieldmark__291_1374788089"/>
      <w:r>
        <w:rPr>
          <w:rFonts w:ascii="Arial" w:hAnsi="Arial" w:cs="Arial"/>
          <w:noProof/>
        </w:rPr>
        <w:t>[</w:t>
      </w:r>
      <w:bookmarkStart w:id="30" w:name="__Fieldmark__299_1114282649"/>
      <w:bookmarkStart w:id="31" w:name="__Fieldmark__266_931786406"/>
      <w:r>
        <w:rPr>
          <w:rFonts w:ascii="Arial" w:hAnsi="Arial" w:cs="Arial"/>
          <w:noProof/>
        </w:rPr>
        <w:t>12]</w:t>
      </w:r>
      <w:r>
        <w:fldChar w:fldCharType="end"/>
      </w:r>
      <w:bookmarkEnd w:id="29"/>
      <w:bookmarkEnd w:id="30"/>
      <w:bookmarkEnd w:id="31"/>
      <w:r>
        <w:rPr>
          <w:rFonts w:ascii="Arial" w:hAnsi="Arial" w:cs="Arial"/>
        </w:rPr>
        <w:t xml:space="preserve"> We extend this approach (by MSC meta-analysis) to multiple comparisons. </w:t>
      </w:r>
      <w:r>
        <w:rPr>
          <w:rFonts w:ascii="Arial" w:hAnsi="Arial"/>
          <w:lang w:val="en-US"/>
        </w:rPr>
        <w:t>We therefore needed to critically consider how correlations between performance measures within a cohort are incorporated into the network meta-analysis.</w:t>
      </w:r>
    </w:p>
    <w:p w14:paraId="2BE35761" w14:textId="77777777" w:rsidR="00342E07" w:rsidRDefault="005356A1">
      <w:pPr>
        <w:pStyle w:val="BodyText"/>
        <w:spacing w:after="170" w:line="480" w:lineRule="auto"/>
      </w:pPr>
      <w:r>
        <w:rPr>
          <w:rFonts w:ascii="Arial" w:hAnsi="Arial"/>
        </w:rPr>
        <w:t>Consider a meta-analysis comparing 3 scores A, B and C. If we assume that the variance is same for each score comparison, say τ</w:t>
      </w:r>
      <w:r>
        <w:rPr>
          <w:rFonts w:ascii="Arial" w:hAnsi="Arial"/>
          <w:vertAlign w:val="superscript"/>
        </w:rPr>
        <w:t>2</w:t>
      </w:r>
      <w:r w:rsidRPr="00E66929">
        <w:rPr>
          <w:rFonts w:ascii="Arial" w:hAnsi="Arial"/>
        </w:rPr>
        <w:t>/2</w:t>
      </w:r>
      <w:r>
        <w:fldChar w:fldCharType="begin" w:fldLock="1"/>
      </w:r>
      <w:r>
        <w:instrText>ADDIN CSL_CITATION { "citationItems" : [ { "id" : "ITEM-1", "itemData" : { "DOI" : "10.1002/(SICI)1097-0258(19961230)15:24&lt;2733::AID-SIM562&gt;3.0.CO;2-0", "ISBN" : "0277-6715 (Print)\\r0277-6715 (Linking)", "ISSN" : "02776715", "PMID" : "8981683", "abstract" : "There exists a variety of situations in which a random effects meta-analysis might be undertaken using a small number of clinical trials. A problem associated with small meta-analyses is estimating the heterogeneity between trials. To overcome this problem, information from other related studies may be incorporated into the meta-analysis. A Bayesian approach to this problem is presented using data from previous meta-analyses in the same therapeutic area to formulate a prior distribution for the heterogeneity. The treatment difference parameters are given non-informative priors. Further, related trials which compare one or other of the treatments of interest with a common third treatment are included in the model to improve inference on both the heterogeneity and the treatment difference. Two approaches to estimating relative efficacy are considered, namely a general parametric approach and a method explicit to binary data. The methodology is illustrated using data from 26 clinical trials which investigate the prevention of cirrhosis using beta-blockers and sclerotherapy. Both sources of external information lead to more precise posterior distributions for all parameters, in particular that representing heterogeneity.", "author" : [ { "dropping-particle" : "", "family" : "Higgins", "given" : "J", "non-dropping-particle" : "", "parse-names" : false, "suffix" : "" }, { "dropping-particle" : "", "family" : "Whitehead", "given" : "Anne", "non-dropping-particle" : "", "parse-names" : false, "suffix" : "" } ], "container-title" : "Statistics in Medicine", "id" : "ITEM-1", "issue" : "24", "issued" : { "date-parts" : [ [ "1996" ] ] }, "page" : "2733-2749", "title" : "Borrowing strength from external trials in a meta-analysis", "type" : "article-journal", "volume" : "15" }, "uris" : [ "http://www.mendeley.com/documents/?uuid=d08784fd-4e87-46e1-8091-2f0ef4e33e7d" ] } ], "mendeley" : { "formattedCitation" : "[13]", "plainTextFormattedCitation" : "[13]", "previouslyFormattedCitation" : "[13]" }, "properties" : { "noteIndex" : 0 }, "schema" : "https://github.com/citation-style-language/schema/raw/master/csl-citation.json" }</w:instrText>
      </w:r>
      <w:r>
        <w:fldChar w:fldCharType="separate"/>
      </w:r>
      <w:bookmarkStart w:id="32" w:name="__Fieldmark__304_1374788089"/>
      <w:r>
        <w:rPr>
          <w:rFonts w:ascii="Arial" w:hAnsi="Arial"/>
          <w:noProof/>
          <w:vertAlign w:val="superscript"/>
        </w:rPr>
        <w:t>[</w:t>
      </w:r>
      <w:bookmarkStart w:id="33" w:name="__Fieldmark__315_1114282649"/>
      <w:bookmarkStart w:id="34" w:name="__Fieldmark__277_931786406"/>
      <w:r>
        <w:rPr>
          <w:rFonts w:ascii="Arial" w:hAnsi="Arial"/>
          <w:noProof/>
          <w:vertAlign w:val="superscript"/>
        </w:rPr>
        <w:t>13]</w:t>
      </w:r>
      <w:r>
        <w:fldChar w:fldCharType="end"/>
      </w:r>
      <w:bookmarkEnd w:id="32"/>
      <w:bookmarkEnd w:id="33"/>
      <w:bookmarkEnd w:id="34"/>
      <w:r>
        <w:rPr>
          <w:rFonts w:ascii="Arial" w:hAnsi="Arial"/>
        </w:rPr>
        <w:t xml:space="preserve">, then the covariance of any two contrasts is just. </w:t>
      </w:r>
      <w:proofErr w:type="spellStart"/>
      <w:r>
        <w:rPr>
          <w:rFonts w:ascii="Arial" w:hAnsi="Arial"/>
        </w:rPr>
        <w:t>Salanti</w:t>
      </w:r>
      <w:proofErr w:type="spellEnd"/>
      <w:r>
        <w:rPr>
          <w:rFonts w:ascii="Arial" w:hAnsi="Arial"/>
        </w:rPr>
        <w:t xml:space="preserve"> et al. 2008 notes that this assumption may be “difficult to defend.” </w:t>
      </w:r>
      <w:r>
        <w:fldChar w:fldCharType="begin" w:fldLock="1"/>
      </w:r>
      <w:r>
        <w:instrText>ADDIN CSL_CITATION { "citationItems" : [ { "id" : "ITEM-1", "itemData" : { "DOI" : "10.1002/jrsm.1049", "ISBN" : "17592879", "ISSN" : "17592879", "PMID" : "26062087", "abstract" : "BACKGROUND: In network meta-analyses, several treatments can be compared by connecting evidence from clinical trials that have investigated two or more treatments. The resulting trial network allows estimating the relative effects of all pairs of treatments taking indirect evidence into account. For a valid analysis of the network, consistent information from different pathways is assumed. Consistency can be checked by contrasting effect estimates from direct comparisons with the evidence of the remaining network. Unfortunately, one deviating direct comparison may have side effects on the network estimates of others, thus producing hot spots of inconsistency. METHODS: We provide a tool, the net heat plot, to render transparent which direct comparisons drive each network estimate and to display hot spots of inconsistency: this permits singling out which of the suspicious direct comparisons are sufficient to explain the presence of inconsistency. We base our methods on fixed-effects models. For disclosure of potential drivers, the plot comprises the contribution of each direct estimate to network estimates resulting from regression diagnostics. In combination, we show heat colors corresponding to the change in agreement between direct and indirect estimate when relaxing the assumption of consistency for one direct comparison. A clustering procedure is applied to the heat matrix in order to find hot spots of inconsistency. RESULTS: The method is shown to work with several examples, which are constructed by perturbing the effect of single study designs, and with two published network meta-analyses. Once the possible sources of inconsistencies are identified, our method also reveals which network estimates they affect. CONCLUSION: Our proposal is seen to be useful for identifying sources of inconsistencies in the network together with the interrelatedness of effect estimates. It opens the way for a further analysis based on subject matter considerations.", "author" : [ { "dropping-particle" : "", "family" : "Franchini", "given" : "a. J.", "non-dropping-particle" : "", "parse-names" : false, "suffix" : "" }, { "dropping-particle" : "", "family" : "Dias", "given" : "S.", "non-dropping-particle" : "", "parse-names" : false, "suffix" : "" }, { "dropping-particle" : "", "family" : "Ades", "given" : "a. E.", "non-dropping-particle" : "", "parse-names" : false, "suffix" : "" }, { "dropping-particle" : "", "family" : "Jansen", "given" : "J. P.", "non-dropping-particle" : "", "parse-names" : false, "suffix" : "" }, { "dropping-particle" : "", "family" : "Welton", "given" : "N. J.", "non-dropping-particle" : "", "parse-names" : false, "suffix" : "" } ], "container-title" : "Research Synthesis Methods", "id" : "ITEM-1", "issue" : "2", "issued" : { "date-parts" : [ [ "2012" ] ] }, "page" : "142-160", "title" : "Accounting for correlation in network meta-analysis with multi-arm trials", "type" : "article-journal", "volume" : "3" }, "uris" : [ "http://www.mendeley.com/documents/?uuid=6218f3dd-8dae-4067-898b-1dd114ac7f42" ] } ], "mendeley" : { "formattedCitation" : "[11]", "manualFormatting" : "Franchini et al. 2012 (Appendix B)", "plainTextFormattedCitation" : "[11]", "previouslyFormattedCitation" : "[11]" }, "properties" : { "noteIndex" : 0 }, "schema" : "https://github.com/citation-style-language/schema/raw/master/csl-citation.json" }</w:instrText>
      </w:r>
      <w:r>
        <w:fldChar w:fldCharType="separate"/>
      </w:r>
      <w:bookmarkStart w:id="35" w:name="__Fieldmark__315_1374788089"/>
      <w:r>
        <w:rPr>
          <w:rFonts w:ascii="Arial" w:hAnsi="Arial"/>
          <w:noProof/>
        </w:rPr>
        <w:t>F</w:t>
      </w:r>
      <w:bookmarkStart w:id="36" w:name="__Fieldmark__286_931786406"/>
      <w:r>
        <w:rPr>
          <w:rFonts w:ascii="Arial" w:hAnsi="Arial"/>
          <w:noProof/>
        </w:rPr>
        <w:t>r</w:t>
      </w:r>
      <w:bookmarkStart w:id="37" w:name="__Fieldmark__327_1114282649"/>
      <w:r>
        <w:rPr>
          <w:rFonts w:ascii="Arial" w:hAnsi="Arial"/>
          <w:noProof/>
        </w:rPr>
        <w:t>anchini et al. 2012 (Appendix B)</w:t>
      </w:r>
      <w:r>
        <w:fldChar w:fldCharType="end"/>
      </w:r>
      <w:bookmarkEnd w:id="35"/>
      <w:bookmarkEnd w:id="36"/>
      <w:bookmarkEnd w:id="37"/>
      <w:r>
        <w:rPr>
          <w:rFonts w:ascii="Arial" w:hAnsi="Arial"/>
        </w:rPr>
        <w:t xml:space="preserve"> have shown that if the same control arm is used, say A for contrasts AB and AC, and if treatment arms A, B and C are mutually independent, then the covariance between AB and AC is equal to the variance of A. While </w:t>
      </w:r>
      <w:r>
        <w:fldChar w:fldCharType="begin" w:fldLock="1"/>
      </w:r>
      <w:r>
        <w:instrText>ADDIN CSL_CITATION { "citationItems" : [ { "id" : "ITEM-1", "itemData" : { "DOI" : "10.1002/jrsm.1049", "ISBN" : "17592879", "ISSN" : "17592879", "PMID" : "26062087", "abstract" : "BACKGROUND: In network meta-analyses, several treatments can be compared by connecting evidence from clinical trials that have investigated two or more treatments. The resulting trial network allows estimating the relative effects of all pairs of treatments taking indirect evidence into account. For a valid analysis of the network, consistent information from different pathways is assumed. Consistency can be checked by contrasting effect estimates from direct comparisons with the evidence of the remaining network. Unfortunately, one deviating direct comparison may have side effects on the network estimates of others, thus producing hot spots of inconsistency. METHODS: We provide a tool, the net heat plot, to render transparent which direct comparisons drive each network estimate and to display hot spots of inconsistency: this permits singling out which of the suspicious direct comparisons are sufficient to explain the presence of inconsistency. We base our methods on fixed-effects models. For disclosure of potential drivers, the plot comprises the contribution of each direct estimate to network estimates resulting from regression diagnostics. In combination, we show heat colors corresponding to the change in agreement between direct and indirect estimate when relaxing the assumption of consistency for one direct comparison. A clustering procedure is applied to the heat matrix in order to find hot spots of inconsistency. RESULTS: The method is shown to work with several examples, which are constructed by perturbing the effect of single study designs, and with two published network meta-analyses. Once the possible sources of inconsistencies are identified, our method also reveals which network estimates they affect. CONCLUSION: Our proposal is seen to be useful for identifying sources of inconsistencies in the network together with the interrelatedness of effect estimates. It opens the way for a further analysis based on subject matter considerations.", "author" : [ { "dropping-particle" : "", "family" : "Franchini", "given" : "a. J.", "non-dropping-particle" : "", "parse-names" : false, "suffix" : "" }, { "dropping-particle" : "", "family" : "Dias", "given" : "S.", "non-dropping-particle" : "", "parse-names" : false, "suffix" : "" }, { "dropping-particle" : "", "family" : "Ades", "given" : "a. E.", "non-dropping-particle" : "", "parse-names" : false, "suffix" : "" }, { "dropping-particle" : "", "family" : "Jansen", "given" : "J. P.", "non-dropping-particle" : "", "parse-names" : false, "suffix" : "" }, { "dropping-particle" : "", "family" : "Welton", "given" : "N. J.", "non-dropping-particle" : "", "parse-names" : false, "suffix" : "" } ], "container-title" : "Research Synthesis Methods", "id" : "ITEM-1", "issue" : "2", "issued" : { "date-parts" : [ [ "2012" ] ] }, "page" : "142-160", "title" : "Accounting for correlation in network meta-analysis with multi-arm trials", "type" : "article-journal", "volume" : "3" }, "uris" : [ "http://www.mendeley.com/documents/?uuid=6218f3dd-8dae-4067-898b-1dd114ac7f42" ] } ], "mendeley" : { "formattedCitation" : "[11]", "manualFormatting" : "Franchini et al.", "plainTextFormattedCitation" : "[11]", "previouslyFormattedCitation" : "[11]" }, "properties" : { "noteIndex" : 0 }, "schema" : "https://github.com/citation-style-language/schema/raw/master/csl-citation.json" }</w:instrText>
      </w:r>
      <w:r>
        <w:fldChar w:fldCharType="separate"/>
      </w:r>
      <w:bookmarkStart w:id="38" w:name="__Fieldmark__326_1374788089"/>
      <w:r>
        <w:rPr>
          <w:rFonts w:ascii="Arial" w:hAnsi="Arial"/>
          <w:noProof/>
        </w:rPr>
        <w:t>F</w:t>
      </w:r>
      <w:bookmarkStart w:id="39" w:name="__Fieldmark__293_931786406"/>
      <w:r>
        <w:rPr>
          <w:rFonts w:ascii="Arial" w:hAnsi="Arial"/>
          <w:noProof/>
        </w:rPr>
        <w:t>r</w:t>
      </w:r>
      <w:bookmarkStart w:id="40" w:name="__Fieldmark__334_1114282649"/>
      <w:r>
        <w:rPr>
          <w:rFonts w:ascii="Arial" w:hAnsi="Arial"/>
          <w:noProof/>
        </w:rPr>
        <w:t>anchini et al.</w:t>
      </w:r>
      <w:r>
        <w:fldChar w:fldCharType="end"/>
      </w:r>
      <w:bookmarkEnd w:id="38"/>
      <w:bookmarkEnd w:id="39"/>
      <w:bookmarkEnd w:id="40"/>
      <w:r>
        <w:rPr>
          <w:rFonts w:ascii="Arial" w:hAnsi="Arial"/>
        </w:rPr>
        <w:t>’s assumption of independence of treatment arms is appropriate in an MTC setting, there are no randomized independent treatment arms when performing multiple score comparison. Rather, MSC assesses the performance of each score in a cohort on the same set of patients, leading to two sources of dependence in MSC: 1) using a common comparator, and 2) the correlated structure of the estimated performance measures. Therefore, neither of the two approaches to modelling the correlation in multi-arm trials is appropriate in an MSC setting.</w:t>
      </w:r>
    </w:p>
    <w:p w14:paraId="4B9BE6D9" w14:textId="77777777" w:rsidR="00342E07" w:rsidRDefault="005356A1">
      <w:pPr>
        <w:pStyle w:val="BodyText"/>
        <w:spacing w:after="170" w:line="480" w:lineRule="auto"/>
      </w:pPr>
      <w:r>
        <w:rPr>
          <w:rFonts w:ascii="Arial" w:hAnsi="Arial"/>
        </w:rPr>
        <w:t xml:space="preserve">Ideally, it would be possible to estimate the covariance between two comparisons of prognostic scores directly from the data, and plug these estimates into the model. For the first of these tasks, explicit variance and covariance formulas are required. While explicit formulas exist for the variance of the difference of two AUC estimates </w:t>
      </w:r>
      <w:r>
        <w:fldChar w:fldCharType="begin" w:fldLock="1"/>
      </w:r>
      <w:r>
        <w:instrText>ADDIN CSL_CITATION { "citationItems" : [ { "id" : "ITEM-1", "itemData" : { "ISBN" : "978-0198565826", "author" : [ { "dropping-particle" : "", "family" : "Pepe", "given" : "Margaret S", "non-dropping-particle" : "", "parse-names" : false, "suffix" : "" } ], "id" : "ITEM-1", "issued" : { "date-parts" : [ [ "2004" ] ] }, "publisher" : "Oxford University Press", "title" : "The Statistical Evaluation of Medical Tests for Classification and Prediction", "type" : "book" }, "uris" : [ "http://www.mendeley.com/documents/?uuid=cd3cfbe4-404a-40b2-bd72-42c7b2950879" ] }, { "id" : "ITEM-2", "itemData" : { "author" : [ { "dropping-particle" : "", "family" : "Hanley", "given" : "James A.", "non-dropping-particle" : "", "parse-names" : false, "suffix" : "" }, { "dropping-particle" : "", "family" : "McNeil", "given" : "Barbara J.", "non-dropping-particle" : "", "parse-names" : false, "suffix" : "" } ], "container-title" : "Radiology", "id" : "ITEM-2", "issued" : { "date-parts" : [ [ "1983" ] ] }, "note" : "2 AUC elaborate con gli stessi pazienti sono correlate. Quindi anche valori AUC1-AUC2 che sembrano non significative possono esserlo. Qui esaminato il caso di stessi pazienti, ma la correlazione diventa ancora piu' grande se i macchinari sono gli stessi (e la persona che analizzy i dati e' sempre la stessa). Diverse misure sembrano essere piu' correlate per i malati che per i non malati.", "page" : "839-843", "title" : "A Method of Comparing the Areas under Receiver Operating Characteristic Curves Derived from the Same Cases", "type" : "article-journal", "volume" : "148" }, "uris" : [ "http://www.mendeley.com/documents/?uuid=8f158ef0-5916-4e38-b4fd-78a7a01b3793" ] } ], "mendeley" : { "formattedCitation" : "[8, 14]", "plainTextFormattedCitation" : "[8, 14]", "previouslyFormattedCitation" : "[8, 14]" }, "properties" : { "noteIndex" : 0 }, "schema" : "https://github.com/citation-style-language/schema/raw/master/csl-citation.json" }</w:instrText>
      </w:r>
      <w:r>
        <w:fldChar w:fldCharType="separate"/>
      </w:r>
      <w:bookmarkStart w:id="41" w:name="__Fieldmark__341_1374788089"/>
      <w:r>
        <w:rPr>
          <w:rFonts w:ascii="Arial" w:hAnsi="Arial"/>
          <w:noProof/>
        </w:rPr>
        <w:t>[</w:t>
      </w:r>
      <w:bookmarkStart w:id="42" w:name="__Fieldmark__345_1114282649"/>
      <w:bookmarkStart w:id="43" w:name="__Fieldmark__302_931786406"/>
      <w:r>
        <w:rPr>
          <w:rFonts w:ascii="Arial" w:hAnsi="Arial"/>
          <w:noProof/>
        </w:rPr>
        <w:t>8, 14]</w:t>
      </w:r>
      <w:r>
        <w:fldChar w:fldCharType="end"/>
      </w:r>
      <w:bookmarkEnd w:id="41"/>
      <w:bookmarkEnd w:id="42"/>
      <w:bookmarkEnd w:id="43"/>
      <w:r>
        <w:rPr>
          <w:rFonts w:ascii="Arial" w:hAnsi="Arial"/>
        </w:rPr>
        <w:t>, this is not the case for the covariance of two (or more) differences in AUC. In an MSC meta-analysis using individual patient data or code sent to investigators to compute aggregate performance measures based on their individual patient data, bootstrapping</w:t>
      </w:r>
      <w:r>
        <w:fldChar w:fldCharType="begin" w:fldLock="1"/>
      </w:r>
      <w:r>
        <w:instrText>ADDIN CSL_CITATION { "citationItems" : [ { "id" : "ITEM-1", "itemData" : { "ISBN" : "9780412042317", "author" : [ { "dropping-particle" : "", "family" : "Efron", "given" : "Bradley", "non-dropping-particle" : "", "parse-names" : false, "suffix" : "" }, { "dropping-particle" : "", "family" : "Tibshirani", "given" : "Robert J", "non-dropping-particle" : "", "parse-names" : false, "suffix" : "" } ], "id" : "ITEM-1", "issued" : { "date-parts" : [ [ "1994" ] ] }, "publisher" : "Chapman &amp; Hall/CRC", "title" : "An Introduction to the Bootstrap", "type" : "book" }, "uris" : [ "http://www.mendeley.com/documents/?uuid=89436248-7a2f-4056-a1ae-e9e519f170e4" ] } ], "mendeley" : { "formattedCitation" : "[15]", "plainTextFormattedCitation" : "[15]", "previouslyFormattedCitation" : "[15]" }, "properties" : { "noteIndex" : 0 }, "schema" : "https://github.com/citation-style-language/schema/raw/master/csl-citation.json" }</w:instrText>
      </w:r>
      <w:r>
        <w:fldChar w:fldCharType="separate"/>
      </w:r>
      <w:bookmarkStart w:id="44" w:name="__Fieldmark__350_1374788089"/>
      <w:r>
        <w:rPr>
          <w:rFonts w:ascii="Arial" w:hAnsi="Arial"/>
          <w:noProof/>
        </w:rPr>
        <w:t>[</w:t>
      </w:r>
      <w:bookmarkStart w:id="45" w:name="__Fieldmark__352_1114282649"/>
      <w:bookmarkStart w:id="46" w:name="__Fieldmark__309_931786406"/>
      <w:r>
        <w:rPr>
          <w:rFonts w:ascii="Arial" w:hAnsi="Arial"/>
          <w:noProof/>
        </w:rPr>
        <w:t>15]</w:t>
      </w:r>
      <w:r>
        <w:fldChar w:fldCharType="end"/>
      </w:r>
      <w:bookmarkEnd w:id="44"/>
      <w:bookmarkEnd w:id="45"/>
      <w:bookmarkEnd w:id="46"/>
      <w:r>
        <w:rPr>
          <w:rFonts w:ascii="Arial" w:hAnsi="Arial"/>
        </w:rPr>
        <w:t xml:space="preserve"> could be used within each cohort to estimate the variance of each score comparison, as well as the covariance between score comparisons. Indeed, for score performance comparison formulas for two-score comparison exist (Hanley 1983), but for cases with more scores the easiest way to obtain performance comparison and co-variance matrix of the performance is bootstrapping</w:t>
      </w:r>
      <w:proofErr w:type="gramStart"/>
      <w:r>
        <w:rPr>
          <w:rFonts w:ascii="Arial" w:hAnsi="Arial"/>
        </w:rPr>
        <w:t>.(</w:t>
      </w:r>
      <w:proofErr w:type="gramEnd"/>
      <w:r>
        <w:rPr>
          <w:rFonts w:ascii="Arial" w:hAnsi="Arial"/>
        </w:rPr>
        <w:t>Snell 2016, Riley 2015) In this way it would be possible to explicitly estimate the entire variance-covariance matrix for the score comparisons in each cohort without requiring a formula. This strategy would also work for other performance measures. For an MSC meta-analysis based on published results, assumptions such as those described above may need to be made about the correlation structure.</w:t>
      </w:r>
    </w:p>
    <w:p w14:paraId="36F3FF08" w14:textId="77777777" w:rsidR="00342E07" w:rsidRDefault="005356A1">
      <w:pPr>
        <w:pStyle w:val="BodyText"/>
        <w:spacing w:after="170" w:line="480" w:lineRule="auto"/>
      </w:pPr>
      <w:r>
        <w:rPr>
          <w:rFonts w:ascii="Arial" w:hAnsi="Arial"/>
        </w:rPr>
        <w:t xml:space="preserve">For the second task of explicitly including the correlation structure, we needed a statistical approach to meta-analysis that made no assumptions about the correlation structure in multi-score studies. Methodology work on network meta-analysis has increased in recent years, leading to wide range of possible statistical approaches </w:t>
      </w:r>
      <w:r>
        <w:fldChar w:fldCharType="begin" w:fldLock="1"/>
      </w:r>
      <w:r>
        <w:instrText>ADDIN CSL_CITATION { "citationItems" : [ { "id" : "ITEM-1", "itemData" : { "DOI" : "10.1093/biostatistics/kxp032", "ISBN" : "1465-4644", "ISSN" : "14654644", "PMID" : "19687150", "abstract" : "In mixed treatment comparison (MTC) meta-analysis, modeling the heterogeneity in between-trial variances across studies is a difficult problem because of the constraints on the variances inherited from the MTC structure. Starting from a consistent Bayesian hierarchical model for the mean treatment effects, we represent the variance configuration by a set of triangle inequalities on the standard deviations. We take the separation strategy (Barnard and others, 2000) to specify prior distributions for standard deviations and correlations separately. The covariance matrix of the latent treatment arm effects can be employed as a vehicle to load the triangular constraints, which in addition allows incorporation of prior beliefs about the correlations between treatment effects. The spherical parameterization based on Cholesky decomposition (Pinheiro and Bates, 1996) is used to generate a positive-definite matrix for the prior correlations in Markov chain Monte Carlo (MCMC). Elicited prior information on correlations between treatment arms is introduced in the form of its equivalent data likelihood. The procedure is implemented in a MCMC framework and illustrated with example data sets from medical research practice.", "author" : [ { "dropping-particle" : "", "family" : "Lu", "given" : "Guobing", "non-dropping-particle" : "", "parse-names" : false, "suffix" : "" }, { "dropping-particle" : "", "family" : "Ades", "given" : "A E", "non-dropping-particle" : "", "parse-names" : false, "suffix" : "" } ], "container-title" : "Biostatistics", "id" : "ITEM-1", "issue" : "4", "issued" : { "date-parts" : [ [ "2009" ] ] }, "page" : "792-805", "title" : "Modeling between-trial variance structure in mixed treatment comparisons", "type" : "article-journal", "volume" : "10" }, "uris" : [ "http://www.mendeley.com/documents/?uuid=c914bb33-5ce3-40ad-99c4-173144285346" ] }, { "id" : "ITEM-2", "itemData" : { "DOI" : "10.1111/j.1467-985X.2010.00639.x", "ISBN" : "0964-1998", "ISSN" : "09641998", "abstract" : "There is good empirical evidence that specific flaws in the conduct of randomized controlled trials are associated with exaggeration of treatment effect estimates. Mixed treatment comparison meta-analysis, which combines data from trials on several treatments that form a network of comparisons, has the potential both to estimate bias parameters within the synthesis and to produce bias-adjusted estimates of treatment effects. We present a hierarchical model for bias with common mean across treatment comparisons of active treatment versus control. It is often unclear, from the information that is reported, whether a study is at risk of bias or not. We extend our model to estimate the probability that a particular study is biased, where the probabilities for the 'unclear' studies are drawn from a common beta distribution. We illustrate these methods with a synthesis of 130 trials on four fluoride treatments and two control interventions for the prevention of dental caries in children. Whether there is adequate allocation concealment and/or blinding are considered as indicators of whether a study is at risk of bias. Bias adjustment reduces the estimated relative efficacy of the treatments and the extent of between-trial heterogeneity.", "author" : [ { "dropping-particle" : "", "family" : "Dias", "given" : "S.", "non-dropping-particle" : "", "parse-names" : false, "suffix" : "" }, { "dropping-particle" : "", "family" : "Welton", "given" : "N. J.", "non-dropping-particle" : "", "parse-names" : false, "suffix" : "" }, { "dropping-particle" : "", "family" : "Marinho", "given" : "V. C C", "non-dropping-particle" : "", "parse-names" : false, "suffix" : "" }, { "dropping-particle" : "", "family" : "Salanti", "given" : "G.", "non-dropping-particle" : "", "parse-names" : false, "suffix" : "" }, { "dropping-particle" : "", "family" : "Higgins", "given" : "J", "non-dropping-particle" : "", "parse-names" : false, "suffix" : "" }, { "dropping-particle" : "", "family" : "Ades", "given" : "A. E.", "non-dropping-particle" : "", "parse-names" : false, "suffix" : "" } ], "container-title" : "Journal of the Royal Statistical Society. Series A: Statistics in Society", "id" : "ITEM-2", "issue" : "3", "issued" : { "date-parts" : [ [ "2010" ] ] }, "page" : "613-629", "title" : "Estimation and adjustment of bias in randomized evidence by using mixed treatment comparison meta-analysis", "type" : "article-journal", "volume" : "173" }, "uris" : [ "http://www.mendeley.com/documents/?uuid=09167501-65fc-4b01-a7e9-e07a1567cc46" ] }, { "id" : "ITEM-3", "itemData" : { "DOI" : "10.1002/bimj.201400163", "ISSN" : "15214036", "author" : [ { "dropping-particle" : "", "family" : "Sauter", "given" : "Rafael", "non-dropping-particle" : "", "parse-names" : false, "suffix" : "" }, { "dropping-particle" : "", "family" : "Held", "given" : "Leonhard", "non-dropping-particle" : "", "parse-names" : false, "suffix" : "" } ], "container-title" : "Biometrical Journal", "id" : "ITEM-3", "issue" : "6", "issued" : { "date-parts" : [ [ "2015" ] ] }, "page" : "1038-1050", "title" : "Network meta-analysis with integrated nested Laplace approximations", "type" : "article-journal", "volume" : "57" }, "uris" : [ "http://www.mendeley.com/documents/?uuid=ef7de22a-3252-468c-b28e-5a95427f94b4" ] }, { "id" : "ITEM-4", "itemData" : { "DOI" : "10.1002/(SICI)1097-0258(19961230)15:24&lt;2733::AID-SIM562&gt;3.0.CO;2-0", "ISBN" : "0277-6715 (Print)\\r0277-6715 (Linking)", "ISSN" : "02776715", "PMID" : "8981683", "abstract" : "There exists a variety of situations in which a random effects meta-analysis might be undertaken using a small number of clinical trials. A problem associated with small meta-analyses is estimating the heterogeneity between trials. To overcome this problem, information from other related studies may be incorporated into the meta-analysis. A Bayesian approach to this problem is presented using data from previous meta-analyses in the same therapeutic area to formulate a prior distribution for the heterogeneity. The treatment difference parameters are given non-informative priors. Further, related trials which compare one or other of the treatments of interest with a common third treatment are included in the model to improve inference on both the heterogeneity and the treatment difference. Two approaches to estimating relative efficacy are considered, namely a general parametric approach and a method explicit to binary data. The methodology is illustrated using data from 26 clinical trials which investigate the prevention of cirrhosis using beta-blockers and sclerotherapy. Both sources of external information lead to more precise posterior distributions for all parameters, in particular that representing heterogeneity.", "author" : [ { "dropping-particle" : "", "family" : "Higgins", "given" : "J", "non-dropping-particle" : "", "parse-names" : false, "suffix" : "" }, { "dropping-particle" : "", "family" : "Whitehead", "given" : "Anne", "non-dropping-particle" : "", "parse-names" : false, "suffix" : "" } ], "container-title" : "Statistics in Medicine", "id" : "ITEM-4", "issue" : "24", "issued" : { "date-parts" : [ [ "1996" ] ] }, "page" : "2733-2749", "title" : "Borrowing strength from external trials in a meta-analysis", "type" : "article-journal", "volume" : "15" }, "uris" : [ "http://www.mendeley.com/documents/?uuid=d08784fd-4e87-46e1-8091-2f0ef4e33e7d" ] }, { "id" : "ITEM-5", "itemData" : { "DOI" : "10.1002/sim.1201", "ISBN" : "1097-0258", "ISSN" : "02776715", "PMID" : "12210616", "abstract" : "I present methods for assessing the relative effectiveness of two treatments when they have not been compared directly in a randomized trial but have each been compared to other treatments. These network meta-analysis techniques allow estimation of both heterogeneity in the effect of any given treatment and inconsistency ('incoherence') in the evidence from different pairs of treatments. A simple estimation procedure using linear mixed models is given and used in a meta-analysis of treatments for acute myocardial infarction.", "author" : [ { "dropping-particle" : "", "family" : "Lumley", "given" : "Thomas", "non-dropping-particle" : "", "parse-names" : false, "suffix" : "" } ], "container-title" : "Statistics in Medicine", "id" : "ITEM-5", "issue" : "November 2001", "issued" : { "date-parts" : [ [ "2002" ] ] }, "page" : "2313-2324", "title" : "Network meta-analysis for indirect treatment comparisons", "type" : "article-journal", "volume" : "21" }, "uris" : [ "http://www.mendeley.com/documents/?uuid=a53192d1-9c3c-47eb-a0c0-e4a6f343504f" ] }, { "id" : "ITEM-6", "itemData" : { "DOI" : "10.1002/sim.1875", "ISSN" : "02776715", "author" : [ { "dropping-particle" : "", "family" : "Lu", "given" : "G.", "non-dropping-particle" : "", "parse-names" : false, "suffix" : "" }, { "dropping-particle" : "", "family" : "Ades", "given" : "A. E.", "non-dropping-particle" : "", "parse-names" : false, "suffix" : "" } ], "container-title" : "Statistics in Medicine", "id" : "ITEM-6", "issue" : "20", "issued" : { "date-parts" : [ [ "2004" ] ] }, "page" : "3105-3124", "title" : "Combination of direct and indirect evidence in mixed treatment comparisons", "type" : "article-journal", "volume" : "23" }, "uris" : [ "http://www.mendeley.com/documents/?uuid=0d2efd28-5f06-4a3d-8eeb-86a00eb7be91" ] }, { "id" : "ITEM-7", "itemData" : { "DOI" : "10.1198/016214505000001302", "ISBN" : "0162-1459", "ISSN" : "0162-1459", "abstract" : "Randomized comparisons among several treatments give rise to an incomplete-blocks structure known as mixed treatment comparisons (MTCs). To analyze such data structures, it is crucial to assess whether the disparate evidence sources provide consistent information about the treatment contrasts. In this article we propose a general method for assessing evidence inconsistency in the framework of Bayesian hierarchical models. We begin with the distinction between basic parameters, which have prior distributions, and functional parameters, which are defined in terms of basic parameters. Based on a graphical analysis of MTC structures, evidence inconsistency is defined as a relation between a functional parameter and at least two basic parameters, supported by at least three evidence sources. The inconsistency degrees of freedom (ICDF) is the number of such inconsistencies. We represent evidence consistency as a set of linear relations between effect parameters on the log odds ratio scale, then relax these relations to allow for inconsistency by adding to the model random inconsistency factors (ICFs). The number of ICFs is determined by the ICDF. The overall consistency between evidence sources can be assessed by comparing models with and without ICFs, whereas their posterior distribution reflects the extent of inconsistency in particular evidence cycles. The methods are elucidated using two published datasets, implemented with standard Markov chain Monte Carlo software.", "author" : [ { "dropping-particle" : "", "family" : "Lu", "given" : "G.", "non-dropping-particle" : "", "parse-names" : false, "suffix" : "" }, { "dropping-particle" : "", "family" : "Ades", "given" : "a. E", "non-dropping-particle" : "", "parse-names" : false, "suffix" : "" } ], "container-title" : "Journal of the American Statistical Association", "id" : "ITEM-7", "issue" : "474", "issued" : { "date-parts" : [ [ "2006" ] ] }, "note" : "explains how to introduce random \n&amp;gt; effects for trial outcomes which\nare correlated (i.e. three \n(or more) \n&amp;gt; arm trials).", "page" : "447-459", "title" : "Assessing Evidence Inconsistency in Mixed Treatment Comparisons", "type" : "article-journal", "volume" : "101" }, "uris" : [ "http://www.mendeley.com/documents/?uuid=c96e2611-5538-4f23-a602-bc5da78ba1aa" ] }, { "id" : "ITEM-8", "itemData" : { "DOI" : "10.1177/0962280207080643", "ISBN" : "0962-2802 (Print)\\r0962-2802 (Linking)", "ISSN" : "0962-2802", "PMID" : "17925316", "abstract" : "Randomized trials may be designed and interpreted as single experiments or they may be seen in the context of other similar or relevant evidence. The amount and complexity of available randomized evidence vary for different topics. Systematic reviews may be useful in identifying gaps in the existing randomized evidence, pointing to discrepancies between trials, and planning future trials. A new, promising, but also very much debated extension of systematic reviews, mixed treatment comparison (MTC) meta-analysis, has become increasingly popular recently. MTC meta-analysis may have value in interpreting the available randomized evidence from networks of trials and can rank many different treatments, going beyond focusing on simple pairwise-comparisons. Nevertheless, the evaluation of networks also presents special challenges and caveats. In this article, we review the statistical methodology for MTC meta-analysis. We discuss the concept of inconsistency and methods that have been proposed to evaluate it as well as the methodological gaps that remain. We introduce the concepts of network geometry and asymmetry, and propose metrics for the evaluation of the asymmetry. Finally, we discuss the implications of inconsistency, network geometry and asymmetry in informing the planning of future trials.", "author" : [ { "dropping-particle" : "", "family" : "Salanti", "given" : "G.", "non-dropping-particle" : "", "parse-names" : false, "suffix" : "" }, { "dropping-particle" : "", "family" : "Higgins", "given" : "J", "non-dropping-particle" : "", "parse-names" : false, "suffix" : "" }, { "dropping-particle" : "", "family" : "Ades", "given" : "a E", "non-dropping-particle" : "", "parse-names" : false, "suffix" : "" }, { "dropping-particle" : "", "family" : "Ioannidis", "given" : "John P a", "non-dropping-particle" : "", "parse-names" : false, "suffix" : "" } ], "container-title" : "Statistical methods in medical research", "id" : "ITEM-8", "issue" : "3", "issued" : { "date-parts" : [ [ "2008" ] ] }, "page" : "279-301", "title" : "Evaluation of networks of randomized trials.", "type" : "article-journal", "volume" : "17" }, "uris" : [ "http://www.mendeley.com/documents/?uuid=f60198be-0735-40eb-99b6-012226942ce5" ] } ], "mendeley" : { "formattedCitation" : "[13, 16\u201322]", "plainTextFormattedCitation" : "[13, 16\u201322]", "previouslyFormattedCitation" : "[13, 16\u201322]" }, "properties" : { "noteIndex" : 0 }, "schema" : "https://github.com/citation-style-language/schema/raw/master/csl-citation.json" }</w:instrText>
      </w:r>
      <w:r>
        <w:fldChar w:fldCharType="separate"/>
      </w:r>
      <w:bookmarkStart w:id="47" w:name="__Fieldmark__364_1374788089"/>
      <w:r>
        <w:rPr>
          <w:rFonts w:ascii="Arial" w:hAnsi="Arial"/>
          <w:noProof/>
        </w:rPr>
        <w:t>[</w:t>
      </w:r>
      <w:bookmarkStart w:id="48" w:name="__Fieldmark__366_1114282649"/>
      <w:bookmarkStart w:id="49" w:name="__Fieldmark__318_931786406"/>
      <w:r>
        <w:rPr>
          <w:rFonts w:ascii="Arial" w:hAnsi="Arial"/>
          <w:noProof/>
        </w:rPr>
        <w:t>13, 16–22]</w:t>
      </w:r>
      <w:r>
        <w:fldChar w:fldCharType="end"/>
      </w:r>
      <w:bookmarkEnd w:id="47"/>
      <w:bookmarkEnd w:id="48"/>
      <w:bookmarkEnd w:id="49"/>
      <w:r>
        <w:rPr>
          <w:rFonts w:ascii="Arial" w:hAnsi="Arial"/>
        </w:rPr>
        <w:t xml:space="preserve">. </w:t>
      </w:r>
      <w:r>
        <w:fldChar w:fldCharType="begin" w:fldLock="1"/>
      </w:r>
      <w:r>
        <w:instrText>ADDIN CSL_CITATION { "citationItems" : [ { "id" : "ITEM-1", "itemData" : { "DOI" : "10.1002/sim.2934", "author" : [ { "dropping-particle" : "", "family" : "Sutton", "given" : "Alexander J", "non-dropping-particle" : "", "parse-names" : false, "suffix" : "" }, { "dropping-particle" : "", "family" : "Higgins", "given" : "Julian P T", "non-dropping-particle" : "", "parse-names" : false, "suffix" : "" } ], "container-title" : "Statistics in Medicine", "id" : "ITEM-1", "issued" : { "date-parts" : [ [ "2008" ] ] }, "page" : "625-650", "title" : "Recent developments in meta-analysis", "type" : "article-journal", "volume" : "27" }, "uris" : [ "http://www.mendeley.com/documents/?uuid=970191c5-8f61-4c6e-937a-05c0ccb48037" ] } ], "mendeley" : { "formattedCitation" : "[23]", "manualFormatting" : "Sutton &amp; Higgins 2008", "plainTextFormattedCitation" : "[23]", "previouslyFormattedCitation" : "[23]" }, "properties" : { "noteIndex" : 0 }, "schema" : "https://github.com/citation-style-language/schema/raw/master/csl-citation.json" }</w:instrText>
      </w:r>
      <w:r>
        <w:fldChar w:fldCharType="separate"/>
      </w:r>
      <w:bookmarkStart w:id="50" w:name="__Fieldmark__373_1374788089"/>
      <w:r>
        <w:rPr>
          <w:rFonts w:ascii="Arial" w:hAnsi="Arial"/>
          <w:noProof/>
        </w:rPr>
        <w:t>S</w:t>
      </w:r>
      <w:bookmarkStart w:id="51" w:name="__Fieldmark__325_931786406"/>
      <w:r>
        <w:rPr>
          <w:rFonts w:ascii="Arial" w:hAnsi="Arial"/>
          <w:noProof/>
        </w:rPr>
        <w:t>u</w:t>
      </w:r>
      <w:bookmarkStart w:id="52" w:name="__Fieldmark__373_1114282649"/>
      <w:r>
        <w:rPr>
          <w:rFonts w:ascii="Arial" w:hAnsi="Arial"/>
          <w:noProof/>
        </w:rPr>
        <w:t>tton &amp; Higgins 2008</w:t>
      </w:r>
      <w:r>
        <w:fldChar w:fldCharType="end"/>
      </w:r>
      <w:bookmarkEnd w:id="50"/>
      <w:bookmarkEnd w:id="51"/>
      <w:bookmarkEnd w:id="52"/>
      <w:r>
        <w:rPr>
          <w:rFonts w:ascii="Arial" w:hAnsi="Arial"/>
        </w:rPr>
        <w:t xml:space="preserve"> and </w:t>
      </w:r>
      <w:r>
        <w:fldChar w:fldCharType="begin" w:fldLock="1"/>
      </w:r>
      <w:r>
        <w:instrText>ADDIN CSL_CITATION { "citationItems" : [ { "id" : "ITEM-1", "itemData" : { "DOI" : "10.1002/jrsm.1195", "ISSN" : "17592879", "PMID" : "26754852", "abstract" : "Pairwise meta-analysis is an established statistical tool for synthesizing evidence from multiple trials, but it is informative only about the relative efficacy of two specific interventions. The usefulness of pairwise meta-analysis is thus limited in real-life medical practice, where many competing interventions may be available for a certain condition and studies informing some of the pairwise comparisons may be lacking. This commonly encountered scenario has led to the development of network meta-analysis (NMA). In the last decade, several applications, methodological developments, and empirical studies in NMA have been published, and the area is thriving as its relevance to public health is increasingly recognized. This article presents a review of the relevant literature on NMA methodology aiming to pinpoint the developments that have appeared in the field", "author" : [ { "dropping-particle" : "", "family" : "Efthimiou", "given" : "Orestis", "non-dropping-particle" : "", "parse-names" : false, "suffix" : "" }, { "dropping-particle" : "", "family" : "Debray", "given" : "Thomas P a", "non-dropping-particle" : "", "parse-names" : false, "suffix" : "" }, { "dropping-particle" : "", "family" : "Valkenhoef", "given" : "Gert", "non-dropping-particle" : "van", "parse-names" : false, "suffix" : "" }, { "dropping-particle" : "", "family" : "Trelle", "given" : "Sven", "non-dropping-particle" : "", "parse-names" : false, "suffix" : "" }, { "dropping-particle" : "", "family" : "Panayidou", "given" : "Klea", "non-dropping-particle" : "", "parse-names" : false, "suffix" : "" }, { "dropping-particle" : "", "family" : "Moons", "given" : "Karel G.M.", "non-dropping-particle" : "", "parse-names" : false, "suffix" : "" }, { "dropping-particle" : "", "family" : "Reitsma", "given" : "Johannes B.", "non-dropping-particle" : "", "parse-names" : false, "suffix" : "" }, { "dropping-particle" : "", "family" : "Shang", "given" : "Aijing", "non-dropping-particle" : "", "parse-names" : false, "suffix" : "" }, { "dropping-particle" : "", "family" : "Salanti", "given" : "G.", "non-dropping-particle" : "", "parse-names" : false, "suffix" : "" } ], "container-title" : "Research Synthesis Methods", "id" : "ITEM-1", "issue" : "November 2014", "issued" : { "date-parts" : [ [ "2016" ] ] }, "title" : "GetReal in network meta-analysis: a review of the methodology", "type" : "article-journal" }, "uris" : [ "http://www.mendeley.com/documents/?uuid=89c5e03d-2f79-48e1-8a57-0c97864d37b2" ] } ], "mendeley" : { "formattedCitation" : "[24]", "manualFormatting" : "Efthimiou et al. 2016", "plainTextFormattedCitation" : "[24]", "previouslyFormattedCitation" : "[24]" }, "properties" : { "noteIndex" : 0 }, "schema" : "https://github.com/citation-style-language/schema/raw/master/csl-citation.json" }</w:instrText>
      </w:r>
      <w:r>
        <w:fldChar w:fldCharType="separate"/>
      </w:r>
      <w:bookmarkStart w:id="53" w:name="__Fieldmark__384_1374788089"/>
      <w:r>
        <w:rPr>
          <w:rFonts w:ascii="Arial" w:hAnsi="Arial"/>
          <w:noProof/>
        </w:rPr>
        <w:t>E</w:t>
      </w:r>
      <w:bookmarkStart w:id="54" w:name="__Fieldmark__332_931786406"/>
      <w:r>
        <w:rPr>
          <w:rFonts w:ascii="Arial" w:hAnsi="Arial"/>
          <w:noProof/>
        </w:rPr>
        <w:t>f</w:t>
      </w:r>
      <w:bookmarkStart w:id="55" w:name="__Fieldmark__380_1114282649"/>
      <w:r>
        <w:rPr>
          <w:rFonts w:ascii="Arial" w:hAnsi="Arial"/>
          <w:noProof/>
        </w:rPr>
        <w:t>thimiou et al. 2016</w:t>
      </w:r>
      <w:r>
        <w:fldChar w:fldCharType="end"/>
      </w:r>
      <w:bookmarkEnd w:id="53"/>
      <w:bookmarkEnd w:id="54"/>
      <w:bookmarkEnd w:id="55"/>
      <w:r>
        <w:rPr>
          <w:rFonts w:ascii="Arial" w:hAnsi="Arial"/>
        </w:rPr>
        <w:t xml:space="preserve"> provide an overview of current methodology. Many approaches assume common variances among treatment arms in the same trial </w:t>
      </w:r>
      <w:r>
        <w:fldChar w:fldCharType="begin" w:fldLock="1"/>
      </w:r>
      <w:r>
        <w:instrText>ADDIN CSL_CITATION { "citationItems" : [ { "id" : "ITEM-1", "itemData" : { "DOI" : "10.1002/(SICI)1097-0258(19961230)15:24&lt;2733::AID-SIM562&gt;3.0.CO;2-0", "ISBN" : "0277-6715 (Print)\\r0277-6715 (Linking)", "ISSN" : "02776715", "PMID" : "8981683", "abstract" : "There exists a variety of situations in which a random effects meta-analysis might be undertaken using a small number of clinical trials. A problem associated with small meta-analyses is estimating the heterogeneity between trials. To overcome this problem, information from other related studies may be incorporated into the meta-analysis. A Bayesian approach to this problem is presented using data from previous meta-analyses in the same therapeutic area to formulate a prior distribution for the heterogeneity. The treatment difference parameters are given non-informative priors. Further, related trials which compare one or other of the treatments of interest with a common third treatment are included in the model to improve inference on both the heterogeneity and the treatment difference. Two approaches to estimating relative efficacy are considered, namely a general parametric approach and a method explicit to binary data. The methodology is illustrated using data from 26 clinical trials which investigate the prevention of cirrhosis using beta-blockers and sclerotherapy. Both sources of external information lead to more precise posterior distributions for all parameters, in particular that representing heterogeneity.", "author" : [ { "dropping-particle" : "", "family" : "Higgins", "given" : "J", "non-dropping-particle" : "", "parse-names" : false, "suffix" : "" }, { "dropping-particle" : "", "family" : "Whitehead", "given" : "Anne", "non-dropping-particle" : "", "parse-names" : false, "suffix" : "" } ], "container-title" : "Statistics in Medicine", "id" : "ITEM-1", "issue" : "24", "issued" : { "date-parts" : [ [ "1996" ] ] }, "page" : "2733-2749", "title" : "Borrowing strength from external trials in a meta-analysis", "type" : "article-journal", "volume" : "15" }, "uris" : [ "http://www.mendeley.com/documents/?uuid=d08784fd-4e87-46e1-8091-2f0ef4e33e7d" ] } ], "mendeley" : { "formattedCitation" : "[13]", "plainTextFormattedCitation" : "[13]", "previouslyFormattedCitation" : "[13]" }, "properties" : { "noteIndex" : 0 }, "schema" : "https://github.com/citation-style-language/schema/raw/master/csl-citation.json" }</w:instrText>
      </w:r>
      <w:r>
        <w:fldChar w:fldCharType="separate"/>
      </w:r>
      <w:bookmarkStart w:id="56" w:name="__Fieldmark__395_1374788089"/>
      <w:r>
        <w:rPr>
          <w:rFonts w:ascii="Arial" w:hAnsi="Arial"/>
          <w:noProof/>
        </w:rPr>
        <w:t>[</w:t>
      </w:r>
      <w:bookmarkStart w:id="57" w:name="__Fieldmark__387_1114282649"/>
      <w:bookmarkStart w:id="58" w:name="__Fieldmark__339_931786406"/>
      <w:r>
        <w:rPr>
          <w:rFonts w:ascii="Arial" w:hAnsi="Arial"/>
          <w:noProof/>
        </w:rPr>
        <w:t>13]</w:t>
      </w:r>
      <w:r>
        <w:fldChar w:fldCharType="end"/>
      </w:r>
      <w:bookmarkEnd w:id="56"/>
      <w:bookmarkEnd w:id="57"/>
      <w:bookmarkEnd w:id="58"/>
      <w:r>
        <w:rPr>
          <w:rFonts w:ascii="Arial" w:hAnsi="Arial"/>
        </w:rPr>
        <w:t xml:space="preserve">, implying that the correlation between arms of a multi-arm trial is 0.5, though some permit heterogeneity of variance </w:t>
      </w:r>
      <w:r>
        <w:fldChar w:fldCharType="begin" w:fldLock="1"/>
      </w:r>
      <w:r>
        <w:instrText>ADDIN CSL_CITATION { "citationItems" : [ { "id" : "ITEM-1", "itemData" : { "DOI" : "10.1093/biostatistics/kxp032", "ISBN" : "1465-4644", "ISSN" : "14654644", "PMID" : "19687150", "abstract" : "In mixed treatment comparison (MTC) meta-analysis, modeling the heterogeneity in between-trial variances across studies is a difficult problem because of the constraints on the variances inherited from the MTC structure. Starting from a consistent Bayesian hierarchical model for the mean treatment effects, we represent the variance configuration by a set of triangle inequalities on the standard deviations. We take the separation strategy (Barnard and others, 2000) to specify prior distributions for standard deviations and correlations separately. The covariance matrix of the latent treatment arm effects can be employed as a vehicle to load the triangular constraints, which in addition allows incorporation of prior beliefs about the correlations between treatment effects. The spherical parameterization based on Cholesky decomposition (Pinheiro and Bates, 1996) is used to generate a positive-definite matrix for the prior correlations in Markov chain Monte Carlo (MCMC). Elicited prior information on correlations between treatment arms is introduced in the form of its equivalent data likelihood. The procedure is implemented in a MCMC framework and illustrated with example data sets from medical research practice.", "author" : [ { "dropping-particle" : "", "family" : "Lu", "given" : "Guobing", "non-dropping-particle" : "", "parse-names" : false, "suffix" : "" }, { "dropping-particle" : "", "family" : "Ades", "given" : "A E", "non-dropping-particle" : "", "parse-names" : false, "suffix" : "" } ], "container-title" : "Biostatistics", "id" : "ITEM-1", "issue" : "4", "issued" : { "date-parts" : [ [ "2009" ] ] }, "page" : "792-805", "title" : "Modeling between-trial variance structure in mixed treatment comparisons", "type" : "article-journal", "volume" : "10" }, "uris" : [ "http://www.mendeley.com/documents/?uuid=c914bb33-5ce3-40ad-99c4-173144285346" ] } ], "mendeley" : { "formattedCitation" : "[16]", "plainTextFormattedCitation" : "[16]", "previouslyFormattedCitation" : "[16]" }, "properties" : { "noteIndex" : 0 }, "schema" : "https://github.com/citation-style-language/schema/raw/master/csl-citation.json" }</w:instrText>
      </w:r>
      <w:r>
        <w:fldChar w:fldCharType="separate"/>
      </w:r>
      <w:bookmarkStart w:id="59" w:name="__Fieldmark__404_1374788089"/>
      <w:r>
        <w:rPr>
          <w:rFonts w:ascii="Arial" w:hAnsi="Arial"/>
          <w:noProof/>
        </w:rPr>
        <w:t>[</w:t>
      </w:r>
      <w:bookmarkStart w:id="60" w:name="__Fieldmark__394_1114282649"/>
      <w:bookmarkStart w:id="61" w:name="__Fieldmark__346_931786406"/>
      <w:r>
        <w:rPr>
          <w:rFonts w:ascii="Arial" w:hAnsi="Arial"/>
          <w:noProof/>
        </w:rPr>
        <w:t>16]</w:t>
      </w:r>
      <w:r>
        <w:fldChar w:fldCharType="end"/>
      </w:r>
      <w:bookmarkEnd w:id="59"/>
      <w:bookmarkEnd w:id="60"/>
      <w:bookmarkEnd w:id="61"/>
      <w:r>
        <w:rPr>
          <w:rFonts w:ascii="Arial" w:hAnsi="Arial"/>
        </w:rPr>
        <w:t xml:space="preserve">. Bayesian models are often preferred because of the complexity of the data structure, although even those have been deemed “cumbersome” if not all trials have the same number of treatment arms </w:t>
      </w:r>
      <w:r>
        <w:fldChar w:fldCharType="begin" w:fldLock="1"/>
      </w:r>
      <w:r>
        <w:instrText>ADDIN CSL_CITATION { "citationItems" : [ { "id" : "ITEM-1", "itemData" : { "DOI" : "10.1002/(SICI)1097-0258(19981130)17:22&lt;2537::AID-SIM953&gt;3.0.CO;2-C", "ISBN" : "0277-6715 (Print)\\n0277-6715 (Linking)", "ISSN" : "02776715", "PMID" : "9839346", "abstract" : "Earlier work showed how to perform fixed-effects meta-analysis of studies or trials when each provides results on more than one outcome per patient and these multiple outcomes are correlated. That fixed-effects generalized-least-squares approach analyzes the multiple outcomes jointly within a single model, and it can include covariates, such as duration of therapy or quality of trial, that may explain observed heterogeneity of results among the trials. Sometimes the covariates explain all the heterogeneity, and the fixed-effects regression model is appropriate. However, unexplained heterogeneity may often remain, even after taking into account known or suspected covariates. Because fixed-effects models do not make allowance for this remaining unexplained heterogeneity, the potential exists for bias in estimated coefficients, standard errors and p-values. We propose two random-effects approaches for the regression meta-analysis of multiple correlated outcomes. We compare their use with fixed-effects models and with separate-outcomes models in a meta-analysis of periodontal clinical trials. A simulation study shows the advantages of the random-effects approach. These methods also facilitate meta-analysis of trials that compare more than two treatments.", "author" : [ { "dropping-particle" : "", "family" : "Berkey", "given" : "C. S.", "non-dropping-particle" : "", "parse-names" : false, "suffix" : "" }, { "dropping-particle" : "", "family" : "Hoaglin", "given" : "D. C.", "non-dropping-particle" : "", "parse-names" : false, "suffix" : "" }, { "dropping-particle" : "", "family" : "Antczak-Bouckoms", "given" : "A.", "non-dropping-particle" : "", "parse-names" : false, "suffix" : "" }, { "dropping-particle" : "", "family" : "Mosteller", "given" : "F.", "non-dropping-particle" : "", "parse-names" : false, "suffix" : "" }, { "dropping-particle" : "", "family" : "Colditz", "given" : "G. A.", "non-dropping-particle" : "", "parse-names" : false, "suffix" : "" } ], "container-title" : "Statistics in Medicine", "id" : "ITEM-1", "issue" : "22", "issued" : { "date-parts" : [ [ "1998" ] ] }, "page" : "2537-2550", "title" : "Meta-analysis of multiple outcomes by regression with random effects", "type" : "article-journal", "volume" : "17" }, "uris" : [ "http://www.mendeley.com/documents/?uuid=94fbfc52-df8a-43fa-94ee-18ae35dbb7e7" ] }, { "id" : "ITEM-2", "itemData" : { "DOI" : "10.1177/0962280207080643", "ISBN" : "0962-2802 (Print)\\r0962-2802 (Linking)", "ISSN" : "0962-2802", "PMID" : "17925316", "abstract" : "Randomized trials may be designed and interpreted as single experiments or they may be seen in the context of other similar or relevant evidence. The amount and complexity of available randomized evidence vary for different topics. Systematic reviews may be useful in identifying gaps in the existing randomized evidence, pointing to discrepancies between trials, and planning future trials. A new, promising, but also very much debated extension of systematic reviews, mixed treatment comparison (MTC) meta-analysis, has become increasingly popular recently. MTC meta-analysis may have value in interpreting the available randomized evidence from networks of trials and can rank many different treatments, going beyond focusing on simple pairwise-comparisons. Nevertheless, the evaluation of networks also presents special challenges and caveats. In this article, we review the statistical methodology for MTC meta-analysis. We discuss the concept of inconsistency and methods that have been proposed to evaluate it as well as the methodological gaps that remain. We introduce the concepts of network geometry and asymmetry, and propose metrics for the evaluation of the asymmetry. Finally, we discuss the implications of inconsistency, network geometry and asymmetry in informing the planning of future trials.", "author" : [ { "dropping-particle" : "", "family" : "Salanti", "given" : "G.", "non-dropping-particle" : "", "parse-names" : false, "suffix" : "" }, { "dropping-particle" : "", "family" : "Higgins", "given" : "J", "non-dropping-particle" : "", "parse-names" : false, "suffix" : "" }, { "dropping-particle" : "", "family" : "Ades", "given" : "a E", "non-dropping-particle" : "", "parse-names" : false, "suffix" : "" }, { "dropping-particle" : "", "family" : "Ioannidis", "given" : "John P a", "non-dropping-particle" : "", "parse-names" : false, "suffix" : "" } ], "container-title" : "Statistical methods in medical research", "id" : "ITEM-2", "issue" : "3", "issued" : { "date-parts" : [ [ "2008" ] ] }, "page" : "279-301", "title" : "Evaluation of networks of randomized trials.", "type" : "article-journal", "volume" : "17" }, "uris" : [ "http://www.mendeley.com/documents/?uuid=f60198be-0735-40eb-99b6-012226942ce5" ] } ], "mendeley" : { "formattedCitation" : "[22, 25]", "plainTextFormattedCitation" : "[22, 25]", "previouslyFormattedCitation" : "[22, 25]" }, "properties" : { "noteIndex" : 0 }, "schema" : "https://github.com/citation-style-language/schema/raw/master/csl-citation.json" }</w:instrText>
      </w:r>
      <w:r>
        <w:fldChar w:fldCharType="separate"/>
      </w:r>
      <w:bookmarkStart w:id="62" w:name="__Fieldmark__413_1374788089"/>
      <w:r>
        <w:rPr>
          <w:rFonts w:ascii="Arial" w:hAnsi="Arial"/>
          <w:noProof/>
        </w:rPr>
        <w:t>[</w:t>
      </w:r>
      <w:bookmarkStart w:id="63" w:name="__Fieldmark__401_1114282649"/>
      <w:bookmarkStart w:id="64" w:name="__Fieldmark__353_931786406"/>
      <w:r>
        <w:rPr>
          <w:rFonts w:ascii="Arial" w:hAnsi="Arial"/>
          <w:noProof/>
        </w:rPr>
        <w:t>22, 25]</w:t>
      </w:r>
      <w:r>
        <w:fldChar w:fldCharType="end"/>
      </w:r>
      <w:bookmarkEnd w:id="62"/>
      <w:bookmarkEnd w:id="63"/>
      <w:bookmarkEnd w:id="64"/>
      <w:r>
        <w:rPr>
          <w:rFonts w:ascii="Arial" w:hAnsi="Arial"/>
        </w:rPr>
        <w:t xml:space="preserve">, and require assigning prior distributions to all parameters in the meta-analysis model. </w:t>
      </w:r>
      <w:r>
        <w:fldChar w:fldCharType="begin" w:fldLock="1"/>
      </w:r>
      <w:r>
        <w:instrText>ADDIN CSL_CITATION { "citationItems" : [ { "id" : "ITEM-1", "itemData" : { "DOI" : "10.1002/jrsm.34", "ISBN" : "17592879", "ISSN" : "17592879", "PMID" : "26061599", "abstract" : "Mixed treatment comparisons (MTC) meta\u2010analysis synthesises comparative evidence on multiple treatments or other interventions from a collection of randomised controlled trials (RCT) available in a research area, while still respecting the randomisation structure in RCTs. This paper sets out to examine the properties of MTC estimates and elucidate the concept of consistency between direct and indirect evidence in MTC networks. We decompose MTC synthesis into two stages. At the first stage, ordinary meta\u2010analysis is performed in each group of trials that have the same treatment comparators\u2014this provides the \u2018direct\u2019 estimates of relative effect parameters. At the second stage, the optimal consistent estimates that minimise the distance between the direct estimates and the consistency hyper\u2010plane can be deduced as the weighted least squares solution to a linear regression model with a specific design matrix that represents the consistency conditions. The consistent MTC estimates can then be represented explicitly as linear combinations of direct estimates, and under normality assumptions the overall evidence consistency can be tested with a likelihood\u2010ratio statistic. This two\u2010stage framework further allows us to use the leverage statistics to diagnose influence of the first\u2010stage evidence and use the regression residuals to assess local inconsistency. The method is illustrated with two examples from medical research.", "author" : [ { "dropping-particle" : "", "family" : "Lu", "given" : "G.", "non-dropping-particle" : "", "parse-names" : false, "suffix" : "" }, { "dropping-particle" : "", "family" : "Welton", "given" : "Nicky J", "non-dropping-particle" : "", "parse-names" : false, "suffix" : "" }, { "dropping-particle" : "", "family" : "Higgins", "given" : "J", "non-dropping-particle" : "", "parse-names" : false, "suffix" : "" }, { "dropping-particle" : "", "family" : "White", "given" : "Ian R.", "non-dropping-particle" : "", "parse-names" : false, "suffix" : "" }, { "dropping-particle" : "", "family" : "Ades", "given" : "A E", "non-dropping-particle" : "", "parse-names" : false, "suffix" : "" } ], "container-title" : "Research Synthesis Methods", "id" : "ITEM-1", "issue" : "1", "issued" : { "date-parts" : [ [ "2011" ] ] }, "page" : "43-60", "title" : "Linear inference for mixed treatment comparison meta-analysis: A two-stage approach", "type" : "article-journal", "volume" : "2" }, "uris" : [ "http://www.mendeley.com/documents/?uuid=7997c6c8-1d36-4145-b4ea-24ba7087c79c" ] } ], "mendeley" : { "formattedCitation" : "[26]", "manualFormatting" : "Lu et al. 2011", "plainTextFormattedCitation" : "[26]", "previouslyFormattedCitation" : "[26]" }, "properties" : { "noteIndex" : 0 }, "schema" : "https://github.com/citation-style-language/schema/raw/master/csl-citation.json" }</w:instrText>
      </w:r>
      <w:r>
        <w:fldChar w:fldCharType="separate"/>
      </w:r>
      <w:bookmarkStart w:id="65" w:name="__Fieldmark__422_1374788089"/>
      <w:r>
        <w:rPr>
          <w:rFonts w:ascii="Arial" w:hAnsi="Arial"/>
          <w:noProof/>
        </w:rPr>
        <w:t>L</w:t>
      </w:r>
      <w:bookmarkStart w:id="66" w:name="__Fieldmark__360_931786406"/>
      <w:r>
        <w:rPr>
          <w:rFonts w:ascii="Arial" w:hAnsi="Arial"/>
          <w:noProof/>
        </w:rPr>
        <w:t>u</w:t>
      </w:r>
      <w:bookmarkStart w:id="67" w:name="__Fieldmark__408_1114282649"/>
      <w:r>
        <w:rPr>
          <w:rFonts w:ascii="Arial" w:hAnsi="Arial"/>
          <w:noProof/>
        </w:rPr>
        <w:t xml:space="preserve"> et al. 2011</w:t>
      </w:r>
      <w:r>
        <w:fldChar w:fldCharType="end"/>
      </w:r>
      <w:bookmarkEnd w:id="65"/>
      <w:bookmarkEnd w:id="66"/>
      <w:bookmarkEnd w:id="67"/>
      <w:r>
        <w:rPr>
          <w:rFonts w:ascii="Arial" w:hAnsi="Arial"/>
        </w:rPr>
        <w:t xml:space="preserve"> proposed one frequentist formulation of network meta-analysis methods, which describes MTC as a two-stage procedure, elucidating the statistical properties of an existing network meta-analysis methodology.(</w:t>
      </w:r>
      <w:proofErr w:type="spellStart"/>
      <w:r>
        <w:rPr>
          <w:rFonts w:ascii="Arial" w:hAnsi="Arial"/>
        </w:rPr>
        <w:t>Gleser</w:t>
      </w:r>
      <w:proofErr w:type="spellEnd"/>
      <w:r>
        <w:rPr>
          <w:rFonts w:ascii="Arial" w:hAnsi="Arial"/>
        </w:rPr>
        <w:t xml:space="preserve"> &amp; </w:t>
      </w:r>
      <w:proofErr w:type="spellStart"/>
      <w:r>
        <w:rPr>
          <w:rFonts w:ascii="Arial" w:hAnsi="Arial"/>
        </w:rPr>
        <w:t>Olkin</w:t>
      </w:r>
      <w:proofErr w:type="spellEnd"/>
      <w:r>
        <w:rPr>
          <w:rFonts w:ascii="Arial" w:hAnsi="Arial"/>
        </w:rPr>
        <w:t xml:space="preserve"> 1994) Their approach shows that network meta-analysis is like linear regression, and includes multi-arm trials of any size explicitly without making further assumption about correlation structures. The Lu-Ades </w:t>
      </w:r>
      <w:r>
        <w:fldChar w:fldCharType="begin" w:fldLock="1"/>
      </w:r>
      <w:r>
        <w:instrText>ADDIN CSL_CITATION { "citationItems" : [ { "id" : "ITEM-1", "itemData" : { "DOI" : "10.1002/jrsm.34", "ISBN" : "17592879", "ISSN" : "17592879", "PMID" : "26061599", "abstract" : "Mixed treatment comparisons (MTC) meta\u2010analysis synthesises comparative evidence on multiple treatments or other interventions from a collection of randomised controlled trials (RCT) available in a research area, while still respecting the randomisation structure in RCTs. This paper sets out to examine the properties of MTC estimates and elucidate the concept of consistency between direct and indirect evidence in MTC networks. We decompose MTC synthesis into two stages. At the first stage, ordinary meta\u2010analysis is performed in each group of trials that have the same treatment comparators\u2014this provides the \u2018direct\u2019 estimates of relative effect parameters. At the second stage, the optimal consistent estimates that minimise the distance between the direct estimates and the consistency hyper\u2010plane can be deduced as the weighted least squares solution to a linear regression model with a specific design matrix that represents the consistency conditions. The consistent MTC estimates can then be represented explicitly as linear combinations of direct estimates, and under normality assumptions the overall evidence consistency can be tested with a likelihood\u2010ratio statistic. This two\u2010stage framework further allows us to use the leverage statistics to diagnose influence of the first\u2010stage evidence and use the regression residuals to assess local inconsistency. The method is illustrated with two examples from medical research.", "author" : [ { "dropping-particle" : "", "family" : "Lu", "given" : "G.", "non-dropping-particle" : "", "parse-names" : false, "suffix" : "" }, { "dropping-particle" : "", "family" : "Welton", "given" : "Nicky J", "non-dropping-particle" : "", "parse-names" : false, "suffix" : "" }, { "dropping-particle" : "", "family" : "Higgins", "given" : "J", "non-dropping-particle" : "", "parse-names" : false, "suffix" : "" }, { "dropping-particle" : "", "family" : "White", "given" : "Ian R.", "non-dropping-particle" : "", "parse-names" : false, "suffix" : "" }, { "dropping-particle" : "", "family" : "Ades", "given" : "A E", "non-dropping-particle" : "", "parse-names" : false, "suffix" : "" } ], "container-title" : "Research Synthesis Methods", "id" : "ITEM-1", "issue" : "1", "issued" : { "date-parts" : [ [ "2011" ] ] }, "page" : "43-60", "title" : "Linear inference for mixed treatment comparison meta-analysis: A two-stage approach", "type" : "article-journal", "volume" : "2" }, "uris" : [ "http://www.mendeley.com/documents/?uuid=7997c6c8-1d36-4145-b4ea-24ba7087c79c" ] } ], "mendeley" : { "formattedCitation" : "[26]", "plainTextFormattedCitation" : "[26]", "previouslyFormattedCitation" : "[26]" }, "properties" : { "noteIndex" : 0 }, "schema" : "https://github.com/citation-style-language/schema/raw/master/csl-citation.json" }</w:instrText>
      </w:r>
      <w:r>
        <w:fldChar w:fldCharType="separate"/>
      </w:r>
      <w:bookmarkStart w:id="68" w:name="__Fieldmark__438_1374788089"/>
      <w:r>
        <w:rPr>
          <w:rFonts w:ascii="Arial" w:hAnsi="Arial"/>
          <w:noProof/>
        </w:rPr>
        <w:t>[</w:t>
      </w:r>
      <w:bookmarkStart w:id="69" w:name="__Fieldmark__418_1114282649"/>
      <w:bookmarkStart w:id="70" w:name="__Fieldmark__367_931786406"/>
      <w:r>
        <w:rPr>
          <w:rFonts w:ascii="Arial" w:hAnsi="Arial"/>
          <w:noProof/>
        </w:rPr>
        <w:t>26]</w:t>
      </w:r>
      <w:r>
        <w:fldChar w:fldCharType="end"/>
      </w:r>
      <w:bookmarkEnd w:id="68"/>
      <w:bookmarkEnd w:id="69"/>
      <w:bookmarkEnd w:id="70"/>
      <w:r>
        <w:rPr>
          <w:rFonts w:ascii="Arial" w:hAnsi="Arial"/>
        </w:rPr>
        <w:t xml:space="preserve"> model has also been shown to be equivalent to the design-by-treatment interaction model </w:t>
      </w:r>
      <w:r>
        <w:fldChar w:fldCharType="begin" w:fldLock="1"/>
      </w:r>
      <w:r>
        <w:instrText>ADDIN CSL_CITATION { "citationItems" : [ { "id" : "ITEM-1", "itemData" : { "DOI" : "10.1002/sim.6188", "ISSN" : "10970258", "PMID" : "24777711", "abstract" : "Network meta-analysis is becoming more popular as a way to analyse multiple treatments simultaneously and, in the right circumstances, rank treatments. A difficulty in practice is the possibility of 'inconsistency' or 'incoherence', where direct evidence and indirect evidence are not in agreement. Here, we develop a random-effects implementation of the recently proposed design-by-treatment interaction model, using these random effects to model inconsistency and estimate the parameters of primary interest. Our proposal is a generalisation of the model proposed by Lumley and allows trials with three or more arms to be included in the analysis. Our methods also facilitate the ranking of treatments under inconsistency. We derive R and I(2) statistics to quantify the impact of the between-study heterogeneity and the inconsistency. We apply our model to two examples. \u00a9 2014 The Authors. Statistics in Medicine published by John Wiley &amp; Sons, Ltd.", "author" : [ { "dropping-particle" : "", "family" : "Jackson", "given" : "Dan", "non-dropping-particle" : "", "parse-names" : false, "suffix" : "" }, { "dropping-particle" : "", "family" : "Barrett", "given" : "Jessica K.", "non-dropping-particle" : "", "parse-names" : false, "suffix" : "" }, { "dropping-particle" : "", "family" : "Rice", "given" : "Stephen", "non-dropping-particle" : "", "parse-names" : false, "suffix" : "" }, { "dropping-particle" : "", "family" : "White", "given" : "Ian R.", "non-dropping-particle" : "", "parse-names" : false, "suffix" : "" }, { "dropping-particle" : "", "family" : "Higgins", "given" : "J", "non-dropping-particle" : "", "parse-names" : false, "suffix" : "" } ], "container-title" : "Statistics in Medicine", "id" : "ITEM-1", "issue" : "21", "issued" : { "date-parts" : [ [ "2014" ] ] }, "page" : "3639-3654", "title" : "A design-by-treatment interaction model for network meta-analysis with random inconsistency effects", "type" : "article-journal", "volume" : "33" }, "uris" : [ "http://www.mendeley.com/documents/?uuid=9e0863ec-6582-4267-87ab-61d641ad80ba" ] }, { "id" : "ITEM-2", "itemData" : { "DOI" : "10.1002/jrsm.1188", "ISSN" : "17592879", "author" : [ { "dropping-particle" : "", "family" : "Jackson", "given" : "Dan", "non-dropping-particle" : "", "parse-names" : false, "suffix" : "" }, { "dropping-particle" : "", "family" : "Boddington", "given" : "Paul", "non-dropping-particle" : "", "parse-names" : false, "suffix" : "" }, { "dropping-particle" : "", "family" : "White", "given" : "Ian R", "non-dropping-particle" : "", "parse-names" : false, "suffix" : "" } ], "container-title" : "Research Synthesis Methods", "id" : "ITEM-2", "issue" : "3", "issued" : { "date-parts" : [ [ "2016" ] ] }, "page" : "329\u2013332", "title" : "The design-by-treatment interaction model: a unifying framework for modelling loop inconsistency in network meta-analysis", "type" : "article-journal", "volume" : "7" }, "uris" : [ "http://www.mendeley.com/documents/?uuid=03cb9ef6-0cfb-49cd-90b4-3deae470de42" ] }, { "id" : "ITEM-3", "itemData" : { "DOI" : "10.1002/jrsm.1044", "ISSN" : "17592879", "author" : [ { "dropping-particle" : "", "family" : "Higgins", "given" : "J", "non-dropping-particle" : "", "parse-names" : false, "suffix" : "" }, { "dropping-particle" : "", "family" : "Jackson", "given" : "D", "non-dropping-particle" : "", "parse-names" : false, "suffix" : "" }, { "dropping-particle" : "", "family" : "Barrett", "given" : "J. K.", "non-dropping-particle" : "", "parse-names" : false, "suffix" : "" }, { "dropping-particle" : "", "family" : "Lu", "given" : "G.", "non-dropping-particle" : "", "parse-names" : false, "suffix" : "" }, { "dropping-particle" : "", "family" : "Ades", "given" : "A. E.", "non-dropping-particle" : "", "parse-names" : false, "suffix" : "" }, { "dropping-particle" : "", "family" : "White", "given" : "Ian R.", "non-dropping-particle" : "", "parse-names" : false, "suffix" : "" } ], "container-title" : "Research Synthesis Methods", "id" : "ITEM-3", "issue" : "2", "issued" : { "date-parts" : [ [ "2012" ] ] }, "page" : "98-110", "title" : "Consistency and inconsistency in network meta-analysis: concepts and models for multi-arm studies", "type" : "article-journal", "volume" : "3" }, "uris" : [ "http://www.mendeley.com/documents/?uuid=1fd186ba-fb9b-4264-b1bc-fc56fcaa5cc2" ] } ], "mendeley" : { "formattedCitation" : "[27\u201329]", "plainTextFormattedCitation" : "[27\u201329]", "previouslyFormattedCitation" : "[27\u201329]" }, "properties" : { "noteIndex" : 0 }, "schema" : "https://github.com/citation-style-language/schema/raw/master/csl-citation.json" }</w:instrText>
      </w:r>
      <w:r>
        <w:fldChar w:fldCharType="separate"/>
      </w:r>
      <w:bookmarkStart w:id="71" w:name="__Fieldmark__447_1374788089"/>
      <w:r>
        <w:rPr>
          <w:rFonts w:ascii="Arial" w:hAnsi="Arial"/>
          <w:noProof/>
        </w:rPr>
        <w:t>[</w:t>
      </w:r>
      <w:bookmarkStart w:id="72" w:name="__Fieldmark__425_1114282649"/>
      <w:bookmarkStart w:id="73" w:name="__Fieldmark__374_931786406"/>
      <w:r>
        <w:rPr>
          <w:rFonts w:ascii="Arial" w:hAnsi="Arial"/>
          <w:noProof/>
        </w:rPr>
        <w:t>27–29]</w:t>
      </w:r>
      <w:r>
        <w:fldChar w:fldCharType="end"/>
      </w:r>
      <w:bookmarkEnd w:id="71"/>
      <w:bookmarkEnd w:id="72"/>
      <w:bookmarkEnd w:id="73"/>
      <w:r>
        <w:rPr>
          <w:rFonts w:ascii="Arial" w:hAnsi="Arial"/>
        </w:rPr>
        <w:t xml:space="preserve"> but can be programmed and interpreted in the frequentist fashion. </w:t>
      </w:r>
      <w:r>
        <w:fldChar w:fldCharType="begin" w:fldLock="1"/>
      </w:r>
      <w:r>
        <w:instrText>ADDIN CSL_CITATION { "citationItems" : [ { "id" : "ITEM-1", "itemData" : { "author" : [ { "dropping-particle" : "", "family" : "Kessels", "given" : "Alphons G", "non-dropping-particle" : "", "parse-names" : false, "suffix" : "" }, { "dropping-particle" : "", "family" : "Riet", "given" : "G", "non-dropping-particle" : "", "parse-names" : false, "suffix" : "" }, { "dropping-particle" : "", "family" : "Puhan", "given" : "Milo A.", "non-dropping-particle" : "", "parse-names" : false, "suffix" : "" }, { "dropping-particle" : "", "family" : "Kleijnen", "given" : "J", "non-dropping-particle" : "", "parse-names" : false, "suffix" : "" }, { "dropping-particle" : "", "family" : "Bachmann", "given" : "L M", "non-dropping-particle" : "", "parse-names" : false, "suffix" : "" }, { "dropping-particle" : "", "family" : "Minder", "given" : "Che", "non-dropping-particle" : "", "parse-names" : false, "suffix" : "" } ], "container-title" : "OA Epidemiology", "id" : "ITEM-1", "issued" : { "date-parts" : [ [ "2013" ] ] }, "page" : "1-8", "title" : "A simple regression model for network meta-analysis", "type" : "article-journal" }, "uris" : [ "http://www.mendeley.com/documents/?uuid=9daaa15d-dc02-4bfd-a869-a9b04c78f42b" ] } ], "mendeley" : { "formattedCitation" : "[30]", "manualFormatting" : "Kessels et al. 2013", "plainTextFormattedCitation" : "[30]", "previouslyFormattedCitation" : "[30]" }, "properties" : { "noteIndex" : 0 }, "schema" : "https://github.com/citation-style-language/schema/raw/master/csl-citation.json" }</w:instrText>
      </w:r>
      <w:r>
        <w:fldChar w:fldCharType="separate"/>
      </w:r>
      <w:bookmarkStart w:id="74" w:name="__Fieldmark__456_1374788089"/>
      <w:r>
        <w:rPr>
          <w:rFonts w:ascii="Arial" w:hAnsi="Arial"/>
          <w:noProof/>
        </w:rPr>
        <w:t>K</w:t>
      </w:r>
      <w:bookmarkStart w:id="75" w:name="__Fieldmark__381_931786406"/>
      <w:r>
        <w:rPr>
          <w:rFonts w:ascii="Arial" w:hAnsi="Arial"/>
          <w:noProof/>
        </w:rPr>
        <w:t>e</w:t>
      </w:r>
      <w:bookmarkStart w:id="76" w:name="__Fieldmark__432_1114282649"/>
      <w:r>
        <w:rPr>
          <w:rFonts w:ascii="Arial" w:hAnsi="Arial"/>
          <w:noProof/>
        </w:rPr>
        <w:t>ssels et al. 2013</w:t>
      </w:r>
      <w:r>
        <w:fldChar w:fldCharType="end"/>
      </w:r>
      <w:bookmarkEnd w:id="74"/>
      <w:bookmarkEnd w:id="75"/>
      <w:bookmarkEnd w:id="76"/>
      <w:r>
        <w:rPr>
          <w:rFonts w:ascii="Arial" w:hAnsi="Arial"/>
        </w:rPr>
        <w:t xml:space="preserve"> have also discussed the issue of correlation in multi-arm trials explicitly and proposed simple solutions to it. Unfortunately their method was not directly applicable to the MSC setting, due to the presence of cohorts with more than 2 scores.</w:t>
      </w:r>
    </w:p>
    <w:p w14:paraId="498B9479" w14:textId="77777777" w:rsidR="00342E07" w:rsidRDefault="005356A1">
      <w:pPr>
        <w:pStyle w:val="BodyText"/>
        <w:spacing w:after="170" w:line="480" w:lineRule="auto"/>
      </w:pPr>
      <w:r>
        <w:rPr>
          <w:rFonts w:ascii="Arial" w:hAnsi="Arial"/>
        </w:rPr>
        <w:t xml:space="preserve">Another important task in performing network meta-analysis is to understand if and where inconsistency between direct and indirect estimates of treatment effects occurs </w:t>
      </w:r>
      <w:r>
        <w:fldChar w:fldCharType="begin" w:fldLock="1"/>
      </w:r>
      <w:r>
        <w:instrText>ADDIN CSL_CITATION { "citationItems" : [ { "id" : "ITEM-1", "itemData" : { "DOI" : "10.1002/sim.3767", "ISBN" : "0277-6715", "ISSN" : "02776715", "PMID" : "20213715", "abstract" : "Pooling of direct and indirect evidence from randomized trials, known as mixed treatment comparisons (MTC), is becoming increasingly common in the clinical literature. MTC allows coherent judgements on which of the several treatments is the most effective and produces estimates of the relative effects of each treatment compared with every other treatment in a network.We introduce two methods for checking consistency of direct and indirect evidence. The first method (back-calculation) infers the contribution of indirect evidence from the direct evidence and the output of an MTC analysis and is useful when the only available data consist of pooled summaries of the pairwise contrasts. The second more general, but computationally intensive, method is based on 'node-splitting' which separates evidence on a particular comparison (node) into 'direct' and 'indirect' and can be applied to networks where trial-level data are available. Methods are illustrated with examples from the literature. We take a hierarchical Bayesian approach to MTC implemented using WinBUGS and R.We show that both methods are useful in identifying potential inconsistencies in different types of network and that they illustrate how the direct and indirect evidence combine to produce the posterior MTC estimates of relative treatment effects. This allows users to understand how MTC synthesis is pooling the data, and what is 'driving' the final estimates.We end with some considerations on the modelling assumptions being made, the problems with the extension of the back-calculation method to trial-level data and discuss our methods in the context of the existing literature.", "author" : [ { "dropping-particle" : "", "family" : "Dias", "given" : "S.", "non-dropping-particle" : "", "parse-names" : false, "suffix" : "" }, { "dropping-particle" : "", "family" : "Welton", "given" : "N. J.", "non-dropping-particle" : "", "parse-names" : false, "suffix" : "" }, { "dropping-particle" : "", "family" : "Caldwell", "given" : "D. M.", "non-dropping-particle" : "", "parse-names" : false, "suffix" : "" }, { "dropping-particle" : "", "family" : "Ades", "given" : "a. E.", "non-dropping-particle" : "", "parse-names" : false, "suffix" : "" } ], "container-title" : "Statistics in Medicine", "id" : "ITEM-1", "issue" : "November 2008", "issued" : { "date-parts" : [ [ "2010" ] ] }, "page" : "932-944", "title" : "Checking consistency in mixed treatment comparison meta-analysis", "type" : "article-journal", "volume" : "29" }, "uris" : [ "http://www.mendeley.com/documents/?uuid=c599817a-ef15-40bf-a175-91a05e523568" ] } ], "mendeley" : { "formattedCitation" : "[31]", "manualFormatting" : "Dias et al. 2010", "plainTextFormattedCitation" : "[31]", "previouslyFormattedCitation" : "[31]" }, "properties" : { "noteIndex" : 0 }, "schema" : "https://github.com/citation-style-language/schema/raw/master/csl-citation.json" }</w:instrText>
      </w:r>
      <w:r>
        <w:fldChar w:fldCharType="separate"/>
      </w:r>
      <w:bookmarkStart w:id="77" w:name="__Fieldmark__469_1374788089"/>
      <w:r>
        <w:rPr>
          <w:rFonts w:ascii="Arial" w:hAnsi="Arial"/>
          <w:noProof/>
        </w:rPr>
        <w:t>D</w:t>
      </w:r>
      <w:bookmarkStart w:id="78" w:name="__Fieldmark__390_931786406"/>
      <w:r>
        <w:rPr>
          <w:rFonts w:ascii="Arial" w:hAnsi="Arial"/>
          <w:noProof/>
        </w:rPr>
        <w:t>i</w:t>
      </w:r>
      <w:bookmarkStart w:id="79" w:name="__Fieldmark__443_1114282649"/>
      <w:r>
        <w:rPr>
          <w:rFonts w:ascii="Arial" w:hAnsi="Arial"/>
          <w:noProof/>
        </w:rPr>
        <w:t>as et al. 2010</w:t>
      </w:r>
      <w:r>
        <w:fldChar w:fldCharType="end"/>
      </w:r>
      <w:bookmarkEnd w:id="77"/>
      <w:bookmarkEnd w:id="78"/>
      <w:bookmarkEnd w:id="79"/>
      <w:r>
        <w:rPr>
          <w:rFonts w:ascii="Arial" w:hAnsi="Arial"/>
        </w:rPr>
        <w:t xml:space="preserve"> describe two different approaches to examine inconsistency in MTC. The first approach, “back calculation” </w:t>
      </w:r>
      <w:r>
        <w:fldChar w:fldCharType="begin" w:fldLock="1"/>
      </w:r>
      <w:r>
        <w:instrText>ADDIN CSL_CITATION { "citationItems" : [ { "id" : "ITEM-1", "itemData" : { "DOI" : "10.1016/S0895-4356(97)00049-8", "ISBN" : "0895-4356 (Print)\\n0895-4356 (Linking)", "ISSN" : "08954356", "PMID" : "9250266", "abstract" : "When little or no data directly comparing two treatments are available, investigators often rely on indirect comparisons from studies testing the treatments against a control or placebo. One approach to indirect comparison is to pool findings from the active treatment arms of the original controlled trials. This approach offers no advantage over a comparison of observational study data and is prone to bias. We present an alternative model that evaluates the differences between treatment and placebo in two sets of clinical trials, and preserves the randomization of the originally assigned patient groups. We apply the method to data on sulphamethoxazole-trimethoprim or dapsone/pyrimethamine as prophylaxis against Pneumocystis carinii in HIV infected patients. The indirect comparison showed substantial increased benefit from the former (odds ratio 0.37, 95% CI 0.21 to 0.65), while direct comparisons from randomized trials suggests a much smaller difference (risk ratio 0.64, 95% CI 0.45 to 0.90; p-value for difference of effect = O.11). Direct comparisons of treatments should be sought. When direct comparisons are unavailable, indirect comparison meta-analysis should evaluate the magnitude of treatment effects across studies, recognizing the limited strength of inference.", "author" : [ { "dropping-particle" : "", "family" : "Bucher", "given" : "Heiner C.", "non-dropping-particle" : "", "parse-names" : false, "suffix" : "" }, { "dropping-particle" : "", "family" : "Guyatt", "given" : "Gordon H.", "non-dropping-particle" : "", "parse-names" : false, "suffix" : "" }, { "dropping-particle" : "", "family" : "Griffith", "given" : "Lauren E.", "non-dropping-particle" : "", "parse-names" : false, "suffix" : "" }, { "dropping-particle" : "", "family" : "Walter", "given" : "Stephen D.", "non-dropping-particle" : "", "parse-names" : false, "suffix" : "" } ], "container-title" : "Journal of Clinical Epidemiology", "id" : "ITEM-1", "issue" : "6", "issued" : { "date-parts" : [ [ "1997" ] ] }, "page" : "683-691", "title" : "The results of direct and indirect treatment comparisons in meta-analysis of randomized controlled trials", "type" : "article-journal", "volume" : "50" }, "uris" : [ "http://www.mendeley.com/documents/?uuid=8bb8990f-c4d3-4b53-9f43-c07b458d93cb" ] } ], "mendeley" : { "formattedCitation" : "[32]", "plainTextFormattedCitation" : "[32]", "previouslyFormattedCitation" : "[32]" }, "properties" : { "noteIndex" : 0 }, "schema" : "https://github.com/citation-style-language/schema/raw/master/csl-citation.json" }</w:instrText>
      </w:r>
      <w:r>
        <w:fldChar w:fldCharType="separate"/>
      </w:r>
      <w:bookmarkStart w:id="80" w:name="__Fieldmark__480_1374788089"/>
      <w:r>
        <w:rPr>
          <w:rFonts w:ascii="Arial" w:hAnsi="Arial"/>
          <w:noProof/>
        </w:rPr>
        <w:t>[</w:t>
      </w:r>
      <w:bookmarkStart w:id="81" w:name="__Fieldmark__450_1114282649"/>
      <w:bookmarkStart w:id="82" w:name="__Fieldmark__397_931786406"/>
      <w:r>
        <w:rPr>
          <w:rFonts w:ascii="Arial" w:hAnsi="Arial"/>
          <w:noProof/>
        </w:rPr>
        <w:t>32]</w:t>
      </w:r>
      <w:r>
        <w:fldChar w:fldCharType="end"/>
      </w:r>
      <w:bookmarkEnd w:id="80"/>
      <w:bookmarkEnd w:id="81"/>
      <w:bookmarkEnd w:id="82"/>
      <w:r>
        <w:rPr>
          <w:rFonts w:ascii="Arial" w:hAnsi="Arial"/>
        </w:rPr>
        <w:t xml:space="preserve"> uses the loop structure in the network to compare the direct estimate with its indirect counterpart as in the consistency equation above, and works assuming no indirect evidence from multi-arm trials is present. The second approach, “node-splitting”. </w:t>
      </w:r>
      <w:r>
        <w:rPr>
          <w:rFonts w:ascii="Arial" w:hAnsi="Arial" w:cs="Arial"/>
        </w:rPr>
        <w:t>‘Node-splitting’ separates evidence on a particular comparison (node) into ‘direct’ and ‘indirect’. Thus, in our MSC meta-analysis, the evaluation of the performance comparison between two scores (say A and B) Δ</w:t>
      </w:r>
      <w:r>
        <w:rPr>
          <w:rFonts w:ascii="Arial" w:hAnsi="Arial" w:cs="Arial"/>
          <w:vertAlign w:val="subscript"/>
        </w:rPr>
        <w:t xml:space="preserve">AB </w:t>
      </w:r>
      <w:r>
        <w:rPr>
          <w:rFonts w:ascii="Arial" w:hAnsi="Arial" w:cs="Arial"/>
        </w:rPr>
        <w:t>is decomposed</w:t>
      </w:r>
      <w:r>
        <w:rPr>
          <w:rFonts w:ascii="Arial" w:hAnsi="Arial" w:cs="Arial"/>
          <w:vertAlign w:val="subscript"/>
        </w:rPr>
        <w:t xml:space="preserve"> </w:t>
      </w:r>
      <w:r>
        <w:rPr>
          <w:rFonts w:ascii="Arial" w:hAnsi="Arial" w:cs="Arial"/>
        </w:rPr>
        <w:t>into</w:t>
      </w:r>
      <w:r>
        <w:rPr>
          <w:rFonts w:ascii="Arial" w:hAnsi="Arial" w:cs="Arial"/>
          <w:vertAlign w:val="subscript"/>
        </w:rPr>
        <w:t xml:space="preserve"> </w:t>
      </w:r>
      <w:proofErr w:type="spellStart"/>
      <w:r>
        <w:rPr>
          <w:rFonts w:ascii="Arial" w:hAnsi="Arial" w:cs="Arial"/>
        </w:rPr>
        <w:t>Δ</w:t>
      </w:r>
      <w:r>
        <w:rPr>
          <w:rFonts w:ascii="Arial" w:hAnsi="Arial" w:cs="Arial"/>
          <w:vertAlign w:val="superscript"/>
        </w:rPr>
        <w:t>dir</w:t>
      </w:r>
      <w:r>
        <w:rPr>
          <w:rFonts w:ascii="Arial" w:hAnsi="Arial" w:cs="Arial"/>
          <w:vertAlign w:val="subscript"/>
        </w:rPr>
        <w:t>AB</w:t>
      </w:r>
      <w:proofErr w:type="spellEnd"/>
      <w:r>
        <w:rPr>
          <w:rFonts w:ascii="Arial" w:hAnsi="Arial" w:cs="Arial"/>
          <w:vertAlign w:val="subscript"/>
        </w:rPr>
        <w:t xml:space="preserve"> and </w:t>
      </w:r>
      <w:proofErr w:type="spellStart"/>
      <w:r>
        <w:rPr>
          <w:rFonts w:ascii="Arial" w:hAnsi="Arial" w:cs="Arial"/>
        </w:rPr>
        <w:t>Δ</w:t>
      </w:r>
      <w:r>
        <w:rPr>
          <w:rFonts w:ascii="Arial" w:hAnsi="Arial" w:cs="Arial"/>
          <w:vertAlign w:val="superscript"/>
        </w:rPr>
        <w:t>ind</w:t>
      </w:r>
      <w:r>
        <w:rPr>
          <w:rFonts w:ascii="Arial" w:hAnsi="Arial" w:cs="Arial"/>
          <w:vertAlign w:val="subscript"/>
        </w:rPr>
        <w:t>AB</w:t>
      </w:r>
      <w:proofErr w:type="spellEnd"/>
      <w:r>
        <w:rPr>
          <w:rFonts w:ascii="Arial" w:hAnsi="Arial" w:cs="Arial"/>
          <w:vertAlign w:val="subscript"/>
        </w:rPr>
        <w:t xml:space="preserve"> </w:t>
      </w:r>
      <w:r>
        <w:rPr>
          <w:rFonts w:ascii="Arial" w:hAnsi="Arial" w:cs="Arial"/>
        </w:rPr>
        <w:t xml:space="preserve">(respectively the direct and indirect component). In practice, in multi-score cohorts the two relevant scores are included in the estimation of </w:t>
      </w:r>
      <w:proofErr w:type="spellStart"/>
      <w:r>
        <w:rPr>
          <w:rFonts w:ascii="Arial" w:hAnsi="Arial" w:cs="Arial"/>
        </w:rPr>
        <w:t>Δ</w:t>
      </w:r>
      <w:r>
        <w:rPr>
          <w:rFonts w:ascii="Arial" w:hAnsi="Arial" w:cs="Arial"/>
          <w:vertAlign w:val="superscript"/>
        </w:rPr>
        <w:t>dir</w:t>
      </w:r>
      <w:r>
        <w:rPr>
          <w:rFonts w:ascii="Arial" w:hAnsi="Arial" w:cs="Arial"/>
          <w:vertAlign w:val="subscript"/>
        </w:rPr>
        <w:t>AB</w:t>
      </w:r>
      <w:proofErr w:type="spellEnd"/>
      <w:r>
        <w:rPr>
          <w:rFonts w:ascii="Arial" w:hAnsi="Arial" w:cs="Arial"/>
        </w:rPr>
        <w:t>, while the remaining scores are included in the indirect estimation of the relevant performance comparison through the MSC meta-analysis comparison (</w:t>
      </w:r>
      <w:proofErr w:type="spellStart"/>
      <w:r>
        <w:rPr>
          <w:rFonts w:ascii="Arial" w:hAnsi="Arial" w:cs="Arial"/>
        </w:rPr>
        <w:t>Δ</w:t>
      </w:r>
      <w:r>
        <w:rPr>
          <w:rFonts w:ascii="Arial" w:hAnsi="Arial" w:cs="Arial"/>
          <w:vertAlign w:val="superscript"/>
        </w:rPr>
        <w:t>ind</w:t>
      </w:r>
      <w:r>
        <w:rPr>
          <w:rFonts w:ascii="Arial" w:hAnsi="Arial" w:cs="Arial"/>
          <w:vertAlign w:val="subscript"/>
        </w:rPr>
        <w:t>AB</w:t>
      </w:r>
      <w:proofErr w:type="spellEnd"/>
      <w:r>
        <w:rPr>
          <w:rFonts w:ascii="Arial" w:hAnsi="Arial" w:cs="Arial"/>
        </w:rPr>
        <w:t xml:space="preserve">). Even if the scores </w:t>
      </w:r>
      <w:proofErr w:type="gramStart"/>
      <w:r>
        <w:rPr>
          <w:rFonts w:ascii="Arial" w:hAnsi="Arial" w:cs="Arial"/>
        </w:rPr>
        <w:t>A and</w:t>
      </w:r>
      <w:proofErr w:type="gramEnd"/>
      <w:r>
        <w:rPr>
          <w:rFonts w:ascii="Arial" w:hAnsi="Arial" w:cs="Arial"/>
        </w:rPr>
        <w:t xml:space="preserve"> B are not directly compared, they are in general present either one or the other in some cohorts and, thus, their indirect comparison can be performed anyway. Multi-arm trials can be split in a similar fashion, so that those treatment arms</w:t>
      </w:r>
      <w:r>
        <w:rPr>
          <w:rFonts w:ascii="Arial" w:hAnsi="Arial"/>
        </w:rPr>
        <w:t xml:space="preserve"> which do not contribute to the direct estimate are included in the calculation of the indirect estimate. In this manner, all data in the meta-analysis contributes to either the direct or the indirect evidence, but not both.</w:t>
      </w:r>
    </w:p>
    <w:p w14:paraId="0ACBB323" w14:textId="77777777" w:rsidR="00342E07" w:rsidRDefault="005356A1">
      <w:pPr>
        <w:pStyle w:val="BodyText"/>
        <w:spacing w:after="170" w:line="480" w:lineRule="auto"/>
      </w:pPr>
      <w:r>
        <w:rPr>
          <w:rFonts w:ascii="Arial" w:hAnsi="Arial"/>
        </w:rPr>
        <w:t xml:space="preserve">Another important aspect of this MSC meta-analysis was how to depict the network of evidence graphically. Some authors have used polygons to show multi-arm trials, for example in the smoking cessation example. Recently, </w:t>
      </w:r>
      <w:r>
        <w:fldChar w:fldCharType="begin" w:fldLock="1"/>
      </w:r>
      <w:r>
        <w:instrText>ADDIN CSL_CITATION { "citationItems" : [ { "id" : "ITEM-1", "itemData" : { "author" : [ { "dropping-particle" : "", "family" : "R\u00fccker", "given" : "Gerta", "non-dropping-particle" : "", "parse-names" : false, "suffix" : "" }, { "dropping-particle" : "", "family" : "Schwarzer", "given" : "Guido", "non-dropping-particle" : "", "parse-names" : false, "suffix" : "" }, { "dropping-particle" : "", "family" : "Krahn", "given" : "Ulrike", "non-dropping-particle" : "", "parse-names" : false, "suffix" : "" }, { "dropping-particle" : "", "family" : "K\u00f6nig", "given" : "Jochem", "non-dropping-particle" : "", "parse-names" : false, "suffix" : "" } ], "id" : "ITEM-1", "issued" : { "date-parts" : [ [ "2016" ] ] }, "number" : "0.9-0", "title" : "netmeta: Network Meta-Analysis using Frequentist Methods", "type" : "article" }, "uris" : [ "http://www.mendeley.com/documents/?uuid=98e3dfb0-6c43-4340-af89-3f8d6f320088" ] } ], "mendeley" : { "formattedCitation" : "[33]", "manualFormatting" : "R\u00fccker et al. 2016", "plainTextFormattedCitation" : "[33]", "previouslyFormattedCitation" : "[33]" }, "properties" : { "noteIndex" : 0 }, "schema" : "https://github.com/citation-style-language/schema/raw/master/csl-citation.json" }</w:instrText>
      </w:r>
      <w:r>
        <w:fldChar w:fldCharType="separate"/>
      </w:r>
      <w:bookmarkStart w:id="83" w:name="__Fieldmark__520_1374788089"/>
      <w:r>
        <w:rPr>
          <w:rFonts w:ascii="Arial" w:hAnsi="Arial"/>
          <w:noProof/>
        </w:rPr>
        <w:t>R</w:t>
      </w:r>
      <w:bookmarkStart w:id="84" w:name="__Fieldmark__426_931786406"/>
      <w:r>
        <w:rPr>
          <w:rFonts w:ascii="Arial" w:hAnsi="Arial"/>
          <w:noProof/>
        </w:rPr>
        <w:t>ü</w:t>
      </w:r>
      <w:bookmarkStart w:id="85" w:name="__Fieldmark__504_1114282649"/>
      <w:r>
        <w:rPr>
          <w:rFonts w:ascii="Arial" w:hAnsi="Arial"/>
          <w:noProof/>
        </w:rPr>
        <w:t>cker et al. 2016</w:t>
      </w:r>
      <w:r>
        <w:fldChar w:fldCharType="end"/>
      </w:r>
      <w:bookmarkEnd w:id="83"/>
      <w:bookmarkEnd w:id="84"/>
      <w:bookmarkEnd w:id="85"/>
      <w:r>
        <w:rPr>
          <w:rFonts w:ascii="Arial" w:hAnsi="Arial"/>
        </w:rPr>
        <w:t xml:space="preserve"> proposed an automated method for drawing such network graphs, and suggested using filled polygons to represent multi-arm trials. </w:t>
      </w:r>
    </w:p>
    <w:p w14:paraId="43A3FCA3" w14:textId="77777777" w:rsidR="00342E07" w:rsidRDefault="005356A1">
      <w:pPr>
        <w:pStyle w:val="Heading2"/>
      </w:pPr>
      <w:bookmarkStart w:id="86" w:name="_Toc488490626"/>
      <w:bookmarkStart w:id="87" w:name="_Toc373597604"/>
      <w:bookmarkEnd w:id="86"/>
      <w:r>
        <w:t>Code discussion</w:t>
      </w:r>
      <w:bookmarkEnd w:id="87"/>
    </w:p>
    <w:p w14:paraId="051FD887" w14:textId="77777777" w:rsidR="00342E07" w:rsidRDefault="005356A1">
      <w:pPr>
        <w:pStyle w:val="BodyText"/>
        <w:spacing w:after="170" w:line="480" w:lineRule="auto"/>
        <w:rPr>
          <w:rFonts w:ascii="Arial" w:hAnsi="Arial"/>
        </w:rPr>
      </w:pPr>
      <w:r>
        <w:rPr>
          <w:rFonts w:ascii="Arial" w:hAnsi="Arial"/>
        </w:rPr>
        <w:t xml:space="preserve">The two stage method also has a significant drawback in that it cannot be implemented using standard regression models if any multi-arm trials are present. Lu et al. 2011 provide R code </w:t>
      </w:r>
      <w:r>
        <w:fldChar w:fldCharType="begin" w:fldLock="1"/>
      </w:r>
      <w:r>
        <w:instrText>ADDIN CSL_CITATION { "citationItems" : [ { "id" : "ITEM-1", "itemData" : { "author" : [ { "dropping-particle" : "", "family" : "R Core Team", "given" : "", "non-dropping-particle" : "", "parse-names" : false, "suffix" : "" } ], "id" : "ITEM-1", "issued" : { "date-parts" : [ [ "2016" ] ] }, "publisher" : "R Foundation for Statistical Computing", "publisher-place" : "Vienna, Austria", "title" : "R: A language and environment for statistical computing", "type" : "article" }, "uris" : [ "http://www.mendeley.com/documents/?uuid=4bc2f3b1-809b-4f98-b4b2-0076992571fb" ] } ], "mendeley" : { "formattedCitation" : "[34]", "plainTextFormattedCitation" : "[34]", "previouslyFormattedCitation" : "[34]" }, "properties" : { "noteIndex" : 0 }, "schema" : "https://github.com/citation-style-language/schema/raw/master/csl-citation.json" }</w:instrText>
      </w:r>
      <w:r>
        <w:fldChar w:fldCharType="separate"/>
      </w:r>
      <w:bookmarkStart w:id="88" w:name="__Fieldmark__536_1374788089"/>
      <w:r>
        <w:rPr>
          <w:rFonts w:ascii="Arial" w:hAnsi="Arial"/>
          <w:noProof/>
        </w:rPr>
        <w:t>[</w:t>
      </w:r>
      <w:bookmarkStart w:id="89" w:name="__Fieldmark__520_1114282649"/>
      <w:bookmarkStart w:id="90" w:name="__Fieldmark__439_931786406"/>
      <w:r>
        <w:rPr>
          <w:rFonts w:ascii="Arial" w:hAnsi="Arial"/>
          <w:noProof/>
        </w:rPr>
        <w:t>34]</w:t>
      </w:r>
      <w:r>
        <w:fldChar w:fldCharType="end"/>
      </w:r>
      <w:bookmarkEnd w:id="88"/>
      <w:bookmarkEnd w:id="89"/>
      <w:bookmarkEnd w:id="90"/>
      <w:r>
        <w:rPr>
          <w:rFonts w:ascii="Arial" w:hAnsi="Arial"/>
        </w:rPr>
        <w:t xml:space="preserve"> which could be adapted for any number of treatment arms or scores, and suggested that Stata’s </w:t>
      </w:r>
      <w:r>
        <w:fldChar w:fldCharType="begin" w:fldLock="1"/>
      </w:r>
      <w:r>
        <w:instrText>ADDIN CSL_CITATION { "citationItems" : [ { "id" : "ITEM-1", "itemData" : { "author" : [ { "dropping-particle" : "", "family" : "StataCorp.", "given" : "", "non-dropping-particle" : "", "parse-names" : false, "suffix" : "" } ], "id" : "ITEM-1", "issued" : { "date-parts" : [ [ "2013" ] ] }, "publisher" : "StataCorp LP", "publisher-place" : "College Station, TX", "title" : "Stata Statistical Software: Release 13", "type" : "article" }, "uris" : [ "http://www.mendeley.com/documents/?uuid=485537f4-0ebc-4afe-9b79-e99c792c69a5" ] } ], "mendeley" : { "formattedCitation" : "[35]", "plainTextFormattedCitation" : "[35]", "previouslyFormattedCitation" : "[35]" }, "properties" : { "noteIndex" : 0 }, "schema" : "https://github.com/citation-style-language/schema/raw/master/csl-citation.json" }</w:instrText>
      </w:r>
      <w:r>
        <w:fldChar w:fldCharType="separate"/>
      </w:r>
      <w:bookmarkStart w:id="91" w:name="__Fieldmark__545_1374788089"/>
      <w:r>
        <w:rPr>
          <w:rFonts w:ascii="Arial" w:hAnsi="Arial"/>
          <w:noProof/>
        </w:rPr>
        <w:t>[</w:t>
      </w:r>
      <w:bookmarkStart w:id="92" w:name="__Fieldmark__527_1114282649"/>
      <w:bookmarkStart w:id="93" w:name="__Fieldmark__446_931786406"/>
      <w:r>
        <w:rPr>
          <w:rFonts w:ascii="Arial" w:hAnsi="Arial"/>
          <w:noProof/>
        </w:rPr>
        <w:t>35]</w:t>
      </w:r>
      <w:r>
        <w:fldChar w:fldCharType="end"/>
      </w:r>
      <w:bookmarkEnd w:id="91"/>
      <w:bookmarkEnd w:id="92"/>
      <w:bookmarkEnd w:id="93"/>
      <w:r>
        <w:rPr>
          <w:rFonts w:ascii="Arial" w:hAnsi="Arial"/>
        </w:rPr>
        <w:t xml:space="preserve"> function </w:t>
      </w:r>
      <w:proofErr w:type="spellStart"/>
      <w:r>
        <w:rPr>
          <w:rFonts w:ascii="Courier New" w:hAnsi="Courier New"/>
        </w:rPr>
        <w:t>mvmeta</w:t>
      </w:r>
      <w:proofErr w:type="spellEnd"/>
      <w:r>
        <w:fldChar w:fldCharType="begin" w:fldLock="1"/>
      </w:r>
      <w:r>
        <w:instrText>ADDIN CSL_CITATION { "citationItems" : [ { "id" : "ITEM-1", "itemData" : { "DOI" : "The Stata Journal", "ISBN" : "9796964600", "ISSN" : "1536867X", "abstract" : "In this paper, I show how to estimate the parameters of the beta-binomial distribution and its multivariate generalization, the Dirichlet-multinomial distribution. This approach involves no additional programming, as it relies on an existing Stata command used for overdispersed count panel data. Including covariates to allow for regression models based in these distributions is straightforward.", "author" : [ { "dropping-particle" : "", "family" : "White", "given" : "Ian R.", "non-dropping-particle" : "", "parse-names" : false, "suffix" : "" } ], "container-title" : "Stata Journal", "id" : "ITEM-1", "issue" : "2", "issued" : { "date-parts" : [ [ "2011" ] ] }, "page" : "255-270", "title" : "Multivariate random-effects meta-regression: Updates to mvmeta", "type" : "article-journal", "volume" : "11" }, "uris" : [ "http://www.mendeley.com/documents/?uuid=ef236b08-9589-437e-ba06-d504b8334123" ] } ], "mendeley" : { "formattedCitation" : "[36]", "plainTextFormattedCitation" : "[36]", "previouslyFormattedCitation" : "[36]" }, "properties" : { "noteIndex" : 0 }, "schema" : "https://github.com/citation-style-language/schema/raw/master/csl-citation.json" }</w:instrText>
      </w:r>
      <w:r>
        <w:fldChar w:fldCharType="separate"/>
      </w:r>
      <w:bookmarkStart w:id="94" w:name="__Fieldmark__555_1374788089"/>
      <w:r>
        <w:rPr>
          <w:rFonts w:ascii="Courier New" w:hAnsi="Courier New"/>
          <w:noProof/>
        </w:rPr>
        <w:t>[</w:t>
      </w:r>
      <w:bookmarkStart w:id="95" w:name="__Fieldmark__536_1114282649"/>
      <w:bookmarkStart w:id="96" w:name="__Fieldmark__454_931786406"/>
      <w:r>
        <w:rPr>
          <w:rFonts w:ascii="Courier New" w:hAnsi="Courier New"/>
          <w:noProof/>
        </w:rPr>
        <w:t>36]</w:t>
      </w:r>
      <w:r>
        <w:fldChar w:fldCharType="end"/>
      </w:r>
      <w:bookmarkEnd w:id="94"/>
      <w:bookmarkEnd w:id="95"/>
      <w:bookmarkEnd w:id="96"/>
      <w:r>
        <w:rPr>
          <w:rFonts w:ascii="Arial" w:hAnsi="Arial"/>
        </w:rPr>
        <w:t xml:space="preserve"> could also be used to perform meta-analysis for any number of arms. Both of these implementations unfortunately have their own disadvantages. The R version requires inputting a variance-covariance matrix for each cohort, making a spreadsheet an inappropriate tool to store the cohort level aggregate data. On the other hand, the </w:t>
      </w:r>
      <w:proofErr w:type="spellStart"/>
      <w:r>
        <w:rPr>
          <w:rFonts w:ascii="Courier New" w:hAnsi="Courier New"/>
        </w:rPr>
        <w:t>mvmeta</w:t>
      </w:r>
      <w:proofErr w:type="spellEnd"/>
      <w:r>
        <w:rPr>
          <w:rFonts w:ascii="Arial" w:hAnsi="Arial"/>
        </w:rPr>
        <w:t xml:space="preserve"> function in Stata requires one row per study as expected, as well as 1 column for each treatment contrast, 1 column for each variance estimate, and additional columns for each of the covariance estimates. Such a data table may be easy to understand, but it would be unwieldy even with a relatively small number of scores. For example, five prognostic scores require 4 columns for performance comparisons, 4 for variance estimates, and another 10 for the covariance estimates (total 18), while for 9 we need a total of 44. Furthermore, the </w:t>
      </w:r>
      <w:r>
        <w:rPr>
          <w:rFonts w:ascii="Courier New" w:hAnsi="Courier New" w:cs="Courier New"/>
        </w:rPr>
        <w:t xml:space="preserve">network meta </w:t>
      </w:r>
      <w:r>
        <w:rPr>
          <w:rFonts w:ascii="Arial" w:hAnsi="Arial"/>
        </w:rPr>
        <w:t xml:space="preserve">and </w:t>
      </w:r>
      <w:proofErr w:type="spellStart"/>
      <w:r>
        <w:rPr>
          <w:rFonts w:ascii="Courier New" w:hAnsi="Courier New" w:cs="Courier New"/>
        </w:rPr>
        <w:t>mvmeta</w:t>
      </w:r>
      <w:proofErr w:type="spellEnd"/>
      <w:r>
        <w:rPr>
          <w:rFonts w:ascii="Arial" w:hAnsi="Arial"/>
        </w:rPr>
        <w:t xml:space="preserve"> Stat commands make specific assumptions (off-diagonal entries of the covariance matrix set to 0.5, assumption difficult to defend in our case, </w:t>
      </w:r>
      <w:proofErr w:type="spellStart"/>
      <w:r>
        <w:rPr>
          <w:rFonts w:ascii="Arial" w:hAnsi="Arial"/>
        </w:rPr>
        <w:t>Salanti</w:t>
      </w:r>
      <w:proofErr w:type="spellEnd"/>
      <w:r>
        <w:rPr>
          <w:rFonts w:ascii="Arial" w:hAnsi="Arial"/>
        </w:rPr>
        <w:t xml:space="preserve"> 2008) on the correlation structure (the provided options did not look like ready yet for an extension to our methodology, even if we realise, with a little work, Stata can perform the same analysis)(White 2015).  </w:t>
      </w:r>
    </w:p>
    <w:p w14:paraId="31C26851" w14:textId="77777777" w:rsidR="00EA62C1" w:rsidRDefault="00EA62C1">
      <w:pPr>
        <w:pStyle w:val="BodyText"/>
        <w:spacing w:after="170" w:line="480" w:lineRule="auto"/>
        <w:rPr>
          <w:rFonts w:ascii="Arial" w:hAnsi="Arial"/>
        </w:rPr>
      </w:pPr>
    </w:p>
    <w:p w14:paraId="0A28CAE3" w14:textId="77777777" w:rsidR="00EA62C1" w:rsidRDefault="00EA62C1">
      <w:pPr>
        <w:pStyle w:val="BodyText"/>
        <w:spacing w:after="170" w:line="480" w:lineRule="auto"/>
        <w:rPr>
          <w:rFonts w:ascii="Arial" w:hAnsi="Arial"/>
        </w:rPr>
      </w:pPr>
    </w:p>
    <w:p w14:paraId="59FC29AD" w14:textId="77777777" w:rsidR="00EA62C1" w:rsidRDefault="00EA62C1">
      <w:pPr>
        <w:pStyle w:val="BodyText"/>
        <w:spacing w:after="170" w:line="480" w:lineRule="auto"/>
        <w:rPr>
          <w:rFonts w:ascii="Arial" w:hAnsi="Arial"/>
        </w:rPr>
      </w:pPr>
    </w:p>
    <w:p w14:paraId="39D7A911" w14:textId="77777777" w:rsidR="00EA62C1" w:rsidRDefault="00EA62C1">
      <w:pPr>
        <w:pStyle w:val="BodyText"/>
        <w:spacing w:after="170" w:line="480" w:lineRule="auto"/>
        <w:rPr>
          <w:rFonts w:ascii="Arial" w:hAnsi="Arial"/>
        </w:rPr>
      </w:pPr>
    </w:p>
    <w:p w14:paraId="217DB523" w14:textId="77777777" w:rsidR="00EA62C1" w:rsidRDefault="00EA62C1">
      <w:pPr>
        <w:pStyle w:val="BodyText"/>
        <w:spacing w:after="170" w:line="480" w:lineRule="auto"/>
        <w:rPr>
          <w:rFonts w:ascii="Arial" w:hAnsi="Arial"/>
        </w:rPr>
      </w:pPr>
    </w:p>
    <w:p w14:paraId="6E9ACFE3" w14:textId="77777777" w:rsidR="00EA62C1" w:rsidRDefault="00EA62C1">
      <w:pPr>
        <w:pStyle w:val="BodyText"/>
        <w:spacing w:after="170" w:line="480" w:lineRule="auto"/>
        <w:rPr>
          <w:rFonts w:ascii="Arial" w:hAnsi="Arial"/>
        </w:rPr>
      </w:pPr>
    </w:p>
    <w:p w14:paraId="44261EF1" w14:textId="77777777" w:rsidR="00EA62C1" w:rsidRDefault="00EA62C1">
      <w:pPr>
        <w:pStyle w:val="BodyText"/>
        <w:spacing w:after="170" w:line="480" w:lineRule="auto"/>
        <w:rPr>
          <w:rFonts w:ascii="Arial" w:hAnsi="Arial"/>
        </w:rPr>
      </w:pPr>
    </w:p>
    <w:p w14:paraId="057DD78D" w14:textId="77777777" w:rsidR="00EA62C1" w:rsidRDefault="00EA62C1">
      <w:pPr>
        <w:pStyle w:val="BodyText"/>
        <w:spacing w:after="170" w:line="480" w:lineRule="auto"/>
        <w:rPr>
          <w:rFonts w:ascii="Arial" w:hAnsi="Arial"/>
        </w:rPr>
      </w:pPr>
    </w:p>
    <w:p w14:paraId="47C2E116" w14:textId="77777777" w:rsidR="00EA62C1" w:rsidRDefault="00EA62C1">
      <w:pPr>
        <w:pStyle w:val="BodyText"/>
        <w:spacing w:after="170" w:line="480" w:lineRule="auto"/>
        <w:rPr>
          <w:rFonts w:ascii="Arial" w:hAnsi="Arial"/>
        </w:rPr>
      </w:pPr>
    </w:p>
    <w:p w14:paraId="1A41F0EC" w14:textId="77777777" w:rsidR="00EA62C1" w:rsidRDefault="00EA62C1">
      <w:pPr>
        <w:pStyle w:val="BodyText"/>
        <w:spacing w:after="170" w:line="480" w:lineRule="auto"/>
        <w:rPr>
          <w:rFonts w:ascii="Arial" w:hAnsi="Arial"/>
        </w:rPr>
      </w:pPr>
    </w:p>
    <w:p w14:paraId="6EC43EBC" w14:textId="77777777" w:rsidR="00EA62C1" w:rsidRDefault="00EA62C1">
      <w:pPr>
        <w:pStyle w:val="BodyText"/>
        <w:spacing w:after="170" w:line="480" w:lineRule="auto"/>
        <w:rPr>
          <w:rFonts w:ascii="Arial" w:hAnsi="Arial"/>
        </w:rPr>
      </w:pPr>
    </w:p>
    <w:p w14:paraId="79A7AA8E" w14:textId="77777777" w:rsidR="00EA62C1" w:rsidRDefault="00EA62C1">
      <w:pPr>
        <w:pStyle w:val="BodyText"/>
        <w:spacing w:after="170" w:line="480" w:lineRule="auto"/>
        <w:rPr>
          <w:rFonts w:ascii="Arial" w:hAnsi="Arial"/>
        </w:rPr>
      </w:pPr>
    </w:p>
    <w:p w14:paraId="3046F7F5" w14:textId="77777777" w:rsidR="00EA62C1" w:rsidRDefault="00EA62C1">
      <w:pPr>
        <w:pStyle w:val="BodyText"/>
        <w:spacing w:after="170" w:line="480" w:lineRule="auto"/>
        <w:rPr>
          <w:rFonts w:ascii="Arial" w:hAnsi="Arial"/>
        </w:rPr>
      </w:pPr>
    </w:p>
    <w:p w14:paraId="2DA33AE9" w14:textId="77777777" w:rsidR="00EA62C1" w:rsidRDefault="00EA62C1">
      <w:pPr>
        <w:pStyle w:val="BodyText"/>
        <w:spacing w:after="170" w:line="480" w:lineRule="auto"/>
        <w:rPr>
          <w:rFonts w:ascii="Arial" w:hAnsi="Arial"/>
        </w:rPr>
      </w:pPr>
    </w:p>
    <w:p w14:paraId="6A17CC5E" w14:textId="77777777" w:rsidR="008455B1" w:rsidRDefault="008455B1" w:rsidP="008455B1">
      <w:pPr>
        <w:pStyle w:val="Heading2"/>
      </w:pPr>
      <w:bookmarkStart w:id="97" w:name="_Toc373597605"/>
      <w:r>
        <w:t>Data Description</w:t>
      </w:r>
      <w:bookmarkEnd w:id="97"/>
    </w:p>
    <w:p w14:paraId="2E08162E" w14:textId="77777777" w:rsidR="008455B1" w:rsidRDefault="008455B1" w:rsidP="008455B1">
      <w:pPr>
        <w:pStyle w:val="BodyText"/>
        <w:spacing w:after="170" w:line="480" w:lineRule="auto"/>
      </w:pPr>
      <w:r>
        <w:t xml:space="preserve">In </w:t>
      </w:r>
      <w:r>
        <w:fldChar w:fldCharType="begin"/>
      </w:r>
      <w:r>
        <w:instrText xml:space="preserve"> REF _Ref492127455 \h </w:instrText>
      </w:r>
      <w:r>
        <w:fldChar w:fldCharType="separate"/>
      </w:r>
      <w:r w:rsidR="001A1BC1" w:rsidRPr="002E4A39">
        <w:rPr>
          <w:sz w:val="20"/>
          <w:szCs w:val="20"/>
        </w:rPr>
        <w:t>T</w:t>
      </w:r>
      <w:r w:rsidR="001A1BC1">
        <w:rPr>
          <w:b/>
          <w:sz w:val="20"/>
          <w:szCs w:val="20"/>
        </w:rPr>
        <w:t xml:space="preserve">able </w:t>
      </w:r>
      <w:r w:rsidR="001A1BC1">
        <w:rPr>
          <w:noProof/>
        </w:rPr>
        <w:t>1</w:t>
      </w:r>
      <w:r w:rsidR="001A1BC1" w:rsidRPr="006861D4">
        <w:rPr>
          <w:noProof/>
          <w:sz w:val="20"/>
          <w:szCs w:val="20"/>
        </w:rPr>
        <w:t xml:space="preserve"> </w:t>
      </w:r>
      <w:r w:rsidR="001A1BC1" w:rsidRPr="006861D4">
        <w:rPr>
          <w:sz w:val="20"/>
          <w:szCs w:val="20"/>
        </w:rPr>
        <w:t>Study characteristics</w:t>
      </w:r>
      <w:r>
        <w:fldChar w:fldCharType="end"/>
      </w:r>
      <w:r>
        <w:t xml:space="preserve"> the data related to the main variables in the cohorts are summarized.</w:t>
      </w:r>
    </w:p>
    <w:p w14:paraId="0747A8FF" w14:textId="77777777" w:rsidR="008455B1" w:rsidRDefault="008455B1" w:rsidP="008455B1">
      <w:pPr>
        <w:pStyle w:val="BodyText"/>
        <w:spacing w:after="170" w:line="480" w:lineRule="auto"/>
      </w:pPr>
    </w:p>
    <w:p w14:paraId="632B00A6" w14:textId="77777777" w:rsidR="008455B1" w:rsidRDefault="008455B1" w:rsidP="008455B1">
      <w:pPr>
        <w:pStyle w:val="BodyText"/>
        <w:spacing w:after="170" w:line="480" w:lineRule="auto"/>
      </w:pPr>
    </w:p>
    <w:p w14:paraId="03C4BB1F" w14:textId="77777777" w:rsidR="008455B1" w:rsidRDefault="008455B1" w:rsidP="008455B1">
      <w:pPr>
        <w:pStyle w:val="Heading2"/>
      </w:pPr>
    </w:p>
    <w:p w14:paraId="2D4B4D6F" w14:textId="77777777" w:rsidR="008455B1" w:rsidRDefault="008455B1" w:rsidP="008455B1">
      <w:pPr>
        <w:pStyle w:val="Caption"/>
        <w:keepNext/>
      </w:pPr>
    </w:p>
    <w:tbl>
      <w:tblPr>
        <w:tblpPr w:leftFromText="180" w:rightFromText="180" w:vertAnchor="page" w:horzAnchor="page" w:tblpX="630" w:tblpY="1642"/>
        <w:tblW w:w="11667" w:type="dxa"/>
        <w:tblLayout w:type="fixed"/>
        <w:tblLook w:val="04A0" w:firstRow="1" w:lastRow="0" w:firstColumn="1" w:lastColumn="0" w:noHBand="0" w:noVBand="1"/>
      </w:tblPr>
      <w:tblGrid>
        <w:gridCol w:w="1546"/>
        <w:gridCol w:w="722"/>
        <w:gridCol w:w="723"/>
        <w:gridCol w:w="723"/>
        <w:gridCol w:w="723"/>
        <w:gridCol w:w="723"/>
        <w:gridCol w:w="723"/>
        <w:gridCol w:w="723"/>
        <w:gridCol w:w="723"/>
        <w:gridCol w:w="723"/>
        <w:gridCol w:w="723"/>
        <w:gridCol w:w="723"/>
        <w:gridCol w:w="723"/>
        <w:gridCol w:w="723"/>
        <w:gridCol w:w="723"/>
      </w:tblGrid>
      <w:tr w:rsidR="008455B1" w:rsidRPr="002E4A39" w14:paraId="6DD0D8F5" w14:textId="77777777" w:rsidTr="005356A1">
        <w:trPr>
          <w:trHeight w:val="375"/>
        </w:trPr>
        <w:tc>
          <w:tcPr>
            <w:tcW w:w="11667" w:type="dxa"/>
            <w:gridSpan w:val="15"/>
            <w:tcBorders>
              <w:bottom w:val="single" w:sz="4" w:space="0" w:color="auto"/>
            </w:tcBorders>
            <w:shd w:val="clear" w:color="auto" w:fill="auto"/>
            <w:noWrap/>
            <w:vAlign w:val="center"/>
          </w:tcPr>
          <w:p w14:paraId="3CE66581" w14:textId="77777777" w:rsidR="008455B1" w:rsidRPr="002E4A39" w:rsidRDefault="008455B1" w:rsidP="005356A1">
            <w:pPr>
              <w:spacing w:after="0" w:line="240" w:lineRule="auto"/>
              <w:rPr>
                <w:sz w:val="20"/>
                <w:szCs w:val="20"/>
              </w:rPr>
            </w:pPr>
            <w:r w:rsidRPr="002E4A39">
              <w:rPr>
                <w:sz w:val="20"/>
                <w:szCs w:val="20"/>
              </w:rPr>
              <w:br w:type="page"/>
            </w:r>
            <w:bookmarkStart w:id="98" w:name="_Ref492127455"/>
            <w:r w:rsidRPr="002E4A39">
              <w:rPr>
                <w:sz w:val="20"/>
                <w:szCs w:val="20"/>
              </w:rPr>
              <w:t>T</w:t>
            </w:r>
            <w:r>
              <w:rPr>
                <w:b/>
                <w:sz w:val="20"/>
                <w:szCs w:val="20"/>
              </w:rPr>
              <w:t xml:space="preserve">able </w:t>
            </w:r>
            <w:r w:rsidR="00BD61D6">
              <w:fldChar w:fldCharType="begin"/>
            </w:r>
            <w:r w:rsidR="00BD61D6">
              <w:instrText xml:space="preserve"> SEQ Table \* ARABIC </w:instrText>
            </w:r>
            <w:r w:rsidR="00BD61D6">
              <w:fldChar w:fldCharType="separate"/>
            </w:r>
            <w:r w:rsidR="001A1BC1">
              <w:rPr>
                <w:noProof/>
              </w:rPr>
              <w:t>1</w:t>
            </w:r>
            <w:r w:rsidR="00BD61D6">
              <w:rPr>
                <w:noProof/>
              </w:rPr>
              <w:fldChar w:fldCharType="end"/>
            </w:r>
            <w:r w:rsidRPr="006861D4">
              <w:rPr>
                <w:noProof/>
                <w:sz w:val="20"/>
                <w:szCs w:val="20"/>
              </w:rPr>
              <w:t xml:space="preserve"> </w:t>
            </w:r>
            <w:r w:rsidRPr="006861D4">
              <w:rPr>
                <w:sz w:val="20"/>
                <w:szCs w:val="20"/>
              </w:rPr>
              <w:t>Study characteristics</w:t>
            </w:r>
            <w:bookmarkEnd w:id="98"/>
          </w:p>
        </w:tc>
      </w:tr>
      <w:tr w:rsidR="008455B1" w:rsidRPr="002E4A39" w14:paraId="59E56945" w14:textId="77777777" w:rsidTr="005356A1">
        <w:trPr>
          <w:trHeight w:val="375"/>
        </w:trPr>
        <w:tc>
          <w:tcPr>
            <w:tcW w:w="1546" w:type="dxa"/>
            <w:tcBorders>
              <w:top w:val="single" w:sz="4" w:space="0" w:color="auto"/>
              <w:bottom w:val="single" w:sz="4" w:space="0" w:color="auto"/>
            </w:tcBorders>
            <w:shd w:val="clear" w:color="auto" w:fill="auto"/>
            <w:noWrap/>
            <w:vAlign w:val="center"/>
            <w:hideMark/>
          </w:tcPr>
          <w:p w14:paraId="002019B5" w14:textId="77777777" w:rsidR="008455B1" w:rsidRPr="006861D4" w:rsidRDefault="008455B1" w:rsidP="005356A1">
            <w:pPr>
              <w:spacing w:after="0" w:line="240" w:lineRule="auto"/>
              <w:jc w:val="right"/>
              <w:rPr>
                <w:rFonts w:eastAsia="Times New Roman" w:cs="Times New Roman"/>
                <w:color w:val="000000"/>
                <w:sz w:val="20"/>
                <w:szCs w:val="20"/>
              </w:rPr>
            </w:pPr>
            <w:r w:rsidRPr="006861D4">
              <w:rPr>
                <w:rFonts w:eastAsia="Times New Roman" w:cs="Times New Roman"/>
                <w:color w:val="000000"/>
                <w:sz w:val="20"/>
                <w:szCs w:val="20"/>
              </w:rPr>
              <w:t>Variable</w:t>
            </w:r>
          </w:p>
          <w:p w14:paraId="6A86DB0A" w14:textId="77777777" w:rsidR="008455B1" w:rsidRPr="006861D4" w:rsidRDefault="008455B1" w:rsidP="005356A1">
            <w:pPr>
              <w:spacing w:after="0" w:line="240" w:lineRule="auto"/>
              <w:rPr>
                <w:rFonts w:eastAsia="Times New Roman" w:cs="Times New Roman"/>
                <w:color w:val="000000"/>
                <w:sz w:val="20"/>
                <w:szCs w:val="20"/>
              </w:rPr>
            </w:pPr>
            <w:r w:rsidRPr="006861D4">
              <w:rPr>
                <w:rFonts w:eastAsia="Times New Roman" w:cs="Times New Roman"/>
                <w:color w:val="000000"/>
                <w:sz w:val="20"/>
                <w:szCs w:val="20"/>
              </w:rPr>
              <w:t>Cohort</w:t>
            </w:r>
          </w:p>
        </w:tc>
        <w:tc>
          <w:tcPr>
            <w:tcW w:w="722" w:type="dxa"/>
            <w:tcBorders>
              <w:top w:val="single" w:sz="4" w:space="0" w:color="auto"/>
              <w:bottom w:val="single" w:sz="4" w:space="0" w:color="auto"/>
            </w:tcBorders>
            <w:shd w:val="clear" w:color="auto" w:fill="auto"/>
            <w:vAlign w:val="center"/>
            <w:hideMark/>
          </w:tcPr>
          <w:p w14:paraId="528E07DE" w14:textId="77777777" w:rsidR="008455B1" w:rsidRPr="006861D4" w:rsidRDefault="008455B1" w:rsidP="005356A1">
            <w:pPr>
              <w:spacing w:after="0" w:line="240" w:lineRule="auto"/>
              <w:jc w:val="center"/>
              <w:rPr>
                <w:rFonts w:eastAsia="Times New Roman" w:cs="Times New Roman"/>
                <w:bCs/>
                <w:color w:val="000000"/>
                <w:sz w:val="20"/>
                <w:szCs w:val="20"/>
              </w:rPr>
            </w:pPr>
            <w:r w:rsidRPr="006861D4">
              <w:rPr>
                <w:rFonts w:eastAsia="Times New Roman" w:cs="Times New Roman"/>
                <w:bCs/>
                <w:color w:val="000000"/>
                <w:sz w:val="20"/>
                <w:szCs w:val="20"/>
              </w:rPr>
              <w:t xml:space="preserve"># Events </w:t>
            </w:r>
          </w:p>
        </w:tc>
        <w:tc>
          <w:tcPr>
            <w:tcW w:w="723" w:type="dxa"/>
            <w:tcBorders>
              <w:top w:val="single" w:sz="4" w:space="0" w:color="auto"/>
              <w:bottom w:val="single" w:sz="4" w:space="0" w:color="auto"/>
            </w:tcBorders>
            <w:shd w:val="clear" w:color="auto" w:fill="auto"/>
            <w:vAlign w:val="center"/>
            <w:hideMark/>
          </w:tcPr>
          <w:p w14:paraId="2DD0B3D4" w14:textId="77777777" w:rsidR="008455B1" w:rsidRPr="006861D4" w:rsidRDefault="008455B1" w:rsidP="005356A1">
            <w:pPr>
              <w:spacing w:after="0" w:line="240" w:lineRule="auto"/>
              <w:jc w:val="center"/>
              <w:rPr>
                <w:rFonts w:eastAsia="Times New Roman" w:cs="Times New Roman"/>
                <w:bCs/>
                <w:color w:val="000000"/>
                <w:sz w:val="20"/>
                <w:szCs w:val="20"/>
              </w:rPr>
            </w:pPr>
            <w:r w:rsidRPr="006861D4">
              <w:rPr>
                <w:rFonts w:eastAsia="Times New Roman" w:cs="Times New Roman"/>
                <w:bCs/>
                <w:color w:val="000000"/>
                <w:sz w:val="20"/>
                <w:szCs w:val="20"/>
              </w:rPr>
              <w:t># patients</w:t>
            </w:r>
          </w:p>
        </w:tc>
        <w:tc>
          <w:tcPr>
            <w:tcW w:w="723" w:type="dxa"/>
            <w:tcBorders>
              <w:top w:val="single" w:sz="4" w:space="0" w:color="auto"/>
              <w:bottom w:val="single" w:sz="4" w:space="0" w:color="auto"/>
            </w:tcBorders>
            <w:shd w:val="clear" w:color="auto" w:fill="auto"/>
            <w:vAlign w:val="center"/>
            <w:hideMark/>
          </w:tcPr>
          <w:p w14:paraId="3A8FA03C" w14:textId="77777777" w:rsidR="008455B1" w:rsidRPr="006861D4" w:rsidRDefault="008455B1" w:rsidP="005356A1">
            <w:pPr>
              <w:spacing w:after="0" w:line="240" w:lineRule="auto"/>
              <w:jc w:val="center"/>
              <w:rPr>
                <w:rFonts w:eastAsia="Times New Roman" w:cs="Times New Roman"/>
                <w:bCs/>
                <w:color w:val="000000"/>
                <w:sz w:val="20"/>
                <w:szCs w:val="20"/>
              </w:rPr>
            </w:pPr>
            <w:r w:rsidRPr="006861D4">
              <w:rPr>
                <w:rFonts w:eastAsia="Times New Roman" w:cs="Times New Roman"/>
                <w:bCs/>
                <w:color w:val="000000"/>
                <w:sz w:val="20"/>
                <w:szCs w:val="20"/>
              </w:rPr>
              <w:t>Person-years</w:t>
            </w:r>
          </w:p>
        </w:tc>
        <w:tc>
          <w:tcPr>
            <w:tcW w:w="723" w:type="dxa"/>
            <w:tcBorders>
              <w:top w:val="single" w:sz="4" w:space="0" w:color="auto"/>
              <w:bottom w:val="single" w:sz="4" w:space="0" w:color="auto"/>
            </w:tcBorders>
            <w:shd w:val="clear" w:color="auto" w:fill="auto"/>
            <w:vAlign w:val="center"/>
            <w:hideMark/>
          </w:tcPr>
          <w:p w14:paraId="3302FDEE" w14:textId="77777777" w:rsidR="008455B1" w:rsidRPr="006861D4" w:rsidRDefault="008455B1" w:rsidP="005356A1">
            <w:pPr>
              <w:spacing w:after="0" w:line="240" w:lineRule="auto"/>
              <w:jc w:val="center"/>
              <w:rPr>
                <w:rFonts w:eastAsia="Times New Roman" w:cs="Times New Roman"/>
                <w:bCs/>
                <w:color w:val="000000"/>
                <w:sz w:val="20"/>
                <w:szCs w:val="20"/>
              </w:rPr>
            </w:pPr>
            <w:r w:rsidRPr="006861D4">
              <w:rPr>
                <w:rFonts w:eastAsia="Times New Roman" w:cs="Times New Roman"/>
                <w:bCs/>
                <w:color w:val="000000"/>
                <w:sz w:val="20"/>
                <w:szCs w:val="20"/>
              </w:rPr>
              <w:t>Mean age: years</w:t>
            </w:r>
          </w:p>
        </w:tc>
        <w:tc>
          <w:tcPr>
            <w:tcW w:w="723" w:type="dxa"/>
            <w:tcBorders>
              <w:top w:val="single" w:sz="4" w:space="0" w:color="auto"/>
              <w:bottom w:val="single" w:sz="4" w:space="0" w:color="auto"/>
            </w:tcBorders>
            <w:shd w:val="clear" w:color="auto" w:fill="auto"/>
            <w:vAlign w:val="center"/>
            <w:hideMark/>
          </w:tcPr>
          <w:p w14:paraId="14D46F07" w14:textId="77777777" w:rsidR="008455B1" w:rsidRPr="006861D4" w:rsidRDefault="008455B1" w:rsidP="005356A1">
            <w:pPr>
              <w:spacing w:after="0" w:line="240" w:lineRule="auto"/>
              <w:jc w:val="center"/>
              <w:rPr>
                <w:rFonts w:eastAsia="Times New Roman" w:cs="Times New Roman"/>
                <w:bCs/>
                <w:color w:val="000000"/>
                <w:sz w:val="20"/>
                <w:szCs w:val="20"/>
              </w:rPr>
            </w:pPr>
            <w:r w:rsidRPr="006861D4">
              <w:rPr>
                <w:rFonts w:eastAsia="Times New Roman" w:cs="Times New Roman"/>
                <w:bCs/>
                <w:color w:val="000000"/>
                <w:sz w:val="20"/>
                <w:szCs w:val="20"/>
              </w:rPr>
              <w:t>Men: %</w:t>
            </w:r>
          </w:p>
        </w:tc>
        <w:tc>
          <w:tcPr>
            <w:tcW w:w="723" w:type="dxa"/>
            <w:tcBorders>
              <w:top w:val="single" w:sz="4" w:space="0" w:color="auto"/>
              <w:bottom w:val="single" w:sz="4" w:space="0" w:color="auto"/>
            </w:tcBorders>
            <w:shd w:val="clear" w:color="auto" w:fill="auto"/>
            <w:vAlign w:val="center"/>
            <w:hideMark/>
          </w:tcPr>
          <w:p w14:paraId="34B411AC" w14:textId="77777777" w:rsidR="008455B1" w:rsidRPr="006861D4" w:rsidRDefault="008455B1" w:rsidP="005356A1">
            <w:pPr>
              <w:spacing w:after="0" w:line="240" w:lineRule="auto"/>
              <w:jc w:val="center"/>
              <w:rPr>
                <w:rFonts w:eastAsia="Times New Roman" w:cs="Times New Roman"/>
                <w:bCs/>
                <w:color w:val="000000"/>
                <w:sz w:val="20"/>
                <w:szCs w:val="20"/>
              </w:rPr>
            </w:pPr>
            <w:r w:rsidRPr="006861D4">
              <w:rPr>
                <w:rFonts w:eastAsia="Times New Roman" w:cs="Times New Roman"/>
                <w:bCs/>
                <w:color w:val="000000"/>
                <w:sz w:val="20"/>
                <w:szCs w:val="20"/>
              </w:rPr>
              <w:t>Mean FEV1%</w:t>
            </w:r>
          </w:p>
          <w:p w14:paraId="7B16BAD0" w14:textId="77777777" w:rsidR="008455B1" w:rsidRPr="006861D4" w:rsidRDefault="008455B1" w:rsidP="005356A1">
            <w:pPr>
              <w:spacing w:after="0" w:line="240" w:lineRule="auto"/>
              <w:jc w:val="center"/>
              <w:rPr>
                <w:rFonts w:eastAsia="Times New Roman" w:cs="Times New Roman"/>
                <w:bCs/>
                <w:color w:val="000000"/>
                <w:sz w:val="20"/>
                <w:szCs w:val="20"/>
              </w:rPr>
            </w:pPr>
            <w:r w:rsidRPr="006861D4">
              <w:rPr>
                <w:rFonts w:eastAsia="Times New Roman" w:cs="Times New Roman"/>
                <w:bCs/>
                <w:color w:val="000000"/>
                <w:sz w:val="20"/>
                <w:szCs w:val="20"/>
              </w:rPr>
              <w:t>pred.</w:t>
            </w:r>
          </w:p>
        </w:tc>
        <w:tc>
          <w:tcPr>
            <w:tcW w:w="723" w:type="dxa"/>
            <w:tcBorders>
              <w:top w:val="single" w:sz="4" w:space="0" w:color="auto"/>
              <w:bottom w:val="single" w:sz="4" w:space="0" w:color="auto"/>
            </w:tcBorders>
            <w:shd w:val="clear" w:color="auto" w:fill="auto"/>
            <w:vAlign w:val="center"/>
            <w:hideMark/>
          </w:tcPr>
          <w:p w14:paraId="3209BAC5" w14:textId="77777777" w:rsidR="008455B1" w:rsidRPr="006861D4" w:rsidRDefault="008455B1" w:rsidP="005356A1">
            <w:pPr>
              <w:spacing w:after="0" w:line="240" w:lineRule="auto"/>
              <w:jc w:val="center"/>
              <w:rPr>
                <w:rFonts w:eastAsia="Times New Roman" w:cs="Times New Roman"/>
                <w:bCs/>
                <w:color w:val="000000"/>
                <w:sz w:val="20"/>
                <w:szCs w:val="20"/>
              </w:rPr>
            </w:pPr>
            <w:r w:rsidRPr="006861D4">
              <w:rPr>
                <w:rFonts w:eastAsia="Times New Roman" w:cs="Times New Roman"/>
                <w:bCs/>
                <w:color w:val="000000"/>
                <w:sz w:val="20"/>
                <w:szCs w:val="20"/>
              </w:rPr>
              <w:t xml:space="preserve">Mean </w:t>
            </w:r>
            <w:proofErr w:type="spellStart"/>
            <w:r w:rsidRPr="006861D4">
              <w:rPr>
                <w:rFonts w:eastAsia="Times New Roman" w:cs="Times New Roman"/>
                <w:bCs/>
                <w:color w:val="000000"/>
                <w:sz w:val="20"/>
                <w:szCs w:val="20"/>
              </w:rPr>
              <w:t>mMRC</w:t>
            </w:r>
            <w:proofErr w:type="spellEnd"/>
          </w:p>
        </w:tc>
        <w:tc>
          <w:tcPr>
            <w:tcW w:w="723" w:type="dxa"/>
            <w:tcBorders>
              <w:top w:val="single" w:sz="4" w:space="0" w:color="auto"/>
              <w:bottom w:val="single" w:sz="4" w:space="0" w:color="auto"/>
            </w:tcBorders>
            <w:shd w:val="clear" w:color="auto" w:fill="auto"/>
            <w:vAlign w:val="center"/>
            <w:hideMark/>
          </w:tcPr>
          <w:p w14:paraId="3A4EDF20" w14:textId="77777777" w:rsidR="008455B1" w:rsidRPr="006861D4" w:rsidRDefault="008455B1" w:rsidP="005356A1">
            <w:pPr>
              <w:spacing w:after="0" w:line="240" w:lineRule="auto"/>
              <w:jc w:val="center"/>
              <w:rPr>
                <w:rFonts w:eastAsia="Times New Roman" w:cs="Times New Roman"/>
                <w:bCs/>
                <w:color w:val="000000"/>
                <w:sz w:val="20"/>
                <w:szCs w:val="20"/>
              </w:rPr>
            </w:pPr>
            <w:r w:rsidRPr="006861D4">
              <w:rPr>
                <w:rFonts w:eastAsia="Times New Roman" w:cs="Times New Roman"/>
                <w:bCs/>
                <w:color w:val="000000"/>
                <w:sz w:val="20"/>
                <w:szCs w:val="20"/>
              </w:rPr>
              <w:t xml:space="preserve">Past </w:t>
            </w:r>
            <w:proofErr w:type="spellStart"/>
            <w:r w:rsidRPr="006861D4">
              <w:rPr>
                <w:rFonts w:eastAsia="Times New Roman" w:cs="Times New Roman"/>
                <w:bCs/>
                <w:color w:val="000000"/>
                <w:sz w:val="20"/>
                <w:szCs w:val="20"/>
              </w:rPr>
              <w:t>exacerbators</w:t>
            </w:r>
            <w:proofErr w:type="spellEnd"/>
            <w:r w:rsidRPr="006861D4">
              <w:rPr>
                <w:rFonts w:eastAsia="Times New Roman" w:cs="Times New Roman"/>
                <w:bCs/>
                <w:color w:val="000000"/>
                <w:sz w:val="20"/>
                <w:szCs w:val="20"/>
              </w:rPr>
              <w:t>: %</w:t>
            </w:r>
          </w:p>
        </w:tc>
        <w:tc>
          <w:tcPr>
            <w:tcW w:w="723" w:type="dxa"/>
            <w:tcBorders>
              <w:top w:val="single" w:sz="4" w:space="0" w:color="auto"/>
              <w:bottom w:val="single" w:sz="4" w:space="0" w:color="auto"/>
            </w:tcBorders>
            <w:shd w:val="clear" w:color="auto" w:fill="auto"/>
            <w:vAlign w:val="center"/>
            <w:hideMark/>
          </w:tcPr>
          <w:p w14:paraId="7ED29401" w14:textId="77777777" w:rsidR="008455B1" w:rsidRPr="006861D4" w:rsidRDefault="008455B1" w:rsidP="005356A1">
            <w:pPr>
              <w:spacing w:after="0" w:line="240" w:lineRule="auto"/>
              <w:jc w:val="center"/>
              <w:rPr>
                <w:rFonts w:eastAsia="Times New Roman" w:cs="Times New Roman"/>
                <w:bCs/>
                <w:color w:val="000000"/>
                <w:sz w:val="20"/>
                <w:szCs w:val="20"/>
              </w:rPr>
            </w:pPr>
            <w:r w:rsidRPr="006861D4">
              <w:rPr>
                <w:rFonts w:eastAsia="Times New Roman" w:cs="Times New Roman"/>
                <w:bCs/>
                <w:color w:val="000000"/>
                <w:sz w:val="20"/>
                <w:szCs w:val="20"/>
              </w:rPr>
              <w:t>Mean # prev. exacerbations</w:t>
            </w:r>
          </w:p>
        </w:tc>
        <w:tc>
          <w:tcPr>
            <w:tcW w:w="723" w:type="dxa"/>
            <w:tcBorders>
              <w:top w:val="single" w:sz="4" w:space="0" w:color="auto"/>
              <w:bottom w:val="single" w:sz="4" w:space="0" w:color="auto"/>
            </w:tcBorders>
            <w:shd w:val="clear" w:color="auto" w:fill="auto"/>
            <w:vAlign w:val="center"/>
            <w:hideMark/>
          </w:tcPr>
          <w:p w14:paraId="6F84F235" w14:textId="77777777" w:rsidR="008455B1" w:rsidRPr="006861D4" w:rsidRDefault="008455B1" w:rsidP="005356A1">
            <w:pPr>
              <w:spacing w:after="0" w:line="240" w:lineRule="auto"/>
              <w:jc w:val="center"/>
              <w:rPr>
                <w:rFonts w:eastAsia="Times New Roman" w:cs="Times New Roman"/>
                <w:bCs/>
                <w:color w:val="000000"/>
                <w:sz w:val="20"/>
                <w:szCs w:val="20"/>
              </w:rPr>
            </w:pPr>
            <w:r w:rsidRPr="006861D4">
              <w:rPr>
                <w:rFonts w:eastAsia="Times New Roman" w:cs="Times New Roman"/>
                <w:bCs/>
                <w:color w:val="000000"/>
                <w:sz w:val="20"/>
                <w:szCs w:val="20"/>
              </w:rPr>
              <w:t>Current Smoker: %</w:t>
            </w:r>
          </w:p>
        </w:tc>
        <w:tc>
          <w:tcPr>
            <w:tcW w:w="723" w:type="dxa"/>
            <w:tcBorders>
              <w:top w:val="single" w:sz="4" w:space="0" w:color="auto"/>
              <w:bottom w:val="single" w:sz="4" w:space="0" w:color="auto"/>
            </w:tcBorders>
            <w:shd w:val="clear" w:color="auto" w:fill="auto"/>
            <w:vAlign w:val="center"/>
            <w:hideMark/>
          </w:tcPr>
          <w:p w14:paraId="5A4CC13B" w14:textId="77777777" w:rsidR="008455B1" w:rsidRPr="006861D4" w:rsidRDefault="008455B1" w:rsidP="005356A1">
            <w:pPr>
              <w:spacing w:after="0" w:line="240" w:lineRule="auto"/>
              <w:jc w:val="center"/>
              <w:rPr>
                <w:rFonts w:eastAsia="Times New Roman" w:cs="Times New Roman"/>
                <w:bCs/>
                <w:color w:val="000000"/>
                <w:sz w:val="20"/>
                <w:szCs w:val="20"/>
              </w:rPr>
            </w:pPr>
            <w:r w:rsidRPr="006861D4">
              <w:rPr>
                <w:rFonts w:eastAsia="Times New Roman" w:cs="Times New Roman"/>
                <w:bCs/>
                <w:color w:val="000000"/>
                <w:sz w:val="20"/>
                <w:szCs w:val="20"/>
              </w:rPr>
              <w:t>Mean BMI</w:t>
            </w:r>
          </w:p>
        </w:tc>
        <w:tc>
          <w:tcPr>
            <w:tcW w:w="723" w:type="dxa"/>
            <w:tcBorders>
              <w:top w:val="single" w:sz="4" w:space="0" w:color="auto"/>
              <w:bottom w:val="single" w:sz="4" w:space="0" w:color="auto"/>
            </w:tcBorders>
            <w:shd w:val="clear" w:color="auto" w:fill="auto"/>
            <w:vAlign w:val="center"/>
            <w:hideMark/>
          </w:tcPr>
          <w:p w14:paraId="4D9DD684" w14:textId="77777777" w:rsidR="008455B1" w:rsidRPr="006861D4" w:rsidRDefault="008455B1" w:rsidP="005356A1">
            <w:pPr>
              <w:spacing w:after="0" w:line="240" w:lineRule="auto"/>
              <w:jc w:val="center"/>
              <w:rPr>
                <w:rFonts w:eastAsia="Times New Roman" w:cs="Times New Roman"/>
                <w:bCs/>
                <w:color w:val="000000"/>
                <w:sz w:val="20"/>
                <w:szCs w:val="20"/>
              </w:rPr>
            </w:pPr>
            <w:r w:rsidRPr="006861D4">
              <w:rPr>
                <w:rFonts w:eastAsia="Times New Roman" w:cs="Times New Roman"/>
                <w:bCs/>
                <w:color w:val="000000"/>
                <w:sz w:val="20"/>
                <w:szCs w:val="20"/>
              </w:rPr>
              <w:t>Mean 6MWT: meters</w:t>
            </w:r>
          </w:p>
        </w:tc>
        <w:tc>
          <w:tcPr>
            <w:tcW w:w="723" w:type="dxa"/>
            <w:tcBorders>
              <w:top w:val="single" w:sz="4" w:space="0" w:color="auto"/>
              <w:bottom w:val="single" w:sz="4" w:space="0" w:color="auto"/>
            </w:tcBorders>
            <w:shd w:val="clear" w:color="auto" w:fill="auto"/>
            <w:vAlign w:val="center"/>
            <w:hideMark/>
          </w:tcPr>
          <w:p w14:paraId="3B3B56E0" w14:textId="77777777" w:rsidR="008455B1" w:rsidRPr="006861D4" w:rsidRDefault="008455B1" w:rsidP="005356A1">
            <w:pPr>
              <w:spacing w:after="0" w:line="240" w:lineRule="auto"/>
              <w:jc w:val="center"/>
              <w:rPr>
                <w:rFonts w:eastAsia="Times New Roman" w:cs="Times New Roman"/>
                <w:bCs/>
                <w:color w:val="000000"/>
                <w:sz w:val="20"/>
                <w:szCs w:val="20"/>
              </w:rPr>
            </w:pPr>
            <w:r w:rsidRPr="006861D4">
              <w:rPr>
                <w:rFonts w:eastAsia="Times New Roman" w:cs="Times New Roman"/>
                <w:bCs/>
                <w:color w:val="000000"/>
                <w:sz w:val="20"/>
                <w:szCs w:val="20"/>
              </w:rPr>
              <w:t>Mean SGRQ</w:t>
            </w:r>
          </w:p>
        </w:tc>
        <w:tc>
          <w:tcPr>
            <w:tcW w:w="723" w:type="dxa"/>
            <w:tcBorders>
              <w:top w:val="single" w:sz="4" w:space="0" w:color="auto"/>
              <w:bottom w:val="single" w:sz="4" w:space="0" w:color="auto"/>
            </w:tcBorders>
            <w:shd w:val="clear" w:color="auto" w:fill="auto"/>
            <w:vAlign w:val="center"/>
            <w:hideMark/>
          </w:tcPr>
          <w:p w14:paraId="6E80AFCE" w14:textId="77777777" w:rsidR="008455B1" w:rsidRPr="006861D4" w:rsidRDefault="008455B1" w:rsidP="005356A1">
            <w:pPr>
              <w:spacing w:after="0" w:line="240" w:lineRule="auto"/>
              <w:jc w:val="center"/>
              <w:rPr>
                <w:rFonts w:eastAsia="Times New Roman" w:cs="Times New Roman"/>
                <w:bCs/>
                <w:color w:val="000000"/>
                <w:sz w:val="20"/>
                <w:szCs w:val="20"/>
              </w:rPr>
            </w:pPr>
            <w:r w:rsidRPr="006861D4">
              <w:rPr>
                <w:rFonts w:eastAsia="Times New Roman" w:cs="Times New Roman"/>
                <w:bCs/>
                <w:color w:val="000000"/>
                <w:sz w:val="20"/>
                <w:szCs w:val="20"/>
              </w:rPr>
              <w:t>Mean CAT</w:t>
            </w:r>
          </w:p>
        </w:tc>
      </w:tr>
      <w:tr w:rsidR="008455B1" w:rsidRPr="002E4A39" w14:paraId="6F56683E" w14:textId="77777777" w:rsidTr="005356A1">
        <w:trPr>
          <w:trHeight w:val="300"/>
        </w:trPr>
        <w:tc>
          <w:tcPr>
            <w:tcW w:w="1546" w:type="dxa"/>
            <w:tcBorders>
              <w:top w:val="single" w:sz="4" w:space="0" w:color="auto"/>
            </w:tcBorders>
            <w:shd w:val="clear" w:color="auto" w:fill="auto"/>
            <w:noWrap/>
            <w:vAlign w:val="center"/>
            <w:hideMark/>
          </w:tcPr>
          <w:p w14:paraId="51046A96" w14:textId="77777777" w:rsidR="008455B1" w:rsidRPr="006861D4" w:rsidRDefault="008455B1" w:rsidP="005356A1">
            <w:pPr>
              <w:spacing w:after="0" w:line="240" w:lineRule="auto"/>
              <w:rPr>
                <w:rFonts w:eastAsia="Times New Roman" w:cs="Times New Roman"/>
                <w:bCs/>
                <w:color w:val="000000"/>
                <w:sz w:val="20"/>
                <w:szCs w:val="20"/>
              </w:rPr>
            </w:pPr>
            <w:proofErr w:type="spellStart"/>
            <w:r w:rsidRPr="006861D4">
              <w:rPr>
                <w:bCs/>
                <w:color w:val="000000"/>
                <w:sz w:val="20"/>
                <w:szCs w:val="20"/>
              </w:rPr>
              <w:t>COPDgene</w:t>
            </w:r>
            <w:proofErr w:type="spellEnd"/>
          </w:p>
        </w:tc>
        <w:tc>
          <w:tcPr>
            <w:tcW w:w="722" w:type="dxa"/>
            <w:tcBorders>
              <w:top w:val="single" w:sz="4" w:space="0" w:color="auto"/>
            </w:tcBorders>
            <w:shd w:val="clear" w:color="auto" w:fill="auto"/>
            <w:noWrap/>
            <w:vAlign w:val="center"/>
            <w:hideMark/>
          </w:tcPr>
          <w:p w14:paraId="3179D343" w14:textId="77777777" w:rsidR="008455B1" w:rsidRPr="006861D4" w:rsidRDefault="008455B1" w:rsidP="005356A1">
            <w:pPr>
              <w:spacing w:after="0" w:line="240" w:lineRule="auto"/>
              <w:jc w:val="center"/>
              <w:rPr>
                <w:rFonts w:eastAsia="Times New Roman" w:cs="Times New Roman"/>
                <w:color w:val="000000"/>
                <w:sz w:val="20"/>
                <w:szCs w:val="20"/>
              </w:rPr>
            </w:pPr>
            <w:r w:rsidRPr="006861D4">
              <w:rPr>
                <w:color w:val="000000"/>
              </w:rPr>
              <w:t>337</w:t>
            </w:r>
          </w:p>
        </w:tc>
        <w:tc>
          <w:tcPr>
            <w:tcW w:w="723" w:type="dxa"/>
            <w:tcBorders>
              <w:top w:val="single" w:sz="4" w:space="0" w:color="auto"/>
            </w:tcBorders>
            <w:shd w:val="clear" w:color="auto" w:fill="auto"/>
            <w:noWrap/>
            <w:vAlign w:val="center"/>
            <w:hideMark/>
          </w:tcPr>
          <w:p w14:paraId="29AA71DB" w14:textId="77777777" w:rsidR="008455B1" w:rsidRPr="006861D4" w:rsidRDefault="008455B1" w:rsidP="005356A1">
            <w:pPr>
              <w:spacing w:after="0" w:line="240" w:lineRule="auto"/>
              <w:jc w:val="center"/>
              <w:rPr>
                <w:rFonts w:eastAsia="Times New Roman" w:cs="Times New Roman"/>
                <w:color w:val="000000"/>
                <w:sz w:val="20"/>
                <w:szCs w:val="20"/>
              </w:rPr>
            </w:pPr>
            <w:r w:rsidRPr="006861D4">
              <w:rPr>
                <w:color w:val="000000"/>
              </w:rPr>
              <w:t>4484</w:t>
            </w:r>
          </w:p>
        </w:tc>
        <w:tc>
          <w:tcPr>
            <w:tcW w:w="723" w:type="dxa"/>
            <w:tcBorders>
              <w:top w:val="single" w:sz="4" w:space="0" w:color="auto"/>
            </w:tcBorders>
            <w:shd w:val="clear" w:color="auto" w:fill="auto"/>
            <w:noWrap/>
            <w:vAlign w:val="center"/>
            <w:hideMark/>
          </w:tcPr>
          <w:p w14:paraId="0ADEA119" w14:textId="77777777" w:rsidR="008455B1" w:rsidRPr="006861D4" w:rsidRDefault="008455B1" w:rsidP="005356A1">
            <w:pPr>
              <w:spacing w:after="0" w:line="240" w:lineRule="auto"/>
              <w:jc w:val="center"/>
              <w:rPr>
                <w:rFonts w:eastAsia="Times New Roman" w:cs="Times New Roman"/>
                <w:color w:val="000000"/>
                <w:sz w:val="20"/>
                <w:szCs w:val="20"/>
              </w:rPr>
            </w:pPr>
            <w:r w:rsidRPr="006861D4">
              <w:rPr>
                <w:color w:val="000000"/>
              </w:rPr>
              <w:t>10603</w:t>
            </w:r>
          </w:p>
        </w:tc>
        <w:tc>
          <w:tcPr>
            <w:tcW w:w="723" w:type="dxa"/>
            <w:tcBorders>
              <w:top w:val="single" w:sz="4" w:space="0" w:color="auto"/>
            </w:tcBorders>
            <w:shd w:val="clear" w:color="auto" w:fill="auto"/>
            <w:noWrap/>
            <w:vAlign w:val="center"/>
            <w:hideMark/>
          </w:tcPr>
          <w:p w14:paraId="19D6FAF3" w14:textId="77777777" w:rsidR="008455B1" w:rsidRPr="006861D4" w:rsidRDefault="008455B1" w:rsidP="005356A1">
            <w:pPr>
              <w:spacing w:after="0" w:line="240" w:lineRule="auto"/>
              <w:jc w:val="center"/>
              <w:rPr>
                <w:rFonts w:eastAsia="Times New Roman" w:cs="Times New Roman"/>
                <w:color w:val="000000"/>
                <w:sz w:val="20"/>
                <w:szCs w:val="20"/>
              </w:rPr>
            </w:pPr>
            <w:r w:rsidRPr="006861D4">
              <w:rPr>
                <w:color w:val="000000"/>
              </w:rPr>
              <w:t>63 (9)</w:t>
            </w:r>
          </w:p>
        </w:tc>
        <w:tc>
          <w:tcPr>
            <w:tcW w:w="723" w:type="dxa"/>
            <w:tcBorders>
              <w:top w:val="single" w:sz="4" w:space="0" w:color="auto"/>
            </w:tcBorders>
            <w:shd w:val="clear" w:color="auto" w:fill="auto"/>
            <w:noWrap/>
            <w:vAlign w:val="center"/>
            <w:hideMark/>
          </w:tcPr>
          <w:p w14:paraId="6765FEF6" w14:textId="77777777" w:rsidR="008455B1" w:rsidRPr="006861D4" w:rsidRDefault="008455B1" w:rsidP="005356A1">
            <w:pPr>
              <w:spacing w:after="0" w:line="240" w:lineRule="auto"/>
              <w:jc w:val="center"/>
              <w:rPr>
                <w:rFonts w:eastAsia="Times New Roman" w:cs="Times New Roman"/>
                <w:color w:val="000000"/>
                <w:sz w:val="20"/>
                <w:szCs w:val="20"/>
              </w:rPr>
            </w:pPr>
            <w:r w:rsidRPr="006861D4">
              <w:rPr>
                <w:color w:val="000000"/>
              </w:rPr>
              <w:t>56</w:t>
            </w:r>
          </w:p>
        </w:tc>
        <w:tc>
          <w:tcPr>
            <w:tcW w:w="723" w:type="dxa"/>
            <w:tcBorders>
              <w:top w:val="single" w:sz="4" w:space="0" w:color="auto"/>
            </w:tcBorders>
            <w:shd w:val="clear" w:color="auto" w:fill="auto"/>
            <w:noWrap/>
            <w:vAlign w:val="center"/>
            <w:hideMark/>
          </w:tcPr>
          <w:p w14:paraId="4EF31688" w14:textId="77777777" w:rsidR="008455B1" w:rsidRPr="006861D4" w:rsidRDefault="008455B1" w:rsidP="005356A1">
            <w:pPr>
              <w:spacing w:after="0" w:line="240" w:lineRule="auto"/>
              <w:jc w:val="center"/>
              <w:rPr>
                <w:rFonts w:eastAsia="Times New Roman" w:cs="Times New Roman"/>
                <w:color w:val="000000"/>
                <w:sz w:val="20"/>
                <w:szCs w:val="20"/>
              </w:rPr>
            </w:pPr>
            <w:r w:rsidRPr="006861D4">
              <w:rPr>
                <w:color w:val="000000"/>
              </w:rPr>
              <w:t>57.4 (22.8)</w:t>
            </w:r>
          </w:p>
        </w:tc>
        <w:tc>
          <w:tcPr>
            <w:tcW w:w="723" w:type="dxa"/>
            <w:tcBorders>
              <w:top w:val="single" w:sz="4" w:space="0" w:color="auto"/>
            </w:tcBorders>
            <w:shd w:val="clear" w:color="auto" w:fill="auto"/>
            <w:noWrap/>
            <w:vAlign w:val="center"/>
            <w:hideMark/>
          </w:tcPr>
          <w:p w14:paraId="5EB44036" w14:textId="77777777" w:rsidR="008455B1" w:rsidRPr="006861D4" w:rsidRDefault="008455B1" w:rsidP="005356A1">
            <w:pPr>
              <w:spacing w:after="0" w:line="240" w:lineRule="auto"/>
              <w:jc w:val="center"/>
              <w:rPr>
                <w:rFonts w:eastAsia="Times New Roman" w:cs="Times New Roman"/>
                <w:color w:val="000000"/>
                <w:sz w:val="20"/>
                <w:szCs w:val="20"/>
              </w:rPr>
            </w:pPr>
            <w:r w:rsidRPr="006861D4">
              <w:rPr>
                <w:color w:val="000000"/>
              </w:rPr>
              <w:t>1.5</w:t>
            </w:r>
          </w:p>
        </w:tc>
        <w:tc>
          <w:tcPr>
            <w:tcW w:w="723" w:type="dxa"/>
            <w:tcBorders>
              <w:top w:val="single" w:sz="4" w:space="0" w:color="auto"/>
            </w:tcBorders>
            <w:shd w:val="clear" w:color="auto" w:fill="auto"/>
            <w:noWrap/>
            <w:vAlign w:val="center"/>
            <w:hideMark/>
          </w:tcPr>
          <w:p w14:paraId="44104B88" w14:textId="77777777" w:rsidR="008455B1" w:rsidRPr="006861D4" w:rsidRDefault="008455B1" w:rsidP="005356A1">
            <w:pPr>
              <w:spacing w:after="0" w:line="240" w:lineRule="auto"/>
              <w:jc w:val="center"/>
              <w:rPr>
                <w:rFonts w:eastAsia="Times New Roman" w:cs="Times New Roman"/>
                <w:color w:val="000000"/>
                <w:sz w:val="20"/>
                <w:szCs w:val="20"/>
              </w:rPr>
            </w:pPr>
            <w:r w:rsidRPr="006861D4">
              <w:rPr>
                <w:color w:val="000000"/>
              </w:rPr>
              <w:t>0.16</w:t>
            </w:r>
          </w:p>
        </w:tc>
        <w:tc>
          <w:tcPr>
            <w:tcW w:w="723" w:type="dxa"/>
            <w:tcBorders>
              <w:top w:val="single" w:sz="4" w:space="0" w:color="auto"/>
            </w:tcBorders>
            <w:shd w:val="clear" w:color="auto" w:fill="auto"/>
            <w:noWrap/>
            <w:vAlign w:val="center"/>
            <w:hideMark/>
          </w:tcPr>
          <w:p w14:paraId="402E7A2C" w14:textId="77777777" w:rsidR="008455B1" w:rsidRPr="006861D4" w:rsidRDefault="008455B1" w:rsidP="005356A1">
            <w:pPr>
              <w:spacing w:after="0" w:line="240" w:lineRule="auto"/>
              <w:jc w:val="center"/>
              <w:rPr>
                <w:rFonts w:eastAsia="Times New Roman" w:cs="Times New Roman"/>
                <w:color w:val="000000"/>
                <w:sz w:val="20"/>
                <w:szCs w:val="20"/>
              </w:rPr>
            </w:pPr>
            <w:r w:rsidRPr="006861D4">
              <w:rPr>
                <w:color w:val="000000"/>
              </w:rPr>
              <w:t xml:space="preserve"> </w:t>
            </w:r>
          </w:p>
        </w:tc>
        <w:tc>
          <w:tcPr>
            <w:tcW w:w="723" w:type="dxa"/>
            <w:tcBorders>
              <w:top w:val="single" w:sz="4" w:space="0" w:color="auto"/>
            </w:tcBorders>
            <w:shd w:val="clear" w:color="auto" w:fill="auto"/>
            <w:noWrap/>
            <w:vAlign w:val="center"/>
            <w:hideMark/>
          </w:tcPr>
          <w:p w14:paraId="5211B4B0" w14:textId="77777777" w:rsidR="008455B1" w:rsidRPr="006861D4" w:rsidRDefault="008455B1" w:rsidP="005356A1">
            <w:pPr>
              <w:spacing w:after="0" w:line="240" w:lineRule="auto"/>
              <w:jc w:val="center"/>
              <w:rPr>
                <w:rFonts w:eastAsia="Times New Roman" w:cs="Times New Roman"/>
                <w:color w:val="000000"/>
                <w:sz w:val="20"/>
                <w:szCs w:val="20"/>
              </w:rPr>
            </w:pPr>
            <w:r w:rsidRPr="006861D4">
              <w:rPr>
                <w:color w:val="000000"/>
              </w:rPr>
              <w:t>43</w:t>
            </w:r>
          </w:p>
        </w:tc>
        <w:tc>
          <w:tcPr>
            <w:tcW w:w="723" w:type="dxa"/>
            <w:tcBorders>
              <w:top w:val="single" w:sz="4" w:space="0" w:color="auto"/>
            </w:tcBorders>
            <w:shd w:val="clear" w:color="auto" w:fill="auto"/>
            <w:noWrap/>
            <w:vAlign w:val="center"/>
            <w:hideMark/>
          </w:tcPr>
          <w:p w14:paraId="0C4DA174" w14:textId="77777777" w:rsidR="008455B1" w:rsidRPr="006861D4" w:rsidRDefault="008455B1" w:rsidP="005356A1">
            <w:pPr>
              <w:spacing w:after="0" w:line="240" w:lineRule="auto"/>
              <w:jc w:val="center"/>
              <w:rPr>
                <w:rFonts w:eastAsia="Times New Roman" w:cs="Times New Roman"/>
                <w:color w:val="000000"/>
                <w:sz w:val="20"/>
                <w:szCs w:val="20"/>
              </w:rPr>
            </w:pPr>
            <w:r w:rsidRPr="006861D4">
              <w:rPr>
                <w:color w:val="000000"/>
              </w:rPr>
              <w:t>27.9 (6.1)</w:t>
            </w:r>
          </w:p>
        </w:tc>
        <w:tc>
          <w:tcPr>
            <w:tcW w:w="723" w:type="dxa"/>
            <w:tcBorders>
              <w:top w:val="single" w:sz="4" w:space="0" w:color="auto"/>
            </w:tcBorders>
            <w:shd w:val="clear" w:color="auto" w:fill="auto"/>
            <w:noWrap/>
            <w:vAlign w:val="center"/>
            <w:hideMark/>
          </w:tcPr>
          <w:p w14:paraId="193786A1" w14:textId="77777777" w:rsidR="008455B1" w:rsidRPr="006861D4" w:rsidRDefault="008455B1" w:rsidP="005356A1">
            <w:pPr>
              <w:spacing w:after="0" w:line="240" w:lineRule="auto"/>
              <w:jc w:val="center"/>
              <w:rPr>
                <w:rFonts w:eastAsia="Times New Roman" w:cs="Times New Roman"/>
                <w:color w:val="000000"/>
                <w:sz w:val="20"/>
                <w:szCs w:val="20"/>
              </w:rPr>
            </w:pPr>
            <w:r w:rsidRPr="006861D4">
              <w:rPr>
                <w:color w:val="000000"/>
              </w:rPr>
              <w:t>376.1 (124.1)</w:t>
            </w:r>
          </w:p>
        </w:tc>
        <w:tc>
          <w:tcPr>
            <w:tcW w:w="723" w:type="dxa"/>
            <w:tcBorders>
              <w:top w:val="single" w:sz="4" w:space="0" w:color="auto"/>
            </w:tcBorders>
            <w:shd w:val="clear" w:color="auto" w:fill="auto"/>
            <w:noWrap/>
            <w:vAlign w:val="center"/>
            <w:hideMark/>
          </w:tcPr>
          <w:p w14:paraId="02349DC4" w14:textId="77777777" w:rsidR="008455B1" w:rsidRPr="006861D4" w:rsidRDefault="008455B1" w:rsidP="005356A1">
            <w:pPr>
              <w:spacing w:after="0" w:line="240" w:lineRule="auto"/>
              <w:jc w:val="center"/>
              <w:rPr>
                <w:rFonts w:eastAsia="Times New Roman" w:cs="Times New Roman"/>
                <w:color w:val="000000"/>
                <w:sz w:val="20"/>
                <w:szCs w:val="20"/>
              </w:rPr>
            </w:pPr>
            <w:r w:rsidRPr="006861D4">
              <w:rPr>
                <w:color w:val="000000"/>
              </w:rPr>
              <w:t>36.9 (22.9)</w:t>
            </w:r>
          </w:p>
        </w:tc>
        <w:tc>
          <w:tcPr>
            <w:tcW w:w="723" w:type="dxa"/>
            <w:tcBorders>
              <w:top w:val="single" w:sz="4" w:space="0" w:color="auto"/>
            </w:tcBorders>
            <w:shd w:val="clear" w:color="auto" w:fill="auto"/>
            <w:noWrap/>
            <w:vAlign w:val="center"/>
            <w:hideMark/>
          </w:tcPr>
          <w:p w14:paraId="3795226C" w14:textId="77777777" w:rsidR="008455B1" w:rsidRPr="006861D4" w:rsidRDefault="008455B1" w:rsidP="005356A1">
            <w:pPr>
              <w:spacing w:after="0" w:line="240" w:lineRule="auto"/>
              <w:jc w:val="center"/>
              <w:rPr>
                <w:rFonts w:eastAsia="Times New Roman" w:cs="Times New Roman"/>
                <w:color w:val="000000"/>
                <w:sz w:val="20"/>
                <w:szCs w:val="20"/>
              </w:rPr>
            </w:pPr>
            <w:r w:rsidRPr="006861D4">
              <w:rPr>
                <w:color w:val="000000"/>
              </w:rPr>
              <w:t xml:space="preserve"> </w:t>
            </w:r>
          </w:p>
        </w:tc>
      </w:tr>
      <w:tr w:rsidR="008455B1" w:rsidRPr="002E4A39" w14:paraId="2184D5F6" w14:textId="77777777" w:rsidTr="005356A1">
        <w:trPr>
          <w:trHeight w:val="300"/>
        </w:trPr>
        <w:tc>
          <w:tcPr>
            <w:tcW w:w="1546" w:type="dxa"/>
            <w:shd w:val="clear" w:color="auto" w:fill="auto"/>
            <w:noWrap/>
            <w:vAlign w:val="center"/>
            <w:hideMark/>
          </w:tcPr>
          <w:p w14:paraId="60EA0FA7" w14:textId="77777777" w:rsidR="008455B1" w:rsidRPr="006861D4" w:rsidRDefault="008455B1" w:rsidP="005356A1">
            <w:pPr>
              <w:spacing w:after="0" w:line="240" w:lineRule="auto"/>
              <w:rPr>
                <w:rFonts w:eastAsia="Times New Roman" w:cs="Times New Roman"/>
                <w:bCs/>
                <w:color w:val="000000"/>
                <w:sz w:val="20"/>
                <w:szCs w:val="20"/>
              </w:rPr>
            </w:pPr>
            <w:proofErr w:type="spellStart"/>
            <w:r w:rsidRPr="006861D4">
              <w:rPr>
                <w:bCs/>
                <w:color w:val="000000"/>
                <w:sz w:val="20"/>
                <w:szCs w:val="20"/>
              </w:rPr>
              <w:t>Sevilla</w:t>
            </w:r>
            <w:r w:rsidRPr="006861D4">
              <w:rPr>
                <w:bCs/>
                <w:color w:val="000000"/>
                <w:sz w:val="20"/>
                <w:szCs w:val="20"/>
                <w:vertAlign w:val="superscript"/>
              </w:rPr>
              <w:t>a</w:t>
            </w:r>
            <w:proofErr w:type="spellEnd"/>
          </w:p>
        </w:tc>
        <w:tc>
          <w:tcPr>
            <w:tcW w:w="722" w:type="dxa"/>
            <w:shd w:val="clear" w:color="auto" w:fill="auto"/>
            <w:noWrap/>
            <w:vAlign w:val="center"/>
            <w:hideMark/>
          </w:tcPr>
          <w:p w14:paraId="0E6760B3"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205</w:t>
            </w:r>
          </w:p>
        </w:tc>
        <w:tc>
          <w:tcPr>
            <w:tcW w:w="723" w:type="dxa"/>
            <w:shd w:val="clear" w:color="auto" w:fill="auto"/>
            <w:noWrap/>
            <w:vAlign w:val="center"/>
            <w:hideMark/>
          </w:tcPr>
          <w:p w14:paraId="2EF55D23"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596</w:t>
            </w:r>
          </w:p>
        </w:tc>
        <w:tc>
          <w:tcPr>
            <w:tcW w:w="723" w:type="dxa"/>
            <w:shd w:val="clear" w:color="auto" w:fill="auto"/>
            <w:noWrap/>
            <w:vAlign w:val="center"/>
            <w:hideMark/>
          </w:tcPr>
          <w:p w14:paraId="1602E4B4"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1562</w:t>
            </w:r>
          </w:p>
        </w:tc>
        <w:tc>
          <w:tcPr>
            <w:tcW w:w="723" w:type="dxa"/>
            <w:shd w:val="clear" w:color="auto" w:fill="auto"/>
            <w:noWrap/>
            <w:vAlign w:val="center"/>
            <w:hideMark/>
          </w:tcPr>
          <w:p w14:paraId="080C90D4"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66 (10)</w:t>
            </w:r>
          </w:p>
        </w:tc>
        <w:tc>
          <w:tcPr>
            <w:tcW w:w="723" w:type="dxa"/>
            <w:shd w:val="clear" w:color="auto" w:fill="auto"/>
            <w:noWrap/>
            <w:vAlign w:val="center"/>
            <w:hideMark/>
          </w:tcPr>
          <w:p w14:paraId="651CDAC6"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95</w:t>
            </w:r>
          </w:p>
        </w:tc>
        <w:tc>
          <w:tcPr>
            <w:tcW w:w="723" w:type="dxa"/>
            <w:shd w:val="clear" w:color="auto" w:fill="auto"/>
            <w:noWrap/>
            <w:vAlign w:val="center"/>
            <w:hideMark/>
          </w:tcPr>
          <w:p w14:paraId="1F01BBE4"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43.5 (13.3)</w:t>
            </w:r>
          </w:p>
        </w:tc>
        <w:tc>
          <w:tcPr>
            <w:tcW w:w="723" w:type="dxa"/>
            <w:shd w:val="clear" w:color="auto" w:fill="auto"/>
            <w:noWrap/>
            <w:vAlign w:val="center"/>
            <w:hideMark/>
          </w:tcPr>
          <w:p w14:paraId="2091EB21"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1</w:t>
            </w:r>
          </w:p>
        </w:tc>
        <w:tc>
          <w:tcPr>
            <w:tcW w:w="723" w:type="dxa"/>
            <w:shd w:val="clear" w:color="auto" w:fill="auto"/>
            <w:noWrap/>
            <w:vAlign w:val="center"/>
            <w:hideMark/>
          </w:tcPr>
          <w:p w14:paraId="18F6078A"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0.25</w:t>
            </w:r>
          </w:p>
        </w:tc>
        <w:tc>
          <w:tcPr>
            <w:tcW w:w="723" w:type="dxa"/>
            <w:shd w:val="clear" w:color="auto" w:fill="auto"/>
            <w:noWrap/>
            <w:vAlign w:val="center"/>
            <w:hideMark/>
          </w:tcPr>
          <w:p w14:paraId="318BF59A"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1.16</w:t>
            </w:r>
          </w:p>
        </w:tc>
        <w:tc>
          <w:tcPr>
            <w:tcW w:w="723" w:type="dxa"/>
            <w:shd w:val="clear" w:color="auto" w:fill="auto"/>
            <w:noWrap/>
            <w:vAlign w:val="center"/>
            <w:hideMark/>
          </w:tcPr>
          <w:p w14:paraId="6159DED3"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24</w:t>
            </w:r>
          </w:p>
        </w:tc>
        <w:tc>
          <w:tcPr>
            <w:tcW w:w="723" w:type="dxa"/>
            <w:shd w:val="clear" w:color="auto" w:fill="auto"/>
            <w:noWrap/>
            <w:vAlign w:val="center"/>
            <w:hideMark/>
          </w:tcPr>
          <w:p w14:paraId="4FC6223D"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29.2 (5.7)</w:t>
            </w:r>
          </w:p>
        </w:tc>
        <w:tc>
          <w:tcPr>
            <w:tcW w:w="723" w:type="dxa"/>
            <w:shd w:val="clear" w:color="auto" w:fill="auto"/>
            <w:noWrap/>
            <w:vAlign w:val="center"/>
            <w:hideMark/>
          </w:tcPr>
          <w:p w14:paraId="7F1C52FA"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 xml:space="preserve"> </w:t>
            </w:r>
          </w:p>
        </w:tc>
        <w:tc>
          <w:tcPr>
            <w:tcW w:w="723" w:type="dxa"/>
            <w:shd w:val="clear" w:color="auto" w:fill="auto"/>
            <w:noWrap/>
            <w:vAlign w:val="center"/>
            <w:hideMark/>
          </w:tcPr>
          <w:p w14:paraId="7CA83255"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 xml:space="preserve"> </w:t>
            </w:r>
          </w:p>
        </w:tc>
        <w:tc>
          <w:tcPr>
            <w:tcW w:w="723" w:type="dxa"/>
            <w:shd w:val="clear" w:color="auto" w:fill="auto"/>
            <w:noWrap/>
            <w:vAlign w:val="center"/>
            <w:hideMark/>
          </w:tcPr>
          <w:p w14:paraId="5B9FEE46"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 xml:space="preserve"> </w:t>
            </w:r>
          </w:p>
        </w:tc>
      </w:tr>
      <w:tr w:rsidR="008455B1" w:rsidRPr="002E4A39" w14:paraId="7F042D29" w14:textId="77777777" w:rsidTr="005356A1">
        <w:trPr>
          <w:trHeight w:val="300"/>
        </w:trPr>
        <w:tc>
          <w:tcPr>
            <w:tcW w:w="1546" w:type="dxa"/>
            <w:shd w:val="clear" w:color="auto" w:fill="auto"/>
            <w:noWrap/>
            <w:vAlign w:val="center"/>
            <w:hideMark/>
          </w:tcPr>
          <w:p w14:paraId="001112BE" w14:textId="77777777" w:rsidR="008455B1" w:rsidRPr="006861D4" w:rsidRDefault="008455B1" w:rsidP="005356A1">
            <w:pPr>
              <w:spacing w:after="0" w:line="240" w:lineRule="auto"/>
              <w:rPr>
                <w:rFonts w:eastAsia="Times New Roman" w:cs="Times New Roman"/>
                <w:bCs/>
                <w:color w:val="000000"/>
                <w:sz w:val="20"/>
                <w:szCs w:val="20"/>
              </w:rPr>
            </w:pPr>
            <w:proofErr w:type="spellStart"/>
            <w:r w:rsidRPr="006861D4">
              <w:rPr>
                <w:bCs/>
                <w:color w:val="000000"/>
                <w:sz w:val="20"/>
                <w:szCs w:val="20"/>
              </w:rPr>
              <w:t>Copenhagen</w:t>
            </w:r>
            <w:r w:rsidRPr="006861D4">
              <w:rPr>
                <w:bCs/>
                <w:color w:val="000000"/>
                <w:sz w:val="20"/>
                <w:szCs w:val="20"/>
                <w:vertAlign w:val="superscript"/>
              </w:rPr>
              <w:t>b</w:t>
            </w:r>
            <w:proofErr w:type="spellEnd"/>
          </w:p>
        </w:tc>
        <w:tc>
          <w:tcPr>
            <w:tcW w:w="722" w:type="dxa"/>
            <w:shd w:val="clear" w:color="auto" w:fill="auto"/>
            <w:noWrap/>
            <w:vAlign w:val="center"/>
            <w:hideMark/>
          </w:tcPr>
          <w:p w14:paraId="2A08A45E"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186</w:t>
            </w:r>
          </w:p>
        </w:tc>
        <w:tc>
          <w:tcPr>
            <w:tcW w:w="723" w:type="dxa"/>
            <w:shd w:val="clear" w:color="auto" w:fill="auto"/>
            <w:noWrap/>
            <w:vAlign w:val="center"/>
            <w:hideMark/>
          </w:tcPr>
          <w:p w14:paraId="28967D79"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2287</w:t>
            </w:r>
          </w:p>
        </w:tc>
        <w:tc>
          <w:tcPr>
            <w:tcW w:w="723" w:type="dxa"/>
            <w:shd w:val="clear" w:color="auto" w:fill="auto"/>
            <w:noWrap/>
            <w:vAlign w:val="center"/>
            <w:hideMark/>
          </w:tcPr>
          <w:p w14:paraId="30584B79"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6618</w:t>
            </w:r>
          </w:p>
        </w:tc>
        <w:tc>
          <w:tcPr>
            <w:tcW w:w="723" w:type="dxa"/>
            <w:shd w:val="clear" w:color="auto" w:fill="auto"/>
            <w:noWrap/>
            <w:vAlign w:val="center"/>
            <w:hideMark/>
          </w:tcPr>
          <w:p w14:paraId="4654237E"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61 (9)</w:t>
            </w:r>
          </w:p>
        </w:tc>
        <w:tc>
          <w:tcPr>
            <w:tcW w:w="723" w:type="dxa"/>
            <w:shd w:val="clear" w:color="auto" w:fill="auto"/>
            <w:noWrap/>
            <w:vAlign w:val="center"/>
            <w:hideMark/>
          </w:tcPr>
          <w:p w14:paraId="24E27E01"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54</w:t>
            </w:r>
          </w:p>
        </w:tc>
        <w:tc>
          <w:tcPr>
            <w:tcW w:w="723" w:type="dxa"/>
            <w:shd w:val="clear" w:color="auto" w:fill="auto"/>
            <w:noWrap/>
            <w:vAlign w:val="center"/>
            <w:hideMark/>
          </w:tcPr>
          <w:p w14:paraId="2008AF0D"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70.5 (23.7)</w:t>
            </w:r>
          </w:p>
        </w:tc>
        <w:tc>
          <w:tcPr>
            <w:tcW w:w="723" w:type="dxa"/>
            <w:shd w:val="clear" w:color="auto" w:fill="auto"/>
            <w:noWrap/>
            <w:vAlign w:val="center"/>
            <w:hideMark/>
          </w:tcPr>
          <w:p w14:paraId="08305287"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1.3</w:t>
            </w:r>
          </w:p>
        </w:tc>
        <w:tc>
          <w:tcPr>
            <w:tcW w:w="723" w:type="dxa"/>
            <w:shd w:val="clear" w:color="auto" w:fill="auto"/>
            <w:noWrap/>
            <w:vAlign w:val="center"/>
            <w:hideMark/>
          </w:tcPr>
          <w:p w14:paraId="40DABF7D"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 xml:space="preserve"> </w:t>
            </w:r>
          </w:p>
        </w:tc>
        <w:tc>
          <w:tcPr>
            <w:tcW w:w="723" w:type="dxa"/>
            <w:shd w:val="clear" w:color="auto" w:fill="auto"/>
            <w:noWrap/>
            <w:vAlign w:val="center"/>
            <w:hideMark/>
          </w:tcPr>
          <w:p w14:paraId="22F0EBF7"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 xml:space="preserve"> </w:t>
            </w:r>
          </w:p>
        </w:tc>
        <w:tc>
          <w:tcPr>
            <w:tcW w:w="723" w:type="dxa"/>
            <w:shd w:val="clear" w:color="auto" w:fill="auto"/>
            <w:noWrap/>
            <w:vAlign w:val="center"/>
            <w:hideMark/>
          </w:tcPr>
          <w:p w14:paraId="0F991622"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71</w:t>
            </w:r>
          </w:p>
        </w:tc>
        <w:tc>
          <w:tcPr>
            <w:tcW w:w="723" w:type="dxa"/>
            <w:shd w:val="clear" w:color="auto" w:fill="auto"/>
            <w:noWrap/>
            <w:vAlign w:val="center"/>
            <w:hideMark/>
          </w:tcPr>
          <w:p w14:paraId="7EF2E10D"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25 (4.2)</w:t>
            </w:r>
          </w:p>
        </w:tc>
        <w:tc>
          <w:tcPr>
            <w:tcW w:w="723" w:type="dxa"/>
            <w:shd w:val="clear" w:color="auto" w:fill="auto"/>
            <w:noWrap/>
            <w:vAlign w:val="center"/>
            <w:hideMark/>
          </w:tcPr>
          <w:p w14:paraId="46B0B399"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 xml:space="preserve"> </w:t>
            </w:r>
          </w:p>
        </w:tc>
        <w:tc>
          <w:tcPr>
            <w:tcW w:w="723" w:type="dxa"/>
            <w:shd w:val="clear" w:color="auto" w:fill="auto"/>
            <w:noWrap/>
            <w:vAlign w:val="center"/>
            <w:hideMark/>
          </w:tcPr>
          <w:p w14:paraId="03E6C270"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 xml:space="preserve"> </w:t>
            </w:r>
          </w:p>
        </w:tc>
        <w:tc>
          <w:tcPr>
            <w:tcW w:w="723" w:type="dxa"/>
            <w:shd w:val="clear" w:color="auto" w:fill="auto"/>
            <w:noWrap/>
            <w:vAlign w:val="center"/>
            <w:hideMark/>
          </w:tcPr>
          <w:p w14:paraId="46BDEB99"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 xml:space="preserve"> </w:t>
            </w:r>
          </w:p>
        </w:tc>
      </w:tr>
      <w:tr w:rsidR="008455B1" w:rsidRPr="002E4A39" w14:paraId="4F366D98" w14:textId="77777777" w:rsidTr="005356A1">
        <w:trPr>
          <w:trHeight w:val="300"/>
        </w:trPr>
        <w:tc>
          <w:tcPr>
            <w:tcW w:w="1546" w:type="dxa"/>
            <w:shd w:val="clear" w:color="auto" w:fill="auto"/>
            <w:noWrap/>
            <w:vAlign w:val="center"/>
            <w:hideMark/>
          </w:tcPr>
          <w:p w14:paraId="5E458344" w14:textId="77777777" w:rsidR="008455B1" w:rsidRPr="006861D4" w:rsidRDefault="008455B1" w:rsidP="005356A1">
            <w:pPr>
              <w:spacing w:after="0" w:line="240" w:lineRule="auto"/>
              <w:rPr>
                <w:rFonts w:eastAsia="Times New Roman" w:cs="Times New Roman"/>
                <w:bCs/>
                <w:color w:val="000000"/>
                <w:sz w:val="20"/>
                <w:szCs w:val="20"/>
              </w:rPr>
            </w:pPr>
            <w:proofErr w:type="spellStart"/>
            <w:r w:rsidRPr="006861D4">
              <w:rPr>
                <w:bCs/>
                <w:color w:val="000000"/>
                <w:sz w:val="20"/>
                <w:szCs w:val="20"/>
              </w:rPr>
              <w:t>Genkols</w:t>
            </w:r>
            <w:proofErr w:type="spellEnd"/>
          </w:p>
        </w:tc>
        <w:tc>
          <w:tcPr>
            <w:tcW w:w="722" w:type="dxa"/>
            <w:shd w:val="clear" w:color="auto" w:fill="auto"/>
            <w:noWrap/>
            <w:vAlign w:val="center"/>
            <w:hideMark/>
          </w:tcPr>
          <w:p w14:paraId="2BC9ADD5"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126</w:t>
            </w:r>
          </w:p>
        </w:tc>
        <w:tc>
          <w:tcPr>
            <w:tcW w:w="723" w:type="dxa"/>
            <w:shd w:val="clear" w:color="auto" w:fill="auto"/>
            <w:noWrap/>
            <w:vAlign w:val="center"/>
            <w:hideMark/>
          </w:tcPr>
          <w:p w14:paraId="731E8DF5"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954</w:t>
            </w:r>
          </w:p>
        </w:tc>
        <w:tc>
          <w:tcPr>
            <w:tcW w:w="723" w:type="dxa"/>
            <w:shd w:val="clear" w:color="auto" w:fill="auto"/>
            <w:noWrap/>
            <w:vAlign w:val="center"/>
            <w:hideMark/>
          </w:tcPr>
          <w:p w14:paraId="7638D814"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2708</w:t>
            </w:r>
          </w:p>
        </w:tc>
        <w:tc>
          <w:tcPr>
            <w:tcW w:w="723" w:type="dxa"/>
            <w:shd w:val="clear" w:color="auto" w:fill="auto"/>
            <w:noWrap/>
            <w:vAlign w:val="center"/>
            <w:hideMark/>
          </w:tcPr>
          <w:p w14:paraId="7DC65CA4"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65 (10)</w:t>
            </w:r>
          </w:p>
        </w:tc>
        <w:tc>
          <w:tcPr>
            <w:tcW w:w="723" w:type="dxa"/>
            <w:shd w:val="clear" w:color="auto" w:fill="auto"/>
            <w:noWrap/>
            <w:vAlign w:val="center"/>
            <w:hideMark/>
          </w:tcPr>
          <w:p w14:paraId="3DDCF6A4"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61</w:t>
            </w:r>
          </w:p>
        </w:tc>
        <w:tc>
          <w:tcPr>
            <w:tcW w:w="723" w:type="dxa"/>
            <w:shd w:val="clear" w:color="auto" w:fill="auto"/>
            <w:noWrap/>
            <w:vAlign w:val="center"/>
            <w:hideMark/>
          </w:tcPr>
          <w:p w14:paraId="60EEBD2E"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46.9 (17)</w:t>
            </w:r>
          </w:p>
        </w:tc>
        <w:tc>
          <w:tcPr>
            <w:tcW w:w="723" w:type="dxa"/>
            <w:shd w:val="clear" w:color="auto" w:fill="auto"/>
            <w:noWrap/>
            <w:vAlign w:val="center"/>
            <w:hideMark/>
          </w:tcPr>
          <w:p w14:paraId="41DC721D"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1.3</w:t>
            </w:r>
          </w:p>
        </w:tc>
        <w:tc>
          <w:tcPr>
            <w:tcW w:w="723" w:type="dxa"/>
            <w:shd w:val="clear" w:color="auto" w:fill="auto"/>
            <w:noWrap/>
            <w:vAlign w:val="center"/>
            <w:hideMark/>
          </w:tcPr>
          <w:p w14:paraId="4112ABA9"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0.15</w:t>
            </w:r>
          </w:p>
        </w:tc>
        <w:tc>
          <w:tcPr>
            <w:tcW w:w="723" w:type="dxa"/>
            <w:shd w:val="clear" w:color="auto" w:fill="auto"/>
            <w:noWrap/>
            <w:vAlign w:val="center"/>
            <w:hideMark/>
          </w:tcPr>
          <w:p w14:paraId="0450462B"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0.6</w:t>
            </w:r>
          </w:p>
        </w:tc>
        <w:tc>
          <w:tcPr>
            <w:tcW w:w="723" w:type="dxa"/>
            <w:shd w:val="clear" w:color="auto" w:fill="auto"/>
            <w:noWrap/>
            <w:vAlign w:val="center"/>
            <w:hideMark/>
          </w:tcPr>
          <w:p w14:paraId="16A095F2"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47</w:t>
            </w:r>
          </w:p>
        </w:tc>
        <w:tc>
          <w:tcPr>
            <w:tcW w:w="723" w:type="dxa"/>
            <w:shd w:val="clear" w:color="auto" w:fill="auto"/>
            <w:noWrap/>
            <w:vAlign w:val="center"/>
            <w:hideMark/>
          </w:tcPr>
          <w:p w14:paraId="29A532D7"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25.4 (5)</w:t>
            </w:r>
          </w:p>
        </w:tc>
        <w:tc>
          <w:tcPr>
            <w:tcW w:w="723" w:type="dxa"/>
            <w:shd w:val="clear" w:color="auto" w:fill="auto"/>
            <w:noWrap/>
            <w:vAlign w:val="center"/>
            <w:hideMark/>
          </w:tcPr>
          <w:p w14:paraId="419C3859"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 xml:space="preserve"> </w:t>
            </w:r>
          </w:p>
        </w:tc>
        <w:tc>
          <w:tcPr>
            <w:tcW w:w="723" w:type="dxa"/>
            <w:shd w:val="clear" w:color="auto" w:fill="auto"/>
            <w:noWrap/>
            <w:vAlign w:val="center"/>
            <w:hideMark/>
          </w:tcPr>
          <w:p w14:paraId="212A8ACC"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 xml:space="preserve"> </w:t>
            </w:r>
          </w:p>
        </w:tc>
        <w:tc>
          <w:tcPr>
            <w:tcW w:w="723" w:type="dxa"/>
            <w:shd w:val="clear" w:color="auto" w:fill="auto"/>
            <w:noWrap/>
            <w:vAlign w:val="center"/>
            <w:hideMark/>
          </w:tcPr>
          <w:p w14:paraId="781B6D20"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 xml:space="preserve"> </w:t>
            </w:r>
          </w:p>
        </w:tc>
      </w:tr>
      <w:tr w:rsidR="008455B1" w:rsidRPr="002E4A39" w14:paraId="2494B6D2" w14:textId="77777777" w:rsidTr="005356A1">
        <w:trPr>
          <w:trHeight w:val="300"/>
        </w:trPr>
        <w:tc>
          <w:tcPr>
            <w:tcW w:w="1546" w:type="dxa"/>
            <w:shd w:val="clear" w:color="auto" w:fill="auto"/>
            <w:noWrap/>
            <w:vAlign w:val="center"/>
            <w:hideMark/>
          </w:tcPr>
          <w:p w14:paraId="76173B8E" w14:textId="77777777" w:rsidR="008455B1" w:rsidRPr="006861D4" w:rsidRDefault="008455B1" w:rsidP="005356A1">
            <w:pPr>
              <w:spacing w:after="0" w:line="240" w:lineRule="auto"/>
              <w:rPr>
                <w:rFonts w:eastAsia="Times New Roman" w:cs="Times New Roman"/>
                <w:bCs/>
                <w:color w:val="000000"/>
                <w:sz w:val="20"/>
                <w:szCs w:val="20"/>
              </w:rPr>
            </w:pPr>
            <w:r w:rsidRPr="006861D4">
              <w:rPr>
                <w:bCs/>
                <w:color w:val="000000"/>
                <w:sz w:val="20"/>
                <w:szCs w:val="20"/>
              </w:rPr>
              <w:t xml:space="preserve">Zaragoza </w:t>
            </w:r>
            <w:proofErr w:type="spellStart"/>
            <w:r w:rsidRPr="006861D4">
              <w:rPr>
                <w:bCs/>
                <w:color w:val="000000"/>
                <w:sz w:val="20"/>
                <w:szCs w:val="20"/>
              </w:rPr>
              <w:t>II</w:t>
            </w:r>
            <w:r w:rsidRPr="006861D4">
              <w:rPr>
                <w:bCs/>
                <w:color w:val="000000"/>
                <w:sz w:val="20"/>
                <w:szCs w:val="20"/>
                <w:vertAlign w:val="superscript"/>
              </w:rPr>
              <w:t>a</w:t>
            </w:r>
            <w:proofErr w:type="spellEnd"/>
          </w:p>
        </w:tc>
        <w:tc>
          <w:tcPr>
            <w:tcW w:w="722" w:type="dxa"/>
            <w:shd w:val="clear" w:color="auto" w:fill="auto"/>
            <w:noWrap/>
            <w:vAlign w:val="center"/>
            <w:hideMark/>
          </w:tcPr>
          <w:p w14:paraId="7454A088"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118</w:t>
            </w:r>
          </w:p>
        </w:tc>
        <w:tc>
          <w:tcPr>
            <w:tcW w:w="723" w:type="dxa"/>
            <w:shd w:val="clear" w:color="auto" w:fill="auto"/>
            <w:noWrap/>
            <w:vAlign w:val="center"/>
            <w:hideMark/>
          </w:tcPr>
          <w:p w14:paraId="6D9F7B9D"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1150</w:t>
            </w:r>
          </w:p>
        </w:tc>
        <w:tc>
          <w:tcPr>
            <w:tcW w:w="723" w:type="dxa"/>
            <w:shd w:val="clear" w:color="auto" w:fill="auto"/>
            <w:noWrap/>
            <w:vAlign w:val="center"/>
            <w:hideMark/>
          </w:tcPr>
          <w:p w14:paraId="1A5619C4"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3069</w:t>
            </w:r>
          </w:p>
        </w:tc>
        <w:tc>
          <w:tcPr>
            <w:tcW w:w="723" w:type="dxa"/>
            <w:shd w:val="clear" w:color="auto" w:fill="auto"/>
            <w:noWrap/>
            <w:vAlign w:val="center"/>
            <w:hideMark/>
          </w:tcPr>
          <w:p w14:paraId="7427450C"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63 (9)</w:t>
            </w:r>
          </w:p>
        </w:tc>
        <w:tc>
          <w:tcPr>
            <w:tcW w:w="723" w:type="dxa"/>
            <w:shd w:val="clear" w:color="auto" w:fill="auto"/>
            <w:noWrap/>
            <w:vAlign w:val="center"/>
            <w:hideMark/>
          </w:tcPr>
          <w:p w14:paraId="2190DD30"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93</w:t>
            </w:r>
          </w:p>
        </w:tc>
        <w:tc>
          <w:tcPr>
            <w:tcW w:w="723" w:type="dxa"/>
            <w:shd w:val="clear" w:color="auto" w:fill="auto"/>
            <w:noWrap/>
            <w:vAlign w:val="center"/>
            <w:hideMark/>
          </w:tcPr>
          <w:p w14:paraId="4D824FC8"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62.3 (20.3)</w:t>
            </w:r>
          </w:p>
        </w:tc>
        <w:tc>
          <w:tcPr>
            <w:tcW w:w="723" w:type="dxa"/>
            <w:shd w:val="clear" w:color="auto" w:fill="auto"/>
            <w:noWrap/>
            <w:vAlign w:val="center"/>
            <w:hideMark/>
          </w:tcPr>
          <w:p w14:paraId="1B3B813A"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1.1</w:t>
            </w:r>
          </w:p>
        </w:tc>
        <w:tc>
          <w:tcPr>
            <w:tcW w:w="723" w:type="dxa"/>
            <w:shd w:val="clear" w:color="auto" w:fill="auto"/>
            <w:noWrap/>
            <w:vAlign w:val="center"/>
            <w:hideMark/>
          </w:tcPr>
          <w:p w14:paraId="54D9522E"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0.17</w:t>
            </w:r>
          </w:p>
        </w:tc>
        <w:tc>
          <w:tcPr>
            <w:tcW w:w="723" w:type="dxa"/>
            <w:shd w:val="clear" w:color="auto" w:fill="auto"/>
            <w:noWrap/>
            <w:vAlign w:val="center"/>
            <w:hideMark/>
          </w:tcPr>
          <w:p w14:paraId="30328CD2"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0.91</w:t>
            </w:r>
          </w:p>
        </w:tc>
        <w:tc>
          <w:tcPr>
            <w:tcW w:w="723" w:type="dxa"/>
            <w:shd w:val="clear" w:color="auto" w:fill="auto"/>
            <w:noWrap/>
            <w:vAlign w:val="center"/>
            <w:hideMark/>
          </w:tcPr>
          <w:p w14:paraId="1E513386"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34</w:t>
            </w:r>
          </w:p>
        </w:tc>
        <w:tc>
          <w:tcPr>
            <w:tcW w:w="723" w:type="dxa"/>
            <w:shd w:val="clear" w:color="auto" w:fill="auto"/>
            <w:noWrap/>
            <w:vAlign w:val="center"/>
            <w:hideMark/>
          </w:tcPr>
          <w:p w14:paraId="2C32705A"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27.5 (4.8)</w:t>
            </w:r>
          </w:p>
        </w:tc>
        <w:tc>
          <w:tcPr>
            <w:tcW w:w="723" w:type="dxa"/>
            <w:shd w:val="clear" w:color="auto" w:fill="auto"/>
            <w:noWrap/>
            <w:vAlign w:val="center"/>
            <w:hideMark/>
          </w:tcPr>
          <w:p w14:paraId="260CE9EA"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356.2 (153.7)</w:t>
            </w:r>
          </w:p>
        </w:tc>
        <w:tc>
          <w:tcPr>
            <w:tcW w:w="723" w:type="dxa"/>
            <w:shd w:val="clear" w:color="auto" w:fill="auto"/>
            <w:noWrap/>
            <w:vAlign w:val="center"/>
            <w:hideMark/>
          </w:tcPr>
          <w:p w14:paraId="587678D8"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 xml:space="preserve"> </w:t>
            </w:r>
          </w:p>
        </w:tc>
        <w:tc>
          <w:tcPr>
            <w:tcW w:w="723" w:type="dxa"/>
            <w:shd w:val="clear" w:color="auto" w:fill="auto"/>
            <w:noWrap/>
            <w:vAlign w:val="center"/>
            <w:hideMark/>
          </w:tcPr>
          <w:p w14:paraId="5406D135"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 xml:space="preserve"> </w:t>
            </w:r>
          </w:p>
        </w:tc>
      </w:tr>
      <w:tr w:rsidR="008455B1" w:rsidRPr="002E4A39" w14:paraId="388DCAAD" w14:textId="77777777" w:rsidTr="005356A1">
        <w:trPr>
          <w:trHeight w:val="300"/>
        </w:trPr>
        <w:tc>
          <w:tcPr>
            <w:tcW w:w="1546" w:type="dxa"/>
            <w:shd w:val="clear" w:color="auto" w:fill="auto"/>
            <w:noWrap/>
            <w:vAlign w:val="center"/>
            <w:hideMark/>
          </w:tcPr>
          <w:p w14:paraId="78366496" w14:textId="77777777" w:rsidR="008455B1" w:rsidRPr="006861D4" w:rsidRDefault="008455B1" w:rsidP="005356A1">
            <w:pPr>
              <w:spacing w:after="0" w:line="240" w:lineRule="auto"/>
              <w:rPr>
                <w:rFonts w:eastAsia="Times New Roman" w:cs="Times New Roman"/>
                <w:bCs/>
                <w:color w:val="000000"/>
                <w:sz w:val="20"/>
                <w:szCs w:val="20"/>
              </w:rPr>
            </w:pPr>
            <w:r w:rsidRPr="006861D4">
              <w:rPr>
                <w:bCs/>
                <w:color w:val="000000"/>
                <w:sz w:val="20"/>
                <w:szCs w:val="20"/>
              </w:rPr>
              <w:t>HUNT</w:t>
            </w:r>
          </w:p>
        </w:tc>
        <w:tc>
          <w:tcPr>
            <w:tcW w:w="722" w:type="dxa"/>
            <w:shd w:val="clear" w:color="auto" w:fill="auto"/>
            <w:noWrap/>
            <w:vAlign w:val="center"/>
            <w:hideMark/>
          </w:tcPr>
          <w:p w14:paraId="59BDC793"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116</w:t>
            </w:r>
          </w:p>
        </w:tc>
        <w:tc>
          <w:tcPr>
            <w:tcW w:w="723" w:type="dxa"/>
            <w:shd w:val="clear" w:color="auto" w:fill="auto"/>
            <w:noWrap/>
            <w:vAlign w:val="center"/>
            <w:hideMark/>
          </w:tcPr>
          <w:p w14:paraId="609E409F"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1571</w:t>
            </w:r>
          </w:p>
        </w:tc>
        <w:tc>
          <w:tcPr>
            <w:tcW w:w="723" w:type="dxa"/>
            <w:shd w:val="clear" w:color="auto" w:fill="auto"/>
            <w:noWrap/>
            <w:vAlign w:val="center"/>
            <w:hideMark/>
          </w:tcPr>
          <w:p w14:paraId="3221F505"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4583</w:t>
            </w:r>
          </w:p>
        </w:tc>
        <w:tc>
          <w:tcPr>
            <w:tcW w:w="723" w:type="dxa"/>
            <w:shd w:val="clear" w:color="auto" w:fill="auto"/>
            <w:noWrap/>
            <w:vAlign w:val="center"/>
            <w:hideMark/>
          </w:tcPr>
          <w:p w14:paraId="5BC191D0"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63 (13)</w:t>
            </w:r>
          </w:p>
        </w:tc>
        <w:tc>
          <w:tcPr>
            <w:tcW w:w="723" w:type="dxa"/>
            <w:shd w:val="clear" w:color="auto" w:fill="auto"/>
            <w:noWrap/>
            <w:vAlign w:val="center"/>
            <w:hideMark/>
          </w:tcPr>
          <w:p w14:paraId="2C03BFF7"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62</w:t>
            </w:r>
          </w:p>
        </w:tc>
        <w:tc>
          <w:tcPr>
            <w:tcW w:w="723" w:type="dxa"/>
            <w:shd w:val="clear" w:color="auto" w:fill="auto"/>
            <w:noWrap/>
            <w:vAlign w:val="center"/>
            <w:hideMark/>
          </w:tcPr>
          <w:p w14:paraId="26E833AF"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63.8 (18.7)</w:t>
            </w:r>
          </w:p>
        </w:tc>
        <w:tc>
          <w:tcPr>
            <w:tcW w:w="723" w:type="dxa"/>
            <w:shd w:val="clear" w:color="auto" w:fill="auto"/>
            <w:noWrap/>
            <w:vAlign w:val="center"/>
            <w:hideMark/>
          </w:tcPr>
          <w:p w14:paraId="351388F5"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1.3</w:t>
            </w:r>
          </w:p>
        </w:tc>
        <w:tc>
          <w:tcPr>
            <w:tcW w:w="723" w:type="dxa"/>
            <w:shd w:val="clear" w:color="auto" w:fill="auto"/>
            <w:noWrap/>
            <w:vAlign w:val="center"/>
            <w:hideMark/>
          </w:tcPr>
          <w:p w14:paraId="4979E450"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 xml:space="preserve"> </w:t>
            </w:r>
          </w:p>
        </w:tc>
        <w:tc>
          <w:tcPr>
            <w:tcW w:w="723" w:type="dxa"/>
            <w:shd w:val="clear" w:color="auto" w:fill="auto"/>
            <w:noWrap/>
            <w:vAlign w:val="center"/>
            <w:hideMark/>
          </w:tcPr>
          <w:p w14:paraId="6438AB93"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 xml:space="preserve"> </w:t>
            </w:r>
          </w:p>
        </w:tc>
        <w:tc>
          <w:tcPr>
            <w:tcW w:w="723" w:type="dxa"/>
            <w:shd w:val="clear" w:color="auto" w:fill="auto"/>
            <w:noWrap/>
            <w:vAlign w:val="center"/>
            <w:hideMark/>
          </w:tcPr>
          <w:p w14:paraId="6D1B106C"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47</w:t>
            </w:r>
          </w:p>
        </w:tc>
        <w:tc>
          <w:tcPr>
            <w:tcW w:w="723" w:type="dxa"/>
            <w:shd w:val="clear" w:color="auto" w:fill="auto"/>
            <w:noWrap/>
            <w:vAlign w:val="center"/>
            <w:hideMark/>
          </w:tcPr>
          <w:p w14:paraId="42520043"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26.4 (4.4)</w:t>
            </w:r>
          </w:p>
        </w:tc>
        <w:tc>
          <w:tcPr>
            <w:tcW w:w="723" w:type="dxa"/>
            <w:shd w:val="clear" w:color="auto" w:fill="auto"/>
            <w:noWrap/>
            <w:vAlign w:val="center"/>
            <w:hideMark/>
          </w:tcPr>
          <w:p w14:paraId="5EE0DC16"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 xml:space="preserve"> </w:t>
            </w:r>
          </w:p>
        </w:tc>
        <w:tc>
          <w:tcPr>
            <w:tcW w:w="723" w:type="dxa"/>
            <w:shd w:val="clear" w:color="auto" w:fill="auto"/>
            <w:noWrap/>
            <w:vAlign w:val="center"/>
            <w:hideMark/>
          </w:tcPr>
          <w:p w14:paraId="73681859"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 xml:space="preserve"> </w:t>
            </w:r>
          </w:p>
        </w:tc>
        <w:tc>
          <w:tcPr>
            <w:tcW w:w="723" w:type="dxa"/>
            <w:shd w:val="clear" w:color="auto" w:fill="auto"/>
            <w:noWrap/>
            <w:vAlign w:val="center"/>
            <w:hideMark/>
          </w:tcPr>
          <w:p w14:paraId="7B7AFECC"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 xml:space="preserve"> </w:t>
            </w:r>
          </w:p>
        </w:tc>
      </w:tr>
      <w:tr w:rsidR="008455B1" w:rsidRPr="002E4A39" w14:paraId="62F43C76" w14:textId="77777777" w:rsidTr="005356A1">
        <w:trPr>
          <w:trHeight w:val="300"/>
        </w:trPr>
        <w:tc>
          <w:tcPr>
            <w:tcW w:w="1546" w:type="dxa"/>
            <w:shd w:val="clear" w:color="auto" w:fill="auto"/>
            <w:noWrap/>
            <w:vAlign w:val="center"/>
            <w:hideMark/>
          </w:tcPr>
          <w:p w14:paraId="32A51E59" w14:textId="77777777" w:rsidR="008455B1" w:rsidRPr="006861D4" w:rsidRDefault="008455B1" w:rsidP="005356A1">
            <w:pPr>
              <w:spacing w:after="0" w:line="240" w:lineRule="auto"/>
              <w:rPr>
                <w:rFonts w:eastAsia="Times New Roman" w:cs="Times New Roman"/>
                <w:bCs/>
                <w:color w:val="000000"/>
                <w:sz w:val="20"/>
                <w:szCs w:val="20"/>
              </w:rPr>
            </w:pPr>
            <w:proofErr w:type="spellStart"/>
            <w:r w:rsidRPr="006861D4">
              <w:rPr>
                <w:bCs/>
                <w:color w:val="000000"/>
                <w:sz w:val="20"/>
                <w:szCs w:val="20"/>
              </w:rPr>
              <w:t>Galdakao</w:t>
            </w:r>
            <w:r w:rsidRPr="006861D4">
              <w:rPr>
                <w:bCs/>
                <w:color w:val="000000"/>
                <w:sz w:val="20"/>
                <w:szCs w:val="20"/>
                <w:vertAlign w:val="superscript"/>
              </w:rPr>
              <w:t>a</w:t>
            </w:r>
            <w:proofErr w:type="spellEnd"/>
          </w:p>
        </w:tc>
        <w:tc>
          <w:tcPr>
            <w:tcW w:w="722" w:type="dxa"/>
            <w:shd w:val="clear" w:color="auto" w:fill="auto"/>
            <w:noWrap/>
            <w:vAlign w:val="center"/>
            <w:hideMark/>
          </w:tcPr>
          <w:p w14:paraId="038A0B76"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92</w:t>
            </w:r>
          </w:p>
        </w:tc>
        <w:tc>
          <w:tcPr>
            <w:tcW w:w="723" w:type="dxa"/>
            <w:shd w:val="clear" w:color="auto" w:fill="auto"/>
            <w:noWrap/>
            <w:vAlign w:val="center"/>
            <w:hideMark/>
          </w:tcPr>
          <w:p w14:paraId="61E65A26"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543</w:t>
            </w:r>
          </w:p>
        </w:tc>
        <w:tc>
          <w:tcPr>
            <w:tcW w:w="723" w:type="dxa"/>
            <w:shd w:val="clear" w:color="auto" w:fill="auto"/>
            <w:noWrap/>
            <w:vAlign w:val="center"/>
            <w:hideMark/>
          </w:tcPr>
          <w:p w14:paraId="5D1D4B0E"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1497</w:t>
            </w:r>
          </w:p>
        </w:tc>
        <w:tc>
          <w:tcPr>
            <w:tcW w:w="723" w:type="dxa"/>
            <w:shd w:val="clear" w:color="auto" w:fill="auto"/>
            <w:noWrap/>
            <w:vAlign w:val="center"/>
            <w:hideMark/>
          </w:tcPr>
          <w:p w14:paraId="47D53D77"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68 (8)</w:t>
            </w:r>
          </w:p>
        </w:tc>
        <w:tc>
          <w:tcPr>
            <w:tcW w:w="723" w:type="dxa"/>
            <w:shd w:val="clear" w:color="auto" w:fill="auto"/>
            <w:noWrap/>
            <w:vAlign w:val="center"/>
            <w:hideMark/>
          </w:tcPr>
          <w:p w14:paraId="5AA3CEDA"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96</w:t>
            </w:r>
          </w:p>
        </w:tc>
        <w:tc>
          <w:tcPr>
            <w:tcW w:w="723" w:type="dxa"/>
            <w:shd w:val="clear" w:color="auto" w:fill="auto"/>
            <w:noWrap/>
            <w:vAlign w:val="center"/>
            <w:hideMark/>
          </w:tcPr>
          <w:p w14:paraId="59436C1E"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55 (13.3)</w:t>
            </w:r>
          </w:p>
        </w:tc>
        <w:tc>
          <w:tcPr>
            <w:tcW w:w="723" w:type="dxa"/>
            <w:shd w:val="clear" w:color="auto" w:fill="auto"/>
            <w:noWrap/>
            <w:vAlign w:val="center"/>
            <w:hideMark/>
          </w:tcPr>
          <w:p w14:paraId="0A979C75"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0.9</w:t>
            </w:r>
          </w:p>
        </w:tc>
        <w:tc>
          <w:tcPr>
            <w:tcW w:w="723" w:type="dxa"/>
            <w:shd w:val="clear" w:color="auto" w:fill="auto"/>
            <w:noWrap/>
            <w:vAlign w:val="center"/>
            <w:hideMark/>
          </w:tcPr>
          <w:p w14:paraId="7559FB02"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0</w:t>
            </w:r>
          </w:p>
        </w:tc>
        <w:tc>
          <w:tcPr>
            <w:tcW w:w="723" w:type="dxa"/>
            <w:shd w:val="clear" w:color="auto" w:fill="auto"/>
            <w:noWrap/>
            <w:vAlign w:val="center"/>
            <w:hideMark/>
          </w:tcPr>
          <w:p w14:paraId="17FF7902"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0.65</w:t>
            </w:r>
          </w:p>
        </w:tc>
        <w:tc>
          <w:tcPr>
            <w:tcW w:w="723" w:type="dxa"/>
            <w:shd w:val="clear" w:color="auto" w:fill="auto"/>
            <w:noWrap/>
            <w:vAlign w:val="center"/>
            <w:hideMark/>
          </w:tcPr>
          <w:p w14:paraId="3ED2102D"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21</w:t>
            </w:r>
          </w:p>
        </w:tc>
        <w:tc>
          <w:tcPr>
            <w:tcW w:w="723" w:type="dxa"/>
            <w:shd w:val="clear" w:color="auto" w:fill="auto"/>
            <w:noWrap/>
            <w:vAlign w:val="center"/>
            <w:hideMark/>
          </w:tcPr>
          <w:p w14:paraId="1BC36F02"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28.3 (4.4)</w:t>
            </w:r>
          </w:p>
        </w:tc>
        <w:tc>
          <w:tcPr>
            <w:tcW w:w="723" w:type="dxa"/>
            <w:shd w:val="clear" w:color="auto" w:fill="auto"/>
            <w:noWrap/>
            <w:vAlign w:val="center"/>
            <w:hideMark/>
          </w:tcPr>
          <w:p w14:paraId="33865F57"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408.9 (92.4)</w:t>
            </w:r>
          </w:p>
        </w:tc>
        <w:tc>
          <w:tcPr>
            <w:tcW w:w="723" w:type="dxa"/>
            <w:shd w:val="clear" w:color="auto" w:fill="auto"/>
            <w:noWrap/>
            <w:vAlign w:val="center"/>
            <w:hideMark/>
          </w:tcPr>
          <w:p w14:paraId="45046E9D"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 xml:space="preserve"> </w:t>
            </w:r>
          </w:p>
        </w:tc>
        <w:tc>
          <w:tcPr>
            <w:tcW w:w="723" w:type="dxa"/>
            <w:shd w:val="clear" w:color="auto" w:fill="auto"/>
            <w:noWrap/>
            <w:vAlign w:val="center"/>
            <w:hideMark/>
          </w:tcPr>
          <w:p w14:paraId="561446FD"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 xml:space="preserve"> </w:t>
            </w:r>
          </w:p>
        </w:tc>
      </w:tr>
      <w:tr w:rsidR="008455B1" w:rsidRPr="002E4A39" w14:paraId="783E1C6C" w14:textId="77777777" w:rsidTr="005356A1">
        <w:trPr>
          <w:trHeight w:val="300"/>
        </w:trPr>
        <w:tc>
          <w:tcPr>
            <w:tcW w:w="1546" w:type="dxa"/>
            <w:shd w:val="clear" w:color="auto" w:fill="auto"/>
            <w:noWrap/>
            <w:vAlign w:val="center"/>
            <w:hideMark/>
          </w:tcPr>
          <w:p w14:paraId="4EC071ED" w14:textId="77777777" w:rsidR="008455B1" w:rsidRPr="006861D4" w:rsidRDefault="008455B1" w:rsidP="005356A1">
            <w:pPr>
              <w:spacing w:after="0" w:line="240" w:lineRule="auto"/>
              <w:rPr>
                <w:rFonts w:eastAsia="Times New Roman" w:cs="Times New Roman"/>
                <w:bCs/>
                <w:color w:val="000000"/>
                <w:sz w:val="20"/>
                <w:szCs w:val="20"/>
              </w:rPr>
            </w:pPr>
            <w:proofErr w:type="spellStart"/>
            <w:r w:rsidRPr="006861D4">
              <w:rPr>
                <w:bCs/>
                <w:color w:val="000000"/>
                <w:sz w:val="20"/>
                <w:szCs w:val="20"/>
              </w:rPr>
              <w:t>Barmelweid</w:t>
            </w:r>
            <w:r w:rsidRPr="006861D4">
              <w:rPr>
                <w:bCs/>
                <w:color w:val="000000"/>
                <w:sz w:val="20"/>
                <w:szCs w:val="20"/>
                <w:vertAlign w:val="superscript"/>
              </w:rPr>
              <w:t>b</w:t>
            </w:r>
            <w:proofErr w:type="spellEnd"/>
          </w:p>
        </w:tc>
        <w:tc>
          <w:tcPr>
            <w:tcW w:w="722" w:type="dxa"/>
            <w:shd w:val="clear" w:color="auto" w:fill="auto"/>
            <w:noWrap/>
            <w:vAlign w:val="center"/>
            <w:hideMark/>
          </w:tcPr>
          <w:p w14:paraId="47DF82FD"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79</w:t>
            </w:r>
          </w:p>
        </w:tc>
        <w:tc>
          <w:tcPr>
            <w:tcW w:w="723" w:type="dxa"/>
            <w:shd w:val="clear" w:color="auto" w:fill="auto"/>
            <w:noWrap/>
            <w:vAlign w:val="center"/>
            <w:hideMark/>
          </w:tcPr>
          <w:p w14:paraId="64B10158"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232</w:t>
            </w:r>
          </w:p>
        </w:tc>
        <w:tc>
          <w:tcPr>
            <w:tcW w:w="723" w:type="dxa"/>
            <w:shd w:val="clear" w:color="auto" w:fill="auto"/>
            <w:noWrap/>
            <w:vAlign w:val="center"/>
            <w:hideMark/>
          </w:tcPr>
          <w:p w14:paraId="758D7A36"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555</w:t>
            </w:r>
          </w:p>
        </w:tc>
        <w:tc>
          <w:tcPr>
            <w:tcW w:w="723" w:type="dxa"/>
            <w:shd w:val="clear" w:color="auto" w:fill="auto"/>
            <w:noWrap/>
            <w:vAlign w:val="center"/>
            <w:hideMark/>
          </w:tcPr>
          <w:p w14:paraId="4F966360"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72 (9)</w:t>
            </w:r>
          </w:p>
        </w:tc>
        <w:tc>
          <w:tcPr>
            <w:tcW w:w="723" w:type="dxa"/>
            <w:shd w:val="clear" w:color="auto" w:fill="auto"/>
            <w:noWrap/>
            <w:vAlign w:val="center"/>
            <w:hideMark/>
          </w:tcPr>
          <w:p w14:paraId="576F3A28"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60</w:t>
            </w:r>
          </w:p>
        </w:tc>
        <w:tc>
          <w:tcPr>
            <w:tcW w:w="723" w:type="dxa"/>
            <w:shd w:val="clear" w:color="auto" w:fill="auto"/>
            <w:noWrap/>
            <w:vAlign w:val="center"/>
            <w:hideMark/>
          </w:tcPr>
          <w:p w14:paraId="6116FA07"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45.2 (16.1)</w:t>
            </w:r>
          </w:p>
        </w:tc>
        <w:tc>
          <w:tcPr>
            <w:tcW w:w="723" w:type="dxa"/>
            <w:shd w:val="clear" w:color="auto" w:fill="auto"/>
            <w:noWrap/>
            <w:vAlign w:val="center"/>
            <w:hideMark/>
          </w:tcPr>
          <w:p w14:paraId="4982D527"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1.1</w:t>
            </w:r>
          </w:p>
        </w:tc>
        <w:tc>
          <w:tcPr>
            <w:tcW w:w="723" w:type="dxa"/>
            <w:shd w:val="clear" w:color="auto" w:fill="auto"/>
            <w:noWrap/>
            <w:vAlign w:val="center"/>
            <w:hideMark/>
          </w:tcPr>
          <w:p w14:paraId="3B38279D"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 xml:space="preserve"> </w:t>
            </w:r>
          </w:p>
        </w:tc>
        <w:tc>
          <w:tcPr>
            <w:tcW w:w="723" w:type="dxa"/>
            <w:shd w:val="clear" w:color="auto" w:fill="auto"/>
            <w:noWrap/>
            <w:vAlign w:val="center"/>
            <w:hideMark/>
          </w:tcPr>
          <w:p w14:paraId="745481D5"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 xml:space="preserve"> </w:t>
            </w:r>
          </w:p>
        </w:tc>
        <w:tc>
          <w:tcPr>
            <w:tcW w:w="723" w:type="dxa"/>
            <w:shd w:val="clear" w:color="auto" w:fill="auto"/>
            <w:noWrap/>
            <w:vAlign w:val="center"/>
            <w:hideMark/>
          </w:tcPr>
          <w:p w14:paraId="6905B360"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21</w:t>
            </w:r>
          </w:p>
        </w:tc>
        <w:tc>
          <w:tcPr>
            <w:tcW w:w="723" w:type="dxa"/>
            <w:shd w:val="clear" w:color="auto" w:fill="auto"/>
            <w:noWrap/>
            <w:vAlign w:val="center"/>
            <w:hideMark/>
          </w:tcPr>
          <w:p w14:paraId="1ABF5267"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26 (6.3)</w:t>
            </w:r>
          </w:p>
        </w:tc>
        <w:tc>
          <w:tcPr>
            <w:tcW w:w="723" w:type="dxa"/>
            <w:shd w:val="clear" w:color="auto" w:fill="auto"/>
            <w:noWrap/>
            <w:vAlign w:val="center"/>
            <w:hideMark/>
          </w:tcPr>
          <w:p w14:paraId="38C8FBCE"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363.4 (126.8)</w:t>
            </w:r>
          </w:p>
        </w:tc>
        <w:tc>
          <w:tcPr>
            <w:tcW w:w="723" w:type="dxa"/>
            <w:shd w:val="clear" w:color="auto" w:fill="auto"/>
            <w:noWrap/>
            <w:vAlign w:val="center"/>
            <w:hideMark/>
          </w:tcPr>
          <w:p w14:paraId="1170E521"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 xml:space="preserve"> </w:t>
            </w:r>
          </w:p>
        </w:tc>
        <w:tc>
          <w:tcPr>
            <w:tcW w:w="723" w:type="dxa"/>
            <w:shd w:val="clear" w:color="auto" w:fill="auto"/>
            <w:noWrap/>
            <w:vAlign w:val="center"/>
            <w:hideMark/>
          </w:tcPr>
          <w:p w14:paraId="3312EDEB"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 xml:space="preserve"> </w:t>
            </w:r>
          </w:p>
        </w:tc>
      </w:tr>
      <w:tr w:rsidR="008455B1" w:rsidRPr="002E4A39" w14:paraId="37027597" w14:textId="77777777" w:rsidTr="005356A1">
        <w:trPr>
          <w:trHeight w:val="300"/>
        </w:trPr>
        <w:tc>
          <w:tcPr>
            <w:tcW w:w="1546" w:type="dxa"/>
            <w:shd w:val="clear" w:color="auto" w:fill="auto"/>
            <w:noWrap/>
            <w:vAlign w:val="center"/>
            <w:hideMark/>
          </w:tcPr>
          <w:p w14:paraId="01D54317" w14:textId="77777777" w:rsidR="008455B1" w:rsidRPr="006861D4" w:rsidRDefault="008455B1" w:rsidP="005356A1">
            <w:pPr>
              <w:spacing w:after="0" w:line="240" w:lineRule="auto"/>
              <w:rPr>
                <w:rFonts w:eastAsia="Times New Roman" w:cs="Times New Roman"/>
                <w:bCs/>
                <w:color w:val="000000"/>
                <w:sz w:val="20"/>
                <w:szCs w:val="20"/>
              </w:rPr>
            </w:pPr>
            <w:r w:rsidRPr="006861D4">
              <w:rPr>
                <w:bCs/>
                <w:color w:val="000000"/>
                <w:sz w:val="20"/>
                <w:szCs w:val="20"/>
              </w:rPr>
              <w:t xml:space="preserve">Terrassa </w:t>
            </w:r>
            <w:proofErr w:type="spellStart"/>
            <w:r w:rsidRPr="006861D4">
              <w:rPr>
                <w:bCs/>
                <w:color w:val="000000"/>
                <w:sz w:val="20"/>
                <w:szCs w:val="20"/>
              </w:rPr>
              <w:t>III</w:t>
            </w:r>
            <w:r w:rsidRPr="006861D4">
              <w:rPr>
                <w:bCs/>
                <w:color w:val="000000"/>
                <w:sz w:val="20"/>
                <w:szCs w:val="20"/>
                <w:vertAlign w:val="superscript"/>
              </w:rPr>
              <w:t>a</w:t>
            </w:r>
            <w:proofErr w:type="spellEnd"/>
          </w:p>
        </w:tc>
        <w:tc>
          <w:tcPr>
            <w:tcW w:w="722" w:type="dxa"/>
            <w:shd w:val="clear" w:color="auto" w:fill="auto"/>
            <w:noWrap/>
            <w:vAlign w:val="center"/>
            <w:hideMark/>
          </w:tcPr>
          <w:p w14:paraId="6D7B738A"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78</w:t>
            </w:r>
          </w:p>
        </w:tc>
        <w:tc>
          <w:tcPr>
            <w:tcW w:w="723" w:type="dxa"/>
            <w:shd w:val="clear" w:color="auto" w:fill="auto"/>
            <w:noWrap/>
            <w:vAlign w:val="center"/>
            <w:hideMark/>
          </w:tcPr>
          <w:p w14:paraId="340C5917"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181</w:t>
            </w:r>
          </w:p>
        </w:tc>
        <w:tc>
          <w:tcPr>
            <w:tcW w:w="723" w:type="dxa"/>
            <w:shd w:val="clear" w:color="auto" w:fill="auto"/>
            <w:noWrap/>
            <w:vAlign w:val="center"/>
            <w:hideMark/>
          </w:tcPr>
          <w:p w14:paraId="58C29DBF"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423</w:t>
            </w:r>
          </w:p>
        </w:tc>
        <w:tc>
          <w:tcPr>
            <w:tcW w:w="723" w:type="dxa"/>
            <w:shd w:val="clear" w:color="auto" w:fill="auto"/>
            <w:noWrap/>
            <w:vAlign w:val="center"/>
            <w:hideMark/>
          </w:tcPr>
          <w:p w14:paraId="3D2A92C9"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72 (10)</w:t>
            </w:r>
          </w:p>
        </w:tc>
        <w:tc>
          <w:tcPr>
            <w:tcW w:w="723" w:type="dxa"/>
            <w:shd w:val="clear" w:color="auto" w:fill="auto"/>
            <w:noWrap/>
            <w:vAlign w:val="center"/>
            <w:hideMark/>
          </w:tcPr>
          <w:p w14:paraId="254E002A"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95</w:t>
            </w:r>
          </w:p>
        </w:tc>
        <w:tc>
          <w:tcPr>
            <w:tcW w:w="723" w:type="dxa"/>
            <w:shd w:val="clear" w:color="auto" w:fill="auto"/>
            <w:noWrap/>
            <w:vAlign w:val="center"/>
            <w:hideMark/>
          </w:tcPr>
          <w:p w14:paraId="3C690840"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45.2 (14.4)</w:t>
            </w:r>
          </w:p>
        </w:tc>
        <w:tc>
          <w:tcPr>
            <w:tcW w:w="723" w:type="dxa"/>
            <w:shd w:val="clear" w:color="auto" w:fill="auto"/>
            <w:noWrap/>
            <w:vAlign w:val="center"/>
            <w:hideMark/>
          </w:tcPr>
          <w:p w14:paraId="246E538C"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1.2</w:t>
            </w:r>
          </w:p>
        </w:tc>
        <w:tc>
          <w:tcPr>
            <w:tcW w:w="723" w:type="dxa"/>
            <w:shd w:val="clear" w:color="auto" w:fill="auto"/>
            <w:noWrap/>
            <w:vAlign w:val="center"/>
            <w:hideMark/>
          </w:tcPr>
          <w:p w14:paraId="3787E299"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0.31</w:t>
            </w:r>
          </w:p>
        </w:tc>
        <w:tc>
          <w:tcPr>
            <w:tcW w:w="723" w:type="dxa"/>
            <w:shd w:val="clear" w:color="auto" w:fill="auto"/>
            <w:noWrap/>
            <w:vAlign w:val="center"/>
            <w:hideMark/>
          </w:tcPr>
          <w:p w14:paraId="730CDF05"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1.28</w:t>
            </w:r>
          </w:p>
        </w:tc>
        <w:tc>
          <w:tcPr>
            <w:tcW w:w="723" w:type="dxa"/>
            <w:shd w:val="clear" w:color="auto" w:fill="auto"/>
            <w:noWrap/>
            <w:vAlign w:val="center"/>
            <w:hideMark/>
          </w:tcPr>
          <w:p w14:paraId="4FD4C20B"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23</w:t>
            </w:r>
          </w:p>
        </w:tc>
        <w:tc>
          <w:tcPr>
            <w:tcW w:w="723" w:type="dxa"/>
            <w:shd w:val="clear" w:color="auto" w:fill="auto"/>
            <w:noWrap/>
            <w:vAlign w:val="center"/>
            <w:hideMark/>
          </w:tcPr>
          <w:p w14:paraId="30250A52"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27.9 (5)</w:t>
            </w:r>
          </w:p>
        </w:tc>
        <w:tc>
          <w:tcPr>
            <w:tcW w:w="723" w:type="dxa"/>
            <w:shd w:val="clear" w:color="auto" w:fill="auto"/>
            <w:noWrap/>
            <w:vAlign w:val="center"/>
            <w:hideMark/>
          </w:tcPr>
          <w:p w14:paraId="1809BBF7"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330.4 (105.8)</w:t>
            </w:r>
          </w:p>
        </w:tc>
        <w:tc>
          <w:tcPr>
            <w:tcW w:w="723" w:type="dxa"/>
            <w:shd w:val="clear" w:color="auto" w:fill="auto"/>
            <w:noWrap/>
            <w:vAlign w:val="center"/>
            <w:hideMark/>
          </w:tcPr>
          <w:p w14:paraId="487CB3D8"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 xml:space="preserve"> </w:t>
            </w:r>
          </w:p>
        </w:tc>
        <w:tc>
          <w:tcPr>
            <w:tcW w:w="723" w:type="dxa"/>
            <w:shd w:val="clear" w:color="auto" w:fill="auto"/>
            <w:noWrap/>
            <w:vAlign w:val="center"/>
            <w:hideMark/>
          </w:tcPr>
          <w:p w14:paraId="730C3963"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 xml:space="preserve"> </w:t>
            </w:r>
          </w:p>
        </w:tc>
      </w:tr>
      <w:tr w:rsidR="008455B1" w:rsidRPr="002E4A39" w14:paraId="55A0F2BF" w14:textId="77777777" w:rsidTr="005356A1">
        <w:trPr>
          <w:trHeight w:val="300"/>
        </w:trPr>
        <w:tc>
          <w:tcPr>
            <w:tcW w:w="1546" w:type="dxa"/>
            <w:shd w:val="clear" w:color="auto" w:fill="auto"/>
            <w:noWrap/>
            <w:vAlign w:val="center"/>
            <w:hideMark/>
          </w:tcPr>
          <w:p w14:paraId="7465E79C" w14:textId="77777777" w:rsidR="008455B1" w:rsidRPr="006861D4" w:rsidRDefault="008455B1" w:rsidP="005356A1">
            <w:pPr>
              <w:spacing w:after="0" w:line="240" w:lineRule="auto"/>
              <w:rPr>
                <w:rFonts w:eastAsia="Times New Roman" w:cs="Times New Roman"/>
                <w:bCs/>
                <w:color w:val="000000"/>
                <w:sz w:val="20"/>
                <w:szCs w:val="20"/>
              </w:rPr>
            </w:pPr>
            <w:r w:rsidRPr="006861D4">
              <w:rPr>
                <w:bCs/>
                <w:color w:val="000000"/>
                <w:sz w:val="20"/>
                <w:szCs w:val="20"/>
              </w:rPr>
              <w:t>Initiatives BPCO</w:t>
            </w:r>
          </w:p>
        </w:tc>
        <w:tc>
          <w:tcPr>
            <w:tcW w:w="722" w:type="dxa"/>
            <w:shd w:val="clear" w:color="auto" w:fill="auto"/>
            <w:noWrap/>
            <w:vAlign w:val="center"/>
            <w:hideMark/>
          </w:tcPr>
          <w:p w14:paraId="04735000"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76</w:t>
            </w:r>
          </w:p>
        </w:tc>
        <w:tc>
          <w:tcPr>
            <w:tcW w:w="723" w:type="dxa"/>
            <w:shd w:val="clear" w:color="auto" w:fill="auto"/>
            <w:noWrap/>
            <w:vAlign w:val="center"/>
            <w:hideMark/>
          </w:tcPr>
          <w:p w14:paraId="56D0BB15"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930</w:t>
            </w:r>
          </w:p>
        </w:tc>
        <w:tc>
          <w:tcPr>
            <w:tcW w:w="723" w:type="dxa"/>
            <w:shd w:val="clear" w:color="auto" w:fill="auto"/>
            <w:noWrap/>
            <w:vAlign w:val="center"/>
            <w:hideMark/>
          </w:tcPr>
          <w:p w14:paraId="20A5FF7B"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1525</w:t>
            </w:r>
          </w:p>
        </w:tc>
        <w:tc>
          <w:tcPr>
            <w:tcW w:w="723" w:type="dxa"/>
            <w:shd w:val="clear" w:color="auto" w:fill="auto"/>
            <w:noWrap/>
            <w:vAlign w:val="center"/>
            <w:hideMark/>
          </w:tcPr>
          <w:p w14:paraId="1B46C5E9"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64 (10)</w:t>
            </w:r>
          </w:p>
        </w:tc>
        <w:tc>
          <w:tcPr>
            <w:tcW w:w="723" w:type="dxa"/>
            <w:shd w:val="clear" w:color="auto" w:fill="auto"/>
            <w:noWrap/>
            <w:vAlign w:val="center"/>
            <w:hideMark/>
          </w:tcPr>
          <w:p w14:paraId="05234647"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77</w:t>
            </w:r>
          </w:p>
        </w:tc>
        <w:tc>
          <w:tcPr>
            <w:tcW w:w="723" w:type="dxa"/>
            <w:shd w:val="clear" w:color="auto" w:fill="auto"/>
            <w:noWrap/>
            <w:vAlign w:val="center"/>
            <w:hideMark/>
          </w:tcPr>
          <w:p w14:paraId="354BC1F9"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52.4 (20.3)</w:t>
            </w:r>
          </w:p>
        </w:tc>
        <w:tc>
          <w:tcPr>
            <w:tcW w:w="723" w:type="dxa"/>
            <w:shd w:val="clear" w:color="auto" w:fill="auto"/>
            <w:noWrap/>
            <w:vAlign w:val="center"/>
            <w:hideMark/>
          </w:tcPr>
          <w:p w14:paraId="365D3F6E"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1.1</w:t>
            </w:r>
          </w:p>
        </w:tc>
        <w:tc>
          <w:tcPr>
            <w:tcW w:w="723" w:type="dxa"/>
            <w:shd w:val="clear" w:color="auto" w:fill="auto"/>
            <w:noWrap/>
            <w:vAlign w:val="center"/>
            <w:hideMark/>
          </w:tcPr>
          <w:p w14:paraId="32572DDD"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0.4</w:t>
            </w:r>
          </w:p>
        </w:tc>
        <w:tc>
          <w:tcPr>
            <w:tcW w:w="723" w:type="dxa"/>
            <w:shd w:val="clear" w:color="auto" w:fill="auto"/>
            <w:noWrap/>
            <w:vAlign w:val="center"/>
            <w:hideMark/>
          </w:tcPr>
          <w:p w14:paraId="55873506"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1.65</w:t>
            </w:r>
          </w:p>
        </w:tc>
        <w:tc>
          <w:tcPr>
            <w:tcW w:w="723" w:type="dxa"/>
            <w:shd w:val="clear" w:color="auto" w:fill="auto"/>
            <w:noWrap/>
            <w:vAlign w:val="center"/>
            <w:hideMark/>
          </w:tcPr>
          <w:p w14:paraId="3F0A1ACB"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28</w:t>
            </w:r>
          </w:p>
        </w:tc>
        <w:tc>
          <w:tcPr>
            <w:tcW w:w="723" w:type="dxa"/>
            <w:shd w:val="clear" w:color="auto" w:fill="auto"/>
            <w:noWrap/>
            <w:vAlign w:val="center"/>
            <w:hideMark/>
          </w:tcPr>
          <w:p w14:paraId="01B2C201"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25.4 (5.5)</w:t>
            </w:r>
          </w:p>
        </w:tc>
        <w:tc>
          <w:tcPr>
            <w:tcW w:w="723" w:type="dxa"/>
            <w:shd w:val="clear" w:color="auto" w:fill="auto"/>
            <w:noWrap/>
            <w:vAlign w:val="center"/>
            <w:hideMark/>
          </w:tcPr>
          <w:p w14:paraId="41C95530"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387.4 (120.8)</w:t>
            </w:r>
          </w:p>
        </w:tc>
        <w:tc>
          <w:tcPr>
            <w:tcW w:w="723" w:type="dxa"/>
            <w:shd w:val="clear" w:color="auto" w:fill="auto"/>
            <w:noWrap/>
            <w:vAlign w:val="center"/>
            <w:hideMark/>
          </w:tcPr>
          <w:p w14:paraId="63D5EE73"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43.9 (19)</w:t>
            </w:r>
          </w:p>
        </w:tc>
        <w:tc>
          <w:tcPr>
            <w:tcW w:w="723" w:type="dxa"/>
            <w:shd w:val="clear" w:color="auto" w:fill="auto"/>
            <w:noWrap/>
            <w:vAlign w:val="center"/>
            <w:hideMark/>
          </w:tcPr>
          <w:p w14:paraId="2129A4B8"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 xml:space="preserve"> </w:t>
            </w:r>
          </w:p>
        </w:tc>
      </w:tr>
      <w:tr w:rsidR="008455B1" w:rsidRPr="002E4A39" w14:paraId="1AF724E5" w14:textId="77777777" w:rsidTr="005356A1">
        <w:trPr>
          <w:trHeight w:val="300"/>
        </w:trPr>
        <w:tc>
          <w:tcPr>
            <w:tcW w:w="1546" w:type="dxa"/>
            <w:shd w:val="clear" w:color="auto" w:fill="auto"/>
            <w:noWrap/>
            <w:vAlign w:val="center"/>
            <w:hideMark/>
          </w:tcPr>
          <w:p w14:paraId="1A8D634E" w14:textId="77777777" w:rsidR="008455B1" w:rsidRPr="006861D4" w:rsidRDefault="008455B1" w:rsidP="005356A1">
            <w:pPr>
              <w:spacing w:after="0" w:line="240" w:lineRule="auto"/>
              <w:rPr>
                <w:rFonts w:eastAsia="Times New Roman" w:cs="Times New Roman"/>
                <w:bCs/>
                <w:color w:val="000000"/>
                <w:sz w:val="20"/>
                <w:szCs w:val="20"/>
              </w:rPr>
            </w:pPr>
            <w:r w:rsidRPr="006861D4">
              <w:rPr>
                <w:bCs/>
                <w:color w:val="000000"/>
                <w:sz w:val="20"/>
                <w:szCs w:val="20"/>
              </w:rPr>
              <w:t xml:space="preserve">Terrassa </w:t>
            </w:r>
            <w:proofErr w:type="spellStart"/>
            <w:r w:rsidRPr="006861D4">
              <w:rPr>
                <w:bCs/>
                <w:color w:val="000000"/>
                <w:sz w:val="20"/>
                <w:szCs w:val="20"/>
              </w:rPr>
              <w:t>I</w:t>
            </w:r>
            <w:r w:rsidRPr="006861D4">
              <w:rPr>
                <w:bCs/>
                <w:color w:val="000000"/>
                <w:sz w:val="20"/>
                <w:szCs w:val="20"/>
                <w:vertAlign w:val="superscript"/>
              </w:rPr>
              <w:t>a</w:t>
            </w:r>
            <w:proofErr w:type="spellEnd"/>
          </w:p>
        </w:tc>
        <w:tc>
          <w:tcPr>
            <w:tcW w:w="722" w:type="dxa"/>
            <w:shd w:val="clear" w:color="auto" w:fill="auto"/>
            <w:noWrap/>
            <w:vAlign w:val="center"/>
            <w:hideMark/>
          </w:tcPr>
          <w:p w14:paraId="3D27599D"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72</w:t>
            </w:r>
          </w:p>
        </w:tc>
        <w:tc>
          <w:tcPr>
            <w:tcW w:w="723" w:type="dxa"/>
            <w:shd w:val="clear" w:color="auto" w:fill="auto"/>
            <w:noWrap/>
            <w:vAlign w:val="center"/>
            <w:hideMark/>
          </w:tcPr>
          <w:p w14:paraId="29A5B14E"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135</w:t>
            </w:r>
          </w:p>
        </w:tc>
        <w:tc>
          <w:tcPr>
            <w:tcW w:w="723" w:type="dxa"/>
            <w:shd w:val="clear" w:color="auto" w:fill="auto"/>
            <w:noWrap/>
            <w:vAlign w:val="center"/>
            <w:hideMark/>
          </w:tcPr>
          <w:p w14:paraId="548FCBEF"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284</w:t>
            </w:r>
          </w:p>
        </w:tc>
        <w:tc>
          <w:tcPr>
            <w:tcW w:w="723" w:type="dxa"/>
            <w:shd w:val="clear" w:color="auto" w:fill="auto"/>
            <w:noWrap/>
            <w:vAlign w:val="center"/>
            <w:hideMark/>
          </w:tcPr>
          <w:p w14:paraId="2B8F7E6C"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72 (9)</w:t>
            </w:r>
          </w:p>
        </w:tc>
        <w:tc>
          <w:tcPr>
            <w:tcW w:w="723" w:type="dxa"/>
            <w:shd w:val="clear" w:color="auto" w:fill="auto"/>
            <w:noWrap/>
            <w:vAlign w:val="center"/>
            <w:hideMark/>
          </w:tcPr>
          <w:p w14:paraId="3AF1AC9B"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92</w:t>
            </w:r>
          </w:p>
        </w:tc>
        <w:tc>
          <w:tcPr>
            <w:tcW w:w="723" w:type="dxa"/>
            <w:shd w:val="clear" w:color="auto" w:fill="auto"/>
            <w:noWrap/>
            <w:vAlign w:val="center"/>
            <w:hideMark/>
          </w:tcPr>
          <w:p w14:paraId="64779910"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41.3 (13)</w:t>
            </w:r>
          </w:p>
        </w:tc>
        <w:tc>
          <w:tcPr>
            <w:tcW w:w="723" w:type="dxa"/>
            <w:shd w:val="clear" w:color="auto" w:fill="auto"/>
            <w:noWrap/>
            <w:vAlign w:val="center"/>
            <w:hideMark/>
          </w:tcPr>
          <w:p w14:paraId="5B37E416"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1.3</w:t>
            </w:r>
          </w:p>
        </w:tc>
        <w:tc>
          <w:tcPr>
            <w:tcW w:w="723" w:type="dxa"/>
            <w:shd w:val="clear" w:color="auto" w:fill="auto"/>
            <w:noWrap/>
            <w:vAlign w:val="center"/>
            <w:hideMark/>
          </w:tcPr>
          <w:p w14:paraId="0A3601B4"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0.25</w:t>
            </w:r>
          </w:p>
        </w:tc>
        <w:tc>
          <w:tcPr>
            <w:tcW w:w="723" w:type="dxa"/>
            <w:shd w:val="clear" w:color="auto" w:fill="auto"/>
            <w:noWrap/>
            <w:vAlign w:val="center"/>
            <w:hideMark/>
          </w:tcPr>
          <w:p w14:paraId="54EC0478"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1.03</w:t>
            </w:r>
          </w:p>
        </w:tc>
        <w:tc>
          <w:tcPr>
            <w:tcW w:w="723" w:type="dxa"/>
            <w:shd w:val="clear" w:color="auto" w:fill="auto"/>
            <w:noWrap/>
            <w:vAlign w:val="center"/>
            <w:hideMark/>
          </w:tcPr>
          <w:p w14:paraId="7D7464A1"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17</w:t>
            </w:r>
          </w:p>
        </w:tc>
        <w:tc>
          <w:tcPr>
            <w:tcW w:w="723" w:type="dxa"/>
            <w:shd w:val="clear" w:color="auto" w:fill="auto"/>
            <w:noWrap/>
            <w:vAlign w:val="center"/>
            <w:hideMark/>
          </w:tcPr>
          <w:p w14:paraId="75456A0C"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26.3 (4.9)</w:t>
            </w:r>
          </w:p>
        </w:tc>
        <w:tc>
          <w:tcPr>
            <w:tcW w:w="723" w:type="dxa"/>
            <w:shd w:val="clear" w:color="auto" w:fill="auto"/>
            <w:noWrap/>
            <w:vAlign w:val="center"/>
            <w:hideMark/>
          </w:tcPr>
          <w:p w14:paraId="03024E6A"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 xml:space="preserve"> </w:t>
            </w:r>
          </w:p>
        </w:tc>
        <w:tc>
          <w:tcPr>
            <w:tcW w:w="723" w:type="dxa"/>
            <w:shd w:val="clear" w:color="auto" w:fill="auto"/>
            <w:noWrap/>
            <w:vAlign w:val="center"/>
            <w:hideMark/>
          </w:tcPr>
          <w:p w14:paraId="0A86FC52"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 xml:space="preserve"> </w:t>
            </w:r>
          </w:p>
        </w:tc>
        <w:tc>
          <w:tcPr>
            <w:tcW w:w="723" w:type="dxa"/>
            <w:shd w:val="clear" w:color="auto" w:fill="auto"/>
            <w:noWrap/>
            <w:vAlign w:val="center"/>
            <w:hideMark/>
          </w:tcPr>
          <w:p w14:paraId="778A9806"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 xml:space="preserve"> </w:t>
            </w:r>
          </w:p>
        </w:tc>
      </w:tr>
      <w:tr w:rsidR="008455B1" w:rsidRPr="002E4A39" w14:paraId="19BBE997" w14:textId="77777777" w:rsidTr="005356A1">
        <w:trPr>
          <w:trHeight w:val="300"/>
        </w:trPr>
        <w:tc>
          <w:tcPr>
            <w:tcW w:w="1546" w:type="dxa"/>
            <w:shd w:val="clear" w:color="auto" w:fill="auto"/>
            <w:noWrap/>
            <w:vAlign w:val="center"/>
            <w:hideMark/>
          </w:tcPr>
          <w:p w14:paraId="164F202A" w14:textId="77777777" w:rsidR="008455B1" w:rsidRPr="006861D4" w:rsidRDefault="008455B1" w:rsidP="005356A1">
            <w:pPr>
              <w:spacing w:after="0" w:line="240" w:lineRule="auto"/>
              <w:rPr>
                <w:rFonts w:eastAsia="Times New Roman" w:cs="Times New Roman"/>
                <w:bCs/>
                <w:color w:val="000000"/>
                <w:sz w:val="20"/>
                <w:szCs w:val="20"/>
              </w:rPr>
            </w:pPr>
            <w:proofErr w:type="spellStart"/>
            <w:r w:rsidRPr="006861D4">
              <w:rPr>
                <w:bCs/>
                <w:color w:val="000000"/>
                <w:sz w:val="20"/>
                <w:szCs w:val="20"/>
              </w:rPr>
              <w:t>SEPOC</w:t>
            </w:r>
            <w:r w:rsidRPr="006861D4">
              <w:rPr>
                <w:bCs/>
                <w:color w:val="000000"/>
                <w:sz w:val="20"/>
                <w:szCs w:val="20"/>
                <w:vertAlign w:val="superscript"/>
              </w:rPr>
              <w:t>b</w:t>
            </w:r>
            <w:proofErr w:type="spellEnd"/>
          </w:p>
        </w:tc>
        <w:tc>
          <w:tcPr>
            <w:tcW w:w="722" w:type="dxa"/>
            <w:shd w:val="clear" w:color="auto" w:fill="auto"/>
            <w:noWrap/>
            <w:vAlign w:val="center"/>
            <w:hideMark/>
          </w:tcPr>
          <w:p w14:paraId="74919CDC"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61</w:t>
            </w:r>
          </w:p>
        </w:tc>
        <w:tc>
          <w:tcPr>
            <w:tcW w:w="723" w:type="dxa"/>
            <w:shd w:val="clear" w:color="auto" w:fill="auto"/>
            <w:noWrap/>
            <w:vAlign w:val="center"/>
            <w:hideMark/>
          </w:tcPr>
          <w:p w14:paraId="113B8734"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318</w:t>
            </w:r>
          </w:p>
        </w:tc>
        <w:tc>
          <w:tcPr>
            <w:tcW w:w="723" w:type="dxa"/>
            <w:shd w:val="clear" w:color="auto" w:fill="auto"/>
            <w:noWrap/>
            <w:vAlign w:val="center"/>
            <w:hideMark/>
          </w:tcPr>
          <w:p w14:paraId="33BEA34B"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871</w:t>
            </w:r>
          </w:p>
        </w:tc>
        <w:tc>
          <w:tcPr>
            <w:tcW w:w="723" w:type="dxa"/>
            <w:shd w:val="clear" w:color="auto" w:fill="auto"/>
            <w:noWrap/>
            <w:vAlign w:val="center"/>
            <w:hideMark/>
          </w:tcPr>
          <w:p w14:paraId="338B4013"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65 (9)</w:t>
            </w:r>
          </w:p>
        </w:tc>
        <w:tc>
          <w:tcPr>
            <w:tcW w:w="723" w:type="dxa"/>
            <w:shd w:val="clear" w:color="auto" w:fill="auto"/>
            <w:noWrap/>
            <w:vAlign w:val="center"/>
            <w:hideMark/>
          </w:tcPr>
          <w:p w14:paraId="0025EBDA"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100</w:t>
            </w:r>
          </w:p>
        </w:tc>
        <w:tc>
          <w:tcPr>
            <w:tcW w:w="723" w:type="dxa"/>
            <w:shd w:val="clear" w:color="auto" w:fill="auto"/>
            <w:noWrap/>
            <w:vAlign w:val="center"/>
            <w:hideMark/>
          </w:tcPr>
          <w:p w14:paraId="49D5C098"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45 (18.3)</w:t>
            </w:r>
          </w:p>
        </w:tc>
        <w:tc>
          <w:tcPr>
            <w:tcW w:w="723" w:type="dxa"/>
            <w:shd w:val="clear" w:color="auto" w:fill="auto"/>
            <w:noWrap/>
            <w:vAlign w:val="center"/>
            <w:hideMark/>
          </w:tcPr>
          <w:p w14:paraId="284A5C1E"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1.5</w:t>
            </w:r>
          </w:p>
        </w:tc>
        <w:tc>
          <w:tcPr>
            <w:tcW w:w="723" w:type="dxa"/>
            <w:shd w:val="clear" w:color="auto" w:fill="auto"/>
            <w:noWrap/>
            <w:vAlign w:val="center"/>
            <w:hideMark/>
          </w:tcPr>
          <w:p w14:paraId="47BCA50B"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 xml:space="preserve"> </w:t>
            </w:r>
          </w:p>
        </w:tc>
        <w:tc>
          <w:tcPr>
            <w:tcW w:w="723" w:type="dxa"/>
            <w:shd w:val="clear" w:color="auto" w:fill="auto"/>
            <w:noWrap/>
            <w:vAlign w:val="center"/>
            <w:hideMark/>
          </w:tcPr>
          <w:p w14:paraId="2B146F0A"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 xml:space="preserve"> </w:t>
            </w:r>
          </w:p>
        </w:tc>
        <w:tc>
          <w:tcPr>
            <w:tcW w:w="723" w:type="dxa"/>
            <w:shd w:val="clear" w:color="auto" w:fill="auto"/>
            <w:noWrap/>
            <w:vAlign w:val="center"/>
            <w:hideMark/>
          </w:tcPr>
          <w:p w14:paraId="49F49684"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38</w:t>
            </w:r>
          </w:p>
        </w:tc>
        <w:tc>
          <w:tcPr>
            <w:tcW w:w="723" w:type="dxa"/>
            <w:shd w:val="clear" w:color="auto" w:fill="auto"/>
            <w:noWrap/>
            <w:vAlign w:val="center"/>
            <w:hideMark/>
          </w:tcPr>
          <w:p w14:paraId="473F3585"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26.4 (4.2)</w:t>
            </w:r>
          </w:p>
        </w:tc>
        <w:tc>
          <w:tcPr>
            <w:tcW w:w="723" w:type="dxa"/>
            <w:shd w:val="clear" w:color="auto" w:fill="auto"/>
            <w:noWrap/>
            <w:vAlign w:val="center"/>
            <w:hideMark/>
          </w:tcPr>
          <w:p w14:paraId="5EF51AE9"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 xml:space="preserve"> </w:t>
            </w:r>
          </w:p>
        </w:tc>
        <w:tc>
          <w:tcPr>
            <w:tcW w:w="723" w:type="dxa"/>
            <w:shd w:val="clear" w:color="auto" w:fill="auto"/>
            <w:noWrap/>
            <w:vAlign w:val="center"/>
            <w:hideMark/>
          </w:tcPr>
          <w:p w14:paraId="7C16568D"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 xml:space="preserve"> </w:t>
            </w:r>
          </w:p>
        </w:tc>
        <w:tc>
          <w:tcPr>
            <w:tcW w:w="723" w:type="dxa"/>
            <w:shd w:val="clear" w:color="auto" w:fill="auto"/>
            <w:noWrap/>
            <w:vAlign w:val="center"/>
            <w:hideMark/>
          </w:tcPr>
          <w:p w14:paraId="00034D5F"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 xml:space="preserve"> </w:t>
            </w:r>
          </w:p>
        </w:tc>
      </w:tr>
      <w:tr w:rsidR="008455B1" w:rsidRPr="002E4A39" w14:paraId="0CBA9A81" w14:textId="77777777" w:rsidTr="005356A1">
        <w:trPr>
          <w:trHeight w:val="300"/>
        </w:trPr>
        <w:tc>
          <w:tcPr>
            <w:tcW w:w="1546" w:type="dxa"/>
            <w:shd w:val="clear" w:color="auto" w:fill="auto"/>
            <w:noWrap/>
            <w:vAlign w:val="center"/>
            <w:hideMark/>
          </w:tcPr>
          <w:p w14:paraId="58FD028C" w14:textId="77777777" w:rsidR="008455B1" w:rsidRPr="006861D4" w:rsidRDefault="008455B1" w:rsidP="005356A1">
            <w:pPr>
              <w:spacing w:after="0" w:line="240" w:lineRule="auto"/>
              <w:rPr>
                <w:rFonts w:eastAsia="Times New Roman" w:cs="Times New Roman"/>
                <w:bCs/>
                <w:color w:val="000000"/>
                <w:sz w:val="20"/>
                <w:szCs w:val="20"/>
              </w:rPr>
            </w:pPr>
            <w:proofErr w:type="spellStart"/>
            <w:r w:rsidRPr="006861D4">
              <w:rPr>
                <w:bCs/>
                <w:color w:val="000000"/>
                <w:sz w:val="20"/>
                <w:szCs w:val="20"/>
              </w:rPr>
              <w:t>Requena</w:t>
            </w:r>
            <w:proofErr w:type="spellEnd"/>
            <w:r w:rsidRPr="006861D4">
              <w:rPr>
                <w:bCs/>
                <w:color w:val="000000"/>
                <w:sz w:val="20"/>
                <w:szCs w:val="20"/>
              </w:rPr>
              <w:t xml:space="preserve"> </w:t>
            </w:r>
            <w:proofErr w:type="spellStart"/>
            <w:r w:rsidRPr="006861D4">
              <w:rPr>
                <w:bCs/>
                <w:color w:val="000000"/>
                <w:sz w:val="20"/>
                <w:szCs w:val="20"/>
              </w:rPr>
              <w:t>II</w:t>
            </w:r>
            <w:r w:rsidRPr="006861D4">
              <w:rPr>
                <w:bCs/>
                <w:color w:val="000000"/>
                <w:sz w:val="20"/>
                <w:szCs w:val="20"/>
                <w:vertAlign w:val="superscript"/>
              </w:rPr>
              <w:t>a</w:t>
            </w:r>
            <w:proofErr w:type="spellEnd"/>
          </w:p>
        </w:tc>
        <w:tc>
          <w:tcPr>
            <w:tcW w:w="722" w:type="dxa"/>
            <w:shd w:val="clear" w:color="auto" w:fill="auto"/>
            <w:noWrap/>
            <w:vAlign w:val="center"/>
            <w:hideMark/>
          </w:tcPr>
          <w:p w14:paraId="7D57A177"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52</w:t>
            </w:r>
          </w:p>
        </w:tc>
        <w:tc>
          <w:tcPr>
            <w:tcW w:w="723" w:type="dxa"/>
            <w:shd w:val="clear" w:color="auto" w:fill="auto"/>
            <w:noWrap/>
            <w:vAlign w:val="center"/>
            <w:hideMark/>
          </w:tcPr>
          <w:p w14:paraId="25DA4A44"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186</w:t>
            </w:r>
          </w:p>
        </w:tc>
        <w:tc>
          <w:tcPr>
            <w:tcW w:w="723" w:type="dxa"/>
            <w:shd w:val="clear" w:color="auto" w:fill="auto"/>
            <w:noWrap/>
            <w:vAlign w:val="center"/>
            <w:hideMark/>
          </w:tcPr>
          <w:p w14:paraId="425FEC3E"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396</w:t>
            </w:r>
          </w:p>
        </w:tc>
        <w:tc>
          <w:tcPr>
            <w:tcW w:w="723" w:type="dxa"/>
            <w:shd w:val="clear" w:color="auto" w:fill="auto"/>
            <w:noWrap/>
            <w:vAlign w:val="center"/>
            <w:hideMark/>
          </w:tcPr>
          <w:p w14:paraId="74F6E2AF"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71 (9)</w:t>
            </w:r>
          </w:p>
        </w:tc>
        <w:tc>
          <w:tcPr>
            <w:tcW w:w="723" w:type="dxa"/>
            <w:shd w:val="clear" w:color="auto" w:fill="auto"/>
            <w:noWrap/>
            <w:vAlign w:val="center"/>
            <w:hideMark/>
          </w:tcPr>
          <w:p w14:paraId="3E633D73"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99</w:t>
            </w:r>
          </w:p>
        </w:tc>
        <w:tc>
          <w:tcPr>
            <w:tcW w:w="723" w:type="dxa"/>
            <w:shd w:val="clear" w:color="auto" w:fill="auto"/>
            <w:noWrap/>
            <w:vAlign w:val="center"/>
            <w:hideMark/>
          </w:tcPr>
          <w:p w14:paraId="00393195"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44.5 (16.5)</w:t>
            </w:r>
          </w:p>
        </w:tc>
        <w:tc>
          <w:tcPr>
            <w:tcW w:w="723" w:type="dxa"/>
            <w:shd w:val="clear" w:color="auto" w:fill="auto"/>
            <w:noWrap/>
            <w:vAlign w:val="center"/>
            <w:hideMark/>
          </w:tcPr>
          <w:p w14:paraId="2D2FDB93"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1</w:t>
            </w:r>
          </w:p>
        </w:tc>
        <w:tc>
          <w:tcPr>
            <w:tcW w:w="723" w:type="dxa"/>
            <w:shd w:val="clear" w:color="auto" w:fill="auto"/>
            <w:noWrap/>
            <w:vAlign w:val="center"/>
            <w:hideMark/>
          </w:tcPr>
          <w:p w14:paraId="200763F5"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0.16</w:t>
            </w:r>
          </w:p>
        </w:tc>
        <w:tc>
          <w:tcPr>
            <w:tcW w:w="723" w:type="dxa"/>
            <w:shd w:val="clear" w:color="auto" w:fill="auto"/>
            <w:noWrap/>
            <w:vAlign w:val="center"/>
            <w:hideMark/>
          </w:tcPr>
          <w:p w14:paraId="56926FCA"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0.62</w:t>
            </w:r>
          </w:p>
        </w:tc>
        <w:tc>
          <w:tcPr>
            <w:tcW w:w="723" w:type="dxa"/>
            <w:shd w:val="clear" w:color="auto" w:fill="auto"/>
            <w:noWrap/>
            <w:vAlign w:val="center"/>
            <w:hideMark/>
          </w:tcPr>
          <w:p w14:paraId="4AD784A7"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17</w:t>
            </w:r>
          </w:p>
        </w:tc>
        <w:tc>
          <w:tcPr>
            <w:tcW w:w="723" w:type="dxa"/>
            <w:shd w:val="clear" w:color="auto" w:fill="auto"/>
            <w:noWrap/>
            <w:vAlign w:val="center"/>
            <w:hideMark/>
          </w:tcPr>
          <w:p w14:paraId="4908E691"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28.1 (5.2)</w:t>
            </w:r>
          </w:p>
        </w:tc>
        <w:tc>
          <w:tcPr>
            <w:tcW w:w="723" w:type="dxa"/>
            <w:shd w:val="clear" w:color="auto" w:fill="auto"/>
            <w:noWrap/>
            <w:vAlign w:val="center"/>
            <w:hideMark/>
          </w:tcPr>
          <w:p w14:paraId="758211BA"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380.1 (111.9)</w:t>
            </w:r>
          </w:p>
        </w:tc>
        <w:tc>
          <w:tcPr>
            <w:tcW w:w="723" w:type="dxa"/>
            <w:shd w:val="clear" w:color="auto" w:fill="auto"/>
            <w:noWrap/>
            <w:vAlign w:val="center"/>
            <w:hideMark/>
          </w:tcPr>
          <w:p w14:paraId="19EF1099"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 xml:space="preserve"> </w:t>
            </w:r>
          </w:p>
        </w:tc>
        <w:tc>
          <w:tcPr>
            <w:tcW w:w="723" w:type="dxa"/>
            <w:shd w:val="clear" w:color="auto" w:fill="auto"/>
            <w:noWrap/>
            <w:vAlign w:val="center"/>
            <w:hideMark/>
          </w:tcPr>
          <w:p w14:paraId="035C7329"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 xml:space="preserve"> </w:t>
            </w:r>
          </w:p>
        </w:tc>
      </w:tr>
      <w:tr w:rsidR="008455B1" w:rsidRPr="002E4A39" w14:paraId="0F4B2E5C" w14:textId="77777777" w:rsidTr="005356A1">
        <w:trPr>
          <w:trHeight w:val="300"/>
        </w:trPr>
        <w:tc>
          <w:tcPr>
            <w:tcW w:w="1546" w:type="dxa"/>
            <w:shd w:val="clear" w:color="auto" w:fill="auto"/>
            <w:noWrap/>
            <w:vAlign w:val="center"/>
            <w:hideMark/>
          </w:tcPr>
          <w:p w14:paraId="6DC5F996" w14:textId="77777777" w:rsidR="008455B1" w:rsidRPr="006861D4" w:rsidRDefault="008455B1" w:rsidP="005356A1">
            <w:pPr>
              <w:spacing w:after="0" w:line="240" w:lineRule="auto"/>
              <w:rPr>
                <w:rFonts w:eastAsia="Times New Roman" w:cs="Times New Roman"/>
                <w:bCs/>
                <w:color w:val="000000"/>
                <w:sz w:val="20"/>
                <w:szCs w:val="20"/>
              </w:rPr>
            </w:pPr>
            <w:r w:rsidRPr="006861D4">
              <w:rPr>
                <w:bCs/>
                <w:color w:val="000000"/>
                <w:sz w:val="20"/>
                <w:szCs w:val="20"/>
              </w:rPr>
              <w:t>ICE COLD ERIC</w:t>
            </w:r>
          </w:p>
        </w:tc>
        <w:tc>
          <w:tcPr>
            <w:tcW w:w="722" w:type="dxa"/>
            <w:shd w:val="clear" w:color="auto" w:fill="auto"/>
            <w:noWrap/>
            <w:vAlign w:val="center"/>
            <w:hideMark/>
          </w:tcPr>
          <w:p w14:paraId="5F04EE92"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47</w:t>
            </w:r>
          </w:p>
        </w:tc>
        <w:tc>
          <w:tcPr>
            <w:tcW w:w="723" w:type="dxa"/>
            <w:shd w:val="clear" w:color="auto" w:fill="auto"/>
            <w:noWrap/>
            <w:vAlign w:val="center"/>
            <w:hideMark/>
          </w:tcPr>
          <w:p w14:paraId="5B413346"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400</w:t>
            </w:r>
          </w:p>
        </w:tc>
        <w:tc>
          <w:tcPr>
            <w:tcW w:w="723" w:type="dxa"/>
            <w:shd w:val="clear" w:color="auto" w:fill="auto"/>
            <w:noWrap/>
            <w:vAlign w:val="center"/>
            <w:hideMark/>
          </w:tcPr>
          <w:p w14:paraId="6F58F545"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1071</w:t>
            </w:r>
          </w:p>
        </w:tc>
        <w:tc>
          <w:tcPr>
            <w:tcW w:w="723" w:type="dxa"/>
            <w:shd w:val="clear" w:color="auto" w:fill="auto"/>
            <w:noWrap/>
            <w:vAlign w:val="center"/>
            <w:hideMark/>
          </w:tcPr>
          <w:p w14:paraId="42C64709"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67 (10)</w:t>
            </w:r>
          </w:p>
        </w:tc>
        <w:tc>
          <w:tcPr>
            <w:tcW w:w="723" w:type="dxa"/>
            <w:shd w:val="clear" w:color="auto" w:fill="auto"/>
            <w:noWrap/>
            <w:vAlign w:val="center"/>
            <w:hideMark/>
          </w:tcPr>
          <w:p w14:paraId="4B9FFE8F"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57</w:t>
            </w:r>
          </w:p>
        </w:tc>
        <w:tc>
          <w:tcPr>
            <w:tcW w:w="723" w:type="dxa"/>
            <w:shd w:val="clear" w:color="auto" w:fill="auto"/>
            <w:noWrap/>
            <w:vAlign w:val="center"/>
            <w:hideMark/>
          </w:tcPr>
          <w:p w14:paraId="53F58911"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55.3 (16.5)</w:t>
            </w:r>
          </w:p>
        </w:tc>
        <w:tc>
          <w:tcPr>
            <w:tcW w:w="723" w:type="dxa"/>
            <w:shd w:val="clear" w:color="auto" w:fill="auto"/>
            <w:noWrap/>
            <w:vAlign w:val="center"/>
            <w:hideMark/>
          </w:tcPr>
          <w:p w14:paraId="0D983835"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1.5</w:t>
            </w:r>
          </w:p>
        </w:tc>
        <w:tc>
          <w:tcPr>
            <w:tcW w:w="723" w:type="dxa"/>
            <w:shd w:val="clear" w:color="auto" w:fill="auto"/>
            <w:noWrap/>
            <w:vAlign w:val="center"/>
            <w:hideMark/>
          </w:tcPr>
          <w:p w14:paraId="23B0F35E"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0.13</w:t>
            </w:r>
          </w:p>
        </w:tc>
        <w:tc>
          <w:tcPr>
            <w:tcW w:w="723" w:type="dxa"/>
            <w:shd w:val="clear" w:color="auto" w:fill="auto"/>
            <w:noWrap/>
            <w:vAlign w:val="center"/>
            <w:hideMark/>
          </w:tcPr>
          <w:p w14:paraId="567513C5"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0.58</w:t>
            </w:r>
          </w:p>
        </w:tc>
        <w:tc>
          <w:tcPr>
            <w:tcW w:w="723" w:type="dxa"/>
            <w:shd w:val="clear" w:color="auto" w:fill="auto"/>
            <w:noWrap/>
            <w:vAlign w:val="center"/>
            <w:hideMark/>
          </w:tcPr>
          <w:p w14:paraId="6484565D"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39</w:t>
            </w:r>
          </w:p>
        </w:tc>
        <w:tc>
          <w:tcPr>
            <w:tcW w:w="723" w:type="dxa"/>
            <w:shd w:val="clear" w:color="auto" w:fill="auto"/>
            <w:noWrap/>
            <w:vAlign w:val="center"/>
            <w:hideMark/>
          </w:tcPr>
          <w:p w14:paraId="43F219E8"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26.1 (5.2)</w:t>
            </w:r>
          </w:p>
        </w:tc>
        <w:tc>
          <w:tcPr>
            <w:tcW w:w="723" w:type="dxa"/>
            <w:shd w:val="clear" w:color="auto" w:fill="auto"/>
            <w:noWrap/>
            <w:vAlign w:val="center"/>
            <w:hideMark/>
          </w:tcPr>
          <w:p w14:paraId="39D8B73E"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 xml:space="preserve"> </w:t>
            </w:r>
          </w:p>
        </w:tc>
        <w:tc>
          <w:tcPr>
            <w:tcW w:w="723" w:type="dxa"/>
            <w:shd w:val="clear" w:color="auto" w:fill="auto"/>
            <w:noWrap/>
            <w:vAlign w:val="center"/>
            <w:hideMark/>
          </w:tcPr>
          <w:p w14:paraId="49FA96D2"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 xml:space="preserve"> </w:t>
            </w:r>
          </w:p>
        </w:tc>
        <w:tc>
          <w:tcPr>
            <w:tcW w:w="723" w:type="dxa"/>
            <w:shd w:val="clear" w:color="auto" w:fill="auto"/>
            <w:noWrap/>
            <w:vAlign w:val="center"/>
            <w:hideMark/>
          </w:tcPr>
          <w:p w14:paraId="2D78D334"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 xml:space="preserve"> </w:t>
            </w:r>
          </w:p>
        </w:tc>
      </w:tr>
      <w:tr w:rsidR="008455B1" w:rsidRPr="002E4A39" w14:paraId="2758B8C9" w14:textId="77777777" w:rsidTr="005356A1">
        <w:trPr>
          <w:trHeight w:val="300"/>
        </w:trPr>
        <w:tc>
          <w:tcPr>
            <w:tcW w:w="1546" w:type="dxa"/>
            <w:shd w:val="clear" w:color="auto" w:fill="auto"/>
            <w:noWrap/>
            <w:vAlign w:val="center"/>
            <w:hideMark/>
          </w:tcPr>
          <w:p w14:paraId="523E494D" w14:textId="77777777" w:rsidR="008455B1" w:rsidRPr="006861D4" w:rsidRDefault="008455B1" w:rsidP="005356A1">
            <w:pPr>
              <w:spacing w:after="0" w:line="240" w:lineRule="auto"/>
              <w:rPr>
                <w:rFonts w:eastAsia="Times New Roman" w:cs="Times New Roman"/>
                <w:bCs/>
                <w:color w:val="000000"/>
                <w:sz w:val="20"/>
                <w:szCs w:val="20"/>
              </w:rPr>
            </w:pPr>
            <w:r w:rsidRPr="006861D4">
              <w:rPr>
                <w:bCs/>
                <w:color w:val="000000"/>
                <w:sz w:val="20"/>
                <w:szCs w:val="20"/>
              </w:rPr>
              <w:t>PAC-</w:t>
            </w:r>
            <w:proofErr w:type="spellStart"/>
            <w:r w:rsidRPr="006861D4">
              <w:rPr>
                <w:bCs/>
                <w:color w:val="000000"/>
                <w:sz w:val="20"/>
                <w:szCs w:val="20"/>
              </w:rPr>
              <w:t>COPD</w:t>
            </w:r>
            <w:r w:rsidRPr="006861D4">
              <w:rPr>
                <w:bCs/>
                <w:color w:val="000000"/>
                <w:sz w:val="20"/>
                <w:szCs w:val="20"/>
                <w:vertAlign w:val="superscript"/>
              </w:rPr>
              <w:t>b</w:t>
            </w:r>
            <w:proofErr w:type="spellEnd"/>
          </w:p>
        </w:tc>
        <w:tc>
          <w:tcPr>
            <w:tcW w:w="722" w:type="dxa"/>
            <w:shd w:val="clear" w:color="auto" w:fill="auto"/>
            <w:noWrap/>
            <w:vAlign w:val="center"/>
            <w:hideMark/>
          </w:tcPr>
          <w:p w14:paraId="3A8EEC8F"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41</w:t>
            </w:r>
          </w:p>
        </w:tc>
        <w:tc>
          <w:tcPr>
            <w:tcW w:w="723" w:type="dxa"/>
            <w:shd w:val="clear" w:color="auto" w:fill="auto"/>
            <w:noWrap/>
            <w:vAlign w:val="center"/>
            <w:hideMark/>
          </w:tcPr>
          <w:p w14:paraId="1815FEC5"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342</w:t>
            </w:r>
          </w:p>
        </w:tc>
        <w:tc>
          <w:tcPr>
            <w:tcW w:w="723" w:type="dxa"/>
            <w:shd w:val="clear" w:color="auto" w:fill="auto"/>
            <w:noWrap/>
            <w:vAlign w:val="center"/>
            <w:hideMark/>
          </w:tcPr>
          <w:p w14:paraId="1EDB96B9"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980</w:t>
            </w:r>
          </w:p>
        </w:tc>
        <w:tc>
          <w:tcPr>
            <w:tcW w:w="723" w:type="dxa"/>
            <w:shd w:val="clear" w:color="auto" w:fill="auto"/>
            <w:noWrap/>
            <w:vAlign w:val="center"/>
            <w:hideMark/>
          </w:tcPr>
          <w:p w14:paraId="6931F1CC"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68 (9)</w:t>
            </w:r>
          </w:p>
        </w:tc>
        <w:tc>
          <w:tcPr>
            <w:tcW w:w="723" w:type="dxa"/>
            <w:shd w:val="clear" w:color="auto" w:fill="auto"/>
            <w:noWrap/>
            <w:vAlign w:val="center"/>
            <w:hideMark/>
          </w:tcPr>
          <w:p w14:paraId="3C1620F6"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93</w:t>
            </w:r>
          </w:p>
        </w:tc>
        <w:tc>
          <w:tcPr>
            <w:tcW w:w="723" w:type="dxa"/>
            <w:shd w:val="clear" w:color="auto" w:fill="auto"/>
            <w:noWrap/>
            <w:vAlign w:val="center"/>
            <w:hideMark/>
          </w:tcPr>
          <w:p w14:paraId="37FB4EE4"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52.4 (16.2)</w:t>
            </w:r>
          </w:p>
        </w:tc>
        <w:tc>
          <w:tcPr>
            <w:tcW w:w="723" w:type="dxa"/>
            <w:shd w:val="clear" w:color="auto" w:fill="auto"/>
            <w:noWrap/>
            <w:vAlign w:val="center"/>
            <w:hideMark/>
          </w:tcPr>
          <w:p w14:paraId="3F0E4C48"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1</w:t>
            </w:r>
          </w:p>
        </w:tc>
        <w:tc>
          <w:tcPr>
            <w:tcW w:w="723" w:type="dxa"/>
            <w:shd w:val="clear" w:color="auto" w:fill="auto"/>
            <w:noWrap/>
            <w:vAlign w:val="center"/>
            <w:hideMark/>
          </w:tcPr>
          <w:p w14:paraId="22913CA0"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0.04</w:t>
            </w:r>
          </w:p>
        </w:tc>
        <w:tc>
          <w:tcPr>
            <w:tcW w:w="723" w:type="dxa"/>
            <w:shd w:val="clear" w:color="auto" w:fill="auto"/>
            <w:noWrap/>
            <w:vAlign w:val="center"/>
            <w:hideMark/>
          </w:tcPr>
          <w:p w14:paraId="38CF9121"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 xml:space="preserve"> </w:t>
            </w:r>
          </w:p>
        </w:tc>
        <w:tc>
          <w:tcPr>
            <w:tcW w:w="723" w:type="dxa"/>
            <w:shd w:val="clear" w:color="auto" w:fill="auto"/>
            <w:noWrap/>
            <w:vAlign w:val="center"/>
            <w:hideMark/>
          </w:tcPr>
          <w:p w14:paraId="0DFF7203"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33</w:t>
            </w:r>
          </w:p>
        </w:tc>
        <w:tc>
          <w:tcPr>
            <w:tcW w:w="723" w:type="dxa"/>
            <w:shd w:val="clear" w:color="auto" w:fill="auto"/>
            <w:noWrap/>
            <w:vAlign w:val="center"/>
            <w:hideMark/>
          </w:tcPr>
          <w:p w14:paraId="1BC59A75"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28.2 (4.7)</w:t>
            </w:r>
          </w:p>
        </w:tc>
        <w:tc>
          <w:tcPr>
            <w:tcW w:w="723" w:type="dxa"/>
            <w:shd w:val="clear" w:color="auto" w:fill="auto"/>
            <w:noWrap/>
            <w:vAlign w:val="center"/>
            <w:hideMark/>
          </w:tcPr>
          <w:p w14:paraId="06C34B48"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435.5 (90.6)</w:t>
            </w:r>
          </w:p>
        </w:tc>
        <w:tc>
          <w:tcPr>
            <w:tcW w:w="723" w:type="dxa"/>
            <w:shd w:val="clear" w:color="auto" w:fill="auto"/>
            <w:noWrap/>
            <w:vAlign w:val="center"/>
            <w:hideMark/>
          </w:tcPr>
          <w:p w14:paraId="0D2BB54B"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 xml:space="preserve"> </w:t>
            </w:r>
          </w:p>
        </w:tc>
        <w:tc>
          <w:tcPr>
            <w:tcW w:w="723" w:type="dxa"/>
            <w:shd w:val="clear" w:color="auto" w:fill="auto"/>
            <w:noWrap/>
            <w:vAlign w:val="center"/>
            <w:hideMark/>
          </w:tcPr>
          <w:p w14:paraId="60D6B132"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 xml:space="preserve"> </w:t>
            </w:r>
          </w:p>
        </w:tc>
      </w:tr>
      <w:tr w:rsidR="008455B1" w:rsidRPr="002E4A39" w14:paraId="1AAB1EDB" w14:textId="77777777" w:rsidTr="005356A1">
        <w:trPr>
          <w:trHeight w:val="300"/>
        </w:trPr>
        <w:tc>
          <w:tcPr>
            <w:tcW w:w="1546" w:type="dxa"/>
            <w:shd w:val="clear" w:color="auto" w:fill="auto"/>
            <w:noWrap/>
            <w:vAlign w:val="center"/>
            <w:hideMark/>
          </w:tcPr>
          <w:p w14:paraId="11B5C6E5" w14:textId="77777777" w:rsidR="008455B1" w:rsidRPr="006861D4" w:rsidRDefault="008455B1" w:rsidP="005356A1">
            <w:pPr>
              <w:spacing w:after="0" w:line="240" w:lineRule="auto"/>
              <w:rPr>
                <w:rFonts w:eastAsia="Times New Roman" w:cs="Times New Roman"/>
                <w:bCs/>
                <w:color w:val="000000"/>
                <w:sz w:val="20"/>
                <w:szCs w:val="20"/>
              </w:rPr>
            </w:pPr>
            <w:r w:rsidRPr="006861D4">
              <w:rPr>
                <w:bCs/>
                <w:color w:val="000000"/>
                <w:sz w:val="20"/>
                <w:szCs w:val="20"/>
              </w:rPr>
              <w:t>Tenerife</w:t>
            </w:r>
            <w:r w:rsidRPr="006861D4">
              <w:rPr>
                <w:bCs/>
                <w:color w:val="000000"/>
                <w:sz w:val="20"/>
                <w:szCs w:val="20"/>
                <w:vertAlign w:val="superscript"/>
              </w:rPr>
              <w:t xml:space="preserve"> a</w:t>
            </w:r>
          </w:p>
        </w:tc>
        <w:tc>
          <w:tcPr>
            <w:tcW w:w="722" w:type="dxa"/>
            <w:shd w:val="clear" w:color="auto" w:fill="auto"/>
            <w:noWrap/>
            <w:vAlign w:val="center"/>
            <w:hideMark/>
          </w:tcPr>
          <w:p w14:paraId="059C0ACC"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34</w:t>
            </w:r>
          </w:p>
        </w:tc>
        <w:tc>
          <w:tcPr>
            <w:tcW w:w="723" w:type="dxa"/>
            <w:shd w:val="clear" w:color="auto" w:fill="auto"/>
            <w:noWrap/>
            <w:vAlign w:val="center"/>
            <w:hideMark/>
          </w:tcPr>
          <w:p w14:paraId="4E56F226"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275</w:t>
            </w:r>
          </w:p>
        </w:tc>
        <w:tc>
          <w:tcPr>
            <w:tcW w:w="723" w:type="dxa"/>
            <w:shd w:val="clear" w:color="auto" w:fill="auto"/>
            <w:noWrap/>
            <w:vAlign w:val="center"/>
            <w:hideMark/>
          </w:tcPr>
          <w:p w14:paraId="789484ED"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653</w:t>
            </w:r>
          </w:p>
        </w:tc>
        <w:tc>
          <w:tcPr>
            <w:tcW w:w="723" w:type="dxa"/>
            <w:shd w:val="clear" w:color="auto" w:fill="auto"/>
            <w:noWrap/>
            <w:vAlign w:val="center"/>
            <w:hideMark/>
          </w:tcPr>
          <w:p w14:paraId="74BC723A"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63 (10)</w:t>
            </w:r>
          </w:p>
        </w:tc>
        <w:tc>
          <w:tcPr>
            <w:tcW w:w="723" w:type="dxa"/>
            <w:shd w:val="clear" w:color="auto" w:fill="auto"/>
            <w:noWrap/>
            <w:vAlign w:val="center"/>
            <w:hideMark/>
          </w:tcPr>
          <w:p w14:paraId="7C771E44"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79</w:t>
            </w:r>
          </w:p>
        </w:tc>
        <w:tc>
          <w:tcPr>
            <w:tcW w:w="723" w:type="dxa"/>
            <w:shd w:val="clear" w:color="auto" w:fill="auto"/>
            <w:noWrap/>
            <w:vAlign w:val="center"/>
            <w:hideMark/>
          </w:tcPr>
          <w:p w14:paraId="00D11902"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55.8 (21.2)</w:t>
            </w:r>
          </w:p>
        </w:tc>
        <w:tc>
          <w:tcPr>
            <w:tcW w:w="723" w:type="dxa"/>
            <w:shd w:val="clear" w:color="auto" w:fill="auto"/>
            <w:noWrap/>
            <w:vAlign w:val="center"/>
            <w:hideMark/>
          </w:tcPr>
          <w:p w14:paraId="70B91067"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1.2</w:t>
            </w:r>
          </w:p>
        </w:tc>
        <w:tc>
          <w:tcPr>
            <w:tcW w:w="723" w:type="dxa"/>
            <w:shd w:val="clear" w:color="auto" w:fill="auto"/>
            <w:noWrap/>
            <w:vAlign w:val="center"/>
            <w:hideMark/>
          </w:tcPr>
          <w:p w14:paraId="06B745D8"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0.06</w:t>
            </w:r>
          </w:p>
        </w:tc>
        <w:tc>
          <w:tcPr>
            <w:tcW w:w="723" w:type="dxa"/>
            <w:shd w:val="clear" w:color="auto" w:fill="auto"/>
            <w:noWrap/>
            <w:vAlign w:val="center"/>
            <w:hideMark/>
          </w:tcPr>
          <w:p w14:paraId="3FFF293D"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0.37</w:t>
            </w:r>
          </w:p>
        </w:tc>
        <w:tc>
          <w:tcPr>
            <w:tcW w:w="723" w:type="dxa"/>
            <w:shd w:val="clear" w:color="auto" w:fill="auto"/>
            <w:noWrap/>
            <w:vAlign w:val="center"/>
            <w:hideMark/>
          </w:tcPr>
          <w:p w14:paraId="3ADDE4B9"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42</w:t>
            </w:r>
          </w:p>
        </w:tc>
        <w:tc>
          <w:tcPr>
            <w:tcW w:w="723" w:type="dxa"/>
            <w:shd w:val="clear" w:color="auto" w:fill="auto"/>
            <w:noWrap/>
            <w:vAlign w:val="center"/>
            <w:hideMark/>
          </w:tcPr>
          <w:p w14:paraId="6D9C65B2"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27.3 (5.1)</w:t>
            </w:r>
          </w:p>
        </w:tc>
        <w:tc>
          <w:tcPr>
            <w:tcW w:w="723" w:type="dxa"/>
            <w:shd w:val="clear" w:color="auto" w:fill="auto"/>
            <w:noWrap/>
            <w:vAlign w:val="center"/>
            <w:hideMark/>
          </w:tcPr>
          <w:p w14:paraId="23F64B5C"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487.4 (87.5)</w:t>
            </w:r>
          </w:p>
        </w:tc>
        <w:tc>
          <w:tcPr>
            <w:tcW w:w="723" w:type="dxa"/>
            <w:shd w:val="clear" w:color="auto" w:fill="auto"/>
            <w:noWrap/>
            <w:vAlign w:val="center"/>
            <w:hideMark/>
          </w:tcPr>
          <w:p w14:paraId="3AB5DF44"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 xml:space="preserve"> </w:t>
            </w:r>
          </w:p>
        </w:tc>
        <w:tc>
          <w:tcPr>
            <w:tcW w:w="723" w:type="dxa"/>
            <w:shd w:val="clear" w:color="auto" w:fill="auto"/>
            <w:noWrap/>
            <w:vAlign w:val="center"/>
            <w:hideMark/>
          </w:tcPr>
          <w:p w14:paraId="6E42FB2F"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 xml:space="preserve"> </w:t>
            </w:r>
          </w:p>
        </w:tc>
      </w:tr>
      <w:tr w:rsidR="008455B1" w:rsidRPr="002E4A39" w14:paraId="614A2133" w14:textId="77777777" w:rsidTr="005356A1">
        <w:trPr>
          <w:trHeight w:val="300"/>
        </w:trPr>
        <w:tc>
          <w:tcPr>
            <w:tcW w:w="1546" w:type="dxa"/>
            <w:shd w:val="clear" w:color="auto" w:fill="auto"/>
            <w:noWrap/>
            <w:vAlign w:val="center"/>
            <w:hideMark/>
          </w:tcPr>
          <w:p w14:paraId="31CB76E0" w14:textId="77777777" w:rsidR="008455B1" w:rsidRPr="006861D4" w:rsidRDefault="008455B1" w:rsidP="005356A1">
            <w:pPr>
              <w:spacing w:after="0" w:line="240" w:lineRule="auto"/>
              <w:rPr>
                <w:rFonts w:eastAsia="Times New Roman" w:cs="Times New Roman"/>
                <w:bCs/>
                <w:color w:val="000000"/>
                <w:sz w:val="20"/>
                <w:szCs w:val="20"/>
              </w:rPr>
            </w:pPr>
            <w:r w:rsidRPr="006861D4">
              <w:rPr>
                <w:bCs/>
                <w:color w:val="000000"/>
                <w:sz w:val="20"/>
                <w:szCs w:val="20"/>
              </w:rPr>
              <w:t xml:space="preserve">Terrassa </w:t>
            </w:r>
            <w:proofErr w:type="spellStart"/>
            <w:r w:rsidRPr="006861D4">
              <w:rPr>
                <w:bCs/>
                <w:color w:val="000000"/>
                <w:sz w:val="20"/>
                <w:szCs w:val="20"/>
              </w:rPr>
              <w:t>II</w:t>
            </w:r>
            <w:r w:rsidRPr="006861D4">
              <w:rPr>
                <w:bCs/>
                <w:color w:val="000000"/>
                <w:sz w:val="20"/>
                <w:szCs w:val="20"/>
                <w:vertAlign w:val="superscript"/>
              </w:rPr>
              <w:t>a</w:t>
            </w:r>
            <w:proofErr w:type="spellEnd"/>
          </w:p>
        </w:tc>
        <w:tc>
          <w:tcPr>
            <w:tcW w:w="722" w:type="dxa"/>
            <w:shd w:val="clear" w:color="auto" w:fill="auto"/>
            <w:noWrap/>
            <w:vAlign w:val="center"/>
            <w:hideMark/>
          </w:tcPr>
          <w:p w14:paraId="659C3582"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28</w:t>
            </w:r>
          </w:p>
        </w:tc>
        <w:tc>
          <w:tcPr>
            <w:tcW w:w="723" w:type="dxa"/>
            <w:shd w:val="clear" w:color="auto" w:fill="auto"/>
            <w:noWrap/>
            <w:vAlign w:val="center"/>
            <w:hideMark/>
          </w:tcPr>
          <w:p w14:paraId="34BD96AB"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66</w:t>
            </w:r>
          </w:p>
        </w:tc>
        <w:tc>
          <w:tcPr>
            <w:tcW w:w="723" w:type="dxa"/>
            <w:shd w:val="clear" w:color="auto" w:fill="auto"/>
            <w:noWrap/>
            <w:vAlign w:val="center"/>
            <w:hideMark/>
          </w:tcPr>
          <w:p w14:paraId="6849DAD0"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145</w:t>
            </w:r>
          </w:p>
        </w:tc>
        <w:tc>
          <w:tcPr>
            <w:tcW w:w="723" w:type="dxa"/>
            <w:shd w:val="clear" w:color="auto" w:fill="auto"/>
            <w:noWrap/>
            <w:vAlign w:val="center"/>
            <w:hideMark/>
          </w:tcPr>
          <w:p w14:paraId="745C3C58"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72 (9)</w:t>
            </w:r>
          </w:p>
        </w:tc>
        <w:tc>
          <w:tcPr>
            <w:tcW w:w="723" w:type="dxa"/>
            <w:shd w:val="clear" w:color="auto" w:fill="auto"/>
            <w:noWrap/>
            <w:vAlign w:val="center"/>
            <w:hideMark/>
          </w:tcPr>
          <w:p w14:paraId="1183F38F"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98</w:t>
            </w:r>
          </w:p>
        </w:tc>
        <w:tc>
          <w:tcPr>
            <w:tcW w:w="723" w:type="dxa"/>
            <w:shd w:val="clear" w:color="auto" w:fill="auto"/>
            <w:noWrap/>
            <w:vAlign w:val="center"/>
            <w:hideMark/>
          </w:tcPr>
          <w:p w14:paraId="0E236488"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30.2 (12.9)</w:t>
            </w:r>
          </w:p>
        </w:tc>
        <w:tc>
          <w:tcPr>
            <w:tcW w:w="723" w:type="dxa"/>
            <w:shd w:val="clear" w:color="auto" w:fill="auto"/>
            <w:noWrap/>
            <w:vAlign w:val="center"/>
            <w:hideMark/>
          </w:tcPr>
          <w:p w14:paraId="7ED475FE"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1</w:t>
            </w:r>
          </w:p>
        </w:tc>
        <w:tc>
          <w:tcPr>
            <w:tcW w:w="723" w:type="dxa"/>
            <w:shd w:val="clear" w:color="auto" w:fill="auto"/>
            <w:noWrap/>
            <w:vAlign w:val="center"/>
            <w:hideMark/>
          </w:tcPr>
          <w:p w14:paraId="37BF8124"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0.42</w:t>
            </w:r>
          </w:p>
        </w:tc>
        <w:tc>
          <w:tcPr>
            <w:tcW w:w="723" w:type="dxa"/>
            <w:shd w:val="clear" w:color="auto" w:fill="auto"/>
            <w:noWrap/>
            <w:vAlign w:val="center"/>
            <w:hideMark/>
          </w:tcPr>
          <w:p w14:paraId="48CA2343"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1.81</w:t>
            </w:r>
          </w:p>
        </w:tc>
        <w:tc>
          <w:tcPr>
            <w:tcW w:w="723" w:type="dxa"/>
            <w:shd w:val="clear" w:color="auto" w:fill="auto"/>
            <w:noWrap/>
            <w:vAlign w:val="center"/>
            <w:hideMark/>
          </w:tcPr>
          <w:p w14:paraId="0DB78B5F"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14</w:t>
            </w:r>
          </w:p>
        </w:tc>
        <w:tc>
          <w:tcPr>
            <w:tcW w:w="723" w:type="dxa"/>
            <w:shd w:val="clear" w:color="auto" w:fill="auto"/>
            <w:noWrap/>
            <w:vAlign w:val="center"/>
            <w:hideMark/>
          </w:tcPr>
          <w:p w14:paraId="556A80AB"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25.7 (4.3)</w:t>
            </w:r>
          </w:p>
        </w:tc>
        <w:tc>
          <w:tcPr>
            <w:tcW w:w="723" w:type="dxa"/>
            <w:shd w:val="clear" w:color="auto" w:fill="auto"/>
            <w:noWrap/>
            <w:vAlign w:val="center"/>
            <w:hideMark/>
          </w:tcPr>
          <w:p w14:paraId="71D7130F"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217.7 (76.6)</w:t>
            </w:r>
          </w:p>
        </w:tc>
        <w:tc>
          <w:tcPr>
            <w:tcW w:w="723" w:type="dxa"/>
            <w:shd w:val="clear" w:color="auto" w:fill="auto"/>
            <w:noWrap/>
            <w:vAlign w:val="center"/>
            <w:hideMark/>
          </w:tcPr>
          <w:p w14:paraId="630318B7"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 xml:space="preserve"> </w:t>
            </w:r>
          </w:p>
        </w:tc>
        <w:tc>
          <w:tcPr>
            <w:tcW w:w="723" w:type="dxa"/>
            <w:shd w:val="clear" w:color="auto" w:fill="auto"/>
            <w:noWrap/>
            <w:vAlign w:val="center"/>
            <w:hideMark/>
          </w:tcPr>
          <w:p w14:paraId="08D7FE79"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 xml:space="preserve"> </w:t>
            </w:r>
          </w:p>
        </w:tc>
      </w:tr>
      <w:tr w:rsidR="008455B1" w:rsidRPr="002E4A39" w14:paraId="76C63511" w14:textId="77777777" w:rsidTr="005356A1">
        <w:trPr>
          <w:trHeight w:val="300"/>
        </w:trPr>
        <w:tc>
          <w:tcPr>
            <w:tcW w:w="1546" w:type="dxa"/>
            <w:shd w:val="clear" w:color="auto" w:fill="auto"/>
            <w:noWrap/>
            <w:vAlign w:val="center"/>
            <w:hideMark/>
          </w:tcPr>
          <w:p w14:paraId="73E89909" w14:textId="77777777" w:rsidR="008455B1" w:rsidRPr="006861D4" w:rsidRDefault="008455B1" w:rsidP="005356A1">
            <w:pPr>
              <w:spacing w:after="0" w:line="240" w:lineRule="auto"/>
              <w:rPr>
                <w:rFonts w:eastAsia="Times New Roman" w:cs="Times New Roman"/>
                <w:bCs/>
                <w:color w:val="000000"/>
                <w:sz w:val="20"/>
                <w:szCs w:val="20"/>
              </w:rPr>
            </w:pPr>
            <w:proofErr w:type="spellStart"/>
            <w:r w:rsidRPr="006861D4">
              <w:rPr>
                <w:bCs/>
                <w:color w:val="000000"/>
                <w:sz w:val="20"/>
                <w:szCs w:val="20"/>
              </w:rPr>
              <w:t>Requena</w:t>
            </w:r>
            <w:proofErr w:type="spellEnd"/>
            <w:r w:rsidRPr="006861D4">
              <w:rPr>
                <w:bCs/>
                <w:color w:val="000000"/>
                <w:sz w:val="20"/>
                <w:szCs w:val="20"/>
              </w:rPr>
              <w:t xml:space="preserve"> </w:t>
            </w:r>
            <w:proofErr w:type="spellStart"/>
            <w:r w:rsidRPr="006861D4">
              <w:rPr>
                <w:bCs/>
                <w:color w:val="000000"/>
                <w:sz w:val="20"/>
                <w:szCs w:val="20"/>
              </w:rPr>
              <w:t>I</w:t>
            </w:r>
            <w:r w:rsidRPr="006861D4">
              <w:rPr>
                <w:bCs/>
                <w:color w:val="000000"/>
                <w:sz w:val="20"/>
                <w:szCs w:val="20"/>
                <w:vertAlign w:val="superscript"/>
              </w:rPr>
              <w:t>a</w:t>
            </w:r>
            <w:proofErr w:type="spellEnd"/>
          </w:p>
        </w:tc>
        <w:tc>
          <w:tcPr>
            <w:tcW w:w="722" w:type="dxa"/>
            <w:shd w:val="clear" w:color="auto" w:fill="auto"/>
            <w:noWrap/>
            <w:vAlign w:val="center"/>
            <w:hideMark/>
          </w:tcPr>
          <w:p w14:paraId="3D43E39C"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23</w:t>
            </w:r>
          </w:p>
        </w:tc>
        <w:tc>
          <w:tcPr>
            <w:tcW w:w="723" w:type="dxa"/>
            <w:shd w:val="clear" w:color="auto" w:fill="auto"/>
            <w:noWrap/>
            <w:vAlign w:val="center"/>
            <w:hideMark/>
          </w:tcPr>
          <w:p w14:paraId="707F9C87"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174</w:t>
            </w:r>
          </w:p>
        </w:tc>
        <w:tc>
          <w:tcPr>
            <w:tcW w:w="723" w:type="dxa"/>
            <w:shd w:val="clear" w:color="auto" w:fill="auto"/>
            <w:noWrap/>
            <w:vAlign w:val="center"/>
            <w:hideMark/>
          </w:tcPr>
          <w:p w14:paraId="6AA4E478"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393</w:t>
            </w:r>
          </w:p>
        </w:tc>
        <w:tc>
          <w:tcPr>
            <w:tcW w:w="723" w:type="dxa"/>
            <w:shd w:val="clear" w:color="auto" w:fill="auto"/>
            <w:noWrap/>
            <w:vAlign w:val="center"/>
            <w:hideMark/>
          </w:tcPr>
          <w:p w14:paraId="52DDD27E"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72 (9)</w:t>
            </w:r>
          </w:p>
        </w:tc>
        <w:tc>
          <w:tcPr>
            <w:tcW w:w="723" w:type="dxa"/>
            <w:shd w:val="clear" w:color="auto" w:fill="auto"/>
            <w:noWrap/>
            <w:vAlign w:val="center"/>
            <w:hideMark/>
          </w:tcPr>
          <w:p w14:paraId="22E11221"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99</w:t>
            </w:r>
          </w:p>
        </w:tc>
        <w:tc>
          <w:tcPr>
            <w:tcW w:w="723" w:type="dxa"/>
            <w:shd w:val="clear" w:color="auto" w:fill="auto"/>
            <w:noWrap/>
            <w:vAlign w:val="center"/>
            <w:hideMark/>
          </w:tcPr>
          <w:p w14:paraId="2F81341C"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48.1 (16.8)</w:t>
            </w:r>
          </w:p>
        </w:tc>
        <w:tc>
          <w:tcPr>
            <w:tcW w:w="723" w:type="dxa"/>
            <w:shd w:val="clear" w:color="auto" w:fill="auto"/>
            <w:noWrap/>
            <w:vAlign w:val="center"/>
            <w:hideMark/>
          </w:tcPr>
          <w:p w14:paraId="0AB8F1E3"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1.2</w:t>
            </w:r>
            <w:r w:rsidRPr="005810C2">
              <w:rPr>
                <w:color w:val="000000"/>
                <w:vertAlign w:val="superscript"/>
              </w:rPr>
              <w:t>c</w:t>
            </w:r>
          </w:p>
        </w:tc>
        <w:tc>
          <w:tcPr>
            <w:tcW w:w="723" w:type="dxa"/>
            <w:shd w:val="clear" w:color="auto" w:fill="auto"/>
            <w:noWrap/>
            <w:vAlign w:val="center"/>
            <w:hideMark/>
          </w:tcPr>
          <w:p w14:paraId="74245187"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0.03</w:t>
            </w:r>
          </w:p>
        </w:tc>
        <w:tc>
          <w:tcPr>
            <w:tcW w:w="723" w:type="dxa"/>
            <w:shd w:val="clear" w:color="auto" w:fill="auto"/>
            <w:noWrap/>
            <w:vAlign w:val="center"/>
            <w:hideMark/>
          </w:tcPr>
          <w:p w14:paraId="30588D7F"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0.22</w:t>
            </w:r>
          </w:p>
        </w:tc>
        <w:tc>
          <w:tcPr>
            <w:tcW w:w="723" w:type="dxa"/>
            <w:shd w:val="clear" w:color="auto" w:fill="auto"/>
            <w:noWrap/>
            <w:vAlign w:val="center"/>
            <w:hideMark/>
          </w:tcPr>
          <w:p w14:paraId="503918E1"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23</w:t>
            </w:r>
          </w:p>
        </w:tc>
        <w:tc>
          <w:tcPr>
            <w:tcW w:w="723" w:type="dxa"/>
            <w:shd w:val="clear" w:color="auto" w:fill="auto"/>
            <w:noWrap/>
            <w:vAlign w:val="center"/>
            <w:hideMark/>
          </w:tcPr>
          <w:p w14:paraId="397C3E1D"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28 (4.2)</w:t>
            </w:r>
          </w:p>
        </w:tc>
        <w:tc>
          <w:tcPr>
            <w:tcW w:w="723" w:type="dxa"/>
            <w:shd w:val="clear" w:color="auto" w:fill="auto"/>
            <w:noWrap/>
            <w:vAlign w:val="center"/>
            <w:hideMark/>
          </w:tcPr>
          <w:p w14:paraId="6E67B839"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434.4 (125.3)</w:t>
            </w:r>
          </w:p>
        </w:tc>
        <w:tc>
          <w:tcPr>
            <w:tcW w:w="723" w:type="dxa"/>
            <w:shd w:val="clear" w:color="auto" w:fill="auto"/>
            <w:noWrap/>
            <w:vAlign w:val="center"/>
            <w:hideMark/>
          </w:tcPr>
          <w:p w14:paraId="1C134CCF"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 xml:space="preserve"> </w:t>
            </w:r>
          </w:p>
        </w:tc>
        <w:tc>
          <w:tcPr>
            <w:tcW w:w="723" w:type="dxa"/>
            <w:shd w:val="clear" w:color="auto" w:fill="auto"/>
            <w:noWrap/>
            <w:vAlign w:val="center"/>
            <w:hideMark/>
          </w:tcPr>
          <w:p w14:paraId="2B765C78"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 xml:space="preserve"> </w:t>
            </w:r>
          </w:p>
        </w:tc>
      </w:tr>
      <w:tr w:rsidR="008455B1" w:rsidRPr="002E4A39" w14:paraId="654AC595" w14:textId="77777777" w:rsidTr="005356A1">
        <w:trPr>
          <w:trHeight w:val="300"/>
        </w:trPr>
        <w:tc>
          <w:tcPr>
            <w:tcW w:w="1546" w:type="dxa"/>
            <w:shd w:val="clear" w:color="auto" w:fill="auto"/>
            <w:noWrap/>
            <w:vAlign w:val="center"/>
            <w:hideMark/>
          </w:tcPr>
          <w:p w14:paraId="2CEEC656" w14:textId="77777777" w:rsidR="008455B1" w:rsidRPr="006861D4" w:rsidRDefault="008455B1" w:rsidP="005356A1">
            <w:pPr>
              <w:spacing w:after="0" w:line="240" w:lineRule="auto"/>
              <w:rPr>
                <w:rFonts w:eastAsia="Times New Roman" w:cs="Times New Roman"/>
                <w:bCs/>
                <w:color w:val="000000"/>
                <w:sz w:val="20"/>
                <w:szCs w:val="20"/>
              </w:rPr>
            </w:pPr>
            <w:r w:rsidRPr="006861D4">
              <w:rPr>
                <w:bCs/>
                <w:color w:val="000000"/>
                <w:sz w:val="20"/>
                <w:szCs w:val="20"/>
              </w:rPr>
              <w:t xml:space="preserve">Zaragoza </w:t>
            </w:r>
            <w:proofErr w:type="spellStart"/>
            <w:r w:rsidRPr="006861D4">
              <w:rPr>
                <w:bCs/>
                <w:color w:val="000000"/>
                <w:sz w:val="20"/>
                <w:szCs w:val="20"/>
              </w:rPr>
              <w:t>I</w:t>
            </w:r>
            <w:r w:rsidRPr="006861D4">
              <w:rPr>
                <w:bCs/>
                <w:color w:val="000000"/>
                <w:sz w:val="20"/>
                <w:szCs w:val="20"/>
                <w:vertAlign w:val="superscript"/>
              </w:rPr>
              <w:t>a</w:t>
            </w:r>
            <w:proofErr w:type="spellEnd"/>
          </w:p>
        </w:tc>
        <w:tc>
          <w:tcPr>
            <w:tcW w:w="722" w:type="dxa"/>
            <w:shd w:val="clear" w:color="auto" w:fill="auto"/>
            <w:noWrap/>
            <w:vAlign w:val="center"/>
            <w:hideMark/>
          </w:tcPr>
          <w:p w14:paraId="5F3BA024"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21</w:t>
            </w:r>
          </w:p>
        </w:tc>
        <w:tc>
          <w:tcPr>
            <w:tcW w:w="723" w:type="dxa"/>
            <w:shd w:val="clear" w:color="auto" w:fill="auto"/>
            <w:noWrap/>
            <w:vAlign w:val="center"/>
            <w:hideMark/>
          </w:tcPr>
          <w:p w14:paraId="0D7B6930"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137</w:t>
            </w:r>
          </w:p>
        </w:tc>
        <w:tc>
          <w:tcPr>
            <w:tcW w:w="723" w:type="dxa"/>
            <w:shd w:val="clear" w:color="auto" w:fill="auto"/>
            <w:noWrap/>
            <w:vAlign w:val="center"/>
            <w:hideMark/>
          </w:tcPr>
          <w:p w14:paraId="527EFD53"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379</w:t>
            </w:r>
          </w:p>
        </w:tc>
        <w:tc>
          <w:tcPr>
            <w:tcW w:w="723" w:type="dxa"/>
            <w:shd w:val="clear" w:color="auto" w:fill="auto"/>
            <w:noWrap/>
            <w:vAlign w:val="center"/>
            <w:hideMark/>
          </w:tcPr>
          <w:p w14:paraId="6CC93D67"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66 (8)</w:t>
            </w:r>
          </w:p>
        </w:tc>
        <w:tc>
          <w:tcPr>
            <w:tcW w:w="723" w:type="dxa"/>
            <w:shd w:val="clear" w:color="auto" w:fill="auto"/>
            <w:noWrap/>
            <w:vAlign w:val="center"/>
            <w:hideMark/>
          </w:tcPr>
          <w:p w14:paraId="7F4599F7"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99</w:t>
            </w:r>
          </w:p>
        </w:tc>
        <w:tc>
          <w:tcPr>
            <w:tcW w:w="723" w:type="dxa"/>
            <w:shd w:val="clear" w:color="auto" w:fill="auto"/>
            <w:noWrap/>
            <w:vAlign w:val="center"/>
            <w:hideMark/>
          </w:tcPr>
          <w:p w14:paraId="2C309B2F"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49.8 (17.6)</w:t>
            </w:r>
          </w:p>
        </w:tc>
        <w:tc>
          <w:tcPr>
            <w:tcW w:w="723" w:type="dxa"/>
            <w:shd w:val="clear" w:color="auto" w:fill="auto"/>
            <w:noWrap/>
            <w:vAlign w:val="center"/>
            <w:hideMark/>
          </w:tcPr>
          <w:p w14:paraId="5FBE16B1"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1.1</w:t>
            </w:r>
          </w:p>
        </w:tc>
        <w:tc>
          <w:tcPr>
            <w:tcW w:w="723" w:type="dxa"/>
            <w:shd w:val="clear" w:color="auto" w:fill="auto"/>
            <w:noWrap/>
            <w:vAlign w:val="center"/>
            <w:hideMark/>
          </w:tcPr>
          <w:p w14:paraId="1A795C1F"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 xml:space="preserve"> </w:t>
            </w:r>
          </w:p>
        </w:tc>
        <w:tc>
          <w:tcPr>
            <w:tcW w:w="723" w:type="dxa"/>
            <w:shd w:val="clear" w:color="auto" w:fill="auto"/>
            <w:noWrap/>
            <w:vAlign w:val="center"/>
            <w:hideMark/>
          </w:tcPr>
          <w:p w14:paraId="3CCFC03E"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 xml:space="preserve"> </w:t>
            </w:r>
          </w:p>
        </w:tc>
        <w:tc>
          <w:tcPr>
            <w:tcW w:w="723" w:type="dxa"/>
            <w:shd w:val="clear" w:color="auto" w:fill="auto"/>
            <w:noWrap/>
            <w:vAlign w:val="center"/>
            <w:hideMark/>
          </w:tcPr>
          <w:p w14:paraId="090EE018"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27</w:t>
            </w:r>
          </w:p>
        </w:tc>
        <w:tc>
          <w:tcPr>
            <w:tcW w:w="723" w:type="dxa"/>
            <w:shd w:val="clear" w:color="auto" w:fill="auto"/>
            <w:noWrap/>
            <w:vAlign w:val="center"/>
            <w:hideMark/>
          </w:tcPr>
          <w:p w14:paraId="1AB7BCD5"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27.7 (4.6)</w:t>
            </w:r>
          </w:p>
        </w:tc>
        <w:tc>
          <w:tcPr>
            <w:tcW w:w="723" w:type="dxa"/>
            <w:shd w:val="clear" w:color="auto" w:fill="auto"/>
            <w:noWrap/>
            <w:vAlign w:val="center"/>
            <w:hideMark/>
          </w:tcPr>
          <w:p w14:paraId="15D3EF21"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449 (91.9)</w:t>
            </w:r>
          </w:p>
        </w:tc>
        <w:tc>
          <w:tcPr>
            <w:tcW w:w="723" w:type="dxa"/>
            <w:shd w:val="clear" w:color="auto" w:fill="auto"/>
            <w:noWrap/>
            <w:vAlign w:val="center"/>
            <w:hideMark/>
          </w:tcPr>
          <w:p w14:paraId="7E897DDB"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 xml:space="preserve"> </w:t>
            </w:r>
          </w:p>
        </w:tc>
        <w:tc>
          <w:tcPr>
            <w:tcW w:w="723" w:type="dxa"/>
            <w:shd w:val="clear" w:color="auto" w:fill="auto"/>
            <w:noWrap/>
            <w:vAlign w:val="center"/>
            <w:hideMark/>
          </w:tcPr>
          <w:p w14:paraId="7BAE3596"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 xml:space="preserve"> </w:t>
            </w:r>
          </w:p>
        </w:tc>
      </w:tr>
      <w:tr w:rsidR="008455B1" w:rsidRPr="002E4A39" w14:paraId="0950B0B1" w14:textId="77777777" w:rsidTr="005356A1">
        <w:trPr>
          <w:trHeight w:val="300"/>
        </w:trPr>
        <w:tc>
          <w:tcPr>
            <w:tcW w:w="1546" w:type="dxa"/>
            <w:shd w:val="clear" w:color="auto" w:fill="auto"/>
            <w:noWrap/>
            <w:vAlign w:val="center"/>
            <w:hideMark/>
          </w:tcPr>
          <w:p w14:paraId="008ADC58" w14:textId="77777777" w:rsidR="008455B1" w:rsidRPr="006861D4" w:rsidRDefault="008455B1" w:rsidP="005356A1">
            <w:pPr>
              <w:spacing w:after="0" w:line="240" w:lineRule="auto"/>
              <w:rPr>
                <w:rFonts w:eastAsia="Times New Roman" w:cs="Times New Roman"/>
                <w:bCs/>
                <w:color w:val="000000"/>
                <w:sz w:val="20"/>
                <w:szCs w:val="20"/>
              </w:rPr>
            </w:pPr>
            <w:r w:rsidRPr="006861D4">
              <w:rPr>
                <w:bCs/>
                <w:color w:val="000000"/>
                <w:sz w:val="20"/>
                <w:szCs w:val="20"/>
              </w:rPr>
              <w:t xml:space="preserve">Son </w:t>
            </w:r>
            <w:proofErr w:type="spellStart"/>
            <w:r w:rsidRPr="006861D4">
              <w:rPr>
                <w:bCs/>
                <w:color w:val="000000"/>
                <w:sz w:val="20"/>
                <w:szCs w:val="20"/>
              </w:rPr>
              <w:t>Espases</w:t>
            </w:r>
            <w:proofErr w:type="spellEnd"/>
            <w:r w:rsidRPr="006861D4">
              <w:rPr>
                <w:bCs/>
                <w:color w:val="000000"/>
                <w:sz w:val="20"/>
                <w:szCs w:val="20"/>
              </w:rPr>
              <w:t xml:space="preserve"> Mallorca</w:t>
            </w:r>
          </w:p>
        </w:tc>
        <w:tc>
          <w:tcPr>
            <w:tcW w:w="722" w:type="dxa"/>
            <w:shd w:val="clear" w:color="auto" w:fill="auto"/>
            <w:noWrap/>
            <w:vAlign w:val="center"/>
            <w:hideMark/>
          </w:tcPr>
          <w:p w14:paraId="6A33CF11"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17</w:t>
            </w:r>
          </w:p>
        </w:tc>
        <w:tc>
          <w:tcPr>
            <w:tcW w:w="723" w:type="dxa"/>
            <w:shd w:val="clear" w:color="auto" w:fill="auto"/>
            <w:noWrap/>
            <w:vAlign w:val="center"/>
            <w:hideMark/>
          </w:tcPr>
          <w:p w14:paraId="609BBABB"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115</w:t>
            </w:r>
          </w:p>
        </w:tc>
        <w:tc>
          <w:tcPr>
            <w:tcW w:w="723" w:type="dxa"/>
            <w:shd w:val="clear" w:color="auto" w:fill="auto"/>
            <w:noWrap/>
            <w:vAlign w:val="center"/>
            <w:hideMark/>
          </w:tcPr>
          <w:p w14:paraId="51579164"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292</w:t>
            </w:r>
          </w:p>
        </w:tc>
        <w:tc>
          <w:tcPr>
            <w:tcW w:w="723" w:type="dxa"/>
            <w:shd w:val="clear" w:color="auto" w:fill="auto"/>
            <w:noWrap/>
            <w:vAlign w:val="center"/>
            <w:hideMark/>
          </w:tcPr>
          <w:p w14:paraId="27719407"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70 (7)</w:t>
            </w:r>
          </w:p>
        </w:tc>
        <w:tc>
          <w:tcPr>
            <w:tcW w:w="723" w:type="dxa"/>
            <w:shd w:val="clear" w:color="auto" w:fill="auto"/>
            <w:noWrap/>
            <w:vAlign w:val="center"/>
            <w:hideMark/>
          </w:tcPr>
          <w:p w14:paraId="4B489D32"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79</w:t>
            </w:r>
          </w:p>
        </w:tc>
        <w:tc>
          <w:tcPr>
            <w:tcW w:w="723" w:type="dxa"/>
            <w:shd w:val="clear" w:color="auto" w:fill="auto"/>
            <w:noWrap/>
            <w:vAlign w:val="center"/>
            <w:hideMark/>
          </w:tcPr>
          <w:p w14:paraId="3BC35A09"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41.5 (13.4)</w:t>
            </w:r>
          </w:p>
        </w:tc>
        <w:tc>
          <w:tcPr>
            <w:tcW w:w="723" w:type="dxa"/>
            <w:shd w:val="clear" w:color="auto" w:fill="auto"/>
            <w:noWrap/>
            <w:vAlign w:val="center"/>
            <w:hideMark/>
          </w:tcPr>
          <w:p w14:paraId="5061E110"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1</w:t>
            </w:r>
          </w:p>
        </w:tc>
        <w:tc>
          <w:tcPr>
            <w:tcW w:w="723" w:type="dxa"/>
            <w:shd w:val="clear" w:color="auto" w:fill="auto"/>
            <w:noWrap/>
            <w:vAlign w:val="center"/>
            <w:hideMark/>
          </w:tcPr>
          <w:p w14:paraId="5603FBD4"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0.59</w:t>
            </w:r>
          </w:p>
        </w:tc>
        <w:tc>
          <w:tcPr>
            <w:tcW w:w="723" w:type="dxa"/>
            <w:shd w:val="clear" w:color="auto" w:fill="auto"/>
            <w:noWrap/>
            <w:vAlign w:val="center"/>
            <w:hideMark/>
          </w:tcPr>
          <w:p w14:paraId="71E0C5C2"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 xml:space="preserve"> </w:t>
            </w:r>
          </w:p>
        </w:tc>
        <w:tc>
          <w:tcPr>
            <w:tcW w:w="723" w:type="dxa"/>
            <w:shd w:val="clear" w:color="auto" w:fill="auto"/>
            <w:noWrap/>
            <w:vAlign w:val="center"/>
            <w:hideMark/>
          </w:tcPr>
          <w:p w14:paraId="570FAA32"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27</w:t>
            </w:r>
          </w:p>
        </w:tc>
        <w:tc>
          <w:tcPr>
            <w:tcW w:w="723" w:type="dxa"/>
            <w:shd w:val="clear" w:color="auto" w:fill="auto"/>
            <w:noWrap/>
            <w:vAlign w:val="center"/>
            <w:hideMark/>
          </w:tcPr>
          <w:p w14:paraId="0F0130C9"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27.1 (5.9)</w:t>
            </w:r>
          </w:p>
        </w:tc>
        <w:tc>
          <w:tcPr>
            <w:tcW w:w="723" w:type="dxa"/>
            <w:shd w:val="clear" w:color="auto" w:fill="auto"/>
            <w:noWrap/>
            <w:vAlign w:val="center"/>
            <w:hideMark/>
          </w:tcPr>
          <w:p w14:paraId="3BB942B8"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401.5 (89.7)</w:t>
            </w:r>
          </w:p>
        </w:tc>
        <w:tc>
          <w:tcPr>
            <w:tcW w:w="723" w:type="dxa"/>
            <w:shd w:val="clear" w:color="auto" w:fill="auto"/>
            <w:noWrap/>
            <w:vAlign w:val="center"/>
            <w:hideMark/>
          </w:tcPr>
          <w:p w14:paraId="4D41736C"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 xml:space="preserve"> </w:t>
            </w:r>
          </w:p>
        </w:tc>
        <w:tc>
          <w:tcPr>
            <w:tcW w:w="723" w:type="dxa"/>
            <w:shd w:val="clear" w:color="auto" w:fill="auto"/>
            <w:noWrap/>
            <w:vAlign w:val="center"/>
            <w:hideMark/>
          </w:tcPr>
          <w:p w14:paraId="62F5C342"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16.6 (8.2)</w:t>
            </w:r>
          </w:p>
        </w:tc>
      </w:tr>
      <w:tr w:rsidR="008455B1" w:rsidRPr="002E4A39" w14:paraId="031C0D5B" w14:textId="77777777" w:rsidTr="005356A1">
        <w:trPr>
          <w:trHeight w:val="300"/>
        </w:trPr>
        <w:tc>
          <w:tcPr>
            <w:tcW w:w="1546" w:type="dxa"/>
            <w:shd w:val="clear" w:color="auto" w:fill="auto"/>
            <w:noWrap/>
            <w:vAlign w:val="center"/>
            <w:hideMark/>
          </w:tcPr>
          <w:p w14:paraId="7797377C" w14:textId="77777777" w:rsidR="008455B1" w:rsidRPr="006861D4" w:rsidRDefault="008455B1" w:rsidP="005356A1">
            <w:pPr>
              <w:spacing w:after="0" w:line="240" w:lineRule="auto"/>
              <w:rPr>
                <w:rFonts w:eastAsia="Times New Roman" w:cs="Times New Roman"/>
                <w:bCs/>
                <w:color w:val="000000"/>
                <w:sz w:val="20"/>
                <w:szCs w:val="20"/>
              </w:rPr>
            </w:pPr>
            <w:proofErr w:type="spellStart"/>
            <w:r w:rsidRPr="006861D4">
              <w:rPr>
                <w:bCs/>
                <w:color w:val="000000"/>
                <w:sz w:val="20"/>
                <w:szCs w:val="20"/>
              </w:rPr>
              <w:t>Basque</w:t>
            </w:r>
            <w:r w:rsidRPr="006861D4">
              <w:rPr>
                <w:bCs/>
                <w:color w:val="000000"/>
                <w:sz w:val="20"/>
                <w:szCs w:val="20"/>
                <w:vertAlign w:val="superscript"/>
              </w:rPr>
              <w:t>b</w:t>
            </w:r>
            <w:proofErr w:type="spellEnd"/>
          </w:p>
        </w:tc>
        <w:tc>
          <w:tcPr>
            <w:tcW w:w="722" w:type="dxa"/>
            <w:shd w:val="clear" w:color="auto" w:fill="auto"/>
            <w:noWrap/>
            <w:vAlign w:val="center"/>
            <w:hideMark/>
          </w:tcPr>
          <w:p w14:paraId="7F38914B"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16</w:t>
            </w:r>
          </w:p>
        </w:tc>
        <w:tc>
          <w:tcPr>
            <w:tcW w:w="723" w:type="dxa"/>
            <w:shd w:val="clear" w:color="auto" w:fill="auto"/>
            <w:noWrap/>
            <w:vAlign w:val="center"/>
            <w:hideMark/>
          </w:tcPr>
          <w:p w14:paraId="382AF730"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106</w:t>
            </w:r>
          </w:p>
        </w:tc>
        <w:tc>
          <w:tcPr>
            <w:tcW w:w="723" w:type="dxa"/>
            <w:shd w:val="clear" w:color="auto" w:fill="auto"/>
            <w:noWrap/>
            <w:vAlign w:val="center"/>
            <w:hideMark/>
          </w:tcPr>
          <w:p w14:paraId="6359B989"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299</w:t>
            </w:r>
          </w:p>
        </w:tc>
        <w:tc>
          <w:tcPr>
            <w:tcW w:w="723" w:type="dxa"/>
            <w:shd w:val="clear" w:color="auto" w:fill="auto"/>
            <w:noWrap/>
            <w:vAlign w:val="center"/>
            <w:hideMark/>
          </w:tcPr>
          <w:p w14:paraId="042FB974"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71 (9)</w:t>
            </w:r>
          </w:p>
        </w:tc>
        <w:tc>
          <w:tcPr>
            <w:tcW w:w="723" w:type="dxa"/>
            <w:shd w:val="clear" w:color="auto" w:fill="auto"/>
            <w:noWrap/>
            <w:vAlign w:val="center"/>
            <w:hideMark/>
          </w:tcPr>
          <w:p w14:paraId="35EA5435"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98</w:t>
            </w:r>
          </w:p>
        </w:tc>
        <w:tc>
          <w:tcPr>
            <w:tcW w:w="723" w:type="dxa"/>
            <w:shd w:val="clear" w:color="auto" w:fill="auto"/>
            <w:noWrap/>
            <w:vAlign w:val="center"/>
            <w:hideMark/>
          </w:tcPr>
          <w:p w14:paraId="79AD5083"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46.9 (11.4)</w:t>
            </w:r>
          </w:p>
        </w:tc>
        <w:tc>
          <w:tcPr>
            <w:tcW w:w="723" w:type="dxa"/>
            <w:shd w:val="clear" w:color="auto" w:fill="auto"/>
            <w:noWrap/>
            <w:vAlign w:val="center"/>
            <w:hideMark/>
          </w:tcPr>
          <w:p w14:paraId="08F6BAF0"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0.6</w:t>
            </w:r>
          </w:p>
        </w:tc>
        <w:tc>
          <w:tcPr>
            <w:tcW w:w="723" w:type="dxa"/>
            <w:shd w:val="clear" w:color="auto" w:fill="auto"/>
            <w:noWrap/>
            <w:vAlign w:val="center"/>
            <w:hideMark/>
          </w:tcPr>
          <w:p w14:paraId="7C6E3AB6"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 xml:space="preserve"> </w:t>
            </w:r>
          </w:p>
        </w:tc>
        <w:tc>
          <w:tcPr>
            <w:tcW w:w="723" w:type="dxa"/>
            <w:shd w:val="clear" w:color="auto" w:fill="auto"/>
            <w:noWrap/>
            <w:vAlign w:val="center"/>
            <w:hideMark/>
          </w:tcPr>
          <w:p w14:paraId="2BCF5ACB"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 xml:space="preserve"> </w:t>
            </w:r>
          </w:p>
        </w:tc>
        <w:tc>
          <w:tcPr>
            <w:tcW w:w="723" w:type="dxa"/>
            <w:shd w:val="clear" w:color="auto" w:fill="auto"/>
            <w:noWrap/>
            <w:vAlign w:val="center"/>
            <w:hideMark/>
          </w:tcPr>
          <w:p w14:paraId="4CDAEF31"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23</w:t>
            </w:r>
          </w:p>
        </w:tc>
        <w:tc>
          <w:tcPr>
            <w:tcW w:w="723" w:type="dxa"/>
            <w:shd w:val="clear" w:color="auto" w:fill="auto"/>
            <w:noWrap/>
            <w:vAlign w:val="center"/>
            <w:hideMark/>
          </w:tcPr>
          <w:p w14:paraId="061715A7"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26.1 (4.9)</w:t>
            </w:r>
          </w:p>
        </w:tc>
        <w:tc>
          <w:tcPr>
            <w:tcW w:w="723" w:type="dxa"/>
            <w:shd w:val="clear" w:color="auto" w:fill="auto"/>
            <w:noWrap/>
            <w:vAlign w:val="center"/>
            <w:hideMark/>
          </w:tcPr>
          <w:p w14:paraId="3EA65BE5"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442.9 (95.4)</w:t>
            </w:r>
          </w:p>
        </w:tc>
        <w:tc>
          <w:tcPr>
            <w:tcW w:w="723" w:type="dxa"/>
            <w:shd w:val="clear" w:color="auto" w:fill="auto"/>
            <w:noWrap/>
            <w:vAlign w:val="center"/>
            <w:hideMark/>
          </w:tcPr>
          <w:p w14:paraId="0F202AD3"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 xml:space="preserve"> </w:t>
            </w:r>
          </w:p>
        </w:tc>
        <w:tc>
          <w:tcPr>
            <w:tcW w:w="723" w:type="dxa"/>
            <w:shd w:val="clear" w:color="auto" w:fill="auto"/>
            <w:noWrap/>
            <w:vAlign w:val="center"/>
            <w:hideMark/>
          </w:tcPr>
          <w:p w14:paraId="601790D4"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 xml:space="preserve"> </w:t>
            </w:r>
          </w:p>
        </w:tc>
      </w:tr>
      <w:tr w:rsidR="008455B1" w:rsidRPr="002E4A39" w14:paraId="7BF73282" w14:textId="77777777" w:rsidTr="005356A1">
        <w:trPr>
          <w:trHeight w:val="300"/>
        </w:trPr>
        <w:tc>
          <w:tcPr>
            <w:tcW w:w="1546" w:type="dxa"/>
            <w:shd w:val="clear" w:color="auto" w:fill="auto"/>
            <w:noWrap/>
            <w:vAlign w:val="center"/>
            <w:hideMark/>
          </w:tcPr>
          <w:p w14:paraId="66390498" w14:textId="77777777" w:rsidR="008455B1" w:rsidRPr="006861D4" w:rsidRDefault="008455B1" w:rsidP="005356A1">
            <w:pPr>
              <w:spacing w:after="0" w:line="240" w:lineRule="auto"/>
              <w:rPr>
                <w:rFonts w:eastAsia="Times New Roman" w:cs="Times New Roman"/>
                <w:bCs/>
                <w:color w:val="000000"/>
                <w:sz w:val="20"/>
                <w:szCs w:val="20"/>
              </w:rPr>
            </w:pPr>
            <w:r w:rsidRPr="006861D4">
              <w:rPr>
                <w:bCs/>
                <w:color w:val="000000"/>
                <w:sz w:val="20"/>
                <w:szCs w:val="20"/>
              </w:rPr>
              <w:t>Japan</w:t>
            </w:r>
          </w:p>
        </w:tc>
        <w:tc>
          <w:tcPr>
            <w:tcW w:w="722" w:type="dxa"/>
            <w:shd w:val="clear" w:color="auto" w:fill="auto"/>
            <w:noWrap/>
            <w:vAlign w:val="center"/>
            <w:hideMark/>
          </w:tcPr>
          <w:p w14:paraId="34721F54"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15</w:t>
            </w:r>
          </w:p>
        </w:tc>
        <w:tc>
          <w:tcPr>
            <w:tcW w:w="723" w:type="dxa"/>
            <w:shd w:val="clear" w:color="auto" w:fill="auto"/>
            <w:noWrap/>
            <w:vAlign w:val="center"/>
            <w:hideMark/>
          </w:tcPr>
          <w:p w14:paraId="19289769"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147</w:t>
            </w:r>
          </w:p>
        </w:tc>
        <w:tc>
          <w:tcPr>
            <w:tcW w:w="723" w:type="dxa"/>
            <w:shd w:val="clear" w:color="auto" w:fill="auto"/>
            <w:noWrap/>
            <w:vAlign w:val="center"/>
            <w:hideMark/>
          </w:tcPr>
          <w:p w14:paraId="45454BF8"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409</w:t>
            </w:r>
          </w:p>
        </w:tc>
        <w:tc>
          <w:tcPr>
            <w:tcW w:w="723" w:type="dxa"/>
            <w:shd w:val="clear" w:color="auto" w:fill="auto"/>
            <w:noWrap/>
            <w:vAlign w:val="center"/>
            <w:hideMark/>
          </w:tcPr>
          <w:p w14:paraId="0E80451C"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69 (7)</w:t>
            </w:r>
          </w:p>
        </w:tc>
        <w:tc>
          <w:tcPr>
            <w:tcW w:w="723" w:type="dxa"/>
            <w:shd w:val="clear" w:color="auto" w:fill="auto"/>
            <w:noWrap/>
            <w:vAlign w:val="center"/>
            <w:hideMark/>
          </w:tcPr>
          <w:p w14:paraId="69E7F8BE"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100</w:t>
            </w:r>
          </w:p>
        </w:tc>
        <w:tc>
          <w:tcPr>
            <w:tcW w:w="723" w:type="dxa"/>
            <w:shd w:val="clear" w:color="auto" w:fill="auto"/>
            <w:noWrap/>
            <w:vAlign w:val="center"/>
            <w:hideMark/>
          </w:tcPr>
          <w:p w14:paraId="033E8C5C"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47.1 (17.5)</w:t>
            </w:r>
          </w:p>
        </w:tc>
        <w:tc>
          <w:tcPr>
            <w:tcW w:w="723" w:type="dxa"/>
            <w:shd w:val="clear" w:color="auto" w:fill="auto"/>
            <w:noWrap/>
            <w:vAlign w:val="center"/>
            <w:hideMark/>
          </w:tcPr>
          <w:p w14:paraId="119B5827"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0.9</w:t>
            </w:r>
          </w:p>
        </w:tc>
        <w:tc>
          <w:tcPr>
            <w:tcW w:w="723" w:type="dxa"/>
            <w:shd w:val="clear" w:color="auto" w:fill="auto"/>
            <w:noWrap/>
            <w:vAlign w:val="center"/>
            <w:hideMark/>
          </w:tcPr>
          <w:p w14:paraId="0F918287"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 xml:space="preserve"> </w:t>
            </w:r>
          </w:p>
        </w:tc>
        <w:tc>
          <w:tcPr>
            <w:tcW w:w="723" w:type="dxa"/>
            <w:shd w:val="clear" w:color="auto" w:fill="auto"/>
            <w:noWrap/>
            <w:vAlign w:val="center"/>
            <w:hideMark/>
          </w:tcPr>
          <w:p w14:paraId="5C491B8E"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 xml:space="preserve"> </w:t>
            </w:r>
          </w:p>
        </w:tc>
        <w:tc>
          <w:tcPr>
            <w:tcW w:w="723" w:type="dxa"/>
            <w:shd w:val="clear" w:color="auto" w:fill="auto"/>
            <w:noWrap/>
            <w:vAlign w:val="center"/>
            <w:hideMark/>
          </w:tcPr>
          <w:p w14:paraId="7BB2FE5C"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22</w:t>
            </w:r>
          </w:p>
        </w:tc>
        <w:tc>
          <w:tcPr>
            <w:tcW w:w="723" w:type="dxa"/>
            <w:shd w:val="clear" w:color="auto" w:fill="auto"/>
            <w:noWrap/>
            <w:vAlign w:val="center"/>
            <w:hideMark/>
          </w:tcPr>
          <w:p w14:paraId="1CD4FF38"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21 (2.9)</w:t>
            </w:r>
          </w:p>
        </w:tc>
        <w:tc>
          <w:tcPr>
            <w:tcW w:w="723" w:type="dxa"/>
            <w:shd w:val="clear" w:color="auto" w:fill="auto"/>
            <w:noWrap/>
            <w:vAlign w:val="center"/>
            <w:hideMark/>
          </w:tcPr>
          <w:p w14:paraId="324FBB1F"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 xml:space="preserve"> </w:t>
            </w:r>
          </w:p>
        </w:tc>
        <w:tc>
          <w:tcPr>
            <w:tcW w:w="723" w:type="dxa"/>
            <w:shd w:val="clear" w:color="auto" w:fill="auto"/>
            <w:noWrap/>
            <w:vAlign w:val="center"/>
            <w:hideMark/>
          </w:tcPr>
          <w:p w14:paraId="37CA5B72"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36.6 (16.5)</w:t>
            </w:r>
          </w:p>
        </w:tc>
        <w:tc>
          <w:tcPr>
            <w:tcW w:w="723" w:type="dxa"/>
            <w:shd w:val="clear" w:color="auto" w:fill="auto"/>
            <w:noWrap/>
            <w:vAlign w:val="center"/>
            <w:hideMark/>
          </w:tcPr>
          <w:p w14:paraId="6922ED51"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 xml:space="preserve"> </w:t>
            </w:r>
          </w:p>
        </w:tc>
      </w:tr>
      <w:tr w:rsidR="008455B1" w:rsidRPr="002E4A39" w14:paraId="12DB1330" w14:textId="77777777" w:rsidTr="005356A1">
        <w:trPr>
          <w:trHeight w:val="300"/>
        </w:trPr>
        <w:tc>
          <w:tcPr>
            <w:tcW w:w="1546" w:type="dxa"/>
            <w:shd w:val="clear" w:color="auto" w:fill="auto"/>
            <w:noWrap/>
            <w:vAlign w:val="center"/>
            <w:hideMark/>
          </w:tcPr>
          <w:p w14:paraId="5559AF9E" w14:textId="77777777" w:rsidR="008455B1" w:rsidRPr="006861D4" w:rsidRDefault="008455B1" w:rsidP="005356A1">
            <w:pPr>
              <w:spacing w:after="0" w:line="240" w:lineRule="auto"/>
              <w:rPr>
                <w:rFonts w:eastAsia="Times New Roman" w:cs="Times New Roman"/>
                <w:bCs/>
                <w:color w:val="000000"/>
                <w:sz w:val="20"/>
                <w:szCs w:val="20"/>
              </w:rPr>
            </w:pPr>
            <w:r w:rsidRPr="006861D4">
              <w:rPr>
                <w:bCs/>
                <w:color w:val="000000"/>
                <w:sz w:val="20"/>
                <w:szCs w:val="20"/>
              </w:rPr>
              <w:t xml:space="preserve">La </w:t>
            </w:r>
            <w:proofErr w:type="spellStart"/>
            <w:r w:rsidRPr="006861D4">
              <w:rPr>
                <w:bCs/>
                <w:color w:val="000000"/>
                <w:sz w:val="20"/>
                <w:szCs w:val="20"/>
              </w:rPr>
              <w:t>Princesa</w:t>
            </w:r>
            <w:proofErr w:type="spellEnd"/>
            <w:r w:rsidRPr="006861D4">
              <w:rPr>
                <w:bCs/>
                <w:color w:val="000000"/>
                <w:sz w:val="20"/>
                <w:szCs w:val="20"/>
              </w:rPr>
              <w:t xml:space="preserve"> Madrid</w:t>
            </w:r>
          </w:p>
        </w:tc>
        <w:tc>
          <w:tcPr>
            <w:tcW w:w="722" w:type="dxa"/>
            <w:shd w:val="clear" w:color="auto" w:fill="auto"/>
            <w:noWrap/>
            <w:vAlign w:val="center"/>
            <w:hideMark/>
          </w:tcPr>
          <w:p w14:paraId="6CB32D1E"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11</w:t>
            </w:r>
          </w:p>
        </w:tc>
        <w:tc>
          <w:tcPr>
            <w:tcW w:w="723" w:type="dxa"/>
            <w:shd w:val="clear" w:color="auto" w:fill="auto"/>
            <w:noWrap/>
            <w:vAlign w:val="center"/>
            <w:hideMark/>
          </w:tcPr>
          <w:p w14:paraId="30D6C73E"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318</w:t>
            </w:r>
          </w:p>
        </w:tc>
        <w:tc>
          <w:tcPr>
            <w:tcW w:w="723" w:type="dxa"/>
            <w:shd w:val="clear" w:color="auto" w:fill="auto"/>
            <w:noWrap/>
            <w:vAlign w:val="center"/>
            <w:hideMark/>
          </w:tcPr>
          <w:p w14:paraId="3AA66C5E"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633</w:t>
            </w:r>
          </w:p>
        </w:tc>
        <w:tc>
          <w:tcPr>
            <w:tcW w:w="723" w:type="dxa"/>
            <w:shd w:val="clear" w:color="auto" w:fill="auto"/>
            <w:noWrap/>
            <w:vAlign w:val="center"/>
            <w:hideMark/>
          </w:tcPr>
          <w:p w14:paraId="1D9819A2"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71 (10)</w:t>
            </w:r>
          </w:p>
        </w:tc>
        <w:tc>
          <w:tcPr>
            <w:tcW w:w="723" w:type="dxa"/>
            <w:shd w:val="clear" w:color="auto" w:fill="auto"/>
            <w:noWrap/>
            <w:vAlign w:val="center"/>
            <w:hideMark/>
          </w:tcPr>
          <w:p w14:paraId="6F1C1A44"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74</w:t>
            </w:r>
          </w:p>
        </w:tc>
        <w:tc>
          <w:tcPr>
            <w:tcW w:w="723" w:type="dxa"/>
            <w:shd w:val="clear" w:color="auto" w:fill="auto"/>
            <w:noWrap/>
            <w:vAlign w:val="center"/>
            <w:hideMark/>
          </w:tcPr>
          <w:p w14:paraId="2428884F"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50 (19.8)</w:t>
            </w:r>
          </w:p>
        </w:tc>
        <w:tc>
          <w:tcPr>
            <w:tcW w:w="723" w:type="dxa"/>
            <w:shd w:val="clear" w:color="auto" w:fill="auto"/>
            <w:noWrap/>
            <w:vAlign w:val="center"/>
            <w:hideMark/>
          </w:tcPr>
          <w:p w14:paraId="4201FDDD"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1.1</w:t>
            </w:r>
          </w:p>
        </w:tc>
        <w:tc>
          <w:tcPr>
            <w:tcW w:w="723" w:type="dxa"/>
            <w:shd w:val="clear" w:color="auto" w:fill="auto"/>
            <w:noWrap/>
            <w:vAlign w:val="center"/>
            <w:hideMark/>
          </w:tcPr>
          <w:p w14:paraId="6174E5D8"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0.18</w:t>
            </w:r>
          </w:p>
        </w:tc>
        <w:tc>
          <w:tcPr>
            <w:tcW w:w="723" w:type="dxa"/>
            <w:shd w:val="clear" w:color="auto" w:fill="auto"/>
            <w:noWrap/>
            <w:vAlign w:val="center"/>
            <w:hideMark/>
          </w:tcPr>
          <w:p w14:paraId="5CA27226"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0.77</w:t>
            </w:r>
          </w:p>
        </w:tc>
        <w:tc>
          <w:tcPr>
            <w:tcW w:w="723" w:type="dxa"/>
            <w:shd w:val="clear" w:color="auto" w:fill="auto"/>
            <w:noWrap/>
            <w:vAlign w:val="center"/>
            <w:hideMark/>
          </w:tcPr>
          <w:p w14:paraId="5F01FE1C"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19</w:t>
            </w:r>
          </w:p>
        </w:tc>
        <w:tc>
          <w:tcPr>
            <w:tcW w:w="723" w:type="dxa"/>
            <w:shd w:val="clear" w:color="auto" w:fill="auto"/>
            <w:noWrap/>
            <w:vAlign w:val="center"/>
            <w:hideMark/>
          </w:tcPr>
          <w:p w14:paraId="6A7E5DFF"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26.2 (5.1)</w:t>
            </w:r>
          </w:p>
        </w:tc>
        <w:tc>
          <w:tcPr>
            <w:tcW w:w="723" w:type="dxa"/>
            <w:shd w:val="clear" w:color="auto" w:fill="auto"/>
            <w:noWrap/>
            <w:vAlign w:val="center"/>
            <w:hideMark/>
          </w:tcPr>
          <w:p w14:paraId="0CE8FA13"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337.1 (92.8)</w:t>
            </w:r>
          </w:p>
        </w:tc>
        <w:tc>
          <w:tcPr>
            <w:tcW w:w="723" w:type="dxa"/>
            <w:shd w:val="clear" w:color="auto" w:fill="auto"/>
            <w:noWrap/>
            <w:vAlign w:val="center"/>
            <w:hideMark/>
          </w:tcPr>
          <w:p w14:paraId="60CE56BC"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 xml:space="preserve"> </w:t>
            </w:r>
          </w:p>
        </w:tc>
        <w:tc>
          <w:tcPr>
            <w:tcW w:w="723" w:type="dxa"/>
            <w:shd w:val="clear" w:color="auto" w:fill="auto"/>
            <w:noWrap/>
            <w:vAlign w:val="center"/>
            <w:hideMark/>
          </w:tcPr>
          <w:p w14:paraId="66E24E19"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 xml:space="preserve"> </w:t>
            </w:r>
          </w:p>
        </w:tc>
      </w:tr>
      <w:tr w:rsidR="008455B1" w:rsidRPr="002E4A39" w14:paraId="4E556C3E" w14:textId="77777777" w:rsidTr="005356A1">
        <w:trPr>
          <w:trHeight w:val="300"/>
        </w:trPr>
        <w:tc>
          <w:tcPr>
            <w:tcW w:w="1546" w:type="dxa"/>
            <w:shd w:val="clear" w:color="auto" w:fill="auto"/>
            <w:noWrap/>
            <w:vAlign w:val="center"/>
            <w:hideMark/>
          </w:tcPr>
          <w:p w14:paraId="797BE6CF" w14:textId="77777777" w:rsidR="008455B1" w:rsidRPr="006861D4" w:rsidRDefault="008455B1" w:rsidP="005356A1">
            <w:pPr>
              <w:spacing w:after="0" w:line="240" w:lineRule="auto"/>
              <w:rPr>
                <w:rFonts w:eastAsia="Times New Roman" w:cs="Times New Roman"/>
                <w:bCs/>
                <w:color w:val="000000"/>
                <w:sz w:val="20"/>
                <w:szCs w:val="20"/>
              </w:rPr>
            </w:pPr>
            <w:proofErr w:type="spellStart"/>
            <w:r w:rsidRPr="006861D4">
              <w:rPr>
                <w:bCs/>
                <w:color w:val="000000"/>
                <w:sz w:val="20"/>
                <w:szCs w:val="20"/>
              </w:rPr>
              <w:t>Pamplona</w:t>
            </w:r>
            <w:r w:rsidRPr="006861D4">
              <w:rPr>
                <w:bCs/>
                <w:color w:val="000000"/>
                <w:sz w:val="20"/>
                <w:szCs w:val="20"/>
                <w:vertAlign w:val="superscript"/>
              </w:rPr>
              <w:t>a</w:t>
            </w:r>
            <w:proofErr w:type="spellEnd"/>
          </w:p>
        </w:tc>
        <w:tc>
          <w:tcPr>
            <w:tcW w:w="722" w:type="dxa"/>
            <w:shd w:val="clear" w:color="auto" w:fill="auto"/>
            <w:noWrap/>
            <w:vAlign w:val="center"/>
            <w:hideMark/>
          </w:tcPr>
          <w:p w14:paraId="21529341"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7</w:t>
            </w:r>
          </w:p>
        </w:tc>
        <w:tc>
          <w:tcPr>
            <w:tcW w:w="723" w:type="dxa"/>
            <w:shd w:val="clear" w:color="auto" w:fill="auto"/>
            <w:noWrap/>
            <w:vAlign w:val="center"/>
            <w:hideMark/>
          </w:tcPr>
          <w:p w14:paraId="77E7E86C"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190</w:t>
            </w:r>
          </w:p>
        </w:tc>
        <w:tc>
          <w:tcPr>
            <w:tcW w:w="723" w:type="dxa"/>
            <w:shd w:val="clear" w:color="auto" w:fill="auto"/>
            <w:noWrap/>
            <w:vAlign w:val="center"/>
            <w:hideMark/>
          </w:tcPr>
          <w:p w14:paraId="16CC5FD6"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470</w:t>
            </w:r>
          </w:p>
        </w:tc>
        <w:tc>
          <w:tcPr>
            <w:tcW w:w="723" w:type="dxa"/>
            <w:shd w:val="clear" w:color="auto" w:fill="auto"/>
            <w:noWrap/>
            <w:vAlign w:val="center"/>
            <w:hideMark/>
          </w:tcPr>
          <w:p w14:paraId="39855E19"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65 (8)</w:t>
            </w:r>
          </w:p>
        </w:tc>
        <w:tc>
          <w:tcPr>
            <w:tcW w:w="723" w:type="dxa"/>
            <w:shd w:val="clear" w:color="auto" w:fill="auto"/>
            <w:noWrap/>
            <w:vAlign w:val="center"/>
            <w:hideMark/>
          </w:tcPr>
          <w:p w14:paraId="4C77B841"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84</w:t>
            </w:r>
          </w:p>
        </w:tc>
        <w:tc>
          <w:tcPr>
            <w:tcW w:w="723" w:type="dxa"/>
            <w:shd w:val="clear" w:color="auto" w:fill="auto"/>
            <w:noWrap/>
            <w:vAlign w:val="center"/>
            <w:hideMark/>
          </w:tcPr>
          <w:p w14:paraId="27E460EB"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68.9 (19.9)</w:t>
            </w:r>
          </w:p>
        </w:tc>
        <w:tc>
          <w:tcPr>
            <w:tcW w:w="723" w:type="dxa"/>
            <w:shd w:val="clear" w:color="auto" w:fill="auto"/>
            <w:noWrap/>
            <w:vAlign w:val="center"/>
            <w:hideMark/>
          </w:tcPr>
          <w:p w14:paraId="7F66DFE6"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1.1</w:t>
            </w:r>
          </w:p>
        </w:tc>
        <w:tc>
          <w:tcPr>
            <w:tcW w:w="723" w:type="dxa"/>
            <w:shd w:val="clear" w:color="auto" w:fill="auto"/>
            <w:noWrap/>
            <w:vAlign w:val="center"/>
            <w:hideMark/>
          </w:tcPr>
          <w:p w14:paraId="28A8742A"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 xml:space="preserve"> </w:t>
            </w:r>
          </w:p>
        </w:tc>
        <w:tc>
          <w:tcPr>
            <w:tcW w:w="723" w:type="dxa"/>
            <w:shd w:val="clear" w:color="auto" w:fill="auto"/>
            <w:noWrap/>
            <w:vAlign w:val="center"/>
            <w:hideMark/>
          </w:tcPr>
          <w:p w14:paraId="617D419A"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 xml:space="preserve"> </w:t>
            </w:r>
          </w:p>
        </w:tc>
        <w:tc>
          <w:tcPr>
            <w:tcW w:w="723" w:type="dxa"/>
            <w:shd w:val="clear" w:color="auto" w:fill="auto"/>
            <w:noWrap/>
            <w:vAlign w:val="center"/>
            <w:hideMark/>
          </w:tcPr>
          <w:p w14:paraId="1D4AA2B0"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37</w:t>
            </w:r>
          </w:p>
        </w:tc>
        <w:tc>
          <w:tcPr>
            <w:tcW w:w="723" w:type="dxa"/>
            <w:shd w:val="clear" w:color="auto" w:fill="auto"/>
            <w:noWrap/>
            <w:vAlign w:val="center"/>
            <w:hideMark/>
          </w:tcPr>
          <w:p w14:paraId="53500970"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27 (4.4)</w:t>
            </w:r>
          </w:p>
        </w:tc>
        <w:tc>
          <w:tcPr>
            <w:tcW w:w="723" w:type="dxa"/>
            <w:shd w:val="clear" w:color="auto" w:fill="auto"/>
            <w:noWrap/>
            <w:vAlign w:val="center"/>
            <w:hideMark/>
          </w:tcPr>
          <w:p w14:paraId="4086DCD0"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463.2 (113.9)</w:t>
            </w:r>
          </w:p>
        </w:tc>
        <w:tc>
          <w:tcPr>
            <w:tcW w:w="723" w:type="dxa"/>
            <w:shd w:val="clear" w:color="auto" w:fill="auto"/>
            <w:noWrap/>
            <w:vAlign w:val="center"/>
            <w:hideMark/>
          </w:tcPr>
          <w:p w14:paraId="10D1EA36"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 xml:space="preserve"> </w:t>
            </w:r>
          </w:p>
        </w:tc>
        <w:tc>
          <w:tcPr>
            <w:tcW w:w="723" w:type="dxa"/>
            <w:shd w:val="clear" w:color="auto" w:fill="auto"/>
            <w:noWrap/>
            <w:vAlign w:val="center"/>
            <w:hideMark/>
          </w:tcPr>
          <w:p w14:paraId="6012DA81"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 xml:space="preserve"> </w:t>
            </w:r>
          </w:p>
        </w:tc>
      </w:tr>
      <w:tr w:rsidR="008455B1" w:rsidRPr="002E4A39" w14:paraId="675643D3" w14:textId="77777777" w:rsidTr="005356A1">
        <w:trPr>
          <w:trHeight w:val="300"/>
        </w:trPr>
        <w:tc>
          <w:tcPr>
            <w:tcW w:w="1546" w:type="dxa"/>
            <w:shd w:val="clear" w:color="auto" w:fill="auto"/>
            <w:noWrap/>
            <w:vAlign w:val="center"/>
            <w:hideMark/>
          </w:tcPr>
          <w:p w14:paraId="3E265726" w14:textId="77777777" w:rsidR="008455B1" w:rsidRPr="006861D4" w:rsidRDefault="008455B1" w:rsidP="005356A1">
            <w:pPr>
              <w:spacing w:after="0" w:line="240" w:lineRule="auto"/>
              <w:rPr>
                <w:rFonts w:eastAsia="Times New Roman" w:cs="Times New Roman"/>
                <w:bCs/>
                <w:color w:val="000000"/>
                <w:sz w:val="20"/>
                <w:szCs w:val="20"/>
              </w:rPr>
            </w:pPr>
            <w:r w:rsidRPr="006861D4">
              <w:rPr>
                <w:bCs/>
                <w:color w:val="000000"/>
                <w:sz w:val="20"/>
                <w:szCs w:val="20"/>
              </w:rPr>
              <w:t>Mar de Plata Argentina</w:t>
            </w:r>
          </w:p>
        </w:tc>
        <w:tc>
          <w:tcPr>
            <w:tcW w:w="722" w:type="dxa"/>
            <w:shd w:val="clear" w:color="auto" w:fill="auto"/>
            <w:noWrap/>
            <w:vAlign w:val="center"/>
            <w:hideMark/>
          </w:tcPr>
          <w:p w14:paraId="5FEA115D"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3</w:t>
            </w:r>
          </w:p>
        </w:tc>
        <w:tc>
          <w:tcPr>
            <w:tcW w:w="723" w:type="dxa"/>
            <w:shd w:val="clear" w:color="auto" w:fill="auto"/>
            <w:noWrap/>
            <w:vAlign w:val="center"/>
            <w:hideMark/>
          </w:tcPr>
          <w:p w14:paraId="31A8FE58"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99</w:t>
            </w:r>
          </w:p>
        </w:tc>
        <w:tc>
          <w:tcPr>
            <w:tcW w:w="723" w:type="dxa"/>
            <w:shd w:val="clear" w:color="auto" w:fill="auto"/>
            <w:noWrap/>
            <w:vAlign w:val="center"/>
            <w:hideMark/>
          </w:tcPr>
          <w:p w14:paraId="3B323C7A"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147</w:t>
            </w:r>
          </w:p>
        </w:tc>
        <w:tc>
          <w:tcPr>
            <w:tcW w:w="723" w:type="dxa"/>
            <w:shd w:val="clear" w:color="auto" w:fill="auto"/>
            <w:noWrap/>
            <w:vAlign w:val="center"/>
            <w:hideMark/>
          </w:tcPr>
          <w:p w14:paraId="1146EB3E"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64 (9)</w:t>
            </w:r>
          </w:p>
        </w:tc>
        <w:tc>
          <w:tcPr>
            <w:tcW w:w="723" w:type="dxa"/>
            <w:shd w:val="clear" w:color="auto" w:fill="auto"/>
            <w:noWrap/>
            <w:vAlign w:val="center"/>
            <w:hideMark/>
          </w:tcPr>
          <w:p w14:paraId="68BB519C"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60</w:t>
            </w:r>
          </w:p>
        </w:tc>
        <w:tc>
          <w:tcPr>
            <w:tcW w:w="723" w:type="dxa"/>
            <w:shd w:val="clear" w:color="auto" w:fill="auto"/>
            <w:noWrap/>
            <w:vAlign w:val="center"/>
            <w:hideMark/>
          </w:tcPr>
          <w:p w14:paraId="7536AE54"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48.8 (18.6)</w:t>
            </w:r>
          </w:p>
        </w:tc>
        <w:tc>
          <w:tcPr>
            <w:tcW w:w="723" w:type="dxa"/>
            <w:shd w:val="clear" w:color="auto" w:fill="auto"/>
            <w:noWrap/>
            <w:vAlign w:val="center"/>
            <w:hideMark/>
          </w:tcPr>
          <w:p w14:paraId="4DCAB27E"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1</w:t>
            </w:r>
          </w:p>
        </w:tc>
        <w:tc>
          <w:tcPr>
            <w:tcW w:w="723" w:type="dxa"/>
            <w:shd w:val="clear" w:color="auto" w:fill="auto"/>
            <w:noWrap/>
            <w:vAlign w:val="center"/>
            <w:hideMark/>
          </w:tcPr>
          <w:p w14:paraId="742E6DDA"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0.29</w:t>
            </w:r>
          </w:p>
        </w:tc>
        <w:tc>
          <w:tcPr>
            <w:tcW w:w="723" w:type="dxa"/>
            <w:shd w:val="clear" w:color="auto" w:fill="auto"/>
            <w:noWrap/>
            <w:vAlign w:val="center"/>
            <w:hideMark/>
          </w:tcPr>
          <w:p w14:paraId="34393B7B"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 xml:space="preserve"> </w:t>
            </w:r>
          </w:p>
        </w:tc>
        <w:tc>
          <w:tcPr>
            <w:tcW w:w="723" w:type="dxa"/>
            <w:shd w:val="clear" w:color="auto" w:fill="auto"/>
            <w:noWrap/>
            <w:vAlign w:val="center"/>
            <w:hideMark/>
          </w:tcPr>
          <w:p w14:paraId="12ABBE1F"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21</w:t>
            </w:r>
          </w:p>
        </w:tc>
        <w:tc>
          <w:tcPr>
            <w:tcW w:w="723" w:type="dxa"/>
            <w:shd w:val="clear" w:color="auto" w:fill="auto"/>
            <w:noWrap/>
            <w:vAlign w:val="center"/>
            <w:hideMark/>
          </w:tcPr>
          <w:p w14:paraId="61A955F8"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27 (5.6)</w:t>
            </w:r>
          </w:p>
        </w:tc>
        <w:tc>
          <w:tcPr>
            <w:tcW w:w="723" w:type="dxa"/>
            <w:shd w:val="clear" w:color="auto" w:fill="auto"/>
            <w:noWrap/>
            <w:vAlign w:val="center"/>
            <w:hideMark/>
          </w:tcPr>
          <w:p w14:paraId="3853F977"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353.2 (128.7)</w:t>
            </w:r>
          </w:p>
        </w:tc>
        <w:tc>
          <w:tcPr>
            <w:tcW w:w="723" w:type="dxa"/>
            <w:shd w:val="clear" w:color="auto" w:fill="auto"/>
            <w:noWrap/>
            <w:vAlign w:val="center"/>
            <w:hideMark/>
          </w:tcPr>
          <w:p w14:paraId="08961311"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 xml:space="preserve"> </w:t>
            </w:r>
          </w:p>
        </w:tc>
        <w:tc>
          <w:tcPr>
            <w:tcW w:w="723" w:type="dxa"/>
            <w:shd w:val="clear" w:color="auto" w:fill="auto"/>
            <w:noWrap/>
            <w:vAlign w:val="center"/>
            <w:hideMark/>
          </w:tcPr>
          <w:p w14:paraId="00661592"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16.1 (7.8)</w:t>
            </w:r>
          </w:p>
        </w:tc>
      </w:tr>
      <w:tr w:rsidR="008455B1" w:rsidRPr="002E4A39" w14:paraId="4F68FB44" w14:textId="77777777" w:rsidTr="005356A1">
        <w:trPr>
          <w:trHeight w:val="315"/>
        </w:trPr>
        <w:tc>
          <w:tcPr>
            <w:tcW w:w="1546" w:type="dxa"/>
            <w:tcBorders>
              <w:bottom w:val="single" w:sz="4" w:space="0" w:color="auto"/>
            </w:tcBorders>
            <w:shd w:val="clear" w:color="auto" w:fill="auto"/>
            <w:noWrap/>
            <w:vAlign w:val="center"/>
            <w:hideMark/>
          </w:tcPr>
          <w:p w14:paraId="7374E1EC" w14:textId="77777777" w:rsidR="008455B1" w:rsidRPr="006861D4" w:rsidRDefault="008455B1" w:rsidP="005356A1">
            <w:pPr>
              <w:spacing w:after="0" w:line="240" w:lineRule="auto"/>
              <w:rPr>
                <w:rFonts w:eastAsia="Times New Roman" w:cs="Times New Roman"/>
                <w:bCs/>
                <w:color w:val="000000"/>
                <w:sz w:val="20"/>
                <w:szCs w:val="20"/>
              </w:rPr>
            </w:pPr>
            <w:r w:rsidRPr="006861D4">
              <w:rPr>
                <w:bCs/>
                <w:color w:val="000000"/>
                <w:sz w:val="20"/>
                <w:szCs w:val="20"/>
              </w:rPr>
              <w:t>A1ATD</w:t>
            </w:r>
            <w:r w:rsidRPr="006861D4">
              <w:rPr>
                <w:bCs/>
                <w:color w:val="000000"/>
                <w:sz w:val="20"/>
                <w:szCs w:val="20"/>
                <w:vertAlign w:val="superscript"/>
              </w:rPr>
              <w:t>d</w:t>
            </w:r>
          </w:p>
        </w:tc>
        <w:tc>
          <w:tcPr>
            <w:tcW w:w="722" w:type="dxa"/>
            <w:tcBorders>
              <w:bottom w:val="single" w:sz="4" w:space="0" w:color="auto"/>
            </w:tcBorders>
            <w:shd w:val="clear" w:color="auto" w:fill="auto"/>
            <w:noWrap/>
            <w:vAlign w:val="center"/>
            <w:hideMark/>
          </w:tcPr>
          <w:p w14:paraId="660C1504"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0</w:t>
            </w:r>
          </w:p>
        </w:tc>
        <w:tc>
          <w:tcPr>
            <w:tcW w:w="723" w:type="dxa"/>
            <w:tcBorders>
              <w:bottom w:val="single" w:sz="4" w:space="0" w:color="auto"/>
            </w:tcBorders>
            <w:shd w:val="clear" w:color="auto" w:fill="auto"/>
            <w:noWrap/>
            <w:vAlign w:val="center"/>
            <w:hideMark/>
          </w:tcPr>
          <w:p w14:paraId="788F2513"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308</w:t>
            </w:r>
          </w:p>
        </w:tc>
        <w:tc>
          <w:tcPr>
            <w:tcW w:w="723" w:type="dxa"/>
            <w:tcBorders>
              <w:bottom w:val="single" w:sz="4" w:space="0" w:color="auto"/>
            </w:tcBorders>
            <w:shd w:val="clear" w:color="auto" w:fill="auto"/>
            <w:noWrap/>
            <w:vAlign w:val="center"/>
            <w:hideMark/>
          </w:tcPr>
          <w:p w14:paraId="268E35F3"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834</w:t>
            </w:r>
          </w:p>
        </w:tc>
        <w:tc>
          <w:tcPr>
            <w:tcW w:w="723" w:type="dxa"/>
            <w:tcBorders>
              <w:bottom w:val="single" w:sz="4" w:space="0" w:color="auto"/>
            </w:tcBorders>
            <w:shd w:val="clear" w:color="auto" w:fill="auto"/>
            <w:noWrap/>
            <w:vAlign w:val="center"/>
            <w:hideMark/>
          </w:tcPr>
          <w:p w14:paraId="38B8826B"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58 (10)</w:t>
            </w:r>
          </w:p>
        </w:tc>
        <w:tc>
          <w:tcPr>
            <w:tcW w:w="723" w:type="dxa"/>
            <w:tcBorders>
              <w:bottom w:val="single" w:sz="4" w:space="0" w:color="auto"/>
            </w:tcBorders>
            <w:shd w:val="clear" w:color="auto" w:fill="auto"/>
            <w:noWrap/>
            <w:vAlign w:val="center"/>
            <w:hideMark/>
          </w:tcPr>
          <w:p w14:paraId="1970263B"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60</w:t>
            </w:r>
          </w:p>
        </w:tc>
        <w:tc>
          <w:tcPr>
            <w:tcW w:w="723" w:type="dxa"/>
            <w:tcBorders>
              <w:bottom w:val="single" w:sz="4" w:space="0" w:color="auto"/>
            </w:tcBorders>
            <w:shd w:val="clear" w:color="auto" w:fill="auto"/>
            <w:noWrap/>
            <w:vAlign w:val="center"/>
            <w:hideMark/>
          </w:tcPr>
          <w:p w14:paraId="7E77535C"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53.1 (25.1)</w:t>
            </w:r>
          </w:p>
        </w:tc>
        <w:tc>
          <w:tcPr>
            <w:tcW w:w="723" w:type="dxa"/>
            <w:tcBorders>
              <w:bottom w:val="single" w:sz="4" w:space="0" w:color="auto"/>
            </w:tcBorders>
            <w:shd w:val="clear" w:color="auto" w:fill="auto"/>
            <w:noWrap/>
            <w:vAlign w:val="center"/>
            <w:hideMark/>
          </w:tcPr>
          <w:p w14:paraId="42C5FDE3"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1.2</w:t>
            </w:r>
          </w:p>
        </w:tc>
        <w:tc>
          <w:tcPr>
            <w:tcW w:w="723" w:type="dxa"/>
            <w:tcBorders>
              <w:bottom w:val="single" w:sz="4" w:space="0" w:color="auto"/>
            </w:tcBorders>
            <w:shd w:val="clear" w:color="auto" w:fill="auto"/>
            <w:noWrap/>
            <w:vAlign w:val="center"/>
            <w:hideMark/>
          </w:tcPr>
          <w:p w14:paraId="40A9C4E8"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0.52</w:t>
            </w:r>
          </w:p>
        </w:tc>
        <w:tc>
          <w:tcPr>
            <w:tcW w:w="723" w:type="dxa"/>
            <w:tcBorders>
              <w:bottom w:val="single" w:sz="4" w:space="0" w:color="auto"/>
            </w:tcBorders>
            <w:shd w:val="clear" w:color="auto" w:fill="auto"/>
            <w:noWrap/>
            <w:vAlign w:val="center"/>
            <w:hideMark/>
          </w:tcPr>
          <w:p w14:paraId="4BF3D125"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 xml:space="preserve"> </w:t>
            </w:r>
          </w:p>
        </w:tc>
        <w:tc>
          <w:tcPr>
            <w:tcW w:w="723" w:type="dxa"/>
            <w:tcBorders>
              <w:bottom w:val="single" w:sz="4" w:space="0" w:color="auto"/>
            </w:tcBorders>
            <w:shd w:val="clear" w:color="auto" w:fill="auto"/>
            <w:noWrap/>
            <w:vAlign w:val="center"/>
            <w:hideMark/>
          </w:tcPr>
          <w:p w14:paraId="63AB629D"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5</w:t>
            </w:r>
          </w:p>
        </w:tc>
        <w:tc>
          <w:tcPr>
            <w:tcW w:w="723" w:type="dxa"/>
            <w:tcBorders>
              <w:bottom w:val="single" w:sz="4" w:space="0" w:color="auto"/>
            </w:tcBorders>
            <w:shd w:val="clear" w:color="auto" w:fill="auto"/>
            <w:noWrap/>
            <w:vAlign w:val="center"/>
            <w:hideMark/>
          </w:tcPr>
          <w:p w14:paraId="40F309A3"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25.7 (4.9)</w:t>
            </w:r>
          </w:p>
        </w:tc>
        <w:tc>
          <w:tcPr>
            <w:tcW w:w="723" w:type="dxa"/>
            <w:tcBorders>
              <w:bottom w:val="single" w:sz="4" w:space="0" w:color="auto"/>
            </w:tcBorders>
            <w:shd w:val="clear" w:color="auto" w:fill="auto"/>
            <w:noWrap/>
            <w:vAlign w:val="center"/>
            <w:hideMark/>
          </w:tcPr>
          <w:p w14:paraId="46C57B92"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 xml:space="preserve"> </w:t>
            </w:r>
          </w:p>
        </w:tc>
        <w:tc>
          <w:tcPr>
            <w:tcW w:w="723" w:type="dxa"/>
            <w:tcBorders>
              <w:bottom w:val="single" w:sz="4" w:space="0" w:color="auto"/>
            </w:tcBorders>
            <w:shd w:val="clear" w:color="auto" w:fill="auto"/>
            <w:noWrap/>
            <w:vAlign w:val="center"/>
            <w:hideMark/>
          </w:tcPr>
          <w:p w14:paraId="21226336"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50.8 (19.9)</w:t>
            </w:r>
          </w:p>
        </w:tc>
        <w:tc>
          <w:tcPr>
            <w:tcW w:w="723" w:type="dxa"/>
            <w:tcBorders>
              <w:bottom w:val="single" w:sz="4" w:space="0" w:color="auto"/>
            </w:tcBorders>
            <w:shd w:val="clear" w:color="auto" w:fill="auto"/>
            <w:noWrap/>
            <w:vAlign w:val="center"/>
            <w:hideMark/>
          </w:tcPr>
          <w:p w14:paraId="3F44D9EC" w14:textId="77777777" w:rsidR="008455B1" w:rsidRPr="002E4A39" w:rsidRDefault="008455B1" w:rsidP="005356A1">
            <w:pPr>
              <w:spacing w:after="0" w:line="240" w:lineRule="auto"/>
              <w:jc w:val="center"/>
              <w:rPr>
                <w:rFonts w:eastAsia="Times New Roman" w:cs="Times New Roman"/>
                <w:color w:val="000000"/>
                <w:sz w:val="20"/>
                <w:szCs w:val="20"/>
              </w:rPr>
            </w:pPr>
            <w:r>
              <w:rPr>
                <w:color w:val="000000"/>
              </w:rPr>
              <w:t>20.5 (8.1)</w:t>
            </w:r>
          </w:p>
        </w:tc>
      </w:tr>
      <w:tr w:rsidR="008455B1" w:rsidRPr="006861D4" w14:paraId="5EB0A322" w14:textId="77777777" w:rsidTr="005356A1">
        <w:trPr>
          <w:trHeight w:val="329"/>
        </w:trPr>
        <w:tc>
          <w:tcPr>
            <w:tcW w:w="11667" w:type="dxa"/>
            <w:gridSpan w:val="15"/>
            <w:tcBorders>
              <w:top w:val="single" w:sz="4" w:space="0" w:color="auto"/>
            </w:tcBorders>
            <w:shd w:val="clear" w:color="auto" w:fill="auto"/>
            <w:noWrap/>
            <w:vAlign w:val="center"/>
          </w:tcPr>
          <w:p w14:paraId="097C32F4" w14:textId="77777777" w:rsidR="008455B1" w:rsidRPr="006861D4" w:rsidRDefault="008455B1" w:rsidP="005356A1">
            <w:pPr>
              <w:autoSpaceDE w:val="0"/>
              <w:autoSpaceDN w:val="0"/>
              <w:adjustRightInd w:val="0"/>
              <w:spacing w:after="0" w:line="240" w:lineRule="auto"/>
              <w:jc w:val="both"/>
              <w:rPr>
                <w:rFonts w:cs="Arial"/>
                <w:b/>
                <w:sz w:val="20"/>
                <w:szCs w:val="20"/>
              </w:rPr>
            </w:pPr>
            <w:r w:rsidRPr="006861D4">
              <w:rPr>
                <w:rFonts w:cs="Arial"/>
                <w:b/>
                <w:sz w:val="20"/>
                <w:szCs w:val="20"/>
                <w:shd w:val="clear" w:color="auto" w:fill="FFFFFF"/>
              </w:rPr>
              <w:t xml:space="preserve">Abbreviations: </w:t>
            </w:r>
            <w:r w:rsidRPr="006861D4">
              <w:rPr>
                <w:rFonts w:cs="Arial"/>
                <w:b/>
                <w:sz w:val="20"/>
                <w:szCs w:val="20"/>
              </w:rPr>
              <w:t xml:space="preserve">FEV1% pred.=forced expiratory volume in 1 second percentage predicted; </w:t>
            </w:r>
            <w:proofErr w:type="spellStart"/>
            <w:r w:rsidRPr="006861D4">
              <w:rPr>
                <w:rFonts w:cs="Arial"/>
                <w:b/>
                <w:sz w:val="20"/>
                <w:szCs w:val="20"/>
              </w:rPr>
              <w:t>mMRC</w:t>
            </w:r>
            <w:proofErr w:type="spellEnd"/>
            <w:r w:rsidRPr="006861D4">
              <w:rPr>
                <w:rFonts w:cs="Arial"/>
                <w:b/>
                <w:sz w:val="20"/>
                <w:szCs w:val="20"/>
              </w:rPr>
              <w:t>=</w:t>
            </w:r>
            <w:r w:rsidRPr="006861D4">
              <w:rPr>
                <w:rFonts w:cs="Arial"/>
                <w:b/>
                <w:sz w:val="20"/>
                <w:szCs w:val="20"/>
                <w:shd w:val="clear" w:color="auto" w:fill="FFFFFF"/>
              </w:rPr>
              <w:t>modified Medical Research Council (</w:t>
            </w:r>
            <w:r w:rsidRPr="006861D4">
              <w:rPr>
                <w:rStyle w:val="Emphasis"/>
                <w:rFonts w:cs="Arial"/>
                <w:b/>
                <w:bCs/>
                <w:sz w:val="20"/>
                <w:szCs w:val="20"/>
                <w:shd w:val="clear" w:color="auto" w:fill="FFFFFF"/>
              </w:rPr>
              <w:t>MMRC</w:t>
            </w:r>
            <w:r w:rsidRPr="006861D4">
              <w:rPr>
                <w:rFonts w:cs="Arial"/>
                <w:b/>
                <w:sz w:val="20"/>
                <w:szCs w:val="20"/>
                <w:shd w:val="clear" w:color="auto" w:fill="FFFFFF"/>
              </w:rPr>
              <w:t>) dyspnea scale;</w:t>
            </w:r>
            <w:r w:rsidRPr="006861D4">
              <w:rPr>
                <w:rFonts w:cs="Arial"/>
                <w:b/>
                <w:sz w:val="20"/>
                <w:szCs w:val="20"/>
              </w:rPr>
              <w:t xml:space="preserve"> past </w:t>
            </w:r>
            <w:proofErr w:type="spellStart"/>
            <w:r w:rsidRPr="006861D4">
              <w:rPr>
                <w:rFonts w:cs="Arial"/>
                <w:b/>
                <w:sz w:val="20"/>
                <w:szCs w:val="20"/>
              </w:rPr>
              <w:t>exacerbators</w:t>
            </w:r>
            <w:proofErr w:type="spellEnd"/>
            <w:r w:rsidRPr="006861D4">
              <w:rPr>
                <w:rFonts w:cs="Arial"/>
                <w:b/>
                <w:sz w:val="20"/>
                <w:szCs w:val="20"/>
              </w:rPr>
              <w:t xml:space="preserve"> are defined as patients with more than 1 exacerbation in the previous year; m</w:t>
            </w:r>
            <w:r w:rsidRPr="006861D4">
              <w:rPr>
                <w:rFonts w:cs="Arial"/>
                <w:b/>
                <w:sz w:val="20"/>
                <w:szCs w:val="20"/>
                <w:shd w:val="clear" w:color="auto" w:fill="FFFFFF"/>
              </w:rPr>
              <w:t>ean # previous exacerbations are referred to the previous year; BMI=body-mass index; 6MWT=6-minute walk test; SGRQ=</w:t>
            </w:r>
            <w:r w:rsidRPr="006861D4">
              <w:rPr>
                <w:rFonts w:cs="Arial"/>
                <w:b/>
                <w:sz w:val="20"/>
                <w:szCs w:val="20"/>
              </w:rPr>
              <w:t>Saint George’s Respiratory Questionnaire; CAT=</w:t>
            </w:r>
            <w:r w:rsidRPr="006861D4">
              <w:rPr>
                <w:rStyle w:val="Emphasis"/>
                <w:rFonts w:cs="Arial"/>
                <w:b/>
                <w:bCs/>
                <w:sz w:val="20"/>
                <w:szCs w:val="20"/>
                <w:shd w:val="clear" w:color="auto" w:fill="FFFFFF"/>
              </w:rPr>
              <w:t xml:space="preserve">COPD Assessment Test.  </w:t>
            </w:r>
            <w:r w:rsidRPr="006861D4">
              <w:rPr>
                <w:rFonts w:cs="Arial"/>
                <w:b/>
                <w:sz w:val="20"/>
                <w:szCs w:val="20"/>
              </w:rPr>
              <w:t xml:space="preserve"> </w:t>
            </w:r>
          </w:p>
          <w:p w14:paraId="7CBB668C" w14:textId="77777777" w:rsidR="008455B1" w:rsidRPr="006861D4" w:rsidRDefault="008455B1" w:rsidP="005356A1">
            <w:pPr>
              <w:autoSpaceDE w:val="0"/>
              <w:autoSpaceDN w:val="0"/>
              <w:adjustRightInd w:val="0"/>
              <w:spacing w:after="0" w:line="240" w:lineRule="auto"/>
              <w:jc w:val="both"/>
              <w:rPr>
                <w:rFonts w:cs="Arial"/>
                <w:b/>
                <w:sz w:val="20"/>
                <w:szCs w:val="20"/>
              </w:rPr>
            </w:pPr>
          </w:p>
          <w:p w14:paraId="3C59F3A2" w14:textId="77777777" w:rsidR="008455B1" w:rsidRPr="006861D4" w:rsidRDefault="008455B1" w:rsidP="005356A1">
            <w:pPr>
              <w:autoSpaceDE w:val="0"/>
              <w:autoSpaceDN w:val="0"/>
              <w:adjustRightInd w:val="0"/>
              <w:spacing w:after="0" w:line="240" w:lineRule="auto"/>
              <w:jc w:val="both"/>
              <w:rPr>
                <w:rFonts w:cs="Arial"/>
                <w:b/>
                <w:sz w:val="20"/>
                <w:szCs w:val="20"/>
              </w:rPr>
            </w:pPr>
            <w:r w:rsidRPr="006861D4">
              <w:rPr>
                <w:rFonts w:cs="Arial"/>
                <w:b/>
                <w:sz w:val="20"/>
                <w:szCs w:val="20"/>
              </w:rPr>
              <w:t xml:space="preserve">The cohorts are presented in decreasing order of number of events. Most of the variables available provided by the 3CIA collaboration for the different cohorts </w:t>
            </w:r>
            <w:proofErr w:type="gramStart"/>
            <w:r w:rsidRPr="006861D4">
              <w:rPr>
                <w:rFonts w:cs="Arial"/>
                <w:b/>
                <w:sz w:val="20"/>
                <w:szCs w:val="20"/>
              </w:rPr>
              <w:t>are</w:t>
            </w:r>
            <w:proofErr w:type="gramEnd"/>
            <w:r w:rsidRPr="006861D4">
              <w:rPr>
                <w:rFonts w:cs="Arial"/>
                <w:b/>
                <w:sz w:val="20"/>
                <w:szCs w:val="20"/>
              </w:rPr>
              <w:t xml:space="preserve"> shown. In particular, we show all the variables constituting the scores analyzed in our study. We present the standard deviation for all individual variables, whose distribution is approximately normal; this is not the case for count (with small numbers) or categorical variables</w:t>
            </w:r>
            <w:proofErr w:type="gramStart"/>
            <w:r w:rsidRPr="006861D4">
              <w:rPr>
                <w:rFonts w:cs="Arial"/>
                <w:b/>
                <w:sz w:val="20"/>
                <w:szCs w:val="20"/>
              </w:rPr>
              <w:t>,  like</w:t>
            </w:r>
            <w:proofErr w:type="gramEnd"/>
            <w:r w:rsidRPr="006861D4">
              <w:rPr>
                <w:rFonts w:cs="Arial"/>
                <w:b/>
                <w:sz w:val="20"/>
                <w:szCs w:val="20"/>
              </w:rPr>
              <w:t xml:space="preserve"> number of previous exacerbations or </w:t>
            </w:r>
            <w:proofErr w:type="spellStart"/>
            <w:r w:rsidRPr="006861D4">
              <w:rPr>
                <w:rFonts w:cs="Arial"/>
                <w:b/>
                <w:sz w:val="20"/>
                <w:szCs w:val="20"/>
              </w:rPr>
              <w:t>mMRC</w:t>
            </w:r>
            <w:proofErr w:type="spellEnd"/>
            <w:r w:rsidRPr="006861D4">
              <w:rPr>
                <w:rFonts w:cs="Arial"/>
                <w:b/>
                <w:sz w:val="20"/>
                <w:szCs w:val="20"/>
              </w:rPr>
              <w:t>).</w:t>
            </w:r>
          </w:p>
          <w:p w14:paraId="61E4618B" w14:textId="77777777" w:rsidR="008455B1" w:rsidRPr="006861D4" w:rsidRDefault="008455B1" w:rsidP="005356A1">
            <w:pPr>
              <w:autoSpaceDE w:val="0"/>
              <w:autoSpaceDN w:val="0"/>
              <w:adjustRightInd w:val="0"/>
              <w:spacing w:after="0" w:line="240" w:lineRule="auto"/>
              <w:jc w:val="both"/>
              <w:rPr>
                <w:rFonts w:cs="Arial"/>
                <w:b/>
                <w:sz w:val="20"/>
                <w:szCs w:val="20"/>
              </w:rPr>
            </w:pPr>
          </w:p>
          <w:p w14:paraId="117F0D95" w14:textId="77777777" w:rsidR="008455B1" w:rsidRPr="006861D4" w:rsidRDefault="008455B1" w:rsidP="005356A1">
            <w:pPr>
              <w:autoSpaceDE w:val="0"/>
              <w:autoSpaceDN w:val="0"/>
              <w:adjustRightInd w:val="0"/>
              <w:spacing w:after="0" w:line="240" w:lineRule="auto"/>
              <w:jc w:val="both"/>
              <w:rPr>
                <w:rFonts w:cs="Arial"/>
                <w:b/>
                <w:iCs/>
                <w:sz w:val="20"/>
                <w:szCs w:val="20"/>
              </w:rPr>
            </w:pPr>
            <w:proofErr w:type="spellStart"/>
            <w:r w:rsidRPr="006861D4">
              <w:rPr>
                <w:rFonts w:cs="Arial"/>
                <w:b/>
                <w:sz w:val="20"/>
                <w:szCs w:val="20"/>
                <w:vertAlign w:val="superscript"/>
              </w:rPr>
              <w:t>a</w:t>
            </w:r>
            <w:r w:rsidRPr="006861D4">
              <w:rPr>
                <w:rFonts w:cs="Arial"/>
                <w:b/>
                <w:iCs/>
                <w:sz w:val="20"/>
                <w:szCs w:val="20"/>
              </w:rPr>
              <w:t>Cohorts</w:t>
            </w:r>
            <w:proofErr w:type="spellEnd"/>
            <w:r w:rsidRPr="006861D4">
              <w:rPr>
                <w:rFonts w:cs="Arial"/>
                <w:b/>
                <w:iCs/>
                <w:sz w:val="20"/>
                <w:szCs w:val="20"/>
              </w:rPr>
              <w:t xml:space="preserve"> belonging to the COCOMICS collaboration </w:t>
            </w:r>
          </w:p>
          <w:p w14:paraId="5238B8D0" w14:textId="77777777" w:rsidR="008455B1" w:rsidRPr="006861D4" w:rsidRDefault="008455B1" w:rsidP="005356A1">
            <w:pPr>
              <w:autoSpaceDE w:val="0"/>
              <w:autoSpaceDN w:val="0"/>
              <w:adjustRightInd w:val="0"/>
              <w:spacing w:after="0" w:line="240" w:lineRule="auto"/>
              <w:jc w:val="both"/>
              <w:rPr>
                <w:rFonts w:cs="Arial"/>
                <w:b/>
                <w:iCs/>
                <w:sz w:val="20"/>
                <w:szCs w:val="20"/>
              </w:rPr>
            </w:pPr>
          </w:p>
          <w:p w14:paraId="6516D96E" w14:textId="77777777" w:rsidR="008455B1" w:rsidRPr="006861D4" w:rsidRDefault="008455B1" w:rsidP="005356A1">
            <w:pPr>
              <w:autoSpaceDE w:val="0"/>
              <w:autoSpaceDN w:val="0"/>
              <w:adjustRightInd w:val="0"/>
              <w:spacing w:after="0" w:line="240" w:lineRule="auto"/>
              <w:jc w:val="both"/>
              <w:rPr>
                <w:rFonts w:cs="Arial"/>
                <w:b/>
                <w:sz w:val="20"/>
                <w:szCs w:val="20"/>
                <w:shd w:val="clear" w:color="auto" w:fill="FFFFFF"/>
              </w:rPr>
            </w:pPr>
            <w:proofErr w:type="spellStart"/>
            <w:proofErr w:type="gramStart"/>
            <w:r w:rsidRPr="006861D4">
              <w:rPr>
                <w:rFonts w:cs="Arial"/>
                <w:b/>
                <w:sz w:val="20"/>
                <w:szCs w:val="20"/>
                <w:vertAlign w:val="superscript"/>
              </w:rPr>
              <w:t>b</w:t>
            </w:r>
            <w:r w:rsidRPr="006861D4">
              <w:rPr>
                <w:rFonts w:cs="Arial"/>
                <w:b/>
                <w:iCs/>
                <w:sz w:val="20"/>
                <w:szCs w:val="20"/>
              </w:rPr>
              <w:t>Cohorts</w:t>
            </w:r>
            <w:proofErr w:type="spellEnd"/>
            <w:proofErr w:type="gramEnd"/>
            <w:r w:rsidRPr="006861D4">
              <w:rPr>
                <w:rFonts w:cs="Arial"/>
                <w:b/>
                <w:iCs/>
                <w:sz w:val="20"/>
                <w:szCs w:val="20"/>
              </w:rPr>
              <w:t xml:space="preserve"> belonging to the ADO  collaboration. </w:t>
            </w:r>
            <w:r w:rsidRPr="006861D4">
              <w:rPr>
                <w:rFonts w:cs="Arial"/>
                <w:b/>
                <w:sz w:val="20"/>
                <w:szCs w:val="20"/>
                <w:shd w:val="clear" w:color="auto" w:fill="FFFFFF"/>
              </w:rPr>
              <w:t xml:space="preserve">For information concerning the cohorts, please see </w:t>
            </w:r>
            <w:r w:rsidRPr="006861D4">
              <w:rPr>
                <w:rFonts w:cs="Arial"/>
                <w:b/>
                <w:sz w:val="20"/>
                <w:szCs w:val="20"/>
                <w:shd w:val="clear" w:color="auto" w:fill="FFFFFF"/>
              </w:rPr>
              <w:fldChar w:fldCharType="begin" w:fldLock="1"/>
            </w:r>
            <w:r w:rsidR="005356A1">
              <w:rPr>
                <w:rFonts w:cs="Arial"/>
                <w:b/>
                <w:sz w:val="20"/>
                <w:szCs w:val="20"/>
                <w:shd w:val="clear" w:color="auto" w:fill="FFFFFF"/>
              </w:rPr>
              <w:instrText>ADDIN CSL_CITATION { "citationItems" : [ { "id" : "ITEM-1", "itemData" : { "DOI" : "10.1016/S2213-2600(15)00157-5", "ISSN" : "22132600", "author" : [ { "dropping-particle" : "", "family" : "Soriano", "given" : "Joan B.", "non-dropping-particle" : "", "parse-names" : false, "suffix" : "" }, { "dropping-particle" : "", "family" : "Lamprecht", "given" : "Bernd", "non-dropping-particle" : "", "parse-names" : false, "suffix" : "" }, { "dropping-particle" : "", "family" : "Ram\u00edrez", "given" : "Ana S", "non-dropping-particle" : "", "parse-names" : false, "suffix" : "" }, { "dropping-particle" : "", "family" : "Martinez-Camblor", "given" : "Pablo", "non-dropping-particle" : "", "parse-names" : false, "suffix" : "" }, { "dropping-particle" : "", "family" : "Kaiser", "given" : "Bernhard", "non-dropping-particle" : "", "parse-names" : false, "suffix" : "" }, { "dropping-particle" : "", "family" : "Alfageme", "given" : "Inmaculada", "non-dropping-particle" : "", "parse-names" : false, "suffix" : "" }, { "dropping-particle" : "", "family" : "Almagro", "given" : "Pere", "non-dropping-particle" : "", "parse-names" : false, "suffix" : "" }, { "dropping-particle" : "", "family" : "Casanova", "given" : "Ciro", "non-dropping-particle" : "", "parse-names" : false, "suffix" : "" }, { "dropping-particle" : "", "family" : "Esteban", "given" : "C", "non-dropping-particle" : "", "parse-names" : false, "suffix" : "" }, { "dropping-particle" : "", "family" : "Soler-Catalu\u00f1a", "given" : "Juan J", "non-dropping-particle" : "", "parse-names" : false, "suffix" : "" }, { "dropping-particle" : "", "family" : "De-Torres", "given" : "Juan P", "non-dropping-particle" : "", "parse-names" : false, "suffix" : "" }, { "dropping-particle" : "", "family" : "Miravitlles", "given" : "Marc", "non-dropping-particle" : "", "parse-names" : false, "suffix" : "" }, { "dropping-particle" : "", "family" : "Celli", "given" : "Bartolome R.", "non-dropping-particle" : "", "parse-names" : false, "suffix" : "" }, { "dropping-particle" : "", "family" : "Marin", "given" : "J M", "non-dropping-particle" : "", "parse-names" : false, "suffix" : "" }, { "dropping-particle" : "", "family" : "Puhan", "given" : "Milo A.", "non-dropping-particle" : "", "parse-names" : false, "suffix" : "" }, { "dropping-particle" : "", "family" : "Sobradillo", "given" : "Patricia", "non-dropping-particle" : "", "parse-names" : false, "suffix" : "" }, { "dropping-particle" : "", "family" : "Lange", "given" : "Peter", "non-dropping-particle" : "", "parse-names" : false, "suffix" : "" }, { "dropping-particle" : "", "family" : "Sternberg", "given" : "Alice L", "non-dropping-particle" : "", "parse-names" : false, "suffix" : "" }, { "dropping-particle" : "", "family" : "Garcia-Aymerich", "given" : "Judith", "non-dropping-particle" : "", "parse-names" : false, "suffix" : "" }, { "dropping-particle" : "", "family" : "Turner", "given" : "Alice M", "non-dropping-particle" : "", "parse-names" : false, "suffix" : "" }, { "dropping-particle" : "", "family" : "Han", "given" : "MeiLan K", "non-dropping-particle" : "", "parse-names" : false, "suffix" : "" }, { "dropping-particle" : "", "family" : "Langhammer", "given" : "Arnulf", "non-dropping-particle" : "", "parse-names" : false, "suffix" : "" }, { "dropping-particle" : "", "family" : "Leivseth", "given" : "Linda", "non-dropping-particle" : "", "parse-names" : false, "suffix" : "" }, { "dropping-particle" : "", "family" : "Bakke", "given" : "Per", "non-dropping-particle" : "", "parse-names" : false, "suffix" : "" }, { "dropping-particle" : "", "family" : "Johannessen", "given" : "Ane", "non-dropping-particle" : "", "parse-names" : false, "suffix" : "" }, { "dropping-particle" : "", "family" : "Roche", "given" : "Nicolas", "non-dropping-particle" : "", "parse-names" : false, "suffix" : "" }, { "dropping-particle" : "", "family" : "Sin", "given" : "Don D", "non-dropping-particle" : "", "parse-names" : false, "suffix" : "" } ], "container-title" : "The Lancet Respiratory Medicine", "id" : "ITEM-1", "issue" : "6", "issued" : { "date-parts" : [ [ "2015" ] ] }, "page" : "443-450", "title" : "Mortality prediction in chronic obstructive pulmonary disease comparing the GOLD 2007 and 2011 staging systems: a pooled analysis of individual patient data", "type" : "article-journal", "volume" : "3" }, "uris" : [ "http://www.mendeley.com/documents/?uuid=9a1bbdaa-b582-4ca0-8f9f-0dafa82cb677" ] } ], "mendeley" : { "formattedCitation" : "[37]", "plainTextFormattedCitation" : "[37]", "previouslyFormattedCitation" : "[51]" }, "properties" : { "noteIndex" : 0 }, "schema" : "https://github.com/citation-style-language/schema/raw/master/csl-citation.json" }</w:instrText>
            </w:r>
            <w:r w:rsidRPr="006861D4">
              <w:rPr>
                <w:rFonts w:cs="Arial"/>
                <w:b/>
                <w:sz w:val="20"/>
                <w:szCs w:val="20"/>
                <w:shd w:val="clear" w:color="auto" w:fill="FFFFFF"/>
              </w:rPr>
              <w:fldChar w:fldCharType="separate"/>
            </w:r>
            <w:r w:rsidR="005356A1" w:rsidRPr="005356A1">
              <w:rPr>
                <w:rFonts w:cs="Arial"/>
                <w:noProof/>
                <w:sz w:val="20"/>
                <w:szCs w:val="20"/>
                <w:shd w:val="clear" w:color="auto" w:fill="FFFFFF"/>
              </w:rPr>
              <w:t>[37]</w:t>
            </w:r>
            <w:r w:rsidRPr="006861D4">
              <w:rPr>
                <w:rFonts w:cs="Arial"/>
                <w:b/>
                <w:sz w:val="20"/>
                <w:szCs w:val="20"/>
                <w:shd w:val="clear" w:color="auto" w:fill="FFFFFF"/>
              </w:rPr>
              <w:fldChar w:fldCharType="end"/>
            </w:r>
            <w:r w:rsidRPr="006861D4">
              <w:rPr>
                <w:rFonts w:cs="Arial"/>
                <w:b/>
                <w:sz w:val="20"/>
                <w:szCs w:val="20"/>
                <w:shd w:val="clear" w:color="auto" w:fill="FFFFFF"/>
              </w:rPr>
              <w:t xml:space="preserve">. </w:t>
            </w:r>
          </w:p>
          <w:p w14:paraId="38A030F2" w14:textId="77777777" w:rsidR="008455B1" w:rsidRPr="006861D4" w:rsidRDefault="008455B1" w:rsidP="005356A1">
            <w:pPr>
              <w:autoSpaceDE w:val="0"/>
              <w:autoSpaceDN w:val="0"/>
              <w:adjustRightInd w:val="0"/>
              <w:spacing w:after="0" w:line="240" w:lineRule="auto"/>
              <w:jc w:val="both"/>
              <w:rPr>
                <w:rFonts w:cs="Arial"/>
                <w:b/>
                <w:sz w:val="20"/>
                <w:szCs w:val="20"/>
                <w:shd w:val="clear" w:color="auto" w:fill="FFFFFF"/>
              </w:rPr>
            </w:pPr>
          </w:p>
          <w:p w14:paraId="74828189" w14:textId="77777777" w:rsidR="008455B1" w:rsidRPr="006861D4" w:rsidRDefault="008455B1" w:rsidP="005356A1">
            <w:pPr>
              <w:autoSpaceDE w:val="0"/>
              <w:autoSpaceDN w:val="0"/>
              <w:adjustRightInd w:val="0"/>
              <w:spacing w:after="0" w:line="240" w:lineRule="auto"/>
              <w:jc w:val="both"/>
              <w:rPr>
                <w:rFonts w:cs="Arial"/>
                <w:b/>
                <w:sz w:val="20"/>
                <w:szCs w:val="20"/>
              </w:rPr>
            </w:pPr>
            <w:proofErr w:type="gramStart"/>
            <w:r w:rsidRPr="006861D4">
              <w:rPr>
                <w:b/>
                <w:bCs/>
                <w:color w:val="000000"/>
                <w:sz w:val="20"/>
                <w:szCs w:val="20"/>
                <w:vertAlign w:val="superscript"/>
              </w:rPr>
              <w:t>c</w:t>
            </w:r>
            <w:proofErr w:type="gramEnd"/>
            <w:r w:rsidRPr="006861D4">
              <w:rPr>
                <w:rFonts w:cs="Arial"/>
                <w:b/>
                <w:sz w:val="20"/>
                <w:szCs w:val="20"/>
              </w:rPr>
              <w:t xml:space="preserve"> Since none of the score could be evaluated in the cohort “</w:t>
            </w:r>
            <w:proofErr w:type="spellStart"/>
            <w:r w:rsidRPr="006861D4">
              <w:rPr>
                <w:rFonts w:cs="Arial"/>
                <w:b/>
                <w:sz w:val="20"/>
                <w:szCs w:val="20"/>
              </w:rPr>
              <w:t>Requena</w:t>
            </w:r>
            <w:proofErr w:type="spellEnd"/>
            <w:r w:rsidRPr="006861D4">
              <w:rPr>
                <w:rFonts w:cs="Arial"/>
                <w:b/>
                <w:sz w:val="20"/>
                <w:szCs w:val="20"/>
              </w:rPr>
              <w:t xml:space="preserve"> I” (mainly because the variable </w:t>
            </w:r>
            <w:proofErr w:type="spellStart"/>
            <w:r w:rsidRPr="006861D4">
              <w:rPr>
                <w:rFonts w:cs="Arial"/>
                <w:b/>
                <w:sz w:val="20"/>
                <w:szCs w:val="20"/>
              </w:rPr>
              <w:t>dyspnoea</w:t>
            </w:r>
            <w:proofErr w:type="spellEnd"/>
            <w:r w:rsidRPr="006861D4">
              <w:rPr>
                <w:rFonts w:cs="Arial"/>
                <w:b/>
                <w:sz w:val="20"/>
                <w:szCs w:val="20"/>
              </w:rPr>
              <w:t xml:space="preserve"> was missing for 95% of the patients, i.e. for 165 out of 174patients, please see supplementary material), this cohort was excluded from the analysis. </w:t>
            </w:r>
          </w:p>
          <w:p w14:paraId="4DB06BDD" w14:textId="77777777" w:rsidR="008455B1" w:rsidRPr="006861D4" w:rsidRDefault="008455B1" w:rsidP="005356A1">
            <w:pPr>
              <w:autoSpaceDE w:val="0"/>
              <w:autoSpaceDN w:val="0"/>
              <w:adjustRightInd w:val="0"/>
              <w:spacing w:after="0" w:line="240" w:lineRule="auto"/>
              <w:jc w:val="both"/>
              <w:rPr>
                <w:rFonts w:cs="Arial"/>
                <w:b/>
                <w:sz w:val="20"/>
                <w:szCs w:val="20"/>
              </w:rPr>
            </w:pPr>
          </w:p>
          <w:p w14:paraId="0426EA4F" w14:textId="77777777" w:rsidR="008455B1" w:rsidRPr="006861D4" w:rsidRDefault="008455B1" w:rsidP="005356A1">
            <w:pPr>
              <w:autoSpaceDE w:val="0"/>
              <w:autoSpaceDN w:val="0"/>
              <w:adjustRightInd w:val="0"/>
              <w:spacing w:after="0" w:line="240" w:lineRule="auto"/>
              <w:jc w:val="both"/>
              <w:rPr>
                <w:b/>
                <w:bCs/>
                <w:color w:val="000000"/>
                <w:sz w:val="20"/>
                <w:szCs w:val="20"/>
              </w:rPr>
            </w:pPr>
            <w:proofErr w:type="gramStart"/>
            <w:r w:rsidRPr="006861D4">
              <w:rPr>
                <w:b/>
                <w:color w:val="000000"/>
                <w:sz w:val="20"/>
                <w:szCs w:val="20"/>
                <w:vertAlign w:val="superscript"/>
              </w:rPr>
              <w:t>d</w:t>
            </w:r>
            <w:proofErr w:type="gramEnd"/>
            <w:r w:rsidRPr="006861D4">
              <w:rPr>
                <w:b/>
                <w:bCs/>
                <w:color w:val="000000"/>
                <w:sz w:val="20"/>
                <w:szCs w:val="20"/>
              </w:rPr>
              <w:t xml:space="preserve"> Since there was no event in a follow-up of 3 years, the cohort “A1ATD” was excluded from the analysis. </w:t>
            </w:r>
          </w:p>
          <w:p w14:paraId="63F79730" w14:textId="77777777" w:rsidR="008455B1" w:rsidRPr="006861D4" w:rsidRDefault="008455B1" w:rsidP="005356A1">
            <w:pPr>
              <w:autoSpaceDE w:val="0"/>
              <w:autoSpaceDN w:val="0"/>
              <w:adjustRightInd w:val="0"/>
              <w:spacing w:after="0" w:line="240" w:lineRule="auto"/>
              <w:jc w:val="both"/>
              <w:rPr>
                <w:b/>
                <w:bCs/>
                <w:color w:val="000000"/>
                <w:sz w:val="20"/>
                <w:szCs w:val="20"/>
              </w:rPr>
            </w:pPr>
          </w:p>
          <w:p w14:paraId="2C6FF903" w14:textId="77777777" w:rsidR="008455B1" w:rsidRPr="006861D4" w:rsidRDefault="008455B1" w:rsidP="005356A1">
            <w:pPr>
              <w:autoSpaceDE w:val="0"/>
              <w:autoSpaceDN w:val="0"/>
              <w:adjustRightInd w:val="0"/>
              <w:spacing w:after="0" w:line="240" w:lineRule="auto"/>
              <w:jc w:val="both"/>
              <w:rPr>
                <w:rFonts w:cs="Arial"/>
                <w:b/>
                <w:sz w:val="20"/>
                <w:szCs w:val="20"/>
              </w:rPr>
            </w:pPr>
            <w:r w:rsidRPr="006861D4">
              <w:rPr>
                <w:rFonts w:cs="Arial"/>
                <w:b/>
                <w:sz w:val="20"/>
                <w:szCs w:val="20"/>
              </w:rPr>
              <w:t xml:space="preserve">Missing cells correspond to variables that are completely missing in the cohort </w:t>
            </w:r>
            <w:r w:rsidRPr="006861D4">
              <w:rPr>
                <w:rFonts w:cs="Arial"/>
                <w:b/>
                <w:sz w:val="20"/>
                <w:szCs w:val="20"/>
                <w:shd w:val="clear" w:color="auto" w:fill="FFFFFF"/>
              </w:rPr>
              <w:t>of the correspondent row.</w:t>
            </w:r>
          </w:p>
        </w:tc>
      </w:tr>
    </w:tbl>
    <w:p w14:paraId="396F2E49" w14:textId="77777777" w:rsidR="00EA62C1" w:rsidRDefault="00EA62C1">
      <w:pPr>
        <w:pStyle w:val="BodyText"/>
        <w:spacing w:after="170" w:line="480" w:lineRule="auto"/>
        <w:rPr>
          <w:rFonts w:ascii="Arial" w:hAnsi="Arial"/>
          <w:b/>
        </w:rPr>
      </w:pPr>
    </w:p>
    <w:p w14:paraId="794F85AD" w14:textId="77777777" w:rsidR="00342E07" w:rsidRDefault="005356A1">
      <w:pPr>
        <w:pStyle w:val="Heading2"/>
      </w:pPr>
      <w:bookmarkStart w:id="99" w:name="_Toc488490627"/>
      <w:bookmarkStart w:id="100" w:name="_Toc373597606"/>
      <w:r>
        <w:t>Examination of network structure</w:t>
      </w:r>
      <w:bookmarkEnd w:id="99"/>
      <w:bookmarkEnd w:id="100"/>
      <w:r>
        <w:t xml:space="preserve"> </w:t>
      </w:r>
    </w:p>
    <w:p w14:paraId="7AC831E9" w14:textId="77777777" w:rsidR="00342E07" w:rsidRDefault="005356A1">
      <w:pPr>
        <w:pStyle w:val="BodyText"/>
        <w:spacing w:after="170" w:line="480" w:lineRule="auto"/>
      </w:pPr>
      <w:r>
        <w:rPr>
          <w:rFonts w:ascii="Arial" w:hAnsi="Arial"/>
          <w:color w:val="000000"/>
        </w:rPr>
        <w:t xml:space="preserve">Drawing the network plot to show this structure graphically proved to be an unexpectedly difficult task. Standard software packages (e.g. </w:t>
      </w:r>
      <w:proofErr w:type="spellStart"/>
      <w:r>
        <w:rPr>
          <w:rFonts w:ascii="Courier New" w:hAnsi="Courier New"/>
          <w:color w:val="000000"/>
        </w:rPr>
        <w:t>netmeta</w:t>
      </w:r>
      <w:proofErr w:type="spellEnd"/>
      <w:r>
        <w:rPr>
          <w:rFonts w:ascii="Arial" w:hAnsi="Arial"/>
          <w:color w:val="000000"/>
        </w:rPr>
        <w:t xml:space="preserve"> in R </w:t>
      </w:r>
      <w:r>
        <w:fldChar w:fldCharType="begin" w:fldLock="1"/>
      </w:r>
      <w:r>
        <w:instrText>ADDIN CSL_CITATION { "citationItems" : [ { "id" : "ITEM-1", "itemData" : { "author" : [ { "dropping-particle" : "", "family" : "R\u00fccker", "given" : "Gerta", "non-dropping-particle" : "", "parse-names" : false, "suffix" : "" }, { "dropping-particle" : "", "family" : "Schwarzer", "given" : "Guido", "non-dropping-particle" : "", "parse-names" : false, "suffix" : "" }, { "dropping-particle" : "", "family" : "Krahn", "given" : "Ulrike", "non-dropping-particle" : "", "parse-names" : false, "suffix" : "" }, { "dropping-particle" : "", "family" : "K\u00f6nig", "given" : "Jochem", "non-dropping-particle" : "", "parse-names" : false, "suffix" : "" } ], "id" : "ITEM-1", "issued" : { "date-parts" : [ [ "2016" ] ] }, "number" : "0.9-0", "title" : "netmeta: Network Meta-Analysis using Frequentist Methods", "type" : "article" }, "uris" : [ "http://www.mendeley.com/documents/?uuid=98e3dfb0-6c43-4340-af89-3f8d6f320088" ] } ], "mendeley" : { "formattedCitation" : "[33]", "plainTextFormattedCitation" : "[33]", "previouslyFormattedCitation" : "[33]" }, "properties" : { "noteIndex" : 0 }, "schema" : "https://github.com/citation-style-language/schema/raw/master/csl-citation.json" }</w:instrText>
      </w:r>
      <w:r>
        <w:fldChar w:fldCharType="separate"/>
      </w:r>
      <w:bookmarkStart w:id="101" w:name="__Fieldmark__585_1374788089"/>
      <w:r>
        <w:rPr>
          <w:rFonts w:ascii="Arial" w:hAnsi="Arial"/>
          <w:noProof/>
          <w:color w:val="000000"/>
        </w:rPr>
        <w:t>[</w:t>
      </w:r>
      <w:bookmarkStart w:id="102" w:name="__Fieldmark__573_1114282649"/>
      <w:bookmarkStart w:id="103" w:name="__Fieldmark__475_931786406"/>
      <w:r>
        <w:rPr>
          <w:rFonts w:ascii="Arial" w:hAnsi="Arial"/>
          <w:noProof/>
          <w:color w:val="000000"/>
        </w:rPr>
        <w:t>33]</w:t>
      </w:r>
      <w:r>
        <w:fldChar w:fldCharType="end"/>
      </w:r>
      <w:bookmarkEnd w:id="101"/>
      <w:bookmarkEnd w:id="102"/>
      <w:bookmarkEnd w:id="103"/>
      <w:r>
        <w:rPr>
          <w:rFonts w:ascii="Arial" w:hAnsi="Arial"/>
          <w:color w:val="000000"/>
        </w:rPr>
        <w:t xml:space="preserve">) tend to show all possible pairwise comparisons even in multi-arm trials. This is reasonable for 3-arm trials </w:t>
      </w:r>
      <w:r>
        <w:fldChar w:fldCharType="begin" w:fldLock="1"/>
      </w:r>
      <w:r>
        <w:instrText>ADDIN CSL_CITATION { "citationItems" : [ { "id" : "ITEM-1", "itemData" : { "DOI" : "10.1016/S0140-6736(11)60873-8", "ISBN" : "1474-547X (Electronic)\\r0140-6736 (Linking)", "ISSN" : "01406736", "PMID" : "21851976", "abstract" : "Conventional meta-analyses have shown inconsistent results for efficacy of pharmacological treatments for acute mania. We did a multiple-treatments meta-analysis, which accounted for both direct and indirect comparisons, to assess the effects of all antimanic drugs. We systematically reviewed 68 randomised controlled trials (16 073 participants) from Jan 1, 1980, to Nov 25, 2010, which compared any of the following pharmacological drugs at therapeutic dose range for the treatment of acute mania in adults: aripiprazole, asenapine, carbamazepine, valproate, gabapentin, haloperidol, lamotrigine, lithium, olanzapine, quetiapine, risperidone, topiramate, and ziprasidone. The main outcomes were the mean change on mania rating scales and the number of patients who dropped out of the allocated treatment at 3 weeks. Analysis was done by intention to treat. Haloperidol (standardised mean difference [SMD] -0\u00b756 [95 CI -0\u00b769 to -0\u00b743]), risperidone (-0\u00b750 [-0\u00b763 to -0\u00b738), olanzapine (-0\u00b743 [-0\u00b754 to -0\u00b732], lithium (-0\u00b737 [-0\u00b763 to -0\u00b711]), quetiapine (-0\u00b737 [-0\u00b751 to -0\u00b723]), aripiprazole (-0\u00b737 [-0\u00b751 to -0\u00b723]), carbamazepine (-0\u00b736 [-0\u00b760 to -0\u00b711], asenapine (-0\u00b730 [-0\u00b753 to -0\u00b707]), valproate (-0\u00b720 [-0\u00b737 to -0\u00b704]), and ziprasidone (-0\u00b720 [-0\u00b737 to -0\u00b703]) were significantly more effective than placebo, whereas gabapentin, lamotrigine, and topiramate were not. Haloperidol had the highest number of significant differences and was significantly more effective than lithium (SMD -0\u00b719 [95 CI -0\u00b736 to -0\u00b701]), quetiapine (-0\u00b719 [-0\u00b737 to 0\u00b701]), aripiprazole (-0\u00b719 [-0\u00b736 to -0\u00b702]), carbamazepine (-0\u00b720 [-0\u00b736 to -0\u00b701]), asenapine (-0\u00b726 [-0\u00b752 to 0\u00b701]), valproate (-0\u00b736 [-0\u00b756 to -0\u00b715]), ziprasidone -0\u00b736 [-0\u00b756 to -0\u00b715]), lamotrigine (-0\u00b748 [-0\u00b777 to -0\u00b719]), topiramate (-0\u00b763 [-0\u00b784 to -0\u00b743]), and gabapentin (-0\u00b788 [-1\u00b740 to -0\u00b736]). Risperidone and olanzapine had a very similar profile of comparative efficacy, being more effective than valproate, ziprasidone, lamotrigine, topiramate, and gabapentin. Olanzapine, risperidone, and quetiapine led to significantly fewer discontinuations than did lithium, lamotrigine, placebo, topiramate, and gabapentin. Overall, antipsychotic drugs were significantly more effective than mood stabilisers. Risperidone, olanzapine, and haloperidol should be considered as among the best of the available options for the treatment of manic episodes. These results should be considered in the development of clinical practice guide\u2026", "author" : [ { "dropping-particle" : "", "family" : "Cipriani", "given" : "Andrea", "non-dropping-particle" : "", "parse-names" : false, "suffix" : "" }, { "dropping-particle" : "", "family" : "Barbui", "given" : "Corrado", "non-dropping-particle" : "", "parse-names" : false, "suffix" : "" }, { "dropping-particle" : "", "family" : "Salanti", "given" : "G.", "non-dropping-particle" : "", "parse-names" : false, "suffix" : "" }, { "dropping-particle" : "", "family" : "Rendell", "given" : "Jennifer", "non-dropping-particle" : "", "parse-names" : false, "suffix" : "" }, { "dropping-particle" : "", "family" : "Brown", "given" : "Rachel", "non-dropping-particle" : "", "parse-names" : false, "suffix" : "" }, { "dropping-particle" : "", "family" : "Stockton", "given" : "Sarah", "non-dropping-particle" : "", "parse-names" : false, "suffix" : "" }, { "dropping-particle" : "", "family" : "Purgato", "given" : "Marianna", "non-dropping-particle" : "", "parse-names" : false, "suffix" : "" }, { "dropping-particle" : "", "family" : "Spineli", "given" : "Loukia M.", "non-dropping-particle" : "", "parse-names" : false, "suffix" : "" }, { "dropping-particle" : "", "family" : "Goodwin", "given" : "Guy M.", "non-dropping-particle" : "", "parse-names" : false, "suffix" : "" }, { "dropping-particle" : "", "family" : "Geddes", "given" : "John R.", "non-dropping-particle" : "", "parse-names" : false, "suffix" : "" } ], "container-title" : "The Lancet", "id" : "ITEM-1", "issue" : "9799", "issued" : { "date-parts" : [ [ "2011" ] ] }, "page" : "1306-1315", "publisher" : "Elsevier Ltd", "title" : "Comparative efficacy and acceptability of antimanic drugs in acute mania: A multiple-treatments meta-analysis", "type" : "article-journal", "volume" : "378" }, "uris" : [ "http://www.mendeley.com/documents/?uuid=7a4defcc-918f-4208-8b5a-7ed23643b636" ] }, { "id" : "ITEM-2", "itemData" : { "DOI" : "10.1136/bmj.g5630", "ISSN" : "1756-1833", "author" : [ { "dropping-particle" : "", "family" : "Puhan", "given" : "Milo A.", "non-dropping-particle" : "", "parse-names" : false, "suffix" : "" }, { "dropping-particle" : "", "family" : "Schunemann", "given" : "H. J.", "non-dropping-particle" : "", "parse-names" : false, "suffix" : "" }, { "dropping-particle" : "", "family" : "Murad", "given" : "M. H.", "non-dropping-particle" : "", "parse-names" : false, "suffix" : "" }, { "dropping-particle" : "", "family" : "Li", "given" : "T.", "non-dropping-particle" : "", "parse-names" : false, "suffix" : "" }, { "dropping-particle" : "", "family" : "Brignardello-Petersen", "given" : "R.", "non-dropping-particle" : "", "parse-names" : false, "suffix" : "" }, { "dropping-particle" : "", "family" : "Singh", "given" : "J. a.", "non-dropping-particle" : "", "parse-names" : false, "suffix" : "" }, { "dropping-particle" : "", "family" : "Kessels", "given" : "Alphons G", "non-dropping-particle" : "", "parse-names" : false, "suffix" : "" }, { "dropping-particle" : "", "family" : "Guyatt", "given" : "G. H.", "non-dropping-particle" : "", "parse-names" : false, "suffix" : "" } ], "container-title" : "Bmj", "id" : "ITEM-2", "issue" : "sep24 5", "issued" : { "date-parts" : [ [ "2014", "9", "24" ] ] }, "page" : "g5630-g5630", "title" : "A GRADE Working Group approach for rating the quality of treatment effect estimates from network meta-analysis", "type" : "article-journal", "volume" : "349" }, "uris" : [ "http://www.mendeley.com/documents/?uuid=9e653a54-4738-4368-b2ad-2fc559c9093c" ] }, { "id" : "ITEM-3", "itemData" : { "DOI" : "10.1001/jama.2016.9400", "ISSN" : "0098-7484", "PMID" : "27434443", "author" : [ { "dropping-particle" : "", "family" : "Palmer", "given" : "Suetonia C", "non-dropping-particle" : "", "parse-names" : false, "suffix" : "" }, { "dropping-particle" : "", "family" : "Mavridis", "given" : "Dimitris", "non-dropping-particle" : "", "parse-names" : false, "suffix" : "" }, { "dropping-particle" : "", "family" : "Nicolucci", "given" : "Antonio", "non-dropping-particle" : "", "parse-names" : false, "suffix" : "" }, { "dropping-particle" : "", "family" : "Johnson", "given" : "David W", "non-dropping-particle" : "", "parse-names" : false, "suffix" : "" }, { "dropping-particle" : "", "family" : "Tonelli", "given" : "Marcello", "non-dropping-particle" : "", "parse-names" : false, "suffix" : "" }, { "dropping-particle" : "", "family" : "Craig", "given" : "Jonathan C", "non-dropping-particle" : "", "parse-names" : false, "suffix" : "" }, { "dropping-particle" : "", "family" : "Maggo", "given" : "Jasjot", "non-dropping-particle" : "", "parse-names" : false, "suffix" : "" }, { "dropping-particle" : "", "family" : "Gray", "given" : "Vanessa", "non-dropping-particle" : "", "parse-names" : false, "suffix" : "" }, { "dropping-particle" : "De", "family" : "Berardis", "given" : "Giorgia", "non-dropping-particle" : "", "parse-names" : false, "suffix" : "" }, { "dropping-particle" : "", "family" : "Ruospo", "given" : "Marinella", "non-dropping-particle" : "", "parse-names" : false, "suffix" : "" }, { "dropping-particle" : "", "family" : "Natale", "given" : "Patrizia", "non-dropping-particle" : "", "parse-names" : false, "suffix" : "" }, { "dropping-particle" : "", "family" : "Saglimbene", "given" : "Valeria", "non-dropping-particle" : "", "parse-names" : false, "suffix" : "" }, { "dropping-particle" : "V", "family" : "Badve", "given" : "Sunil", "non-dropping-particle" : "", "parse-names" : false, "suffix" : "" }, { "dropping-particle" : "", "family" : "Cho", "given" : "Yeoungjee", "non-dropping-particle" : "", "parse-names" : false, "suffix" : "" }, { "dropping-particle" : "", "family" : "Burke", "given" : "Michael", "non-dropping-particle" : "", "parse-names" : false, "suffix" : "" }, { "dropping-particle" : "", "family" : "Faruque", "given" : "Labib", "non-dropping-particle" : "", "parse-names" : false, "suffix" : "" }, { "dropping-particle" : "", "family" : "Lloyd", "given" : "Anita", "non-dropping-particle" : "", "parse-names" : false, "suffix" : "" } ], "container-title" : "JAMA - Journal of the American Medical Association", "id" : "ITEM-3", "issue" : "3", "issued" : { "date-parts" : [ [ "2016" ] ] }, "page" : "313-324", "title" : "Comparison of Clinical Outcomes and Adverse Events Associated With Glucose-Lowering Drugs in Patients With Type 2 Diabetes A Meta-analysis", "type" : "article-journal", "volume" : "316" }, "uris" : [ "http://www.mendeley.com/documents/?uuid=12437226-e266-4485-a190-e08c418b0746" ] } ], "mendeley" : { "formattedCitation" : "[38\u201340]", "plainTextFormattedCitation" : "[38\u201340]", "previouslyFormattedCitation" : "[37\u201339]" }, "properties" : { "noteIndex" : 0 }, "schema" : "https://github.com/citation-style-language/schema/raw/master/csl-citation.json" }</w:instrText>
      </w:r>
      <w:r>
        <w:fldChar w:fldCharType="separate"/>
      </w:r>
      <w:bookmarkStart w:id="104" w:name="__Fieldmark__594_1374788089"/>
      <w:bookmarkStart w:id="105" w:name="__Fieldmark__580_1114282649"/>
      <w:bookmarkStart w:id="106" w:name="__Fieldmark__482_931786406"/>
      <w:r w:rsidRPr="005356A1">
        <w:rPr>
          <w:rFonts w:ascii="Arial" w:hAnsi="Arial"/>
          <w:noProof/>
          <w:color w:val="000000"/>
        </w:rPr>
        <w:t>[38–40]</w:t>
      </w:r>
      <w:r>
        <w:fldChar w:fldCharType="end"/>
      </w:r>
      <w:bookmarkEnd w:id="104"/>
      <w:bookmarkEnd w:id="105"/>
      <w:bookmarkEnd w:id="106"/>
      <w:r>
        <w:rPr>
          <w:rFonts w:ascii="Arial" w:hAnsi="Arial"/>
          <w:color w:val="000000"/>
        </w:rPr>
        <w:t xml:space="preserve">, but quickly obscures the network structure with a larger number of arms, a known problem with “dense” networks </w:t>
      </w:r>
      <w:r>
        <w:fldChar w:fldCharType="begin" w:fldLock="1"/>
      </w:r>
      <w:r>
        <w:instrText>ADDIN CSL_CITATION { "citationItems" : [ { "id" : "ITEM-1", "itemData" : { "DOI" : "10.1016/S0140-6736(09)60046-5", "ISBN" : "1474-547X (Electronic)\\n0140-6736 (Linking)", "ISSN" : "01406736", "PMID" : "19185342", "abstract" : "Background: Conventional meta-analyses have shown inconsistent results for efficacy of second-generation antidepressants. We therefore did a multiple-treatments meta-analysis, which accounts for both direct and indirect comparisons, to assess the effects of 12 new-generation antidepressants on major depression. Methods: We systematically reviewed 117 randomised controlled trials (25 928 participants) from 1991 up to Nov 30, 2007, which compared any of the following antidepressants at therapeutic dose range for the acute treatment of unipolar major depression in adults: bupropion, citalopram, duloxetine, escitalopram, fluoxetine, fluvoxamine, milnacipran, mirtazapine, paroxetine, reboxetine, sertraline, and venlafaxine. The main outcomes were the proportion of patients who responded to or dropped out of the allocated treatment. Analysis was done on an intention-to-treat basis. Findings: Mirtazapine, escitalopram, venlafaxine, and sertraline were significantly more efficacious than duloxetine (odds ratios [OR] 1\u00b739, 1\u00b733, 1\u00b730 and 1\u00b727, respectively), fluoxetine (1\u00b737, 1\u00b732, 1\u00b728, and 1\u00b725, respectively), fluvoxamine (1\u00b741, 1\u00b735, 1\u00b730, and 1\u00b727, respectively), paroxetine (1\u00b735, 1\u00b730, 1\u00b727, and 1\u00b722, respectively), and reboxetine (2\u00b703, 1\u00b795, 1\u00b789, and 1\u00b785, respectively). Reboxetine was significantly less efficacious than all the other antidepressants tested. Escitalopram and sertraline showed the best profile of acceptability, leading to significantly fewer discontinuations than did duloxetine, fluvoxamine, paroxetine, reboxetine, and venlafaxine. Interpretation: Clinically important differences exist between commonly prescribed antidepressants for both efficacy and acceptability in favour of escitalopram and sertraline. Sertraline might be the best choice when starting treatment for moderate to severe major depression in adults because it has the most favourable balance between benefits, acceptability, and acquisition cost. Funding: None. \u00a9 2009 Elsevier Ltd. All rights reserved.", "author" : [ { "dropping-particle" : "", "family" : "Cipriani", "given" : "Andrea", "non-dropping-particle" : "", "parse-names" : false, "suffix" : "" }, { "dropping-particle" : "", "family" : "Furukawa", "given" : "Toshiaki A.", "non-dropping-particle" : "", "parse-names" : false, "suffix" : "" }, { "dropping-particle" : "", "family" : "Salanti", "given" : "G.", "non-dropping-particle" : "", "parse-names" : false, "suffix" : "" }, { "dropping-particle" : "", "family" : "Geddes", "given" : "John R.", "non-dropping-particle" : "", "parse-names" : false, "suffix" : "" }, { "dropping-particle" : "", "family" : "Higgins", "given" : "J", "non-dropping-particle" : "", "parse-names" : false, "suffix" : "" }, { "dropping-particle" : "", "family" : "Churchill", "given" : "Rachel", "non-dropping-particle" : "", "parse-names" : false, "suffix" : "" }, { "dropping-particle" : "", "family" : "Watanabe", "given" : "Norio", "non-dropping-particle" : "", "parse-names" : false, "suffix" : "" }, { "dropping-particle" : "", "family" : "Nakagawa", "given" : "Atsuo", "non-dropping-particle" : "", "parse-names" : false, "suffix" : "" }, { "dropping-particle" : "", "family" : "Omori", "given" : "Ichiro M.", "non-dropping-particle" : "", "parse-names" : false, "suffix" : "" }, { "dropping-particle" : "", "family" : "McGuire", "given" : "Hugh", "non-dropping-particle" : "", "parse-names" : false, "suffix" : "" }, { "dropping-particle" : "", "family" : "Tansella", "given" : "Michele", "non-dropping-particle" : "", "parse-names" : false, "suffix" : "" }, { "dropping-particle" : "", "family" : "Barbui", "given" : "Corrado", "non-dropping-particle" : "", "parse-names" : false, "suffix" : "" } ], "container-title" : "The Lancet", "id" : "ITEM-1", "issue" : "9665", "issued" : { "date-parts" : [ [ "2009" ] ] }, "page" : "746-758", "publisher" : "Elsevier Ltd", "title" : "Comparative efficacy and acceptability of 12 new-generation antidepressants: a multiple-treatments meta-analysis", "type" : "article-journal", "volume" : "373" }, "uris" : [ "http://www.mendeley.com/documents/?uuid=e42d0629-c6e4-4b54-b131-1d34919f211a" ] } ], "mendeley" : { "formattedCitation" : "[41]", "plainTextFormattedCitation" : "[41]", "previouslyFormattedCitation" : "[40]" }, "properties" : { "noteIndex" : 0 }, "schema" : "https://github.com/citation-style-language/schema/raw/master/csl-citation.json" }</w:instrText>
      </w:r>
      <w:r>
        <w:fldChar w:fldCharType="separate"/>
      </w:r>
      <w:bookmarkStart w:id="107" w:name="__Fieldmark__603_1374788089"/>
      <w:bookmarkStart w:id="108" w:name="__Fieldmark__587_1114282649"/>
      <w:bookmarkStart w:id="109" w:name="__Fieldmark__489_931786406"/>
      <w:r w:rsidRPr="005356A1">
        <w:rPr>
          <w:rFonts w:ascii="Arial" w:hAnsi="Arial"/>
          <w:noProof/>
          <w:color w:val="000000"/>
        </w:rPr>
        <w:t>[41]</w:t>
      </w:r>
      <w:r>
        <w:fldChar w:fldCharType="end"/>
      </w:r>
      <w:bookmarkEnd w:id="107"/>
      <w:bookmarkEnd w:id="108"/>
      <w:bookmarkEnd w:id="109"/>
      <w:r>
        <w:rPr>
          <w:rFonts w:ascii="Arial" w:hAnsi="Arial"/>
          <w:color w:val="000000"/>
        </w:rPr>
        <w:t xml:space="preserve">. Another concern is that those network plots would indicate how often scores are concurrently evaluated, but obscure in which cohorts or groups they were evaluated; this information is of great value in MSC meta-analysis, where the number of concurrently evaluated scores could easily be quite high (differently from MTC). Thus, it was almost impossible to discern the structure of the network from the plot alone. </w:t>
      </w:r>
    </w:p>
    <w:p w14:paraId="6D2F9F6B" w14:textId="77777777" w:rsidR="00342E07" w:rsidRDefault="005356A1">
      <w:pPr>
        <w:pStyle w:val="BodyText"/>
        <w:spacing w:after="170" w:line="480" w:lineRule="auto"/>
      </w:pPr>
      <w:r>
        <w:rPr>
          <w:rFonts w:ascii="Arial" w:hAnsi="Arial"/>
          <w:color w:val="000000"/>
        </w:rPr>
        <w:t xml:space="preserve">Each group is represented by a polygon, that passes by all the scores (i.e. the vertices) which can be evaluated in the cohorts constituting that group. The thickness of the polygon is directly proportional to the number of deaths in the group. </w:t>
      </w:r>
      <w:r>
        <w:rPr>
          <w:rFonts w:ascii="Arial" w:hAnsi="Arial"/>
        </w:rPr>
        <w:t xml:space="preserve">Head-to-head comparisons within a group can be performed between any two scores connected in the same polygon. </w:t>
      </w:r>
      <w:r>
        <w:rPr>
          <w:rFonts w:ascii="Arial" w:hAnsi="Arial"/>
          <w:color w:val="000000"/>
        </w:rPr>
        <w:t xml:space="preserve">Code to produce a network plot using the R package </w:t>
      </w:r>
      <w:r>
        <w:rPr>
          <w:rFonts w:ascii="Courier New" w:hAnsi="Courier New"/>
          <w:color w:val="000000"/>
        </w:rPr>
        <w:t>ggplot2</w:t>
      </w:r>
      <w:r>
        <w:rPr>
          <w:rFonts w:ascii="Arial" w:hAnsi="Arial"/>
          <w:color w:val="000000"/>
        </w:rPr>
        <w:t xml:space="preserve"> </w:t>
      </w:r>
      <w:r>
        <w:fldChar w:fldCharType="begin" w:fldLock="1"/>
      </w:r>
      <w:r>
        <w:instrText>ADDIN CSL_CITATION { "citationItems" : [ { "id" : "ITEM-1", "itemData" : { "ISBN" : "978-0-387-98140-6", "author" : [ { "dropping-particle" : "", "family" : "Wickham", "given" : "Hadley", "non-dropping-particle" : "", "parse-names" : false, "suffix" : "" } ], "id" : "ITEM-1", "issued" : { "date-parts" : [ [ "2009" ] ] }, "publisher" : "Springer-Verlag", "publisher-place" : "New York", "title" : "ggplot2: Elegant Graphics for Data Analysis", "type" : "book" }, "uris" : [ "http://www.mendeley.com/documents/?uuid=27f4ff69-f09c-4cd3-8450-b400ce33bb90" ] } ], "mendeley" : { "formattedCitation" : "[42]", "plainTextFormattedCitation" : "[42]", "previouslyFormattedCitation" : "[41]" }, "properties" : { "noteIndex" : 0 }, "schema" : "https://github.com/citation-style-language/schema/raw/master/csl-citation.json" }</w:instrText>
      </w:r>
      <w:r>
        <w:fldChar w:fldCharType="separate"/>
      </w:r>
      <w:bookmarkStart w:id="110" w:name="__Fieldmark__618_1374788089"/>
      <w:bookmarkStart w:id="111" w:name="__Fieldmark__606_1114282649"/>
      <w:bookmarkStart w:id="112" w:name="__Fieldmark__502_931786406"/>
      <w:r w:rsidRPr="005356A1">
        <w:rPr>
          <w:rFonts w:ascii="Arial" w:hAnsi="Arial"/>
          <w:noProof/>
          <w:color w:val="000000"/>
        </w:rPr>
        <w:t>[42]</w:t>
      </w:r>
      <w:r>
        <w:fldChar w:fldCharType="end"/>
      </w:r>
      <w:bookmarkEnd w:id="110"/>
      <w:bookmarkEnd w:id="111"/>
      <w:bookmarkEnd w:id="112"/>
      <w:r>
        <w:rPr>
          <w:rFonts w:ascii="Arial" w:hAnsi="Arial"/>
          <w:color w:val="000000"/>
        </w:rPr>
        <w:t xml:space="preserve"> has been provided below. </w:t>
      </w:r>
    </w:p>
    <w:p w14:paraId="5703BBBD" w14:textId="77777777" w:rsidR="00342E07" w:rsidRDefault="005356A1">
      <w:pPr>
        <w:pStyle w:val="BodyText"/>
        <w:spacing w:after="170" w:line="480" w:lineRule="auto"/>
        <w:rPr>
          <w:rFonts w:ascii="Arial" w:hAnsi="Arial"/>
          <w:color w:val="000000"/>
        </w:rPr>
      </w:pPr>
      <w:r>
        <w:rPr>
          <w:rFonts w:ascii="Arial" w:hAnsi="Arial"/>
          <w:noProof/>
          <w:color w:val="000000"/>
          <w:lang w:val="en-US" w:eastAsia="en-US" w:bidi="ar-SA"/>
        </w:rPr>
        <w:drawing>
          <wp:anchor distT="0" distB="0" distL="114300" distR="114300" simplePos="0" relativeHeight="64" behindDoc="0" locked="0" layoutInCell="1" allowOverlap="1" wp14:anchorId="163AE671" wp14:editId="6CA73DDD">
            <wp:simplePos x="0" y="0"/>
            <wp:positionH relativeFrom="margin">
              <wp:posOffset>1089660</wp:posOffset>
            </wp:positionH>
            <wp:positionV relativeFrom="margin">
              <wp:posOffset>251460</wp:posOffset>
            </wp:positionV>
            <wp:extent cx="3429000" cy="2575560"/>
            <wp:effectExtent l="0" t="0" r="0" b="0"/>
            <wp:wrapSquare wrapText="bothSides"/>
            <wp:docPr id="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1"/>
                    <pic:cNvPicPr>
                      <a:picLocks noChangeAspect="1" noChangeArrowheads="1"/>
                    </pic:cNvPicPr>
                  </pic:nvPicPr>
                  <pic:blipFill>
                    <a:blip r:embed="rId9"/>
                    <a:stretch>
                      <a:fillRect/>
                    </a:stretch>
                  </pic:blipFill>
                  <pic:spPr bwMode="auto">
                    <a:xfrm>
                      <a:off x="0" y="0"/>
                      <a:ext cx="3429000" cy="2575560"/>
                    </a:xfrm>
                    <a:prstGeom prst="rect">
                      <a:avLst/>
                    </a:prstGeom>
                  </pic:spPr>
                </pic:pic>
              </a:graphicData>
            </a:graphic>
          </wp:anchor>
        </w:drawing>
      </w:r>
    </w:p>
    <w:p w14:paraId="454622D8" w14:textId="77777777" w:rsidR="00342E07" w:rsidRDefault="00342E07">
      <w:pPr>
        <w:pStyle w:val="BodyText"/>
        <w:spacing w:after="170" w:line="480" w:lineRule="auto"/>
        <w:rPr>
          <w:rFonts w:ascii="Arial" w:hAnsi="Arial"/>
          <w:color w:val="000000"/>
        </w:rPr>
      </w:pPr>
    </w:p>
    <w:p w14:paraId="2EB38280" w14:textId="77777777" w:rsidR="00342E07" w:rsidRDefault="00342E07">
      <w:pPr>
        <w:pStyle w:val="BodyText"/>
        <w:spacing w:after="170" w:line="480" w:lineRule="auto"/>
        <w:rPr>
          <w:rFonts w:ascii="Arial" w:hAnsi="Arial"/>
          <w:color w:val="000000"/>
        </w:rPr>
      </w:pPr>
    </w:p>
    <w:p w14:paraId="37A22DA9" w14:textId="77777777" w:rsidR="00342E07" w:rsidRDefault="00342E07">
      <w:pPr>
        <w:pStyle w:val="BodyText"/>
        <w:spacing w:after="170" w:line="480" w:lineRule="auto"/>
        <w:rPr>
          <w:rFonts w:ascii="Arial" w:hAnsi="Arial"/>
          <w:color w:val="000000"/>
        </w:rPr>
      </w:pPr>
    </w:p>
    <w:p w14:paraId="63BE78F8" w14:textId="77777777" w:rsidR="00342E07" w:rsidRDefault="00342E07">
      <w:pPr>
        <w:pStyle w:val="BodyText"/>
        <w:spacing w:after="170" w:line="480" w:lineRule="auto"/>
        <w:rPr>
          <w:rFonts w:ascii="Arial" w:hAnsi="Arial"/>
          <w:color w:val="000000"/>
        </w:rPr>
      </w:pPr>
    </w:p>
    <w:p w14:paraId="1D33B45D" w14:textId="77777777" w:rsidR="00342E07" w:rsidRDefault="00342E07">
      <w:pPr>
        <w:pStyle w:val="BodyText"/>
        <w:spacing w:after="170" w:line="480" w:lineRule="auto"/>
        <w:rPr>
          <w:rFonts w:ascii="Arial" w:hAnsi="Arial"/>
          <w:color w:val="000000"/>
        </w:rPr>
      </w:pPr>
    </w:p>
    <w:p w14:paraId="639B0755" w14:textId="77777777" w:rsidR="00342E07" w:rsidRDefault="00342E07">
      <w:pPr>
        <w:pStyle w:val="BodyText"/>
        <w:spacing w:after="170" w:line="480" w:lineRule="auto"/>
        <w:rPr>
          <w:rFonts w:ascii="Arial" w:hAnsi="Arial"/>
          <w:color w:val="000000"/>
        </w:rPr>
      </w:pPr>
    </w:p>
    <w:p w14:paraId="4D7546E2" w14:textId="77777777" w:rsidR="00342E07" w:rsidRDefault="005356A1">
      <w:pPr>
        <w:pStyle w:val="Caption"/>
      </w:pPr>
      <w:proofErr w:type="gramStart"/>
      <w:r>
        <w:rPr>
          <w:color w:val="00000A"/>
        </w:rPr>
        <w:t xml:space="preserve">Figure </w:t>
      </w:r>
      <w:r>
        <w:rPr>
          <w:color w:val="00000A"/>
        </w:rPr>
        <w:fldChar w:fldCharType="begin"/>
      </w:r>
      <w:r>
        <w:instrText>SEQ Figure \* ARABIC</w:instrText>
      </w:r>
      <w:r>
        <w:fldChar w:fldCharType="separate"/>
      </w:r>
      <w:r w:rsidR="001A1BC1">
        <w:rPr>
          <w:noProof/>
        </w:rPr>
        <w:t>1</w:t>
      </w:r>
      <w:r>
        <w:fldChar w:fldCharType="end"/>
      </w:r>
      <w:r>
        <w:rPr>
          <w:color w:val="00000A"/>
        </w:rPr>
        <w:t>.</w:t>
      </w:r>
      <w:proofErr w:type="gramEnd"/>
      <w:r>
        <w:rPr>
          <w:color w:val="00000A"/>
        </w:rPr>
        <w:t xml:space="preserve"> </w:t>
      </w:r>
      <w:r>
        <w:rPr>
          <w:rFonts w:ascii="Arial" w:hAnsi="Arial"/>
          <w:b w:val="0"/>
          <w:color w:val="00000A"/>
        </w:rPr>
        <w:t>Depiction of network structure with lines weighted by the total number of deaths in the group</w:t>
      </w:r>
    </w:p>
    <w:p w14:paraId="272D215F" w14:textId="77777777" w:rsidR="00342E07" w:rsidRDefault="005356A1">
      <w:pPr>
        <w:spacing w:line="480" w:lineRule="auto"/>
      </w:pPr>
      <w:r>
        <w:rPr>
          <w:rFonts w:ascii="Arial" w:hAnsi="Arial" w:cs="Arial"/>
          <w:sz w:val="16"/>
          <w:szCs w:val="16"/>
        </w:rPr>
        <w:t xml:space="preserve">Abbreviations: </w:t>
      </w:r>
      <w:r>
        <w:rPr>
          <w:rFonts w:ascii="Arial" w:eastAsia="Times New Roman" w:hAnsi="Arial" w:cs="Arial"/>
          <w:color w:val="222222"/>
          <w:sz w:val="16"/>
          <w:szCs w:val="16"/>
        </w:rPr>
        <w:t>GOLD, Global initiative for chronic Obstructive Lung Disease; BODE, B</w:t>
      </w:r>
      <w:r>
        <w:rPr>
          <w:rFonts w:ascii="Arial" w:hAnsi="Arial" w:cs="Arial"/>
          <w:color w:val="231F20"/>
          <w:sz w:val="16"/>
          <w:szCs w:val="16"/>
        </w:rPr>
        <w:t xml:space="preserve">ody mass index, airflow Obstruction, </w:t>
      </w:r>
      <w:proofErr w:type="spellStart"/>
      <w:r>
        <w:rPr>
          <w:rFonts w:ascii="Arial" w:hAnsi="Arial" w:cs="Arial"/>
          <w:color w:val="231F20"/>
          <w:sz w:val="16"/>
          <w:szCs w:val="16"/>
        </w:rPr>
        <w:t>Dyspnoea</w:t>
      </w:r>
      <w:proofErr w:type="spellEnd"/>
      <w:r>
        <w:rPr>
          <w:rFonts w:ascii="Arial" w:hAnsi="Arial" w:cs="Arial"/>
          <w:color w:val="231F20"/>
          <w:sz w:val="16"/>
          <w:szCs w:val="16"/>
        </w:rPr>
        <w:t xml:space="preserve"> and severe Exacerbations; BODE </w:t>
      </w:r>
      <w:proofErr w:type="spellStart"/>
      <w:r>
        <w:rPr>
          <w:rFonts w:ascii="Arial" w:hAnsi="Arial" w:cs="Arial"/>
          <w:color w:val="231F20"/>
          <w:sz w:val="16"/>
          <w:szCs w:val="16"/>
        </w:rPr>
        <w:t>upd</w:t>
      </w:r>
      <w:proofErr w:type="spellEnd"/>
      <w:r>
        <w:rPr>
          <w:rFonts w:ascii="Arial" w:hAnsi="Arial" w:cs="Arial"/>
          <w:color w:val="231F20"/>
          <w:sz w:val="16"/>
          <w:szCs w:val="16"/>
        </w:rPr>
        <w:t xml:space="preserve">., BODE updated; ADO, Age, </w:t>
      </w:r>
      <w:proofErr w:type="spellStart"/>
      <w:r>
        <w:rPr>
          <w:rFonts w:ascii="Arial" w:hAnsi="Arial" w:cs="Arial"/>
          <w:color w:val="231F20"/>
          <w:sz w:val="16"/>
          <w:szCs w:val="16"/>
        </w:rPr>
        <w:t>Dyspnoea</w:t>
      </w:r>
      <w:proofErr w:type="spellEnd"/>
      <w:r>
        <w:rPr>
          <w:rFonts w:ascii="Arial" w:hAnsi="Arial" w:cs="Arial"/>
          <w:color w:val="231F20"/>
          <w:sz w:val="16"/>
          <w:szCs w:val="16"/>
        </w:rPr>
        <w:t xml:space="preserve">, airflow Obstruction (we use the updated version of the ADO score in our analysis); e-BODE, severe acute exacerbation of COPD plus BODE; </w:t>
      </w:r>
      <w:proofErr w:type="spellStart"/>
      <w:r>
        <w:rPr>
          <w:rFonts w:ascii="Arial" w:hAnsi="Arial" w:cs="Arial"/>
          <w:color w:val="231F20"/>
          <w:sz w:val="16"/>
          <w:szCs w:val="16"/>
        </w:rPr>
        <w:t>BODEx</w:t>
      </w:r>
      <w:proofErr w:type="spellEnd"/>
      <w:r>
        <w:rPr>
          <w:rFonts w:ascii="Arial" w:hAnsi="Arial" w:cs="Arial"/>
          <w:color w:val="231F20"/>
          <w:sz w:val="16"/>
          <w:szCs w:val="16"/>
        </w:rPr>
        <w:t xml:space="preserve">, Body mass index, airflow Obstruction, </w:t>
      </w:r>
      <w:proofErr w:type="spellStart"/>
      <w:r>
        <w:rPr>
          <w:rFonts w:ascii="Arial" w:hAnsi="Arial" w:cs="Arial"/>
          <w:color w:val="231F20"/>
          <w:sz w:val="16"/>
          <w:szCs w:val="16"/>
        </w:rPr>
        <w:t>Dyspnoea</w:t>
      </w:r>
      <w:proofErr w:type="spellEnd"/>
      <w:r>
        <w:rPr>
          <w:rFonts w:ascii="Arial" w:hAnsi="Arial" w:cs="Arial"/>
          <w:color w:val="231F20"/>
          <w:sz w:val="16"/>
          <w:szCs w:val="16"/>
        </w:rPr>
        <w:t xml:space="preserve">, severe acute Exacerbation of COPD; DOSE, </w:t>
      </w:r>
      <w:proofErr w:type="spellStart"/>
      <w:r>
        <w:rPr>
          <w:rFonts w:ascii="Arial" w:hAnsi="Arial" w:cs="Arial"/>
          <w:color w:val="231F20"/>
          <w:sz w:val="16"/>
          <w:szCs w:val="16"/>
        </w:rPr>
        <w:t>Dyspnoea</w:t>
      </w:r>
      <w:proofErr w:type="spellEnd"/>
      <w:r>
        <w:rPr>
          <w:rFonts w:ascii="Arial" w:hAnsi="Arial" w:cs="Arial"/>
          <w:color w:val="231F20"/>
          <w:sz w:val="16"/>
          <w:szCs w:val="16"/>
        </w:rPr>
        <w:t xml:space="preserve">, Obstruction, Smoking and Exacerbation frequency; SAFE, </w:t>
      </w:r>
      <w:r>
        <w:rPr>
          <w:rFonts w:ascii="Arial" w:hAnsi="Arial" w:cs="Arial"/>
          <w:sz w:val="16"/>
          <w:szCs w:val="16"/>
        </w:rPr>
        <w:t>Saint George’s Respiratory Questionnaire</w:t>
      </w:r>
      <w:r>
        <w:rPr>
          <w:rFonts w:ascii="Arial" w:hAnsi="Arial" w:cs="Arial"/>
          <w:color w:val="231F20"/>
          <w:sz w:val="16"/>
          <w:szCs w:val="16"/>
        </w:rPr>
        <w:t xml:space="preserve"> (SGRQ) score, Air-Flow limitation and Exercise capacity; </w:t>
      </w:r>
      <w:r>
        <w:rPr>
          <w:rFonts w:ascii="Arial" w:eastAsia="Times New Roman" w:hAnsi="Arial" w:cs="Arial"/>
          <w:sz w:val="16"/>
          <w:szCs w:val="16"/>
        </w:rPr>
        <w:t>B-AE-D, B</w:t>
      </w:r>
      <w:r>
        <w:rPr>
          <w:rFonts w:ascii="Arial" w:hAnsi="Arial" w:cs="Arial"/>
          <w:sz w:val="16"/>
          <w:szCs w:val="16"/>
          <w:highlight w:val="white"/>
        </w:rPr>
        <w:t xml:space="preserve">ody-mass index, Acute Exacerbations, </w:t>
      </w:r>
      <w:proofErr w:type="spellStart"/>
      <w:r>
        <w:rPr>
          <w:rFonts w:ascii="Arial" w:hAnsi="Arial" w:cs="Arial"/>
          <w:sz w:val="16"/>
          <w:szCs w:val="16"/>
          <w:highlight w:val="white"/>
        </w:rPr>
        <w:t>Dyspnoea</w:t>
      </w:r>
      <w:proofErr w:type="spellEnd"/>
      <w:r>
        <w:rPr>
          <w:rFonts w:ascii="Arial" w:hAnsi="Arial" w:cs="Arial"/>
          <w:sz w:val="16"/>
          <w:szCs w:val="16"/>
          <w:highlight w:val="white"/>
        </w:rPr>
        <w:t>.</w:t>
      </w:r>
      <w:r w:rsidR="008455B1">
        <w:rPr>
          <w:rFonts w:ascii="Arial" w:hAnsi="Arial" w:cs="Arial"/>
          <w:sz w:val="16"/>
          <w:szCs w:val="16"/>
        </w:rPr>
        <w:t xml:space="preserve"> This figure is reported in the supplementary material as well, in order to make clearer the network depiction strategy.</w:t>
      </w:r>
    </w:p>
    <w:p w14:paraId="0966081D" w14:textId="77777777" w:rsidR="00342E07" w:rsidRDefault="005356A1">
      <w:pPr>
        <w:pStyle w:val="BodyText"/>
        <w:spacing w:after="170" w:line="480" w:lineRule="auto"/>
      </w:pPr>
      <w:proofErr w:type="spellStart"/>
      <w:proofErr w:type="gramStart"/>
      <w:r>
        <w:rPr>
          <w:rFonts w:ascii="Arial" w:hAnsi="Arial" w:cs="Arial"/>
          <w:sz w:val="16"/>
          <w:szCs w:val="16"/>
          <w:vertAlign w:val="superscript"/>
        </w:rPr>
        <w:t>a</w:t>
      </w:r>
      <w:r>
        <w:rPr>
          <w:rFonts w:ascii="Arial" w:hAnsi="Arial" w:cs="Arial"/>
          <w:sz w:val="16"/>
          <w:szCs w:val="16"/>
        </w:rPr>
        <w:t>Cohorts</w:t>
      </w:r>
      <w:proofErr w:type="spellEnd"/>
      <w:proofErr w:type="gramEnd"/>
      <w:r>
        <w:rPr>
          <w:rFonts w:ascii="Arial" w:hAnsi="Arial" w:cs="Arial"/>
          <w:sz w:val="16"/>
          <w:szCs w:val="16"/>
        </w:rPr>
        <w:t xml:space="preserve"> belonging to the ADO or COCOMICS groups are marked with * or </w:t>
      </w:r>
      <w:r>
        <w:rPr>
          <w:rFonts w:ascii="Arial" w:eastAsia="Arial" w:hAnsi="Arial" w:cs="Arial"/>
          <w:sz w:val="16"/>
          <w:szCs w:val="16"/>
        </w:rPr>
        <w:t>† respectively.</w:t>
      </w:r>
      <w:r>
        <w:rPr>
          <w:rFonts w:ascii="Arial" w:eastAsia="Times New Roman" w:hAnsi="Arial" w:cs="Arial"/>
          <w:color w:val="000000"/>
          <w:sz w:val="16"/>
          <w:szCs w:val="16"/>
          <w:lang w:val="en-US" w:eastAsia="en-US" w:bidi="ar-SA"/>
        </w:rPr>
        <w:t xml:space="preserve"> </w:t>
      </w:r>
    </w:p>
    <w:p w14:paraId="2A5208C5" w14:textId="77777777" w:rsidR="00342E07" w:rsidRDefault="005356A1">
      <w:pPr>
        <w:pStyle w:val="BodyText"/>
        <w:spacing w:after="170" w:line="480" w:lineRule="auto"/>
      </w:pPr>
      <w:proofErr w:type="spellStart"/>
      <w:proofErr w:type="gramStart"/>
      <w:r>
        <w:rPr>
          <w:rFonts w:ascii="Arial" w:eastAsia="Times New Roman" w:hAnsi="Arial" w:cs="Arial"/>
          <w:color w:val="000000"/>
          <w:sz w:val="16"/>
          <w:szCs w:val="16"/>
          <w:vertAlign w:val="superscript"/>
          <w:lang w:val="en-US" w:eastAsia="en-US" w:bidi="ar-SA"/>
        </w:rPr>
        <w:t>b</w:t>
      </w:r>
      <w:r>
        <w:rPr>
          <w:rFonts w:ascii="Arial" w:eastAsia="Times New Roman" w:hAnsi="Arial" w:cs="Arial"/>
          <w:color w:val="000000"/>
          <w:sz w:val="16"/>
          <w:szCs w:val="16"/>
          <w:lang w:val="en-US" w:eastAsia="en-US" w:bidi="ar-SA"/>
        </w:rPr>
        <w:t>The</w:t>
      </w:r>
      <w:proofErr w:type="spellEnd"/>
      <w:proofErr w:type="gramEnd"/>
      <w:r>
        <w:rPr>
          <w:rFonts w:ascii="Arial" w:eastAsia="Times New Roman" w:hAnsi="Arial" w:cs="Arial"/>
          <w:color w:val="000000"/>
          <w:sz w:val="16"/>
          <w:szCs w:val="16"/>
          <w:lang w:val="en-US" w:eastAsia="en-US" w:bidi="ar-SA"/>
        </w:rPr>
        <w:t xml:space="preserve"> thickness of the lines is proportional to the number of deaths of the respective cohort.</w:t>
      </w:r>
    </w:p>
    <w:p w14:paraId="282724F1" w14:textId="77777777" w:rsidR="00342E07" w:rsidRDefault="005356A1">
      <w:pPr>
        <w:pStyle w:val="BodyText"/>
        <w:spacing w:after="170" w:line="480" w:lineRule="auto"/>
      </w:pPr>
      <w:proofErr w:type="spellStart"/>
      <w:proofErr w:type="gramStart"/>
      <w:r>
        <w:rPr>
          <w:rFonts w:ascii="Arial" w:eastAsia="Times New Roman" w:hAnsi="Arial" w:cs="Arial"/>
          <w:color w:val="000000"/>
          <w:sz w:val="16"/>
          <w:szCs w:val="16"/>
          <w:vertAlign w:val="superscript"/>
          <w:lang w:val="en-US" w:eastAsia="en-US" w:bidi="ar-SA"/>
        </w:rPr>
        <w:t>c</w:t>
      </w:r>
      <w:r>
        <w:rPr>
          <w:rFonts w:ascii="Arial" w:eastAsia="Times New Roman" w:hAnsi="Arial" w:cs="Arial"/>
          <w:color w:val="000000"/>
          <w:sz w:val="16"/>
          <w:szCs w:val="16"/>
          <w:lang w:val="en-US" w:eastAsia="en-US" w:bidi="ar-SA"/>
        </w:rPr>
        <w:t>Below</w:t>
      </w:r>
      <w:proofErr w:type="spellEnd"/>
      <w:proofErr w:type="gramEnd"/>
      <w:r>
        <w:rPr>
          <w:rFonts w:ascii="Arial" w:eastAsia="Times New Roman" w:hAnsi="Arial" w:cs="Arial"/>
          <w:color w:val="000000"/>
          <w:sz w:val="16"/>
          <w:szCs w:val="16"/>
          <w:lang w:val="en-US" w:eastAsia="en-US" w:bidi="ar-SA"/>
        </w:rPr>
        <w:t xml:space="preserve"> we report the composition of the group; each of them is identified by a specific color:</w:t>
      </w:r>
    </w:p>
    <w:p w14:paraId="00C0EDF2" w14:textId="77777777" w:rsidR="00342E07" w:rsidRDefault="005356A1">
      <w:pPr>
        <w:pStyle w:val="BodyText"/>
        <w:spacing w:after="170" w:line="480" w:lineRule="auto"/>
        <w:rPr>
          <w:rFonts w:ascii="Arial" w:eastAsia="Times New Roman" w:hAnsi="Arial" w:cs="Arial"/>
          <w:color w:val="000000"/>
          <w:sz w:val="16"/>
          <w:szCs w:val="16"/>
          <w:lang w:val="en-US" w:eastAsia="en-US" w:bidi="ar-SA"/>
        </w:rPr>
      </w:pPr>
      <w:r>
        <w:rPr>
          <w:noProof/>
          <w:lang w:val="en-US" w:eastAsia="en-US" w:bidi="ar-SA"/>
        </w:rPr>
        <mc:AlternateContent>
          <mc:Choice Requires="wps">
            <w:drawing>
              <wp:anchor distT="38100" distB="38100" distL="114300" distR="129540" simplePos="0" relativeHeight="45" behindDoc="0" locked="0" layoutInCell="1" allowOverlap="1" wp14:anchorId="66FD25B1" wp14:editId="189BF269">
                <wp:simplePos x="0" y="0"/>
                <wp:positionH relativeFrom="column">
                  <wp:posOffset>-391160</wp:posOffset>
                </wp:positionH>
                <wp:positionV relativeFrom="paragraph">
                  <wp:posOffset>84455</wp:posOffset>
                </wp:positionV>
                <wp:extent cx="215265" cy="1905"/>
                <wp:effectExtent l="0" t="0" r="0" b="0"/>
                <wp:wrapNone/>
                <wp:docPr id="2" name="Gerade Verbindung 4"/>
                <wp:cNvGraphicFramePr/>
                <a:graphic xmlns:a="http://schemas.openxmlformats.org/drawingml/2006/main">
                  <a:graphicData uri="http://schemas.microsoft.com/office/word/2010/wordprocessingShape">
                    <wps:wsp>
                      <wps:cNvCnPr/>
                      <wps:spPr>
                        <a:xfrm>
                          <a:off x="0" y="0"/>
                          <a:ext cx="214560" cy="1440"/>
                        </a:xfrm>
                        <a:prstGeom prst="line">
                          <a:avLst/>
                        </a:prstGeom>
                        <a:ln w="76320">
                          <a:solidFill>
                            <a:srgbClr val="FF66CC"/>
                          </a:solidFill>
                          <a:round/>
                        </a:ln>
                      </wps:spPr>
                      <wps:style>
                        <a:lnRef idx="0">
                          <a:scrgbClr r="0" g="0" b="0"/>
                        </a:lnRef>
                        <a:fillRef idx="0">
                          <a:scrgbClr r="0" g="0" b="0"/>
                        </a:fillRef>
                        <a:effectRef idx="0">
                          <a:scrgbClr r="0" g="0" b="0"/>
                        </a:effectRef>
                        <a:fontRef idx="minor"/>
                      </wps:style>
                      <wps:bodyPr/>
                    </wps:wsp>
                  </a:graphicData>
                </a:graphic>
              </wp:anchor>
            </w:drawing>
          </mc:Choice>
          <mc:Fallback xmlns:mv="urn:schemas-microsoft-com:mac:vml" xmlns:mo="http://schemas.microsoft.com/office/mac/office/2008/main">
            <w:pict>
              <v:line id="shape_0" from="-30.85pt,6.65pt" to="-14pt,6.7pt" ID="Gerade Verbindung 4" stroked="t" style="position:absolute" wp14:anchorId="314607CA">
                <v:stroke color="#ff66cc" weight="76320" joinstyle="round" endcap="flat"/>
                <v:fill o:detectmouseclick="t" on="false"/>
              </v:line>
            </w:pict>
          </mc:Fallback>
        </mc:AlternateContent>
      </w:r>
      <w:r>
        <w:rPr>
          <w:rFonts w:ascii="Arial" w:eastAsia="Times New Roman" w:hAnsi="Arial" w:cs="Arial"/>
          <w:color w:val="000000"/>
          <w:sz w:val="16"/>
          <w:szCs w:val="16"/>
          <w:lang w:val="en-US" w:eastAsia="en-US" w:bidi="ar-SA"/>
        </w:rPr>
        <w:t>Copenhagen*, HUNT</w:t>
      </w:r>
      <w:proofErr w:type="gramStart"/>
      <w:r>
        <w:rPr>
          <w:rFonts w:ascii="Arial" w:eastAsia="Times New Roman" w:hAnsi="Arial" w:cs="Arial"/>
          <w:color w:val="000000"/>
          <w:sz w:val="16"/>
          <w:szCs w:val="16"/>
          <w:lang w:val="en-US" w:eastAsia="en-US" w:bidi="ar-SA"/>
        </w:rPr>
        <w:t>,  Japan</w:t>
      </w:r>
      <w:proofErr w:type="gramEnd"/>
      <w:r>
        <w:rPr>
          <w:rFonts w:ascii="Arial" w:eastAsia="Times New Roman" w:hAnsi="Arial" w:cs="Arial"/>
          <w:color w:val="000000"/>
          <w:sz w:val="16"/>
          <w:szCs w:val="16"/>
          <w:lang w:val="en-US" w:eastAsia="en-US" w:bidi="ar-SA"/>
        </w:rPr>
        <w:t xml:space="preserve"> - SEPOC* (378 deaths in 4323 patients)</w:t>
      </w:r>
    </w:p>
    <w:p w14:paraId="04751FD4" w14:textId="77777777" w:rsidR="00342E07" w:rsidRDefault="005356A1">
      <w:pPr>
        <w:pStyle w:val="BodyText"/>
        <w:spacing w:after="170" w:line="480" w:lineRule="auto"/>
        <w:rPr>
          <w:rFonts w:ascii="Arial" w:eastAsia="Times New Roman" w:hAnsi="Arial" w:cs="Arial"/>
          <w:color w:val="000000"/>
          <w:sz w:val="16"/>
          <w:szCs w:val="16"/>
          <w:lang w:val="en-US" w:eastAsia="en-US" w:bidi="ar-SA"/>
        </w:rPr>
      </w:pPr>
      <w:r>
        <w:rPr>
          <w:noProof/>
          <w:lang w:val="en-US" w:eastAsia="en-US" w:bidi="ar-SA"/>
        </w:rPr>
        <mc:AlternateContent>
          <mc:Choice Requires="wps">
            <w:drawing>
              <wp:anchor distT="38100" distB="38100" distL="114300" distR="129540" simplePos="0" relativeHeight="40" behindDoc="0" locked="0" layoutInCell="1" allowOverlap="1" wp14:anchorId="31AF6A55" wp14:editId="318EFD98">
                <wp:simplePos x="0" y="0"/>
                <wp:positionH relativeFrom="column">
                  <wp:posOffset>-390525</wp:posOffset>
                </wp:positionH>
                <wp:positionV relativeFrom="paragraph">
                  <wp:posOffset>83820</wp:posOffset>
                </wp:positionV>
                <wp:extent cx="215265" cy="2540"/>
                <wp:effectExtent l="0" t="0" r="0" b="0"/>
                <wp:wrapNone/>
                <wp:docPr id="3" name="Gerade Verbindung 8"/>
                <wp:cNvGraphicFramePr/>
                <a:graphic xmlns:a="http://schemas.openxmlformats.org/drawingml/2006/main">
                  <a:graphicData uri="http://schemas.microsoft.com/office/word/2010/wordprocessingShape">
                    <wps:wsp>
                      <wps:cNvCnPr/>
                      <wps:spPr>
                        <a:xfrm>
                          <a:off x="0" y="0"/>
                          <a:ext cx="214560" cy="1800"/>
                        </a:xfrm>
                        <a:prstGeom prst="line">
                          <a:avLst/>
                        </a:prstGeom>
                        <a:ln w="76320">
                          <a:solidFill>
                            <a:srgbClr val="AF9A01"/>
                          </a:solidFill>
                          <a:round/>
                        </a:ln>
                      </wps:spPr>
                      <wps:style>
                        <a:lnRef idx="0">
                          <a:scrgbClr r="0" g="0" b="0"/>
                        </a:lnRef>
                        <a:fillRef idx="0">
                          <a:scrgbClr r="0" g="0" b="0"/>
                        </a:fillRef>
                        <a:effectRef idx="0">
                          <a:scrgbClr r="0" g="0" b="0"/>
                        </a:effectRef>
                        <a:fontRef idx="minor"/>
                      </wps:style>
                      <wps:bodyPr/>
                    </wps:wsp>
                  </a:graphicData>
                </a:graphic>
              </wp:anchor>
            </w:drawing>
          </mc:Choice>
          <mc:Fallback xmlns:mv="urn:schemas-microsoft-com:mac:vml" xmlns:mo="http://schemas.microsoft.com/office/mac/office/2008/main">
            <w:pict>
              <v:line id="shape_0" from="-30.8pt,6.55pt" to="-13.95pt,6.65pt" ID="Gerade Verbindung 8" stroked="t" style="position:absolute" wp14:anchorId="78A06AFE">
                <v:stroke color="#af9a01" weight="76320" joinstyle="round" endcap="flat"/>
                <v:fill o:detectmouseclick="t" on="false"/>
              </v:line>
            </w:pict>
          </mc:Fallback>
        </mc:AlternateContent>
      </w:r>
      <w:proofErr w:type="spellStart"/>
      <w:r>
        <w:rPr>
          <w:rFonts w:ascii="Arial" w:eastAsia="Times New Roman" w:hAnsi="Arial" w:cs="Arial"/>
          <w:color w:val="000000"/>
          <w:sz w:val="16"/>
          <w:szCs w:val="16"/>
          <w:lang w:val="en-US" w:eastAsia="en-US" w:bidi="ar-SA"/>
        </w:rPr>
        <w:t>Barmelweid</w:t>
      </w:r>
      <w:proofErr w:type="spellEnd"/>
      <w:r>
        <w:rPr>
          <w:rFonts w:ascii="Arial" w:eastAsia="Times New Roman" w:hAnsi="Arial" w:cs="Arial"/>
          <w:color w:val="000000"/>
          <w:sz w:val="16"/>
          <w:szCs w:val="16"/>
          <w:lang w:val="en-US" w:eastAsia="en-US" w:bidi="ar-SA"/>
        </w:rPr>
        <w:t xml:space="preserve">*, Basque*, </w:t>
      </w:r>
      <w:proofErr w:type="spellStart"/>
      <w:r>
        <w:rPr>
          <w:rFonts w:ascii="Arial" w:eastAsia="Times New Roman" w:hAnsi="Arial" w:cs="Arial"/>
          <w:color w:val="000000"/>
          <w:sz w:val="16"/>
          <w:szCs w:val="16"/>
          <w:lang w:val="en-US" w:eastAsia="en-US" w:bidi="ar-SA"/>
        </w:rPr>
        <w:t>Galdakao</w:t>
      </w:r>
      <w:proofErr w:type="spellEnd"/>
      <w:r>
        <w:rPr>
          <w:rFonts w:ascii="Arial" w:eastAsia="Times New Roman" w:hAnsi="Arial" w:cs="Arial"/>
          <w:color w:val="000000"/>
          <w:sz w:val="16"/>
          <w:szCs w:val="16"/>
          <w:lang w:val="en-US" w:eastAsia="en-US" w:bidi="ar-SA"/>
        </w:rPr>
        <w:t>†</w:t>
      </w:r>
      <w:proofErr w:type="gramStart"/>
      <w:r>
        <w:rPr>
          <w:rFonts w:ascii="Arial" w:eastAsia="Times New Roman" w:hAnsi="Arial" w:cs="Arial"/>
          <w:color w:val="000000"/>
          <w:sz w:val="16"/>
          <w:szCs w:val="16"/>
          <w:lang w:val="en-US" w:eastAsia="en-US" w:bidi="ar-SA"/>
        </w:rPr>
        <w:t>,  Pamplona</w:t>
      </w:r>
      <w:proofErr w:type="gramEnd"/>
      <w:r>
        <w:rPr>
          <w:rFonts w:ascii="Arial" w:eastAsia="Times New Roman" w:hAnsi="Arial" w:cs="Arial"/>
          <w:color w:val="000000"/>
          <w:sz w:val="16"/>
          <w:szCs w:val="16"/>
          <w:lang w:val="en-US" w:eastAsia="en-US" w:bidi="ar-SA"/>
        </w:rPr>
        <w:t>†, Zaragoza I† (215 deaths in 1208 patients)</w:t>
      </w:r>
    </w:p>
    <w:p w14:paraId="1C52C35D" w14:textId="77777777" w:rsidR="00342E07" w:rsidRDefault="005356A1">
      <w:pPr>
        <w:pStyle w:val="BodyText"/>
        <w:spacing w:after="170" w:line="480" w:lineRule="auto"/>
        <w:rPr>
          <w:rFonts w:ascii="Arial" w:eastAsia="Times New Roman" w:hAnsi="Arial" w:cs="Arial"/>
          <w:color w:val="000000"/>
          <w:sz w:val="16"/>
          <w:szCs w:val="16"/>
          <w:lang w:val="en-US" w:eastAsia="en-US" w:bidi="ar-SA"/>
        </w:rPr>
      </w:pPr>
      <w:r>
        <w:rPr>
          <w:noProof/>
          <w:lang w:val="en-US" w:eastAsia="en-US" w:bidi="ar-SA"/>
        </w:rPr>
        <mc:AlternateContent>
          <mc:Choice Requires="wps">
            <w:drawing>
              <wp:anchor distT="38100" distB="38100" distL="114300" distR="129540" simplePos="0" relativeHeight="43" behindDoc="0" locked="0" layoutInCell="1" allowOverlap="1" wp14:anchorId="55A38B55" wp14:editId="7E2510EB">
                <wp:simplePos x="0" y="0"/>
                <wp:positionH relativeFrom="column">
                  <wp:posOffset>-391160</wp:posOffset>
                </wp:positionH>
                <wp:positionV relativeFrom="paragraph">
                  <wp:posOffset>81915</wp:posOffset>
                </wp:positionV>
                <wp:extent cx="215265" cy="1905"/>
                <wp:effectExtent l="0" t="0" r="0" b="0"/>
                <wp:wrapNone/>
                <wp:docPr id="4" name="Gerade Verbindung 7"/>
                <wp:cNvGraphicFramePr/>
                <a:graphic xmlns:a="http://schemas.openxmlformats.org/drawingml/2006/main">
                  <a:graphicData uri="http://schemas.microsoft.com/office/word/2010/wordprocessingShape">
                    <wps:wsp>
                      <wps:cNvCnPr/>
                      <wps:spPr>
                        <a:xfrm>
                          <a:off x="0" y="0"/>
                          <a:ext cx="214560" cy="1440"/>
                        </a:xfrm>
                        <a:prstGeom prst="line">
                          <a:avLst/>
                        </a:prstGeom>
                        <a:ln w="76320">
                          <a:solidFill>
                            <a:srgbClr val="00B050"/>
                          </a:solidFill>
                          <a:round/>
                        </a:ln>
                      </wps:spPr>
                      <wps:style>
                        <a:lnRef idx="0">
                          <a:scrgbClr r="0" g="0" b="0"/>
                        </a:lnRef>
                        <a:fillRef idx="0">
                          <a:scrgbClr r="0" g="0" b="0"/>
                        </a:fillRef>
                        <a:effectRef idx="0">
                          <a:scrgbClr r="0" g="0" b="0"/>
                        </a:effectRef>
                        <a:fontRef idx="minor"/>
                      </wps:style>
                      <wps:bodyPr/>
                    </wps:wsp>
                  </a:graphicData>
                </a:graphic>
              </wp:anchor>
            </w:drawing>
          </mc:Choice>
          <mc:Fallback xmlns:mv="urn:schemas-microsoft-com:mac:vml" xmlns:mo="http://schemas.microsoft.com/office/mac/office/2008/main">
            <w:pict>
              <v:line id="shape_0" from="-30.85pt,6.45pt" to="-14pt,6.5pt" ID="Gerade Verbindung 7" stroked="t" style="position:absolute" wp14:anchorId="4B8900C2">
                <v:stroke color="#00b050" weight="76320" joinstyle="round" endcap="flat"/>
                <v:fill o:detectmouseclick="t" on="false"/>
              </v:line>
            </w:pict>
          </mc:Fallback>
        </mc:AlternateContent>
      </w:r>
      <w:r>
        <w:rPr>
          <w:rFonts w:ascii="Arial" w:eastAsia="Times New Roman" w:hAnsi="Arial" w:cs="Arial"/>
          <w:color w:val="000000"/>
          <w:sz w:val="16"/>
          <w:szCs w:val="16"/>
          <w:lang w:val="en-US" w:eastAsia="en-US" w:bidi="ar-SA"/>
        </w:rPr>
        <w:t xml:space="preserve">Mar de Plata Argentina, PACECOPD*, Son </w:t>
      </w:r>
      <w:proofErr w:type="spellStart"/>
      <w:r>
        <w:rPr>
          <w:rFonts w:ascii="Arial" w:eastAsia="Times New Roman" w:hAnsi="Arial" w:cs="Arial"/>
          <w:color w:val="000000"/>
          <w:sz w:val="16"/>
          <w:szCs w:val="16"/>
          <w:lang w:val="en-US" w:eastAsia="en-US" w:bidi="ar-SA"/>
        </w:rPr>
        <w:t>Espases</w:t>
      </w:r>
      <w:proofErr w:type="spellEnd"/>
      <w:r>
        <w:rPr>
          <w:rFonts w:ascii="Arial" w:eastAsia="Times New Roman" w:hAnsi="Arial" w:cs="Arial"/>
          <w:color w:val="000000"/>
          <w:sz w:val="16"/>
          <w:szCs w:val="16"/>
          <w:lang w:val="en-US" w:eastAsia="en-US" w:bidi="ar-SA"/>
        </w:rPr>
        <w:t xml:space="preserve"> Mallorca (61 deaths in 556 patients)</w:t>
      </w:r>
    </w:p>
    <w:p w14:paraId="2E1D805D" w14:textId="77777777" w:rsidR="00342E07" w:rsidRDefault="005356A1">
      <w:pPr>
        <w:pStyle w:val="BodyText"/>
        <w:spacing w:after="170" w:line="480" w:lineRule="auto"/>
        <w:rPr>
          <w:rFonts w:ascii="Arial" w:eastAsia="Times New Roman" w:hAnsi="Arial" w:cs="Arial"/>
          <w:color w:val="000000"/>
          <w:sz w:val="16"/>
          <w:szCs w:val="16"/>
          <w:lang w:val="en-US" w:eastAsia="en-US" w:bidi="ar-SA"/>
        </w:rPr>
      </w:pPr>
      <w:r>
        <w:rPr>
          <w:noProof/>
          <w:lang w:val="en-US" w:eastAsia="en-US" w:bidi="ar-SA"/>
        </w:rPr>
        <mc:AlternateContent>
          <mc:Choice Requires="wps">
            <w:drawing>
              <wp:anchor distT="38100" distB="38100" distL="114300" distR="129540" simplePos="0" relativeHeight="42" behindDoc="0" locked="0" layoutInCell="1" allowOverlap="1" wp14:anchorId="6F070DCA" wp14:editId="7CA8F97D">
                <wp:simplePos x="0" y="0"/>
                <wp:positionH relativeFrom="column">
                  <wp:posOffset>-391160</wp:posOffset>
                </wp:positionH>
                <wp:positionV relativeFrom="paragraph">
                  <wp:posOffset>73025</wp:posOffset>
                </wp:positionV>
                <wp:extent cx="215265" cy="1905"/>
                <wp:effectExtent l="0" t="0" r="0" b="0"/>
                <wp:wrapNone/>
                <wp:docPr id="5" name="Gerade Verbindung 6"/>
                <wp:cNvGraphicFramePr/>
                <a:graphic xmlns:a="http://schemas.openxmlformats.org/drawingml/2006/main">
                  <a:graphicData uri="http://schemas.microsoft.com/office/word/2010/wordprocessingShape">
                    <wps:wsp>
                      <wps:cNvCnPr/>
                      <wps:spPr>
                        <a:xfrm>
                          <a:off x="0" y="0"/>
                          <a:ext cx="214560" cy="1440"/>
                        </a:xfrm>
                        <a:prstGeom prst="line">
                          <a:avLst/>
                        </a:prstGeom>
                        <a:ln w="76320">
                          <a:solidFill>
                            <a:srgbClr val="0DAFB3"/>
                          </a:solidFill>
                          <a:round/>
                        </a:ln>
                      </wps:spPr>
                      <wps:style>
                        <a:lnRef idx="0">
                          <a:scrgbClr r="0" g="0" b="0"/>
                        </a:lnRef>
                        <a:fillRef idx="0">
                          <a:scrgbClr r="0" g="0" b="0"/>
                        </a:fillRef>
                        <a:effectRef idx="0">
                          <a:scrgbClr r="0" g="0" b="0"/>
                        </a:effectRef>
                        <a:fontRef idx="minor"/>
                      </wps:style>
                      <wps:bodyPr/>
                    </wps:wsp>
                  </a:graphicData>
                </a:graphic>
              </wp:anchor>
            </w:drawing>
          </mc:Choice>
          <mc:Fallback xmlns:mv="urn:schemas-microsoft-com:mac:vml" xmlns:mo="http://schemas.microsoft.com/office/mac/office/2008/main">
            <w:pict>
              <v:line id="shape_0" from="-30.85pt,5.75pt" to="-14pt,5.8pt" ID="Gerade Verbindung 6" stroked="t" style="position:absolute" wp14:anchorId="27AA3D0E">
                <v:stroke color="#0dafb3" weight="76320" joinstyle="round" endcap="flat"/>
                <v:fill o:detectmouseclick="t" on="false"/>
              </v:line>
            </w:pict>
          </mc:Fallback>
        </mc:AlternateContent>
      </w:r>
      <w:proofErr w:type="spellStart"/>
      <w:r>
        <w:rPr>
          <w:rFonts w:ascii="Arial" w:eastAsia="Times New Roman" w:hAnsi="Arial" w:cs="Arial"/>
          <w:color w:val="000000"/>
          <w:sz w:val="16"/>
          <w:szCs w:val="16"/>
          <w:lang w:val="en-US" w:eastAsia="en-US" w:bidi="ar-SA"/>
        </w:rPr>
        <w:t>COPDgene</w:t>
      </w:r>
      <w:proofErr w:type="spellEnd"/>
      <w:r>
        <w:rPr>
          <w:rFonts w:ascii="Arial" w:eastAsia="Times New Roman" w:hAnsi="Arial" w:cs="Arial"/>
          <w:color w:val="000000"/>
          <w:sz w:val="16"/>
          <w:szCs w:val="16"/>
          <w:lang w:val="en-US" w:eastAsia="en-US" w:bidi="ar-SA"/>
        </w:rPr>
        <w:t xml:space="preserve"> (337 deaths in 4484 patients)</w:t>
      </w:r>
    </w:p>
    <w:p w14:paraId="3CD24577" w14:textId="77777777" w:rsidR="00342E07" w:rsidRDefault="005356A1">
      <w:pPr>
        <w:pStyle w:val="BodyText"/>
        <w:spacing w:after="170" w:line="480" w:lineRule="auto"/>
        <w:rPr>
          <w:rFonts w:ascii="Arial" w:eastAsia="Times New Roman" w:hAnsi="Arial" w:cs="Arial"/>
          <w:color w:val="000000"/>
          <w:sz w:val="16"/>
          <w:szCs w:val="16"/>
          <w:lang w:val="en-US" w:eastAsia="en-US" w:bidi="ar-SA"/>
        </w:rPr>
      </w:pPr>
      <w:r>
        <w:rPr>
          <w:noProof/>
          <w:lang w:val="en-US" w:eastAsia="en-US" w:bidi="ar-SA"/>
        </w:rPr>
        <mc:AlternateContent>
          <mc:Choice Requires="wps">
            <w:drawing>
              <wp:anchor distT="38100" distB="38100" distL="114300" distR="129540" simplePos="0" relativeHeight="41" behindDoc="0" locked="0" layoutInCell="1" allowOverlap="1" wp14:anchorId="79781B08" wp14:editId="0FB1EE08">
                <wp:simplePos x="0" y="0"/>
                <wp:positionH relativeFrom="column">
                  <wp:posOffset>-391160</wp:posOffset>
                </wp:positionH>
                <wp:positionV relativeFrom="paragraph">
                  <wp:posOffset>62865</wp:posOffset>
                </wp:positionV>
                <wp:extent cx="215265" cy="1905"/>
                <wp:effectExtent l="0" t="0" r="0" b="0"/>
                <wp:wrapNone/>
                <wp:docPr id="6" name="Gerade Verbindung 5"/>
                <wp:cNvGraphicFramePr/>
                <a:graphic xmlns:a="http://schemas.openxmlformats.org/drawingml/2006/main">
                  <a:graphicData uri="http://schemas.microsoft.com/office/word/2010/wordprocessingShape">
                    <wps:wsp>
                      <wps:cNvCnPr/>
                      <wps:spPr>
                        <a:xfrm>
                          <a:off x="0" y="0"/>
                          <a:ext cx="214560" cy="1440"/>
                        </a:xfrm>
                        <a:prstGeom prst="line">
                          <a:avLst/>
                        </a:prstGeom>
                        <a:ln w="76320">
                          <a:solidFill>
                            <a:srgbClr val="D67C7C"/>
                          </a:solidFill>
                          <a:round/>
                        </a:ln>
                      </wps:spPr>
                      <wps:style>
                        <a:lnRef idx="0">
                          <a:scrgbClr r="0" g="0" b="0"/>
                        </a:lnRef>
                        <a:fillRef idx="0">
                          <a:scrgbClr r="0" g="0" b="0"/>
                        </a:fillRef>
                        <a:effectRef idx="0">
                          <a:scrgbClr r="0" g="0" b="0"/>
                        </a:effectRef>
                        <a:fontRef idx="minor"/>
                      </wps:style>
                      <wps:bodyPr/>
                    </wps:wsp>
                  </a:graphicData>
                </a:graphic>
              </wp:anchor>
            </w:drawing>
          </mc:Choice>
          <mc:Fallback xmlns:mv="urn:schemas-microsoft-com:mac:vml" xmlns:mo="http://schemas.microsoft.com/office/mac/office/2008/main">
            <w:pict>
              <v:line id="shape_0" from="-30.85pt,4.95pt" to="-14pt,5pt" ID="Gerade Verbindung 5" stroked="t" style="position:absolute" wp14:anchorId="7A6EB09C">
                <v:stroke color="#d67c7c" weight="76320" joinstyle="round" endcap="flat"/>
                <v:fill o:detectmouseclick="t" on="false"/>
              </v:line>
            </w:pict>
          </mc:Fallback>
        </mc:AlternateContent>
      </w:r>
      <w:proofErr w:type="spellStart"/>
      <w:r>
        <w:rPr>
          <w:rFonts w:ascii="Arial" w:eastAsia="Times New Roman" w:hAnsi="Arial" w:cs="Arial"/>
          <w:color w:val="000000"/>
          <w:sz w:val="16"/>
          <w:szCs w:val="16"/>
          <w:lang w:val="en-US" w:eastAsia="en-US" w:bidi="ar-SA"/>
        </w:rPr>
        <w:t>Genkols</w:t>
      </w:r>
      <w:proofErr w:type="spellEnd"/>
      <w:r>
        <w:rPr>
          <w:rFonts w:ascii="Arial" w:eastAsia="Times New Roman" w:hAnsi="Arial" w:cs="Arial"/>
          <w:color w:val="000000"/>
          <w:sz w:val="16"/>
          <w:szCs w:val="16"/>
          <w:lang w:val="en-US" w:eastAsia="en-US" w:bidi="ar-SA"/>
        </w:rPr>
        <w:t>, ICE COLD ERIC</w:t>
      </w:r>
      <w:proofErr w:type="gramStart"/>
      <w:r>
        <w:rPr>
          <w:rFonts w:ascii="Arial" w:eastAsia="Times New Roman" w:hAnsi="Arial" w:cs="Arial"/>
          <w:color w:val="000000"/>
          <w:sz w:val="16"/>
          <w:szCs w:val="16"/>
          <w:lang w:val="en-US" w:eastAsia="en-US" w:bidi="ar-SA"/>
        </w:rPr>
        <w:t>,  Initiatives</w:t>
      </w:r>
      <w:proofErr w:type="gramEnd"/>
      <w:r>
        <w:rPr>
          <w:rFonts w:ascii="Arial" w:eastAsia="Times New Roman" w:hAnsi="Arial" w:cs="Arial"/>
          <w:color w:val="000000"/>
          <w:sz w:val="16"/>
          <w:szCs w:val="16"/>
          <w:lang w:val="en-US" w:eastAsia="en-US" w:bidi="ar-SA"/>
        </w:rPr>
        <w:t xml:space="preserve"> BPCO, </w:t>
      </w:r>
      <w:proofErr w:type="spellStart"/>
      <w:r>
        <w:rPr>
          <w:rFonts w:ascii="Arial" w:eastAsia="Times New Roman" w:hAnsi="Arial" w:cs="Arial"/>
          <w:color w:val="000000"/>
          <w:sz w:val="16"/>
          <w:szCs w:val="16"/>
          <w:lang w:val="en-US" w:eastAsia="en-US" w:bidi="ar-SA"/>
        </w:rPr>
        <w:t>Sevilla</w:t>
      </w:r>
      <w:proofErr w:type="spellEnd"/>
      <w:r>
        <w:rPr>
          <w:rFonts w:ascii="Arial" w:eastAsia="Times New Roman" w:hAnsi="Arial" w:cs="Arial"/>
          <w:color w:val="000000"/>
          <w:sz w:val="16"/>
          <w:szCs w:val="16"/>
          <w:lang w:val="en-US" w:eastAsia="en-US" w:bidi="ar-SA"/>
        </w:rPr>
        <w:t>†, Terrassa I†, Terrassa III†, Zaragoza II† (722 deaths in 4346 patients)</w:t>
      </w:r>
    </w:p>
    <w:p w14:paraId="69BFC7F9" w14:textId="77777777" w:rsidR="00342E07" w:rsidRDefault="005356A1">
      <w:pPr>
        <w:pStyle w:val="BodyText"/>
        <w:spacing w:after="170" w:line="480" w:lineRule="auto"/>
        <w:rPr>
          <w:rFonts w:ascii="Arial" w:eastAsia="Times New Roman" w:hAnsi="Arial" w:cs="Arial"/>
          <w:color w:val="000000"/>
          <w:sz w:val="16"/>
          <w:szCs w:val="16"/>
          <w:lang w:val="it-IT" w:eastAsia="en-US" w:bidi="ar-SA"/>
        </w:rPr>
      </w:pPr>
      <w:r>
        <w:rPr>
          <w:noProof/>
          <w:lang w:val="en-US" w:eastAsia="en-US" w:bidi="ar-SA"/>
        </w:rPr>
        <mc:AlternateContent>
          <mc:Choice Requires="wps">
            <w:drawing>
              <wp:anchor distT="38100" distB="38100" distL="114300" distR="129540" simplePos="0" relativeHeight="44" behindDoc="0" locked="0" layoutInCell="1" allowOverlap="1" wp14:anchorId="38056094" wp14:editId="4156E608">
                <wp:simplePos x="0" y="0"/>
                <wp:positionH relativeFrom="column">
                  <wp:posOffset>-391160</wp:posOffset>
                </wp:positionH>
                <wp:positionV relativeFrom="paragraph">
                  <wp:posOffset>69215</wp:posOffset>
                </wp:positionV>
                <wp:extent cx="215265" cy="1905"/>
                <wp:effectExtent l="0" t="0" r="0" b="0"/>
                <wp:wrapNone/>
                <wp:docPr id="7" name="Gerade Verbindung 10"/>
                <wp:cNvGraphicFramePr/>
                <a:graphic xmlns:a="http://schemas.openxmlformats.org/drawingml/2006/main">
                  <a:graphicData uri="http://schemas.microsoft.com/office/word/2010/wordprocessingShape">
                    <wps:wsp>
                      <wps:cNvCnPr/>
                      <wps:spPr>
                        <a:xfrm>
                          <a:off x="0" y="0"/>
                          <a:ext cx="214560" cy="1440"/>
                        </a:xfrm>
                        <a:prstGeom prst="line">
                          <a:avLst/>
                        </a:prstGeom>
                        <a:ln w="76320">
                          <a:solidFill>
                            <a:srgbClr val="0070C0"/>
                          </a:solidFill>
                          <a:round/>
                        </a:ln>
                      </wps:spPr>
                      <wps:style>
                        <a:lnRef idx="0">
                          <a:scrgbClr r="0" g="0" b="0"/>
                        </a:lnRef>
                        <a:fillRef idx="0">
                          <a:scrgbClr r="0" g="0" b="0"/>
                        </a:fillRef>
                        <a:effectRef idx="0">
                          <a:scrgbClr r="0" g="0" b="0"/>
                        </a:effectRef>
                        <a:fontRef idx="minor"/>
                      </wps:style>
                      <wps:bodyPr/>
                    </wps:wsp>
                  </a:graphicData>
                </a:graphic>
              </wp:anchor>
            </w:drawing>
          </mc:Choice>
          <mc:Fallback xmlns:mv="urn:schemas-microsoft-com:mac:vml" xmlns:mo="http://schemas.microsoft.com/office/mac/office/2008/main">
            <w:pict>
              <v:line id="shape_0" from="-30.85pt,5.45pt" to="-14pt,5.5pt" ID="Gerade Verbindung 10" stroked="t" style="position:absolute" wp14:anchorId="0310BA7F">
                <v:stroke color="#0070c0" weight="76320" joinstyle="round" endcap="flat"/>
                <v:fill o:detectmouseclick="t" on="false"/>
              </v:line>
            </w:pict>
          </mc:Fallback>
        </mc:AlternateContent>
      </w:r>
      <w:r>
        <w:rPr>
          <w:rFonts w:ascii="Arial" w:eastAsia="Times New Roman" w:hAnsi="Arial" w:cs="Arial"/>
          <w:color w:val="000000"/>
          <w:sz w:val="16"/>
          <w:szCs w:val="16"/>
          <w:lang w:val="it-IT" w:eastAsia="en-US" w:bidi="ar-SA"/>
        </w:rPr>
        <w:t>La Princesa Madrid, Requena II†, Tenerife†, Terrassa II† (125 deaths in 845 patients)</w:t>
      </w:r>
    </w:p>
    <w:p w14:paraId="7D67869A" w14:textId="77777777" w:rsidR="00342E07" w:rsidRDefault="005356A1">
      <w:pPr>
        <w:pStyle w:val="BodyText"/>
        <w:spacing w:after="170" w:line="480" w:lineRule="auto"/>
        <w:rPr>
          <w:rFonts w:ascii="Arial" w:hAnsi="Arial"/>
        </w:rPr>
      </w:pPr>
      <w:r>
        <w:rPr>
          <w:rFonts w:ascii="Arial" w:hAnsi="Arial"/>
        </w:rPr>
        <w:t xml:space="preserve">Depicting the network graphically in order to better visualize its features was a more difficult task than expected. Our approach uses unfilled polygons of differing sizes to clearly show combinations of prognostic scores occurring together in the same cohort or group of cohorts, this comes at the expense of downplaying all individual head-to-head comparisons could be made. </w:t>
      </w:r>
    </w:p>
    <w:p w14:paraId="07A3B869" w14:textId="77777777" w:rsidR="00342E07" w:rsidRDefault="00342E07">
      <w:pPr>
        <w:pStyle w:val="BodyText"/>
        <w:spacing w:after="170" w:line="480" w:lineRule="auto"/>
        <w:rPr>
          <w:rFonts w:ascii="Arial" w:eastAsia="Times New Roman" w:hAnsi="Arial" w:cs="Arial"/>
          <w:color w:val="000000"/>
          <w:sz w:val="16"/>
          <w:szCs w:val="16"/>
          <w:lang w:eastAsia="en-US" w:bidi="ar-SA"/>
        </w:rPr>
      </w:pPr>
    </w:p>
    <w:p w14:paraId="2EE64E5D" w14:textId="77777777" w:rsidR="00342E07" w:rsidRDefault="00342E07">
      <w:pPr>
        <w:pStyle w:val="BodyText"/>
        <w:spacing w:after="170" w:line="480" w:lineRule="auto"/>
        <w:rPr>
          <w:rFonts w:ascii="Arial" w:eastAsia="Times New Roman" w:hAnsi="Arial" w:cs="Arial"/>
          <w:color w:val="000000"/>
          <w:sz w:val="16"/>
          <w:szCs w:val="16"/>
          <w:lang w:eastAsia="en-US" w:bidi="ar-SA"/>
        </w:rPr>
      </w:pPr>
    </w:p>
    <w:p w14:paraId="545924CB" w14:textId="77777777" w:rsidR="00342E07" w:rsidRDefault="005356A1">
      <w:pPr>
        <w:pStyle w:val="Heading2"/>
        <w:spacing w:line="480" w:lineRule="auto"/>
      </w:pPr>
      <w:bookmarkStart w:id="113" w:name="_Toc488490628"/>
      <w:bookmarkStart w:id="114" w:name="_Toc373597607"/>
      <w:bookmarkEnd w:id="113"/>
      <w:r>
        <w:t>R Code for Network Plot</w:t>
      </w:r>
      <w:bookmarkEnd w:id="114"/>
    </w:p>
    <w:p w14:paraId="7AE565DF" w14:textId="77777777" w:rsidR="00342E07" w:rsidRDefault="005356A1">
      <w:pPr>
        <w:pStyle w:val="BodyText"/>
        <w:spacing w:after="0" w:line="480" w:lineRule="auto"/>
        <w:rPr>
          <w:rFonts w:ascii="Courier New" w:hAnsi="Courier New"/>
          <w:sz w:val="18"/>
          <w:szCs w:val="18"/>
        </w:rPr>
      </w:pPr>
      <w:proofErr w:type="gramStart"/>
      <w:r>
        <w:rPr>
          <w:rFonts w:ascii="Courier New" w:hAnsi="Courier New"/>
          <w:sz w:val="18"/>
          <w:szCs w:val="18"/>
        </w:rPr>
        <w:t>library(</w:t>
      </w:r>
      <w:proofErr w:type="gramEnd"/>
      <w:r>
        <w:rPr>
          <w:rFonts w:ascii="Courier New" w:hAnsi="Courier New"/>
          <w:sz w:val="18"/>
          <w:szCs w:val="18"/>
        </w:rPr>
        <w:t>ggplot2)</w:t>
      </w:r>
    </w:p>
    <w:p w14:paraId="4D820BF4" w14:textId="77777777" w:rsidR="00342E07" w:rsidRDefault="00342E07">
      <w:pPr>
        <w:pStyle w:val="BodyText"/>
        <w:spacing w:after="0" w:line="480" w:lineRule="auto"/>
        <w:rPr>
          <w:rFonts w:ascii="Courier New" w:hAnsi="Courier New"/>
          <w:sz w:val="18"/>
          <w:szCs w:val="18"/>
        </w:rPr>
      </w:pPr>
    </w:p>
    <w:p w14:paraId="111177DE" w14:textId="77777777" w:rsidR="00342E07" w:rsidRDefault="005356A1">
      <w:pPr>
        <w:pStyle w:val="BodyText"/>
        <w:spacing w:after="0" w:line="480" w:lineRule="auto"/>
        <w:rPr>
          <w:rFonts w:ascii="Courier New" w:hAnsi="Courier New"/>
          <w:sz w:val="18"/>
          <w:szCs w:val="18"/>
          <w:lang w:val="it-IT"/>
        </w:rPr>
      </w:pPr>
      <w:r>
        <w:rPr>
          <w:rFonts w:ascii="Courier New" w:hAnsi="Courier New"/>
          <w:sz w:val="18"/>
          <w:szCs w:val="18"/>
          <w:lang w:val="it-IT"/>
        </w:rPr>
        <w:t xml:space="preserve">datsumm &lt;- data.frame(g = c("A", "A-C", "A-C-D-E", "A-B-C", "A-B-C-D-E", </w:t>
      </w:r>
    </w:p>
    <w:p w14:paraId="66304C86" w14:textId="77777777" w:rsidR="00342E07" w:rsidRDefault="005356A1">
      <w:pPr>
        <w:pStyle w:val="BodyText"/>
        <w:spacing w:after="0" w:line="480" w:lineRule="auto"/>
        <w:rPr>
          <w:rFonts w:ascii="Courier New" w:hAnsi="Courier New"/>
          <w:sz w:val="18"/>
          <w:szCs w:val="18"/>
          <w:lang w:val="it-IT"/>
        </w:rPr>
      </w:pPr>
      <w:r>
        <w:rPr>
          <w:rFonts w:ascii="Courier New" w:hAnsi="Courier New"/>
          <w:sz w:val="18"/>
          <w:szCs w:val="18"/>
          <w:lang w:val="it-IT"/>
        </w:rPr>
        <w:tab/>
      </w:r>
      <w:r>
        <w:rPr>
          <w:rFonts w:ascii="Courier New" w:hAnsi="Courier New"/>
          <w:sz w:val="18"/>
          <w:szCs w:val="18"/>
          <w:lang w:val="it-IT"/>
        </w:rPr>
        <w:tab/>
      </w:r>
      <w:r>
        <w:rPr>
          <w:rFonts w:ascii="Courier New" w:hAnsi="Courier New"/>
          <w:sz w:val="18"/>
          <w:szCs w:val="18"/>
          <w:lang w:val="it-IT"/>
        </w:rPr>
        <w:tab/>
      </w:r>
      <w:r>
        <w:rPr>
          <w:rFonts w:ascii="Courier New" w:hAnsi="Courier New"/>
          <w:sz w:val="18"/>
          <w:szCs w:val="18"/>
          <w:lang w:val="it-IT"/>
        </w:rPr>
        <w:tab/>
        <w:t xml:space="preserve">"A-B-C-D-E-F-G-H", </w:t>
      </w:r>
    </w:p>
    <w:p w14:paraId="65F49874" w14:textId="77777777" w:rsidR="00342E07" w:rsidRDefault="005356A1">
      <w:pPr>
        <w:pStyle w:val="BodyText"/>
        <w:spacing w:after="0" w:line="480" w:lineRule="auto"/>
        <w:rPr>
          <w:rFonts w:ascii="Courier New" w:hAnsi="Courier New"/>
          <w:sz w:val="18"/>
          <w:szCs w:val="18"/>
          <w:lang w:val="it-IT"/>
        </w:rPr>
      </w:pPr>
      <w:r>
        <w:rPr>
          <w:rFonts w:ascii="Courier New" w:hAnsi="Courier New"/>
          <w:sz w:val="18"/>
          <w:szCs w:val="18"/>
          <w:lang w:val="it-IT"/>
        </w:rPr>
        <w:t xml:space="preserve">                            "A-B-C-D-E-I", "A-B-C-G-H"),</w:t>
      </w:r>
    </w:p>
    <w:p w14:paraId="738989EE" w14:textId="77777777" w:rsidR="00342E07" w:rsidRDefault="005356A1">
      <w:pPr>
        <w:pStyle w:val="BodyText"/>
        <w:spacing w:after="0" w:line="480" w:lineRule="auto"/>
      </w:pPr>
      <w:r>
        <w:rPr>
          <w:rFonts w:ascii="Courier New" w:hAnsi="Courier New"/>
          <w:sz w:val="18"/>
          <w:szCs w:val="18"/>
          <w:lang w:val="it-IT"/>
        </w:rPr>
        <w:t xml:space="preserve">                      </w:t>
      </w:r>
      <w:r>
        <w:rPr>
          <w:rFonts w:ascii="Courier New" w:hAnsi="Courier New"/>
          <w:sz w:val="18"/>
          <w:szCs w:val="18"/>
        </w:rPr>
        <w:t xml:space="preserve">n = </w:t>
      </w:r>
      <w:proofErr w:type="gramStart"/>
      <w:r>
        <w:rPr>
          <w:rFonts w:ascii="Courier New" w:hAnsi="Courier New"/>
          <w:sz w:val="18"/>
          <w:szCs w:val="18"/>
        </w:rPr>
        <w:t>c(</w:t>
      </w:r>
      <w:proofErr w:type="gramEnd"/>
      <w:r>
        <w:rPr>
          <w:rFonts w:ascii="Courier New" w:hAnsi="Courier New"/>
          <w:sz w:val="18"/>
          <w:szCs w:val="18"/>
        </w:rPr>
        <w:t>162, 4313, 1195, 717, 556, 826, 4484, 3667))</w:t>
      </w:r>
    </w:p>
    <w:p w14:paraId="7E7D6FF6" w14:textId="77777777" w:rsidR="00342E07" w:rsidRDefault="00342E07">
      <w:pPr>
        <w:pStyle w:val="BodyText"/>
        <w:spacing w:after="0" w:line="480" w:lineRule="auto"/>
        <w:rPr>
          <w:rFonts w:ascii="Courier New" w:hAnsi="Courier New"/>
          <w:sz w:val="18"/>
          <w:szCs w:val="18"/>
        </w:rPr>
      </w:pPr>
    </w:p>
    <w:p w14:paraId="2D3D1DFD" w14:textId="77777777" w:rsidR="00342E07" w:rsidRDefault="005356A1">
      <w:pPr>
        <w:pStyle w:val="BodyText"/>
        <w:spacing w:after="0" w:line="480" w:lineRule="auto"/>
        <w:rPr>
          <w:rFonts w:ascii="Courier New" w:hAnsi="Courier New"/>
          <w:sz w:val="18"/>
          <w:szCs w:val="18"/>
        </w:rPr>
      </w:pPr>
      <w:proofErr w:type="spellStart"/>
      <w:proofErr w:type="gramStart"/>
      <w:r>
        <w:rPr>
          <w:rFonts w:ascii="Courier New" w:hAnsi="Courier New"/>
          <w:sz w:val="18"/>
          <w:szCs w:val="18"/>
        </w:rPr>
        <w:t>allg</w:t>
      </w:r>
      <w:proofErr w:type="spellEnd"/>
      <w:proofErr w:type="gramEnd"/>
      <w:r>
        <w:rPr>
          <w:rFonts w:ascii="Courier New" w:hAnsi="Courier New"/>
          <w:sz w:val="18"/>
          <w:szCs w:val="18"/>
        </w:rPr>
        <w:t xml:space="preserve"> &lt;- sort(unique(</w:t>
      </w:r>
      <w:proofErr w:type="spellStart"/>
      <w:r>
        <w:rPr>
          <w:rFonts w:ascii="Courier New" w:hAnsi="Courier New"/>
          <w:sz w:val="18"/>
          <w:szCs w:val="18"/>
        </w:rPr>
        <w:t>unlist</w:t>
      </w:r>
      <w:proofErr w:type="spellEnd"/>
      <w:r>
        <w:rPr>
          <w:rFonts w:ascii="Courier New" w:hAnsi="Courier New"/>
          <w:sz w:val="18"/>
          <w:szCs w:val="18"/>
        </w:rPr>
        <w:t>(</w:t>
      </w:r>
      <w:proofErr w:type="spellStart"/>
      <w:r>
        <w:rPr>
          <w:rFonts w:ascii="Courier New" w:hAnsi="Courier New"/>
          <w:sz w:val="18"/>
          <w:szCs w:val="18"/>
        </w:rPr>
        <w:t>strsplit</w:t>
      </w:r>
      <w:proofErr w:type="spellEnd"/>
      <w:r>
        <w:rPr>
          <w:rFonts w:ascii="Courier New" w:hAnsi="Courier New"/>
          <w:sz w:val="18"/>
          <w:szCs w:val="18"/>
        </w:rPr>
        <w:t>(</w:t>
      </w:r>
      <w:proofErr w:type="spellStart"/>
      <w:r>
        <w:rPr>
          <w:rFonts w:ascii="Courier New" w:hAnsi="Courier New"/>
          <w:sz w:val="18"/>
          <w:szCs w:val="18"/>
        </w:rPr>
        <w:t>as.character</w:t>
      </w:r>
      <w:proofErr w:type="spellEnd"/>
      <w:r>
        <w:rPr>
          <w:rFonts w:ascii="Courier New" w:hAnsi="Courier New"/>
          <w:sz w:val="18"/>
          <w:szCs w:val="18"/>
        </w:rPr>
        <w:t>(</w:t>
      </w:r>
      <w:proofErr w:type="spellStart"/>
      <w:r>
        <w:rPr>
          <w:rFonts w:ascii="Courier New" w:hAnsi="Courier New"/>
          <w:sz w:val="18"/>
          <w:szCs w:val="18"/>
        </w:rPr>
        <w:t>datsumm$g</w:t>
      </w:r>
      <w:proofErr w:type="spellEnd"/>
      <w:r>
        <w:rPr>
          <w:rFonts w:ascii="Courier New" w:hAnsi="Courier New"/>
          <w:sz w:val="18"/>
          <w:szCs w:val="18"/>
        </w:rPr>
        <w:t>), "-"))))</w:t>
      </w:r>
    </w:p>
    <w:p w14:paraId="1CB442DC" w14:textId="77777777" w:rsidR="00342E07" w:rsidRDefault="00342E07">
      <w:pPr>
        <w:pStyle w:val="BodyText"/>
        <w:spacing w:after="0" w:line="480" w:lineRule="auto"/>
        <w:rPr>
          <w:rFonts w:ascii="Courier New" w:hAnsi="Courier New"/>
          <w:sz w:val="18"/>
          <w:szCs w:val="18"/>
        </w:rPr>
      </w:pPr>
    </w:p>
    <w:p w14:paraId="4A75C47E" w14:textId="77777777" w:rsidR="00342E07" w:rsidRDefault="005356A1">
      <w:pPr>
        <w:pStyle w:val="BodyText"/>
        <w:spacing w:after="0" w:line="480" w:lineRule="auto"/>
        <w:rPr>
          <w:rFonts w:ascii="Courier New" w:hAnsi="Courier New"/>
          <w:sz w:val="18"/>
          <w:szCs w:val="18"/>
        </w:rPr>
      </w:pPr>
      <w:r>
        <w:rPr>
          <w:rFonts w:ascii="Courier New" w:hAnsi="Courier New"/>
          <w:sz w:val="18"/>
          <w:szCs w:val="18"/>
        </w:rPr>
        <w:t>## draw the points on a unit circle</w:t>
      </w:r>
    </w:p>
    <w:p w14:paraId="22FFF60F" w14:textId="77777777" w:rsidR="00342E07" w:rsidRDefault="005356A1">
      <w:pPr>
        <w:pStyle w:val="BodyText"/>
        <w:spacing w:after="0" w:line="480" w:lineRule="auto"/>
        <w:rPr>
          <w:rFonts w:ascii="Courier New" w:hAnsi="Courier New"/>
          <w:sz w:val="18"/>
          <w:szCs w:val="18"/>
        </w:rPr>
      </w:pPr>
      <w:proofErr w:type="gramStart"/>
      <w:r>
        <w:rPr>
          <w:rFonts w:ascii="Courier New" w:hAnsi="Courier New"/>
          <w:sz w:val="18"/>
          <w:szCs w:val="18"/>
        </w:rPr>
        <w:t>angles</w:t>
      </w:r>
      <w:proofErr w:type="gramEnd"/>
      <w:r>
        <w:rPr>
          <w:rFonts w:ascii="Courier New" w:hAnsi="Courier New"/>
          <w:sz w:val="18"/>
          <w:szCs w:val="18"/>
        </w:rPr>
        <w:t xml:space="preserve"> &lt;- </w:t>
      </w:r>
      <w:proofErr w:type="spellStart"/>
      <w:r>
        <w:rPr>
          <w:rFonts w:ascii="Courier New" w:hAnsi="Courier New"/>
          <w:sz w:val="18"/>
          <w:szCs w:val="18"/>
        </w:rPr>
        <w:t>seq</w:t>
      </w:r>
      <w:proofErr w:type="spellEnd"/>
      <w:r>
        <w:rPr>
          <w:rFonts w:ascii="Courier New" w:hAnsi="Courier New"/>
          <w:sz w:val="18"/>
          <w:szCs w:val="18"/>
        </w:rPr>
        <w:t xml:space="preserve">(0, 2 * pi, </w:t>
      </w:r>
      <w:proofErr w:type="spellStart"/>
      <w:r>
        <w:rPr>
          <w:rFonts w:ascii="Courier New" w:hAnsi="Courier New"/>
          <w:sz w:val="18"/>
          <w:szCs w:val="18"/>
        </w:rPr>
        <w:t>length.out</w:t>
      </w:r>
      <w:proofErr w:type="spellEnd"/>
      <w:r>
        <w:rPr>
          <w:rFonts w:ascii="Courier New" w:hAnsi="Courier New"/>
          <w:sz w:val="18"/>
          <w:szCs w:val="18"/>
        </w:rPr>
        <w:t xml:space="preserve"> = length(</w:t>
      </w:r>
      <w:proofErr w:type="spellStart"/>
      <w:r>
        <w:rPr>
          <w:rFonts w:ascii="Courier New" w:hAnsi="Courier New"/>
          <w:sz w:val="18"/>
          <w:szCs w:val="18"/>
        </w:rPr>
        <w:t>allg</w:t>
      </w:r>
      <w:proofErr w:type="spellEnd"/>
      <w:r>
        <w:rPr>
          <w:rFonts w:ascii="Courier New" w:hAnsi="Courier New"/>
          <w:sz w:val="18"/>
          <w:szCs w:val="18"/>
        </w:rPr>
        <w:t>) + 1)</w:t>
      </w:r>
    </w:p>
    <w:p w14:paraId="508F6096" w14:textId="77777777" w:rsidR="00342E07" w:rsidRDefault="005356A1">
      <w:pPr>
        <w:pStyle w:val="BodyText"/>
        <w:spacing w:after="0" w:line="480" w:lineRule="auto"/>
        <w:rPr>
          <w:rFonts w:ascii="Courier New" w:hAnsi="Courier New"/>
          <w:sz w:val="18"/>
          <w:szCs w:val="18"/>
          <w:lang w:val="fr-CH"/>
        </w:rPr>
      </w:pPr>
      <w:r>
        <w:rPr>
          <w:rFonts w:ascii="Courier New" w:hAnsi="Courier New"/>
          <w:sz w:val="18"/>
          <w:szCs w:val="18"/>
          <w:lang w:val="fr-CH"/>
        </w:rPr>
        <w:t>angles &lt;- angles[angles != 2*pi]</w:t>
      </w:r>
    </w:p>
    <w:p w14:paraId="27792ABE" w14:textId="77777777" w:rsidR="00342E07" w:rsidRDefault="005356A1">
      <w:pPr>
        <w:pStyle w:val="BodyText"/>
        <w:spacing w:after="0" w:line="480" w:lineRule="auto"/>
        <w:rPr>
          <w:rFonts w:ascii="Courier New" w:hAnsi="Courier New"/>
          <w:sz w:val="18"/>
          <w:szCs w:val="18"/>
          <w:lang w:val="fr-CH"/>
        </w:rPr>
      </w:pPr>
      <w:r>
        <w:rPr>
          <w:rFonts w:ascii="Courier New" w:hAnsi="Courier New"/>
          <w:sz w:val="18"/>
          <w:szCs w:val="18"/>
          <w:lang w:val="fr-CH"/>
        </w:rPr>
        <w:t>x &lt;- cos(angles)</w:t>
      </w:r>
    </w:p>
    <w:p w14:paraId="6E69831A" w14:textId="77777777" w:rsidR="00342E07" w:rsidRDefault="005356A1">
      <w:pPr>
        <w:pStyle w:val="BodyText"/>
        <w:spacing w:after="0" w:line="480" w:lineRule="auto"/>
        <w:rPr>
          <w:rFonts w:ascii="Courier New" w:hAnsi="Courier New"/>
          <w:sz w:val="18"/>
          <w:szCs w:val="18"/>
        </w:rPr>
      </w:pPr>
      <w:r>
        <w:rPr>
          <w:rFonts w:ascii="Courier New" w:hAnsi="Courier New"/>
          <w:sz w:val="18"/>
          <w:szCs w:val="18"/>
        </w:rPr>
        <w:t xml:space="preserve">y &lt;- </w:t>
      </w:r>
      <w:proofErr w:type="gramStart"/>
      <w:r>
        <w:rPr>
          <w:rFonts w:ascii="Courier New" w:hAnsi="Courier New"/>
          <w:sz w:val="18"/>
          <w:szCs w:val="18"/>
        </w:rPr>
        <w:t>sin(</w:t>
      </w:r>
      <w:proofErr w:type="gramEnd"/>
      <w:r>
        <w:rPr>
          <w:rFonts w:ascii="Courier New" w:hAnsi="Courier New"/>
          <w:sz w:val="18"/>
          <w:szCs w:val="18"/>
        </w:rPr>
        <w:t>angles)</w:t>
      </w:r>
    </w:p>
    <w:p w14:paraId="60D7729B" w14:textId="77777777" w:rsidR="00342E07" w:rsidRDefault="00342E07">
      <w:pPr>
        <w:pStyle w:val="BodyText"/>
        <w:spacing w:after="0" w:line="480" w:lineRule="auto"/>
        <w:rPr>
          <w:rFonts w:ascii="Courier New" w:hAnsi="Courier New"/>
          <w:sz w:val="18"/>
          <w:szCs w:val="18"/>
        </w:rPr>
      </w:pPr>
    </w:p>
    <w:p w14:paraId="44548F62" w14:textId="77777777" w:rsidR="00342E07" w:rsidRDefault="005356A1">
      <w:pPr>
        <w:pStyle w:val="BodyText"/>
        <w:spacing w:after="0" w:line="480" w:lineRule="auto"/>
        <w:rPr>
          <w:rFonts w:ascii="Courier New" w:hAnsi="Courier New"/>
          <w:sz w:val="18"/>
          <w:szCs w:val="18"/>
        </w:rPr>
      </w:pPr>
      <w:r>
        <w:rPr>
          <w:rFonts w:ascii="Courier New" w:hAnsi="Courier New"/>
          <w:sz w:val="18"/>
          <w:szCs w:val="18"/>
        </w:rPr>
        <w:t xml:space="preserve"># </w:t>
      </w:r>
      <w:proofErr w:type="gramStart"/>
      <w:r>
        <w:rPr>
          <w:rFonts w:ascii="Courier New" w:hAnsi="Courier New"/>
          <w:sz w:val="18"/>
          <w:szCs w:val="18"/>
        </w:rPr>
        <w:t>reorder</w:t>
      </w:r>
      <w:proofErr w:type="gramEnd"/>
      <w:r>
        <w:rPr>
          <w:rFonts w:ascii="Courier New" w:hAnsi="Courier New"/>
          <w:sz w:val="18"/>
          <w:szCs w:val="18"/>
        </w:rPr>
        <w:t xml:space="preserve"> summary dataset (this rearranges the groups in the plot, because the first listed is the innermost drawn, and so on out to the last listed being the outermost, or however you wish)</w:t>
      </w:r>
    </w:p>
    <w:p w14:paraId="7B0D6BBA" w14:textId="77777777" w:rsidR="00342E07" w:rsidRDefault="005356A1">
      <w:pPr>
        <w:pStyle w:val="BodyText"/>
        <w:spacing w:after="0" w:line="480" w:lineRule="auto"/>
        <w:rPr>
          <w:rFonts w:ascii="Courier New" w:hAnsi="Courier New"/>
          <w:sz w:val="18"/>
          <w:szCs w:val="18"/>
        </w:rPr>
      </w:pPr>
      <w:r>
        <w:rPr>
          <w:rFonts w:ascii="Courier New" w:hAnsi="Courier New"/>
          <w:sz w:val="18"/>
          <w:szCs w:val="18"/>
        </w:rPr>
        <w:t>#</w:t>
      </w:r>
      <w:proofErr w:type="spellStart"/>
      <w:r>
        <w:rPr>
          <w:rFonts w:ascii="Courier New" w:hAnsi="Courier New"/>
          <w:sz w:val="18"/>
          <w:szCs w:val="18"/>
        </w:rPr>
        <w:t>datsumm</w:t>
      </w:r>
      <w:proofErr w:type="spellEnd"/>
      <w:r>
        <w:rPr>
          <w:rFonts w:ascii="Courier New" w:hAnsi="Courier New"/>
          <w:sz w:val="18"/>
          <w:szCs w:val="18"/>
        </w:rPr>
        <w:t xml:space="preserve"> &lt;- </w:t>
      </w:r>
      <w:proofErr w:type="spellStart"/>
      <w:proofErr w:type="gramStart"/>
      <w:r>
        <w:rPr>
          <w:rFonts w:ascii="Courier New" w:hAnsi="Courier New"/>
          <w:sz w:val="18"/>
          <w:szCs w:val="18"/>
        </w:rPr>
        <w:t>datsumm</w:t>
      </w:r>
      <w:proofErr w:type="spellEnd"/>
      <w:r>
        <w:rPr>
          <w:rFonts w:ascii="Courier New" w:hAnsi="Courier New"/>
          <w:sz w:val="18"/>
          <w:szCs w:val="18"/>
        </w:rPr>
        <w:t>[</w:t>
      </w:r>
      <w:proofErr w:type="gramEnd"/>
      <w:r>
        <w:rPr>
          <w:rFonts w:ascii="Courier New" w:hAnsi="Courier New"/>
          <w:sz w:val="18"/>
          <w:szCs w:val="18"/>
        </w:rPr>
        <w:t>8:1, ]</w:t>
      </w:r>
    </w:p>
    <w:p w14:paraId="4CEAC990" w14:textId="77777777" w:rsidR="00342E07" w:rsidRDefault="00342E07">
      <w:pPr>
        <w:pStyle w:val="BodyText"/>
        <w:spacing w:after="0" w:line="480" w:lineRule="auto"/>
        <w:rPr>
          <w:rFonts w:ascii="Courier New" w:hAnsi="Courier New"/>
          <w:sz w:val="18"/>
          <w:szCs w:val="18"/>
        </w:rPr>
      </w:pPr>
    </w:p>
    <w:p w14:paraId="6643710D" w14:textId="77777777" w:rsidR="00342E07" w:rsidRDefault="005356A1">
      <w:pPr>
        <w:pStyle w:val="BodyText"/>
        <w:spacing w:after="0" w:line="480" w:lineRule="auto"/>
        <w:rPr>
          <w:rFonts w:ascii="Courier New" w:hAnsi="Courier New"/>
          <w:sz w:val="18"/>
          <w:szCs w:val="18"/>
        </w:rPr>
      </w:pPr>
      <w:proofErr w:type="gramStart"/>
      <w:r>
        <w:rPr>
          <w:rFonts w:ascii="Courier New" w:hAnsi="Courier New"/>
          <w:sz w:val="18"/>
          <w:szCs w:val="18"/>
        </w:rPr>
        <w:t>loops</w:t>
      </w:r>
      <w:proofErr w:type="gramEnd"/>
      <w:r>
        <w:rPr>
          <w:rFonts w:ascii="Courier New" w:hAnsi="Courier New"/>
          <w:sz w:val="18"/>
          <w:szCs w:val="18"/>
        </w:rPr>
        <w:t xml:space="preserve"> &lt;- NULL</w:t>
      </w:r>
    </w:p>
    <w:p w14:paraId="4454F476" w14:textId="77777777" w:rsidR="00342E07" w:rsidRDefault="005356A1">
      <w:pPr>
        <w:pStyle w:val="BodyText"/>
        <w:spacing w:after="0" w:line="480" w:lineRule="auto"/>
        <w:rPr>
          <w:rFonts w:ascii="Courier New" w:hAnsi="Courier New"/>
          <w:sz w:val="18"/>
          <w:szCs w:val="18"/>
        </w:rPr>
      </w:pPr>
      <w:proofErr w:type="gramStart"/>
      <w:r>
        <w:rPr>
          <w:rFonts w:ascii="Courier New" w:hAnsi="Courier New"/>
          <w:sz w:val="18"/>
          <w:szCs w:val="18"/>
        </w:rPr>
        <w:t>for(</w:t>
      </w:r>
      <w:proofErr w:type="spellStart"/>
      <w:proofErr w:type="gramEnd"/>
      <w:r>
        <w:rPr>
          <w:rFonts w:ascii="Courier New" w:hAnsi="Courier New"/>
          <w:sz w:val="18"/>
          <w:szCs w:val="18"/>
        </w:rPr>
        <w:t>i</w:t>
      </w:r>
      <w:proofErr w:type="spellEnd"/>
      <w:r>
        <w:rPr>
          <w:rFonts w:ascii="Courier New" w:hAnsi="Courier New"/>
          <w:sz w:val="18"/>
          <w:szCs w:val="18"/>
        </w:rPr>
        <w:t xml:space="preserve"> in 1:nrow(g)){</w:t>
      </w:r>
    </w:p>
    <w:p w14:paraId="0A332C8F" w14:textId="77777777" w:rsidR="00342E07" w:rsidRDefault="005356A1">
      <w:pPr>
        <w:pStyle w:val="BodyText"/>
        <w:spacing w:after="0" w:line="480" w:lineRule="auto"/>
        <w:rPr>
          <w:rFonts w:ascii="Courier New" w:hAnsi="Courier New"/>
          <w:sz w:val="18"/>
          <w:szCs w:val="18"/>
        </w:rPr>
      </w:pPr>
      <w:r>
        <w:rPr>
          <w:rFonts w:ascii="Courier New" w:hAnsi="Courier New"/>
          <w:sz w:val="18"/>
          <w:szCs w:val="18"/>
        </w:rPr>
        <w:t xml:space="preserve">  </w:t>
      </w:r>
      <w:proofErr w:type="spellStart"/>
      <w:r>
        <w:rPr>
          <w:rFonts w:ascii="Courier New" w:hAnsi="Courier New"/>
          <w:sz w:val="18"/>
          <w:szCs w:val="18"/>
        </w:rPr>
        <w:t>this.g</w:t>
      </w:r>
      <w:proofErr w:type="spellEnd"/>
      <w:r>
        <w:rPr>
          <w:rFonts w:ascii="Courier New" w:hAnsi="Courier New"/>
          <w:sz w:val="18"/>
          <w:szCs w:val="18"/>
        </w:rPr>
        <w:t xml:space="preserve"> &lt;- </w:t>
      </w:r>
      <w:proofErr w:type="gramStart"/>
      <w:r>
        <w:rPr>
          <w:rFonts w:ascii="Courier New" w:hAnsi="Courier New"/>
          <w:sz w:val="18"/>
          <w:szCs w:val="18"/>
        </w:rPr>
        <w:t>which(</w:t>
      </w:r>
      <w:proofErr w:type="spellStart"/>
      <w:proofErr w:type="gramEnd"/>
      <w:r>
        <w:rPr>
          <w:rFonts w:ascii="Courier New" w:hAnsi="Courier New"/>
          <w:sz w:val="18"/>
          <w:szCs w:val="18"/>
        </w:rPr>
        <w:t>allg</w:t>
      </w:r>
      <w:proofErr w:type="spellEnd"/>
      <w:r>
        <w:rPr>
          <w:rFonts w:ascii="Courier New" w:hAnsi="Courier New"/>
          <w:sz w:val="18"/>
          <w:szCs w:val="18"/>
        </w:rPr>
        <w:t xml:space="preserve"> %in% </w:t>
      </w:r>
      <w:proofErr w:type="spellStart"/>
      <w:r>
        <w:rPr>
          <w:rFonts w:ascii="Courier New" w:hAnsi="Courier New"/>
          <w:sz w:val="18"/>
          <w:szCs w:val="18"/>
        </w:rPr>
        <w:t>unlist</w:t>
      </w:r>
      <w:proofErr w:type="spellEnd"/>
      <w:r>
        <w:rPr>
          <w:rFonts w:ascii="Courier New" w:hAnsi="Courier New"/>
          <w:sz w:val="18"/>
          <w:szCs w:val="18"/>
        </w:rPr>
        <w:t>(</w:t>
      </w:r>
      <w:proofErr w:type="spellStart"/>
      <w:r>
        <w:rPr>
          <w:rFonts w:ascii="Courier New" w:hAnsi="Courier New"/>
          <w:sz w:val="18"/>
          <w:szCs w:val="18"/>
        </w:rPr>
        <w:t>strsplit</w:t>
      </w:r>
      <w:proofErr w:type="spellEnd"/>
      <w:r>
        <w:rPr>
          <w:rFonts w:ascii="Courier New" w:hAnsi="Courier New"/>
          <w:sz w:val="18"/>
          <w:szCs w:val="18"/>
        </w:rPr>
        <w:t>(</w:t>
      </w:r>
      <w:proofErr w:type="spellStart"/>
      <w:r>
        <w:rPr>
          <w:rFonts w:ascii="Courier New" w:hAnsi="Courier New"/>
          <w:sz w:val="18"/>
          <w:szCs w:val="18"/>
        </w:rPr>
        <w:t>as.character</w:t>
      </w:r>
      <w:proofErr w:type="spellEnd"/>
      <w:r>
        <w:rPr>
          <w:rFonts w:ascii="Courier New" w:hAnsi="Courier New"/>
          <w:sz w:val="18"/>
          <w:szCs w:val="18"/>
        </w:rPr>
        <w:t>(</w:t>
      </w:r>
      <w:proofErr w:type="spellStart"/>
      <w:r>
        <w:rPr>
          <w:rFonts w:ascii="Courier New" w:hAnsi="Courier New"/>
          <w:sz w:val="18"/>
          <w:szCs w:val="18"/>
        </w:rPr>
        <w:t>datsumm$g</w:t>
      </w:r>
      <w:proofErr w:type="spellEnd"/>
      <w:r>
        <w:rPr>
          <w:rFonts w:ascii="Courier New" w:hAnsi="Courier New"/>
          <w:sz w:val="18"/>
          <w:szCs w:val="18"/>
        </w:rPr>
        <w:t>[</w:t>
      </w:r>
      <w:proofErr w:type="spellStart"/>
      <w:r>
        <w:rPr>
          <w:rFonts w:ascii="Courier New" w:hAnsi="Courier New"/>
          <w:sz w:val="18"/>
          <w:szCs w:val="18"/>
        </w:rPr>
        <w:t>i</w:t>
      </w:r>
      <w:proofErr w:type="spellEnd"/>
      <w:r>
        <w:rPr>
          <w:rFonts w:ascii="Courier New" w:hAnsi="Courier New"/>
          <w:sz w:val="18"/>
          <w:szCs w:val="18"/>
        </w:rPr>
        <w:t>]), "-")))</w:t>
      </w:r>
    </w:p>
    <w:p w14:paraId="68412DAF" w14:textId="77777777" w:rsidR="00342E07" w:rsidRDefault="005356A1">
      <w:pPr>
        <w:pStyle w:val="BodyText"/>
        <w:spacing w:after="0" w:line="480" w:lineRule="auto"/>
        <w:rPr>
          <w:rFonts w:ascii="Courier New" w:hAnsi="Courier New"/>
          <w:sz w:val="18"/>
          <w:szCs w:val="18"/>
        </w:rPr>
      </w:pPr>
      <w:r>
        <w:rPr>
          <w:rFonts w:ascii="Courier New" w:hAnsi="Courier New"/>
          <w:sz w:val="18"/>
          <w:szCs w:val="18"/>
        </w:rPr>
        <w:t xml:space="preserve">  r &lt;- </w:t>
      </w:r>
      <w:proofErr w:type="spellStart"/>
      <w:r>
        <w:rPr>
          <w:rFonts w:ascii="Courier New" w:hAnsi="Courier New"/>
          <w:sz w:val="18"/>
          <w:szCs w:val="18"/>
        </w:rPr>
        <w:t>i</w:t>
      </w:r>
      <w:proofErr w:type="spellEnd"/>
      <w:r>
        <w:rPr>
          <w:rFonts w:ascii="Courier New" w:hAnsi="Courier New"/>
          <w:sz w:val="18"/>
          <w:szCs w:val="18"/>
        </w:rPr>
        <w:t xml:space="preserve"> / 2 + </w:t>
      </w:r>
      <w:proofErr w:type="spellStart"/>
      <w:proofErr w:type="gramStart"/>
      <w:r>
        <w:rPr>
          <w:rFonts w:ascii="Courier New" w:hAnsi="Courier New"/>
          <w:sz w:val="18"/>
          <w:szCs w:val="18"/>
        </w:rPr>
        <w:t>nrow</w:t>
      </w:r>
      <w:proofErr w:type="spellEnd"/>
      <w:r>
        <w:rPr>
          <w:rFonts w:ascii="Courier New" w:hAnsi="Courier New"/>
          <w:sz w:val="18"/>
          <w:szCs w:val="18"/>
        </w:rPr>
        <w:t>(</w:t>
      </w:r>
      <w:proofErr w:type="spellStart"/>
      <w:proofErr w:type="gramEnd"/>
      <w:r>
        <w:rPr>
          <w:rFonts w:ascii="Courier New" w:hAnsi="Courier New"/>
          <w:sz w:val="18"/>
          <w:szCs w:val="18"/>
        </w:rPr>
        <w:t>datsumm</w:t>
      </w:r>
      <w:proofErr w:type="spellEnd"/>
      <w:r>
        <w:rPr>
          <w:rFonts w:ascii="Courier New" w:hAnsi="Courier New"/>
          <w:sz w:val="18"/>
          <w:szCs w:val="18"/>
        </w:rPr>
        <w:t>)/2</w:t>
      </w:r>
    </w:p>
    <w:p w14:paraId="27827435" w14:textId="77777777" w:rsidR="00342E07" w:rsidRDefault="005356A1">
      <w:pPr>
        <w:pStyle w:val="BodyText"/>
        <w:spacing w:after="0" w:line="480" w:lineRule="auto"/>
        <w:rPr>
          <w:rFonts w:ascii="Courier New" w:hAnsi="Courier New"/>
          <w:sz w:val="18"/>
          <w:szCs w:val="18"/>
        </w:rPr>
      </w:pPr>
      <w:r>
        <w:rPr>
          <w:rFonts w:ascii="Courier New" w:hAnsi="Courier New"/>
          <w:sz w:val="18"/>
          <w:szCs w:val="18"/>
        </w:rPr>
        <w:t xml:space="preserve">  </w:t>
      </w:r>
      <w:proofErr w:type="spellStart"/>
      <w:r>
        <w:rPr>
          <w:rFonts w:ascii="Courier New" w:hAnsi="Courier New"/>
          <w:sz w:val="18"/>
          <w:szCs w:val="18"/>
        </w:rPr>
        <w:t>this.loop</w:t>
      </w:r>
      <w:proofErr w:type="spellEnd"/>
      <w:r>
        <w:rPr>
          <w:rFonts w:ascii="Courier New" w:hAnsi="Courier New"/>
          <w:sz w:val="18"/>
          <w:szCs w:val="18"/>
        </w:rPr>
        <w:t xml:space="preserve"> &lt;- </w:t>
      </w:r>
      <w:proofErr w:type="spellStart"/>
      <w:proofErr w:type="gramStart"/>
      <w:r>
        <w:rPr>
          <w:rFonts w:ascii="Courier New" w:hAnsi="Courier New"/>
          <w:sz w:val="18"/>
          <w:szCs w:val="18"/>
        </w:rPr>
        <w:t>data.frame</w:t>
      </w:r>
      <w:proofErr w:type="spellEnd"/>
      <w:r>
        <w:rPr>
          <w:rFonts w:ascii="Courier New" w:hAnsi="Courier New"/>
          <w:sz w:val="18"/>
          <w:szCs w:val="18"/>
        </w:rPr>
        <w:t>(</w:t>
      </w:r>
      <w:proofErr w:type="gramEnd"/>
      <w:r>
        <w:rPr>
          <w:rFonts w:ascii="Courier New" w:hAnsi="Courier New"/>
          <w:sz w:val="18"/>
          <w:szCs w:val="18"/>
        </w:rPr>
        <w:t xml:space="preserve">cohorts = </w:t>
      </w:r>
      <w:proofErr w:type="spellStart"/>
      <w:r>
        <w:rPr>
          <w:rFonts w:ascii="Courier New" w:hAnsi="Courier New"/>
          <w:sz w:val="18"/>
          <w:szCs w:val="18"/>
        </w:rPr>
        <w:t>i</w:t>
      </w:r>
      <w:proofErr w:type="spellEnd"/>
      <w:r>
        <w:rPr>
          <w:rFonts w:ascii="Courier New" w:hAnsi="Courier New"/>
          <w:sz w:val="18"/>
          <w:szCs w:val="18"/>
        </w:rPr>
        <w:t>, x = r * x[</w:t>
      </w:r>
      <w:proofErr w:type="spellStart"/>
      <w:r>
        <w:rPr>
          <w:rFonts w:ascii="Courier New" w:hAnsi="Courier New"/>
          <w:sz w:val="18"/>
          <w:szCs w:val="18"/>
        </w:rPr>
        <w:t>this.g</w:t>
      </w:r>
      <w:proofErr w:type="spellEnd"/>
      <w:r>
        <w:rPr>
          <w:rFonts w:ascii="Courier New" w:hAnsi="Courier New"/>
          <w:sz w:val="18"/>
          <w:szCs w:val="18"/>
        </w:rPr>
        <w:t>], y = r * y[</w:t>
      </w:r>
      <w:proofErr w:type="spellStart"/>
      <w:r>
        <w:rPr>
          <w:rFonts w:ascii="Courier New" w:hAnsi="Courier New"/>
          <w:sz w:val="18"/>
          <w:szCs w:val="18"/>
        </w:rPr>
        <w:t>this.g</w:t>
      </w:r>
      <w:proofErr w:type="spellEnd"/>
      <w:r>
        <w:rPr>
          <w:rFonts w:ascii="Courier New" w:hAnsi="Courier New"/>
          <w:sz w:val="18"/>
          <w:szCs w:val="18"/>
        </w:rPr>
        <w:t xml:space="preserve">], </w:t>
      </w:r>
    </w:p>
    <w:p w14:paraId="52B0E2BB" w14:textId="77777777" w:rsidR="00342E07" w:rsidRDefault="005356A1">
      <w:pPr>
        <w:pStyle w:val="BodyText"/>
        <w:spacing w:after="0" w:line="480" w:lineRule="auto"/>
        <w:rPr>
          <w:rFonts w:ascii="Courier New" w:hAnsi="Courier New"/>
          <w:sz w:val="18"/>
          <w:szCs w:val="18"/>
        </w:rPr>
      </w:pPr>
      <w:r>
        <w:rPr>
          <w:rFonts w:ascii="Courier New" w:hAnsi="Courier New"/>
          <w:sz w:val="18"/>
          <w:szCs w:val="18"/>
        </w:rPr>
        <w:t xml:space="preserve">                          </w:t>
      </w:r>
      <w:proofErr w:type="spellStart"/>
      <w:proofErr w:type="gramStart"/>
      <w:r>
        <w:rPr>
          <w:rFonts w:ascii="Courier New" w:hAnsi="Courier New"/>
          <w:sz w:val="18"/>
          <w:szCs w:val="18"/>
        </w:rPr>
        <w:t>nms</w:t>
      </w:r>
      <w:proofErr w:type="spellEnd"/>
      <w:proofErr w:type="gramEnd"/>
      <w:r>
        <w:rPr>
          <w:rFonts w:ascii="Courier New" w:hAnsi="Courier New"/>
          <w:sz w:val="18"/>
          <w:szCs w:val="18"/>
        </w:rPr>
        <w:t xml:space="preserve"> = </w:t>
      </w:r>
      <w:proofErr w:type="spellStart"/>
      <w:r>
        <w:rPr>
          <w:rFonts w:ascii="Courier New" w:hAnsi="Courier New"/>
          <w:sz w:val="18"/>
          <w:szCs w:val="18"/>
        </w:rPr>
        <w:t>allg</w:t>
      </w:r>
      <w:proofErr w:type="spellEnd"/>
      <w:r>
        <w:rPr>
          <w:rFonts w:ascii="Courier New" w:hAnsi="Courier New"/>
          <w:sz w:val="18"/>
          <w:szCs w:val="18"/>
        </w:rPr>
        <w:t>[</w:t>
      </w:r>
      <w:proofErr w:type="spellStart"/>
      <w:r>
        <w:rPr>
          <w:rFonts w:ascii="Courier New" w:hAnsi="Courier New"/>
          <w:sz w:val="18"/>
          <w:szCs w:val="18"/>
        </w:rPr>
        <w:t>this.g</w:t>
      </w:r>
      <w:proofErr w:type="spellEnd"/>
      <w:r>
        <w:rPr>
          <w:rFonts w:ascii="Courier New" w:hAnsi="Courier New"/>
          <w:sz w:val="18"/>
          <w:szCs w:val="18"/>
        </w:rPr>
        <w:t xml:space="preserve">], n = </w:t>
      </w:r>
      <w:proofErr w:type="spellStart"/>
      <w:r>
        <w:rPr>
          <w:rFonts w:ascii="Courier New" w:hAnsi="Courier New"/>
          <w:sz w:val="18"/>
          <w:szCs w:val="18"/>
        </w:rPr>
        <w:t>datsumm$n</w:t>
      </w:r>
      <w:proofErr w:type="spellEnd"/>
      <w:r>
        <w:rPr>
          <w:rFonts w:ascii="Courier New" w:hAnsi="Courier New"/>
          <w:sz w:val="18"/>
          <w:szCs w:val="18"/>
        </w:rPr>
        <w:t>[</w:t>
      </w:r>
      <w:proofErr w:type="spellStart"/>
      <w:r>
        <w:rPr>
          <w:rFonts w:ascii="Courier New" w:hAnsi="Courier New"/>
          <w:sz w:val="18"/>
          <w:szCs w:val="18"/>
        </w:rPr>
        <w:t>i</w:t>
      </w:r>
      <w:proofErr w:type="spellEnd"/>
      <w:r>
        <w:rPr>
          <w:rFonts w:ascii="Courier New" w:hAnsi="Courier New"/>
          <w:sz w:val="18"/>
          <w:szCs w:val="18"/>
        </w:rPr>
        <w:t xml:space="preserve">], deaths = </w:t>
      </w:r>
      <w:proofErr w:type="spellStart"/>
      <w:r>
        <w:rPr>
          <w:rFonts w:ascii="Courier New" w:hAnsi="Courier New"/>
          <w:sz w:val="18"/>
          <w:szCs w:val="18"/>
        </w:rPr>
        <w:t>datsumm$d</w:t>
      </w:r>
      <w:proofErr w:type="spellEnd"/>
      <w:r>
        <w:rPr>
          <w:rFonts w:ascii="Courier New" w:hAnsi="Courier New"/>
          <w:sz w:val="18"/>
          <w:szCs w:val="18"/>
        </w:rPr>
        <w:t>[</w:t>
      </w:r>
      <w:proofErr w:type="spellStart"/>
      <w:r>
        <w:rPr>
          <w:rFonts w:ascii="Courier New" w:hAnsi="Courier New"/>
          <w:sz w:val="18"/>
          <w:szCs w:val="18"/>
        </w:rPr>
        <w:t>i</w:t>
      </w:r>
      <w:proofErr w:type="spellEnd"/>
      <w:r>
        <w:rPr>
          <w:rFonts w:ascii="Courier New" w:hAnsi="Courier New"/>
          <w:sz w:val="18"/>
          <w:szCs w:val="18"/>
        </w:rPr>
        <w:t>])</w:t>
      </w:r>
    </w:p>
    <w:p w14:paraId="66F6F2BA" w14:textId="77777777" w:rsidR="00342E07" w:rsidRDefault="005356A1">
      <w:pPr>
        <w:pStyle w:val="BodyText"/>
        <w:spacing w:after="0" w:line="480" w:lineRule="auto"/>
        <w:rPr>
          <w:rFonts w:ascii="Courier New" w:hAnsi="Courier New"/>
          <w:sz w:val="18"/>
          <w:szCs w:val="18"/>
        </w:rPr>
      </w:pPr>
      <w:r>
        <w:rPr>
          <w:rFonts w:ascii="Courier New" w:hAnsi="Courier New"/>
          <w:sz w:val="18"/>
          <w:szCs w:val="18"/>
        </w:rPr>
        <w:t xml:space="preserve">  </w:t>
      </w:r>
      <w:proofErr w:type="gramStart"/>
      <w:r>
        <w:rPr>
          <w:rFonts w:ascii="Courier New" w:hAnsi="Courier New"/>
          <w:sz w:val="18"/>
          <w:szCs w:val="18"/>
        </w:rPr>
        <w:t>loops</w:t>
      </w:r>
      <w:proofErr w:type="gramEnd"/>
      <w:r>
        <w:rPr>
          <w:rFonts w:ascii="Courier New" w:hAnsi="Courier New"/>
          <w:sz w:val="18"/>
          <w:szCs w:val="18"/>
        </w:rPr>
        <w:t xml:space="preserve"> &lt;- </w:t>
      </w:r>
      <w:proofErr w:type="spellStart"/>
      <w:r>
        <w:rPr>
          <w:rFonts w:ascii="Courier New" w:hAnsi="Courier New"/>
          <w:sz w:val="18"/>
          <w:szCs w:val="18"/>
        </w:rPr>
        <w:t>rbind</w:t>
      </w:r>
      <w:proofErr w:type="spellEnd"/>
      <w:r>
        <w:rPr>
          <w:rFonts w:ascii="Courier New" w:hAnsi="Courier New"/>
          <w:sz w:val="18"/>
          <w:szCs w:val="18"/>
        </w:rPr>
        <w:t xml:space="preserve">(loops, </w:t>
      </w:r>
      <w:proofErr w:type="spellStart"/>
      <w:r>
        <w:rPr>
          <w:rFonts w:ascii="Courier New" w:hAnsi="Courier New"/>
          <w:sz w:val="18"/>
          <w:szCs w:val="18"/>
        </w:rPr>
        <w:t>this.loop</w:t>
      </w:r>
      <w:proofErr w:type="spellEnd"/>
      <w:r>
        <w:rPr>
          <w:rFonts w:ascii="Courier New" w:hAnsi="Courier New"/>
          <w:sz w:val="18"/>
          <w:szCs w:val="18"/>
        </w:rPr>
        <w:t>)</w:t>
      </w:r>
    </w:p>
    <w:p w14:paraId="2ACABEC3" w14:textId="77777777" w:rsidR="00342E07" w:rsidRDefault="005356A1">
      <w:pPr>
        <w:pStyle w:val="BodyText"/>
        <w:spacing w:after="0" w:line="480" w:lineRule="auto"/>
        <w:rPr>
          <w:rFonts w:ascii="Courier New" w:hAnsi="Courier New"/>
          <w:sz w:val="18"/>
          <w:szCs w:val="18"/>
        </w:rPr>
      </w:pPr>
      <w:r>
        <w:rPr>
          <w:rFonts w:ascii="Courier New" w:hAnsi="Courier New"/>
          <w:sz w:val="18"/>
          <w:szCs w:val="18"/>
        </w:rPr>
        <w:t>}</w:t>
      </w:r>
    </w:p>
    <w:p w14:paraId="3F04F59D" w14:textId="77777777" w:rsidR="00342E07" w:rsidRDefault="005356A1">
      <w:pPr>
        <w:pStyle w:val="BodyText"/>
        <w:spacing w:after="0" w:line="480" w:lineRule="auto"/>
        <w:rPr>
          <w:rFonts w:ascii="Courier New" w:hAnsi="Courier New"/>
          <w:sz w:val="18"/>
          <w:szCs w:val="18"/>
        </w:rPr>
      </w:pPr>
      <w:proofErr w:type="spellStart"/>
      <w:proofErr w:type="gramStart"/>
      <w:r>
        <w:rPr>
          <w:rFonts w:ascii="Courier New" w:hAnsi="Courier New"/>
          <w:sz w:val="18"/>
          <w:szCs w:val="18"/>
        </w:rPr>
        <w:t>loops$</w:t>
      </w:r>
      <w:proofErr w:type="gramEnd"/>
      <w:r>
        <w:rPr>
          <w:rFonts w:ascii="Courier New" w:hAnsi="Courier New"/>
          <w:sz w:val="18"/>
          <w:szCs w:val="18"/>
        </w:rPr>
        <w:t>cohorts</w:t>
      </w:r>
      <w:proofErr w:type="spellEnd"/>
      <w:r>
        <w:rPr>
          <w:rFonts w:ascii="Courier New" w:hAnsi="Courier New"/>
          <w:sz w:val="18"/>
          <w:szCs w:val="18"/>
        </w:rPr>
        <w:t xml:space="preserve"> &lt;- factor(</w:t>
      </w:r>
      <w:proofErr w:type="spellStart"/>
      <w:r>
        <w:rPr>
          <w:rFonts w:ascii="Courier New" w:hAnsi="Courier New"/>
          <w:sz w:val="18"/>
          <w:szCs w:val="18"/>
        </w:rPr>
        <w:t>loops$cohorts</w:t>
      </w:r>
      <w:proofErr w:type="spellEnd"/>
      <w:r>
        <w:rPr>
          <w:rFonts w:ascii="Courier New" w:hAnsi="Courier New"/>
          <w:sz w:val="18"/>
          <w:szCs w:val="18"/>
        </w:rPr>
        <w:t>)</w:t>
      </w:r>
    </w:p>
    <w:p w14:paraId="3C4F5968" w14:textId="77777777" w:rsidR="00342E07" w:rsidRDefault="005356A1">
      <w:pPr>
        <w:pStyle w:val="BodyText"/>
        <w:spacing w:after="0" w:line="480" w:lineRule="auto"/>
        <w:rPr>
          <w:rFonts w:ascii="Courier New" w:hAnsi="Courier New"/>
          <w:sz w:val="18"/>
          <w:szCs w:val="18"/>
        </w:rPr>
      </w:pPr>
      <w:proofErr w:type="spellStart"/>
      <w:proofErr w:type="gramStart"/>
      <w:r>
        <w:rPr>
          <w:rFonts w:ascii="Courier New" w:hAnsi="Courier New"/>
          <w:sz w:val="18"/>
          <w:szCs w:val="18"/>
        </w:rPr>
        <w:t>loops$</w:t>
      </w:r>
      <w:proofErr w:type="gramEnd"/>
      <w:r>
        <w:rPr>
          <w:rFonts w:ascii="Courier New" w:hAnsi="Courier New"/>
          <w:sz w:val="18"/>
          <w:szCs w:val="18"/>
        </w:rPr>
        <w:t>nms</w:t>
      </w:r>
      <w:proofErr w:type="spellEnd"/>
      <w:r>
        <w:rPr>
          <w:rFonts w:ascii="Courier New" w:hAnsi="Courier New"/>
          <w:sz w:val="18"/>
          <w:szCs w:val="18"/>
        </w:rPr>
        <w:t xml:space="preserve"> &lt;- </w:t>
      </w:r>
      <w:proofErr w:type="spellStart"/>
      <w:r>
        <w:rPr>
          <w:rFonts w:ascii="Courier New" w:hAnsi="Courier New"/>
          <w:sz w:val="18"/>
          <w:szCs w:val="18"/>
        </w:rPr>
        <w:t>as.character</w:t>
      </w:r>
      <w:proofErr w:type="spellEnd"/>
      <w:r>
        <w:rPr>
          <w:rFonts w:ascii="Courier New" w:hAnsi="Courier New"/>
          <w:sz w:val="18"/>
          <w:szCs w:val="18"/>
        </w:rPr>
        <w:t>(</w:t>
      </w:r>
      <w:proofErr w:type="spellStart"/>
      <w:r>
        <w:rPr>
          <w:rFonts w:ascii="Courier New" w:hAnsi="Courier New"/>
          <w:sz w:val="18"/>
          <w:szCs w:val="18"/>
        </w:rPr>
        <w:t>loops$nms</w:t>
      </w:r>
      <w:proofErr w:type="spellEnd"/>
      <w:r>
        <w:rPr>
          <w:rFonts w:ascii="Courier New" w:hAnsi="Courier New"/>
          <w:sz w:val="18"/>
          <w:szCs w:val="18"/>
        </w:rPr>
        <w:t>)</w:t>
      </w:r>
    </w:p>
    <w:p w14:paraId="4B25CEA9" w14:textId="77777777" w:rsidR="00342E07" w:rsidRDefault="005356A1">
      <w:pPr>
        <w:pStyle w:val="BodyText"/>
        <w:spacing w:after="0" w:line="480" w:lineRule="auto"/>
        <w:rPr>
          <w:rFonts w:ascii="Courier New" w:hAnsi="Courier New"/>
          <w:sz w:val="18"/>
          <w:szCs w:val="18"/>
        </w:rPr>
      </w:pPr>
      <w:proofErr w:type="spellStart"/>
      <w:proofErr w:type="gramStart"/>
      <w:r>
        <w:rPr>
          <w:rFonts w:ascii="Courier New" w:hAnsi="Courier New"/>
          <w:sz w:val="18"/>
          <w:szCs w:val="18"/>
        </w:rPr>
        <w:t>loops$</w:t>
      </w:r>
      <w:proofErr w:type="gramEnd"/>
      <w:r>
        <w:rPr>
          <w:rFonts w:ascii="Courier New" w:hAnsi="Courier New"/>
          <w:sz w:val="18"/>
          <w:szCs w:val="18"/>
        </w:rPr>
        <w:t>lastone</w:t>
      </w:r>
      <w:proofErr w:type="spellEnd"/>
      <w:r>
        <w:rPr>
          <w:rFonts w:ascii="Courier New" w:hAnsi="Courier New"/>
          <w:sz w:val="18"/>
          <w:szCs w:val="18"/>
        </w:rPr>
        <w:t xml:space="preserve"> &lt;- </w:t>
      </w:r>
      <w:proofErr w:type="spellStart"/>
      <w:r>
        <w:rPr>
          <w:rFonts w:ascii="Courier New" w:hAnsi="Courier New"/>
          <w:sz w:val="18"/>
          <w:szCs w:val="18"/>
        </w:rPr>
        <w:t>as.numeric</w:t>
      </w:r>
      <w:proofErr w:type="spellEnd"/>
      <w:r>
        <w:rPr>
          <w:rFonts w:ascii="Courier New" w:hAnsi="Courier New"/>
          <w:sz w:val="18"/>
          <w:szCs w:val="18"/>
        </w:rPr>
        <w:t>(!duplicated(</w:t>
      </w:r>
      <w:proofErr w:type="spellStart"/>
      <w:r>
        <w:rPr>
          <w:rFonts w:ascii="Courier New" w:hAnsi="Courier New"/>
          <w:sz w:val="18"/>
          <w:szCs w:val="18"/>
        </w:rPr>
        <w:t>loops$nms</w:t>
      </w:r>
      <w:proofErr w:type="spellEnd"/>
      <w:r>
        <w:rPr>
          <w:rFonts w:ascii="Courier New" w:hAnsi="Courier New"/>
          <w:sz w:val="18"/>
          <w:szCs w:val="18"/>
        </w:rPr>
        <w:t xml:space="preserve">, </w:t>
      </w:r>
      <w:proofErr w:type="spellStart"/>
      <w:r>
        <w:rPr>
          <w:rFonts w:ascii="Courier New" w:hAnsi="Courier New"/>
          <w:sz w:val="18"/>
          <w:szCs w:val="18"/>
        </w:rPr>
        <w:t>fromLast</w:t>
      </w:r>
      <w:proofErr w:type="spellEnd"/>
      <w:r>
        <w:rPr>
          <w:rFonts w:ascii="Courier New" w:hAnsi="Courier New"/>
          <w:sz w:val="18"/>
          <w:szCs w:val="18"/>
        </w:rPr>
        <w:t xml:space="preserve"> = TRUE))</w:t>
      </w:r>
    </w:p>
    <w:p w14:paraId="0476081C" w14:textId="77777777" w:rsidR="00342E07" w:rsidRDefault="00342E07">
      <w:pPr>
        <w:pStyle w:val="BodyText"/>
        <w:spacing w:after="0" w:line="480" w:lineRule="auto"/>
        <w:rPr>
          <w:rFonts w:ascii="Courier New" w:hAnsi="Courier New"/>
          <w:sz w:val="18"/>
          <w:szCs w:val="18"/>
        </w:rPr>
      </w:pPr>
    </w:p>
    <w:p w14:paraId="3F21BE10" w14:textId="77777777" w:rsidR="00342E07" w:rsidRDefault="005356A1">
      <w:pPr>
        <w:pStyle w:val="BodyText"/>
        <w:spacing w:after="0" w:line="480" w:lineRule="auto"/>
        <w:rPr>
          <w:rFonts w:ascii="Courier New" w:hAnsi="Courier New"/>
          <w:sz w:val="18"/>
          <w:szCs w:val="18"/>
        </w:rPr>
      </w:pPr>
      <w:proofErr w:type="spellStart"/>
      <w:proofErr w:type="gramStart"/>
      <w:r>
        <w:rPr>
          <w:rFonts w:ascii="Courier New" w:hAnsi="Courier New"/>
          <w:sz w:val="18"/>
          <w:szCs w:val="18"/>
        </w:rPr>
        <w:t>ggplot</w:t>
      </w:r>
      <w:proofErr w:type="spellEnd"/>
      <w:r>
        <w:rPr>
          <w:rFonts w:ascii="Courier New" w:hAnsi="Courier New"/>
          <w:sz w:val="18"/>
          <w:szCs w:val="18"/>
        </w:rPr>
        <w:t>(</w:t>
      </w:r>
      <w:proofErr w:type="gramEnd"/>
      <w:r>
        <w:rPr>
          <w:rFonts w:ascii="Courier New" w:hAnsi="Courier New"/>
          <w:sz w:val="18"/>
          <w:szCs w:val="18"/>
        </w:rPr>
        <w:t xml:space="preserve">data = loops, </w:t>
      </w:r>
      <w:proofErr w:type="spellStart"/>
      <w:r>
        <w:rPr>
          <w:rFonts w:ascii="Courier New" w:hAnsi="Courier New"/>
          <w:sz w:val="18"/>
          <w:szCs w:val="18"/>
        </w:rPr>
        <w:t>aes</w:t>
      </w:r>
      <w:proofErr w:type="spellEnd"/>
      <w:r>
        <w:rPr>
          <w:rFonts w:ascii="Courier New" w:hAnsi="Courier New"/>
          <w:sz w:val="18"/>
          <w:szCs w:val="18"/>
        </w:rPr>
        <w:t xml:space="preserve">(x, y)) + </w:t>
      </w:r>
    </w:p>
    <w:p w14:paraId="0C8545E1" w14:textId="77777777" w:rsidR="00342E07" w:rsidRDefault="005356A1">
      <w:pPr>
        <w:pStyle w:val="BodyText"/>
        <w:spacing w:after="0" w:line="480" w:lineRule="auto"/>
      </w:pPr>
      <w:r>
        <w:rPr>
          <w:rFonts w:ascii="Courier New" w:hAnsi="Courier New"/>
          <w:sz w:val="18"/>
          <w:szCs w:val="18"/>
        </w:rPr>
        <w:t xml:space="preserve">  </w:t>
      </w:r>
      <w:proofErr w:type="spellStart"/>
      <w:r>
        <w:rPr>
          <w:rFonts w:ascii="Courier New" w:hAnsi="Courier New"/>
          <w:sz w:val="18"/>
          <w:szCs w:val="18"/>
          <w:lang w:val="en-US"/>
        </w:rPr>
        <w:t>geom_</w:t>
      </w:r>
      <w:proofErr w:type="gramStart"/>
      <w:r>
        <w:rPr>
          <w:rFonts w:ascii="Courier New" w:hAnsi="Courier New"/>
          <w:sz w:val="18"/>
          <w:szCs w:val="18"/>
          <w:lang w:val="en-US"/>
        </w:rPr>
        <w:t>point</w:t>
      </w:r>
      <w:proofErr w:type="spellEnd"/>
      <w:r>
        <w:rPr>
          <w:rFonts w:ascii="Courier New" w:hAnsi="Courier New"/>
          <w:sz w:val="18"/>
          <w:szCs w:val="18"/>
          <w:lang w:val="en-US"/>
        </w:rPr>
        <w:t>(</w:t>
      </w:r>
      <w:proofErr w:type="gramEnd"/>
      <w:r>
        <w:rPr>
          <w:rFonts w:ascii="Courier New" w:hAnsi="Courier New"/>
          <w:sz w:val="18"/>
          <w:szCs w:val="18"/>
          <w:lang w:val="en-US"/>
        </w:rPr>
        <w:t>) +</w:t>
      </w:r>
    </w:p>
    <w:p w14:paraId="6FD688F3" w14:textId="77777777" w:rsidR="00342E07" w:rsidRDefault="005356A1">
      <w:pPr>
        <w:pStyle w:val="BodyText"/>
        <w:spacing w:after="0" w:line="480" w:lineRule="auto"/>
        <w:rPr>
          <w:rFonts w:ascii="Courier New" w:hAnsi="Courier New"/>
          <w:sz w:val="18"/>
          <w:szCs w:val="18"/>
          <w:lang w:val="en-US"/>
        </w:rPr>
      </w:pPr>
      <w:r>
        <w:rPr>
          <w:rFonts w:ascii="Courier New" w:hAnsi="Courier New"/>
          <w:sz w:val="18"/>
          <w:szCs w:val="18"/>
          <w:lang w:val="en-US"/>
        </w:rPr>
        <w:t xml:space="preserve">  </w:t>
      </w:r>
      <w:proofErr w:type="spellStart"/>
      <w:r>
        <w:rPr>
          <w:rFonts w:ascii="Courier New" w:hAnsi="Courier New"/>
          <w:sz w:val="18"/>
          <w:szCs w:val="18"/>
          <w:lang w:val="en-US"/>
        </w:rPr>
        <w:t>geom_</w:t>
      </w:r>
      <w:proofErr w:type="gramStart"/>
      <w:r>
        <w:rPr>
          <w:rFonts w:ascii="Courier New" w:hAnsi="Courier New"/>
          <w:sz w:val="18"/>
          <w:szCs w:val="18"/>
          <w:lang w:val="en-US"/>
        </w:rPr>
        <w:t>label</w:t>
      </w:r>
      <w:proofErr w:type="spellEnd"/>
      <w:r>
        <w:rPr>
          <w:rFonts w:ascii="Courier New" w:hAnsi="Courier New"/>
          <w:sz w:val="18"/>
          <w:szCs w:val="18"/>
          <w:lang w:val="en-US"/>
        </w:rPr>
        <w:t>(</w:t>
      </w:r>
      <w:proofErr w:type="spellStart"/>
      <w:proofErr w:type="gramEnd"/>
      <w:r>
        <w:rPr>
          <w:rFonts w:ascii="Courier New" w:hAnsi="Courier New"/>
          <w:sz w:val="18"/>
          <w:szCs w:val="18"/>
          <w:lang w:val="en-US"/>
        </w:rPr>
        <w:t>aes</w:t>
      </w:r>
      <w:proofErr w:type="spellEnd"/>
      <w:r>
        <w:rPr>
          <w:rFonts w:ascii="Courier New" w:hAnsi="Courier New"/>
          <w:sz w:val="18"/>
          <w:szCs w:val="18"/>
          <w:lang w:val="en-US"/>
        </w:rPr>
        <w:t xml:space="preserve">(label = </w:t>
      </w:r>
      <w:proofErr w:type="spellStart"/>
      <w:r>
        <w:rPr>
          <w:rFonts w:ascii="Courier New" w:hAnsi="Courier New"/>
          <w:sz w:val="18"/>
          <w:szCs w:val="18"/>
          <w:lang w:val="en-US"/>
        </w:rPr>
        <w:t>nms</w:t>
      </w:r>
      <w:proofErr w:type="spellEnd"/>
      <w:r>
        <w:rPr>
          <w:rFonts w:ascii="Courier New" w:hAnsi="Courier New"/>
          <w:sz w:val="18"/>
          <w:szCs w:val="18"/>
          <w:lang w:val="en-US"/>
        </w:rPr>
        <w:t xml:space="preserve">), </w:t>
      </w:r>
    </w:p>
    <w:p w14:paraId="1450C5AB" w14:textId="77777777" w:rsidR="00342E07" w:rsidRDefault="005356A1">
      <w:pPr>
        <w:pStyle w:val="BodyText"/>
        <w:spacing w:after="0" w:line="480" w:lineRule="auto"/>
      </w:pPr>
      <w:r>
        <w:rPr>
          <w:rFonts w:ascii="Courier New" w:hAnsi="Courier New"/>
          <w:sz w:val="18"/>
          <w:szCs w:val="18"/>
          <w:lang w:val="en-US"/>
        </w:rPr>
        <w:t xml:space="preserve">            </w:t>
      </w:r>
      <w:proofErr w:type="gramStart"/>
      <w:r>
        <w:rPr>
          <w:rFonts w:ascii="Courier New" w:hAnsi="Courier New"/>
          <w:sz w:val="18"/>
          <w:szCs w:val="18"/>
        </w:rPr>
        <w:t>data</w:t>
      </w:r>
      <w:proofErr w:type="gramEnd"/>
      <w:r>
        <w:rPr>
          <w:rFonts w:ascii="Courier New" w:hAnsi="Courier New"/>
          <w:sz w:val="18"/>
          <w:szCs w:val="18"/>
        </w:rPr>
        <w:t xml:space="preserve"> = subset(loops, </w:t>
      </w:r>
      <w:proofErr w:type="spellStart"/>
      <w:r>
        <w:rPr>
          <w:rFonts w:ascii="Courier New" w:hAnsi="Courier New"/>
          <w:sz w:val="18"/>
          <w:szCs w:val="18"/>
        </w:rPr>
        <w:t>lastone</w:t>
      </w:r>
      <w:proofErr w:type="spellEnd"/>
      <w:r>
        <w:rPr>
          <w:rFonts w:ascii="Courier New" w:hAnsi="Courier New"/>
          <w:sz w:val="18"/>
          <w:szCs w:val="18"/>
        </w:rPr>
        <w:t xml:space="preserve"> == 1), </w:t>
      </w:r>
    </w:p>
    <w:p w14:paraId="79BC0078" w14:textId="77777777" w:rsidR="00342E07" w:rsidRDefault="005356A1">
      <w:pPr>
        <w:pStyle w:val="BodyText"/>
        <w:spacing w:after="0" w:line="480" w:lineRule="auto"/>
        <w:rPr>
          <w:rFonts w:ascii="Courier New" w:hAnsi="Courier New"/>
          <w:sz w:val="18"/>
          <w:szCs w:val="18"/>
        </w:rPr>
      </w:pPr>
      <w:r>
        <w:rPr>
          <w:rFonts w:ascii="Courier New" w:hAnsi="Courier New"/>
          <w:sz w:val="18"/>
          <w:szCs w:val="18"/>
        </w:rPr>
        <w:t xml:space="preserve">            </w:t>
      </w:r>
      <w:proofErr w:type="spellStart"/>
      <w:proofErr w:type="gramStart"/>
      <w:r>
        <w:rPr>
          <w:rFonts w:ascii="Courier New" w:hAnsi="Courier New"/>
          <w:sz w:val="18"/>
          <w:szCs w:val="18"/>
        </w:rPr>
        <w:t>vjust</w:t>
      </w:r>
      <w:proofErr w:type="spellEnd"/>
      <w:proofErr w:type="gramEnd"/>
      <w:r>
        <w:rPr>
          <w:rFonts w:ascii="Courier New" w:hAnsi="Courier New"/>
          <w:sz w:val="18"/>
          <w:szCs w:val="18"/>
        </w:rPr>
        <w:t xml:space="preserve"> = "outward", </w:t>
      </w:r>
      <w:proofErr w:type="spellStart"/>
      <w:r>
        <w:rPr>
          <w:rFonts w:ascii="Courier New" w:hAnsi="Courier New"/>
          <w:sz w:val="18"/>
          <w:szCs w:val="18"/>
        </w:rPr>
        <w:t>hjust</w:t>
      </w:r>
      <w:proofErr w:type="spellEnd"/>
      <w:r>
        <w:rPr>
          <w:rFonts w:ascii="Courier New" w:hAnsi="Courier New"/>
          <w:sz w:val="18"/>
          <w:szCs w:val="18"/>
        </w:rPr>
        <w:t xml:space="preserve"> = "outward") + </w:t>
      </w:r>
    </w:p>
    <w:p w14:paraId="3C6AE325" w14:textId="77777777" w:rsidR="00342E07" w:rsidRDefault="005356A1">
      <w:pPr>
        <w:pStyle w:val="BodyText"/>
        <w:spacing w:after="0" w:line="480" w:lineRule="auto"/>
        <w:rPr>
          <w:rFonts w:ascii="Courier New" w:hAnsi="Courier New"/>
          <w:sz w:val="18"/>
          <w:szCs w:val="18"/>
        </w:rPr>
      </w:pPr>
      <w:r>
        <w:rPr>
          <w:rFonts w:ascii="Courier New" w:hAnsi="Courier New"/>
          <w:sz w:val="18"/>
          <w:szCs w:val="18"/>
        </w:rPr>
        <w:t xml:space="preserve">  </w:t>
      </w:r>
      <w:proofErr w:type="spellStart"/>
      <w:r>
        <w:rPr>
          <w:rFonts w:ascii="Courier New" w:hAnsi="Courier New"/>
          <w:sz w:val="18"/>
          <w:szCs w:val="18"/>
        </w:rPr>
        <w:t>geom_</w:t>
      </w:r>
      <w:proofErr w:type="gramStart"/>
      <w:r>
        <w:rPr>
          <w:rFonts w:ascii="Courier New" w:hAnsi="Courier New"/>
          <w:sz w:val="18"/>
          <w:szCs w:val="18"/>
        </w:rPr>
        <w:t>polygon</w:t>
      </w:r>
      <w:proofErr w:type="spellEnd"/>
      <w:r>
        <w:rPr>
          <w:rFonts w:ascii="Courier New" w:hAnsi="Courier New"/>
          <w:sz w:val="18"/>
          <w:szCs w:val="18"/>
        </w:rPr>
        <w:t>(</w:t>
      </w:r>
      <w:proofErr w:type="spellStart"/>
      <w:proofErr w:type="gramEnd"/>
      <w:r>
        <w:rPr>
          <w:rFonts w:ascii="Courier New" w:hAnsi="Courier New"/>
          <w:sz w:val="18"/>
          <w:szCs w:val="18"/>
        </w:rPr>
        <w:t>aes</w:t>
      </w:r>
      <w:proofErr w:type="spellEnd"/>
      <w:r>
        <w:rPr>
          <w:rFonts w:ascii="Courier New" w:hAnsi="Courier New"/>
          <w:sz w:val="18"/>
          <w:szCs w:val="18"/>
        </w:rPr>
        <w:t>(</w:t>
      </w:r>
      <w:proofErr w:type="spellStart"/>
      <w:r>
        <w:rPr>
          <w:rFonts w:ascii="Courier New" w:hAnsi="Courier New"/>
          <w:sz w:val="18"/>
          <w:szCs w:val="18"/>
        </w:rPr>
        <w:t>color</w:t>
      </w:r>
      <w:proofErr w:type="spellEnd"/>
      <w:r>
        <w:rPr>
          <w:rFonts w:ascii="Courier New" w:hAnsi="Courier New"/>
          <w:sz w:val="18"/>
          <w:szCs w:val="18"/>
        </w:rPr>
        <w:t xml:space="preserve"> = factor(cohorts),</w:t>
      </w:r>
    </w:p>
    <w:p w14:paraId="6B98DD7A" w14:textId="77777777" w:rsidR="00342E07" w:rsidRDefault="005356A1">
      <w:pPr>
        <w:pStyle w:val="BodyText"/>
        <w:spacing w:after="0" w:line="480" w:lineRule="auto"/>
        <w:rPr>
          <w:rFonts w:ascii="Courier New" w:hAnsi="Courier New"/>
          <w:sz w:val="18"/>
          <w:szCs w:val="18"/>
        </w:rPr>
      </w:pPr>
      <w:r>
        <w:rPr>
          <w:rFonts w:ascii="Courier New" w:hAnsi="Courier New"/>
          <w:sz w:val="18"/>
          <w:szCs w:val="18"/>
        </w:rPr>
        <w:t xml:space="preserve">                   </w:t>
      </w:r>
      <w:proofErr w:type="gramStart"/>
      <w:r>
        <w:rPr>
          <w:rFonts w:ascii="Courier New" w:hAnsi="Courier New"/>
          <w:sz w:val="18"/>
          <w:szCs w:val="18"/>
        </w:rPr>
        <w:t>size</w:t>
      </w:r>
      <w:proofErr w:type="gramEnd"/>
      <w:r>
        <w:rPr>
          <w:rFonts w:ascii="Courier New" w:hAnsi="Courier New"/>
          <w:sz w:val="18"/>
          <w:szCs w:val="18"/>
        </w:rPr>
        <w:t xml:space="preserve"> = n), fill = NA)  +</w:t>
      </w:r>
    </w:p>
    <w:p w14:paraId="627585C2" w14:textId="77777777" w:rsidR="00342E07" w:rsidRDefault="005356A1">
      <w:pPr>
        <w:pStyle w:val="BodyText"/>
        <w:spacing w:after="0" w:line="480" w:lineRule="auto"/>
        <w:rPr>
          <w:rFonts w:ascii="Courier New" w:hAnsi="Courier New"/>
          <w:sz w:val="18"/>
          <w:szCs w:val="18"/>
        </w:rPr>
      </w:pPr>
      <w:r>
        <w:rPr>
          <w:rFonts w:ascii="Courier New" w:hAnsi="Courier New"/>
          <w:sz w:val="18"/>
          <w:szCs w:val="18"/>
        </w:rPr>
        <w:t xml:space="preserve">    </w:t>
      </w:r>
      <w:proofErr w:type="spellStart"/>
      <w:r>
        <w:rPr>
          <w:rFonts w:ascii="Courier New" w:hAnsi="Courier New"/>
          <w:sz w:val="18"/>
          <w:szCs w:val="18"/>
        </w:rPr>
        <w:t>coord_</w:t>
      </w:r>
      <w:proofErr w:type="gramStart"/>
      <w:r>
        <w:rPr>
          <w:rFonts w:ascii="Courier New" w:hAnsi="Courier New"/>
          <w:sz w:val="18"/>
          <w:szCs w:val="18"/>
        </w:rPr>
        <w:t>equal</w:t>
      </w:r>
      <w:proofErr w:type="spellEnd"/>
      <w:r>
        <w:rPr>
          <w:rFonts w:ascii="Courier New" w:hAnsi="Courier New"/>
          <w:sz w:val="18"/>
          <w:szCs w:val="18"/>
        </w:rPr>
        <w:t>(</w:t>
      </w:r>
      <w:proofErr w:type="gramEnd"/>
      <w:r>
        <w:rPr>
          <w:rFonts w:ascii="Courier New" w:hAnsi="Courier New"/>
          <w:sz w:val="18"/>
          <w:szCs w:val="18"/>
        </w:rPr>
        <w:t xml:space="preserve">) + guides(fill = FALSE, </w:t>
      </w:r>
      <w:proofErr w:type="spellStart"/>
      <w:r>
        <w:rPr>
          <w:rFonts w:ascii="Courier New" w:hAnsi="Courier New"/>
          <w:sz w:val="18"/>
          <w:szCs w:val="18"/>
        </w:rPr>
        <w:t>color</w:t>
      </w:r>
      <w:proofErr w:type="spellEnd"/>
      <w:r>
        <w:rPr>
          <w:rFonts w:ascii="Courier New" w:hAnsi="Courier New"/>
          <w:sz w:val="18"/>
          <w:szCs w:val="18"/>
        </w:rPr>
        <w:t xml:space="preserve"> = FALSE, size = FALSE) + </w:t>
      </w:r>
    </w:p>
    <w:p w14:paraId="519947CE" w14:textId="77777777" w:rsidR="00342E07" w:rsidRDefault="005356A1">
      <w:r>
        <w:t xml:space="preserve">  </w:t>
      </w:r>
      <w:proofErr w:type="spellStart"/>
      <w:proofErr w:type="gramStart"/>
      <w:r>
        <w:t>xlim</w:t>
      </w:r>
      <w:proofErr w:type="spellEnd"/>
      <w:r>
        <w:t>(</w:t>
      </w:r>
      <w:proofErr w:type="gramEnd"/>
      <w:r>
        <w:t xml:space="preserve">-10, 10) + </w:t>
      </w:r>
      <w:proofErr w:type="spellStart"/>
      <w:r>
        <w:t>ylim</w:t>
      </w:r>
      <w:proofErr w:type="spellEnd"/>
      <w:r>
        <w:t xml:space="preserve">(-10, 10) + </w:t>
      </w:r>
      <w:proofErr w:type="spellStart"/>
      <w:r>
        <w:t>theme_void</w:t>
      </w:r>
      <w:proofErr w:type="spellEnd"/>
      <w:r>
        <w:t xml:space="preserve">() </w:t>
      </w:r>
    </w:p>
    <w:p w14:paraId="00648BFF" w14:textId="77777777" w:rsidR="00342E07" w:rsidRDefault="00342E07">
      <w:pPr>
        <w:pStyle w:val="BodyText"/>
        <w:spacing w:after="170" w:line="480" w:lineRule="auto"/>
        <w:rPr>
          <w:lang w:val="en-US"/>
        </w:rPr>
      </w:pPr>
    </w:p>
    <w:p w14:paraId="2C5B672A" w14:textId="77777777" w:rsidR="00342E07" w:rsidRDefault="00342E07">
      <w:pPr>
        <w:pStyle w:val="BodyText"/>
        <w:spacing w:after="170" w:line="480" w:lineRule="auto"/>
        <w:rPr>
          <w:lang w:val="en-US"/>
        </w:rPr>
      </w:pPr>
    </w:p>
    <w:p w14:paraId="49919292" w14:textId="77777777" w:rsidR="00342E07" w:rsidRDefault="00342E07">
      <w:pPr>
        <w:pStyle w:val="BodyText"/>
        <w:spacing w:after="170" w:line="480" w:lineRule="auto"/>
        <w:rPr>
          <w:lang w:val="en-US"/>
        </w:rPr>
      </w:pPr>
    </w:p>
    <w:p w14:paraId="70B0CADF" w14:textId="77777777" w:rsidR="007C278A" w:rsidRDefault="007C278A">
      <w:pPr>
        <w:pStyle w:val="BodyText"/>
        <w:spacing w:after="170" w:line="480" w:lineRule="auto"/>
        <w:rPr>
          <w:lang w:val="en-US"/>
        </w:rPr>
      </w:pPr>
    </w:p>
    <w:p w14:paraId="4963B310" w14:textId="77777777" w:rsidR="007C278A" w:rsidRDefault="007C278A">
      <w:pPr>
        <w:pStyle w:val="BodyText"/>
        <w:spacing w:after="170" w:line="480" w:lineRule="auto"/>
        <w:rPr>
          <w:lang w:val="en-US"/>
        </w:rPr>
      </w:pPr>
    </w:p>
    <w:p w14:paraId="10D955F1" w14:textId="77777777" w:rsidR="007C278A" w:rsidRDefault="007C278A">
      <w:pPr>
        <w:pStyle w:val="BodyText"/>
        <w:spacing w:after="170" w:line="480" w:lineRule="auto"/>
        <w:rPr>
          <w:lang w:val="en-US"/>
        </w:rPr>
      </w:pPr>
    </w:p>
    <w:p w14:paraId="7CC2ABF4" w14:textId="77777777" w:rsidR="007C278A" w:rsidRPr="00911A46" w:rsidRDefault="007C278A" w:rsidP="00911A46">
      <w:pPr>
        <w:pStyle w:val="Heading4"/>
        <w:spacing w:line="480" w:lineRule="auto"/>
        <w:rPr>
          <w:rFonts w:ascii="Arial" w:hAnsi="Arial" w:cs="Arial"/>
          <w:sz w:val="24"/>
          <w:szCs w:val="24"/>
        </w:rPr>
      </w:pPr>
      <w:bookmarkStart w:id="115" w:name="_Toc442794458"/>
      <w:r w:rsidRPr="00911A46">
        <w:rPr>
          <w:rFonts w:ascii="Arial" w:hAnsi="Arial" w:cs="Arial"/>
          <w:sz w:val="24"/>
          <w:szCs w:val="24"/>
        </w:rPr>
        <w:t xml:space="preserve">Multiple score comparison (MSC) meta-analysis by two-stage approach </w:t>
      </w:r>
      <w:r w:rsidRPr="00911A46">
        <w:rPr>
          <w:rFonts w:ascii="Arial" w:hAnsi="Arial" w:cs="Arial"/>
          <w:sz w:val="24"/>
          <w:szCs w:val="24"/>
        </w:rPr>
        <w:fldChar w:fldCharType="begin" w:fldLock="1"/>
      </w:r>
      <w:r w:rsidR="005356A1">
        <w:rPr>
          <w:rFonts w:ascii="Arial" w:hAnsi="Arial" w:cs="Arial"/>
          <w:sz w:val="24"/>
          <w:szCs w:val="24"/>
        </w:rPr>
        <w:instrText>ADDIN CSL_CITATION { "citationItems" : [ { "id" : "ITEM-1", "itemData" : { "DOI" : "10.1002/jrsm.34", "ISBN" : "17592879", "ISSN" : "17592879", "PMID" : "26061599", "abstract" : "Mixed treatment comparisons (MTC) meta\u2010analysis synthesises comparative evidence on multiple treatments or other interventions from a collection of randomised controlled trials (RCT) available in a research area, while still respecting the randomisation structure in RCTs. This paper sets out to examine the properties of MTC estimates and elucidate the concept of consistency between direct and indirect evidence in MTC networks. We decompose MTC synthesis into two stages. At the first stage, ordinary meta\u2010analysis is performed in each group of trials that have the same treatment comparators\u2014this provides the \u2018direct\u2019 estimates of relative effect parameters. At the second stage, the optimal consistent estimates that minimise the distance between the direct estimates and the consistency hyper\u2010plane can be deduced as the weighted least squares solution to a linear regression model with a specific design matrix that represents the consistency conditions. The consistent MTC estimates can then be represented explicitly as linear combinations of direct estimates, and under normality assumptions the overall evidence consistency can be tested with a likelihood\u2010ratio statistic. This two\u2010stage framework further allows us to use the leverage statistics to diagnose influence of the first\u2010stage evidence and use the regression residuals to assess local inconsistency. The method is illustrated with two examples from medical research.", "author" : [ { "dropping-particle" : "", "family" : "Lu", "given" : "G.", "non-dropping-particle" : "", "parse-names" : false, "suffix" : "" }, { "dropping-particle" : "", "family" : "Welton", "given" : "Nicky J", "non-dropping-particle" : "", "parse-names" : false, "suffix" : "" }, { "dropping-particle" : "", "family" : "Higgins", "given" : "J", "non-dropping-particle" : "", "parse-names" : false, "suffix" : "" }, { "dropping-particle" : "", "family" : "White", "given" : "Ian R.", "non-dropping-particle" : "", "parse-names" : false, "suffix" : "" }, { "dropping-particle" : "", "family" : "Ades", "given" : "A E", "non-dropping-particle" : "", "parse-names" : false, "suffix" : "" } ], "container-title" : "Research Synthesis Methods", "id" : "ITEM-1", "issue" : "1", "issued" : { "date-parts" : [ [ "2011" ] ] }, "page" : "43-60", "title" : "Linear inference for mixed treatment comparison meta-analysis: A two-stage approach", "type" : "article-journal", "volume" : "2" }, "uris" : [ "http://www.mendeley.com/documents/?uuid=7997c6c8-1d36-4145-b4ea-24ba7087c79c" ] } ], "mendeley" : { "formattedCitation" : "[26]", "plainTextFormattedCitation" : "[26]", "previouslyFormattedCitation" : "(Lu et al. 2011)" }, "properties" : { "noteIndex" : 0 }, "schema" : "https://github.com/citation-style-language/schema/raw/master/csl-citation.json" }</w:instrText>
      </w:r>
      <w:r w:rsidRPr="00911A46">
        <w:rPr>
          <w:rFonts w:ascii="Arial" w:hAnsi="Arial" w:cs="Arial"/>
          <w:sz w:val="24"/>
          <w:szCs w:val="24"/>
        </w:rPr>
        <w:fldChar w:fldCharType="separate"/>
      </w:r>
      <w:bookmarkEnd w:id="115"/>
      <w:r w:rsidR="005356A1" w:rsidRPr="005356A1">
        <w:rPr>
          <w:rFonts w:ascii="Arial" w:hAnsi="Arial" w:cs="Arial"/>
          <w:b w:val="0"/>
          <w:i w:val="0"/>
          <w:noProof/>
          <w:sz w:val="24"/>
          <w:szCs w:val="24"/>
        </w:rPr>
        <w:t>[26]</w:t>
      </w:r>
      <w:r w:rsidRPr="00911A46">
        <w:rPr>
          <w:rFonts w:ascii="Arial" w:hAnsi="Arial" w:cs="Arial"/>
          <w:sz w:val="24"/>
          <w:szCs w:val="24"/>
        </w:rPr>
        <w:fldChar w:fldCharType="end"/>
      </w:r>
    </w:p>
    <w:p w14:paraId="534BB2B0" w14:textId="77777777" w:rsidR="007C278A" w:rsidRPr="00911A46" w:rsidRDefault="007C278A" w:rsidP="00911A46">
      <w:pPr>
        <w:spacing w:line="480" w:lineRule="auto"/>
        <w:jc w:val="both"/>
        <w:rPr>
          <w:rFonts w:ascii="Arial" w:eastAsia="Times New Roman" w:hAnsi="Arial" w:cs="Arial"/>
          <w:color w:val="231F20"/>
          <w:sz w:val="24"/>
          <w:szCs w:val="24"/>
          <w:lang w:val="en-GB"/>
        </w:rPr>
      </w:pPr>
      <w:r w:rsidRPr="00911A46">
        <w:rPr>
          <w:rFonts w:ascii="Arial" w:hAnsi="Arial" w:cs="Arial"/>
          <w:sz w:val="24"/>
          <w:szCs w:val="24"/>
        </w:rPr>
        <w:t xml:space="preserve">The use of mixed treatment comparison (MTC) to compare all trials in an area is starting to be recognized by prominent general medical journals </w:t>
      </w:r>
      <w:r w:rsidRPr="00911A46">
        <w:rPr>
          <w:rFonts w:ascii="Arial" w:hAnsi="Arial" w:cs="Arial"/>
          <w:sz w:val="24"/>
          <w:szCs w:val="24"/>
        </w:rPr>
        <w:fldChar w:fldCharType="begin" w:fldLock="1"/>
      </w:r>
      <w:r w:rsidR="005356A1">
        <w:rPr>
          <w:rFonts w:ascii="Arial" w:hAnsi="Arial" w:cs="Arial"/>
          <w:sz w:val="24"/>
          <w:szCs w:val="24"/>
        </w:rPr>
        <w:instrText>ADDIN CSL_CITATION { "citationItems" : [ { "id" : "ITEM-1", "itemData" : { "DOI" : "10.1136/bmj.331.7521.897", "ISBN" : "1468-5833 (Electronic)\\n0959-535X (Linking)", "ISSN" : "0959-8138", "PMID" : "16223826", "abstract" : "How can policy makers decide which of five treatments is the best? Standard meta-analysis provides little help but evidence based decisions are possible", "author" : [ { "dropping-particle" : "", "family" : "Caldwell", "given" : "Deborah M", "non-dropping-particle" : "", "parse-names" : false, "suffix" : "" }, { "dropping-particle" : "", "family" : "Ades", "given" : "a E", "non-dropping-particle" : "", "parse-names" : false, "suffix" : "" }, { "dropping-particle" : "", "family" : "Higgins", "given" : "J", "non-dropping-particle" : "", "parse-names" : false, "suffix" : "" } ], "container-title" : "Bmj", "id" : "ITEM-1", "issue" : "7521", "issued" : { "date-parts" : [ [ "2005" ] ] }, "page" : "897-900", "title" : "Simultaneous comparison of multiple treatments: combining direct and indirect evidence", "type" : "article-journal", "volume" : "331" }, "uris" : [ "http://www.mendeley.com/documents/?uuid=95531b2d-fb6b-4735-93e2-91735e7142f9" ] } ], "mendeley" : { "formattedCitation" : "[43]", "plainTextFormattedCitation" : "[43]", "previouslyFormattedCitation" : "(Caldwell, Ades, and Higgins 2005)" }, "properties" : { "noteIndex" : 0 }, "schema" : "https://github.com/citation-style-language/schema/raw/master/csl-citation.json" }</w:instrText>
      </w:r>
      <w:r w:rsidRPr="00911A46">
        <w:rPr>
          <w:rFonts w:ascii="Arial" w:hAnsi="Arial" w:cs="Arial"/>
          <w:sz w:val="24"/>
          <w:szCs w:val="24"/>
        </w:rPr>
        <w:fldChar w:fldCharType="separate"/>
      </w:r>
      <w:r w:rsidR="005356A1" w:rsidRPr="005356A1">
        <w:rPr>
          <w:rFonts w:ascii="Arial" w:hAnsi="Arial" w:cs="Arial"/>
          <w:noProof/>
          <w:sz w:val="24"/>
          <w:szCs w:val="24"/>
        </w:rPr>
        <w:t>[43]</w:t>
      </w:r>
      <w:r w:rsidRPr="00911A46">
        <w:rPr>
          <w:rFonts w:ascii="Arial" w:hAnsi="Arial" w:cs="Arial"/>
          <w:sz w:val="24"/>
          <w:szCs w:val="24"/>
        </w:rPr>
        <w:fldChar w:fldCharType="end"/>
      </w:r>
      <w:r w:rsidRPr="00911A46">
        <w:rPr>
          <w:rFonts w:ascii="Arial" w:hAnsi="Arial" w:cs="Arial"/>
          <w:sz w:val="24"/>
          <w:szCs w:val="24"/>
        </w:rPr>
        <w:t xml:space="preserve">. </w:t>
      </w:r>
      <w:r w:rsidRPr="00911A46">
        <w:rPr>
          <w:rFonts w:ascii="Arial" w:eastAsia="Times New Roman" w:hAnsi="Arial" w:cs="Arial"/>
          <w:color w:val="231F20"/>
          <w:sz w:val="24"/>
          <w:szCs w:val="24"/>
          <w:lang w:val="en-GB"/>
        </w:rPr>
        <w:t xml:space="preserve">We will adapt a methodology from multiple treatment comparison network meta-analysis </w:t>
      </w:r>
      <w:r w:rsidRPr="00911A46">
        <w:rPr>
          <w:rFonts w:ascii="Arial" w:hAnsi="Arial" w:cs="Arial"/>
          <w:sz w:val="24"/>
          <w:szCs w:val="24"/>
        </w:rPr>
        <w:fldChar w:fldCharType="begin" w:fldLock="1"/>
      </w:r>
      <w:r w:rsidR="005356A1">
        <w:rPr>
          <w:rFonts w:ascii="Arial" w:hAnsi="Arial" w:cs="Arial"/>
          <w:sz w:val="24"/>
          <w:szCs w:val="24"/>
        </w:rPr>
        <w:instrText>ADDIN CSL_CITATION { "citationItems" : [ { "id" : "ITEM-1", "itemData" : { "DOI" : "10.1002/jrsm.34", "ISBN" : "17592879", "ISSN" : "17592879", "PMID" : "26061599", "abstract" : "Mixed treatment comparisons (MTC) meta\u2010analysis synthesises comparative evidence on multiple treatments or other interventions from a collection of randomised controlled trials (RCT) available in a research area, while still respecting the randomisation structure in RCTs. This paper sets out to examine the properties of MTC estimates and elucidate the concept of consistency between direct and indirect evidence in MTC networks. We decompose MTC synthesis into two stages. At the first stage, ordinary meta\u2010analysis is performed in each group of trials that have the same treatment comparators\u2014this provides the \u2018direct\u2019 estimates of relative effect parameters. At the second stage, the optimal consistent estimates that minimise the distance between the direct estimates and the consistency hyper\u2010plane can be deduced as the weighted least squares solution to a linear regression model with a specific design matrix that represents the consistency conditions. The consistent MTC estimates can then be represented explicitly as linear combinations of direct estimates, and under normality assumptions the overall evidence consistency can be tested with a likelihood\u2010ratio statistic. This two\u2010stage framework further allows us to use the leverage statistics to diagnose influence of the first\u2010stage evidence and use the regression residuals to assess local inconsistency. The method is illustrated with two examples from medical research.", "author" : [ { "dropping-particle" : "", "family" : "Lu", "given" : "G.", "non-dropping-particle" : "", "parse-names" : false, "suffix" : "" }, { "dropping-particle" : "", "family" : "Welton", "given" : "Nicky J", "non-dropping-particle" : "", "parse-names" : false, "suffix" : "" }, { "dropping-particle" : "", "family" : "Higgins", "given" : "J", "non-dropping-particle" : "", "parse-names" : false, "suffix" : "" }, { "dropping-particle" : "", "family" : "White", "given" : "Ian R.", "non-dropping-particle" : "", "parse-names" : false, "suffix" : "" }, { "dropping-particle" : "", "family" : "Ades", "given" : "A E", "non-dropping-particle" : "", "parse-names" : false, "suffix" : "" } ], "container-title" : "Research Synthesis Methods", "id" : "ITEM-1", "issue" : "1", "issued" : { "date-parts" : [ [ "2011" ] ] }, "page" : "43-60", "title" : "Linear inference for mixed treatment comparison meta-analysis: A two-stage approach", "type" : "article-journal", "volume" : "2" }, "uris" : [ "http://www.mendeley.com/documents/?uuid=7997c6c8-1d36-4145-b4ea-24ba7087c79c" ] } ], "mendeley" : { "formattedCitation" : "[26]", "plainTextFormattedCitation" : "[26]", "previouslyFormattedCitation" : "(Lu et al. 2011)" }, "properties" : { "noteIndex" : 0 }, "schema" : "https://github.com/citation-style-language/schema/raw/master/csl-citation.json" }</w:instrText>
      </w:r>
      <w:r w:rsidRPr="00911A46">
        <w:rPr>
          <w:rFonts w:ascii="Arial" w:hAnsi="Arial" w:cs="Arial"/>
          <w:sz w:val="24"/>
          <w:szCs w:val="24"/>
        </w:rPr>
        <w:fldChar w:fldCharType="separate"/>
      </w:r>
      <w:r w:rsidR="005356A1" w:rsidRPr="005356A1">
        <w:rPr>
          <w:rFonts w:ascii="Arial" w:hAnsi="Arial" w:cs="Arial"/>
          <w:noProof/>
          <w:sz w:val="24"/>
          <w:szCs w:val="24"/>
        </w:rPr>
        <w:t>[26]</w:t>
      </w:r>
      <w:r w:rsidRPr="00911A46">
        <w:rPr>
          <w:rFonts w:ascii="Arial" w:hAnsi="Arial" w:cs="Arial"/>
          <w:sz w:val="24"/>
          <w:szCs w:val="24"/>
        </w:rPr>
        <w:fldChar w:fldCharType="end"/>
      </w:r>
      <w:r w:rsidRPr="00911A46">
        <w:rPr>
          <w:rFonts w:ascii="Arial" w:eastAsia="Times New Roman" w:hAnsi="Arial" w:cs="Arial"/>
          <w:color w:val="231F20"/>
          <w:sz w:val="24"/>
          <w:szCs w:val="24"/>
          <w:lang w:val="en-GB"/>
        </w:rPr>
        <w:t xml:space="preserve"> to concurrently externally validate and compare prognostic scores from individual patient data across different cohorts, explicitly including correlations </w:t>
      </w:r>
      <w:r w:rsidRPr="00911A46">
        <w:rPr>
          <w:rFonts w:ascii="Arial" w:eastAsia="Times New Roman" w:hAnsi="Arial" w:cs="Arial"/>
          <w:color w:val="231F20"/>
          <w:sz w:val="24"/>
          <w:szCs w:val="24"/>
          <w:lang w:val="en-GB"/>
        </w:rPr>
        <w:fldChar w:fldCharType="begin" w:fldLock="1"/>
      </w:r>
      <w:r w:rsidR="005356A1">
        <w:rPr>
          <w:rFonts w:ascii="Arial" w:eastAsia="Times New Roman" w:hAnsi="Arial" w:cs="Arial"/>
          <w:color w:val="231F20"/>
          <w:sz w:val="24"/>
          <w:szCs w:val="24"/>
          <w:lang w:val="en-GB"/>
        </w:rPr>
        <w:instrText>ADDIN CSL_CITATION { "citationItems" : [ { "id" : "ITEM-1", "itemData" : { "DOI" : "10.1002/jrsm.1049", "ISBN" : "17592879", "ISSN" : "17592879", "PMID" : "26062087", "abstract" : "BACKGROUND: In network meta-analyses, several treatments can be compared by connecting evidence from clinical trials that have investigated two or more treatments. The resulting trial network allows estimating the relative effects of all pairs of treatments taking indirect evidence into account. For a valid analysis of the network, consistent information from different pathways is assumed. Consistency can be checked by contrasting effect estimates from direct comparisons with the evidence of the remaining network. Unfortunately, one deviating direct comparison may have side effects on the network estimates of others, thus producing hot spots of inconsistency. METHODS: We provide a tool, the net heat plot, to render transparent which direct comparisons drive each network estimate and to display hot spots of inconsistency: this permits singling out which of the suspicious direct comparisons are sufficient to explain the presence of inconsistency. We base our methods on fixed-effects models. For disclosure of potential drivers, the plot comprises the contribution of each direct estimate to network estimates resulting from regression diagnostics. In combination, we show heat colors corresponding to the change in agreement between direct and indirect estimate when relaxing the assumption of consistency for one direct comparison. A clustering procedure is applied to the heat matrix in order to find hot spots of inconsistency. RESULTS: The method is shown to work with several examples, which are constructed by perturbing the effect of single study designs, and with two published network meta-analyses. Once the possible sources of inconsistencies are identified, our method also reveals which network estimates they affect. CONCLUSION: Our proposal is seen to be useful for identifying sources of inconsistencies in the network together with the interrelatedness of effect estimates. It opens the way for a further analysis based on subject matter considerations.", "author" : [ { "dropping-particle" : "", "family" : "Franchini", "given" : "a. J.", "non-dropping-particle" : "", "parse-names" : false, "suffix" : "" }, { "dropping-particle" : "", "family" : "Dias", "given" : "S.", "non-dropping-particle" : "", "parse-names" : false, "suffix" : "" }, { "dropping-particle" : "", "family" : "Ades", "given" : "a. E.", "non-dropping-particle" : "", "parse-names" : false, "suffix" : "" }, { "dropping-particle" : "", "family" : "Jansen", "given" : "J. P.", "non-dropping-particle" : "", "parse-names" : false, "suffix" : "" }, { "dropping-particle" : "", "family" : "Welton", "given" : "N. J.", "non-dropping-particle" : "", "parse-names" : false, "suffix" : "" } ], "container-title" : "Research Synthesis Methods", "id" : "ITEM-1", "issue" : "2", "issued" : { "date-parts" : [ [ "2012" ] ] }, "page" : "142-160", "title" : "Accounting for correlation in network meta-analysis with multi-arm trials", "type" : "article-journal", "volume" : "3" }, "uris" : [ "http://www.mendeley.com/documents/?uuid=6218f3dd-8dae-4067-898b-1dd114ac7f42" ] } ], "mendeley" : { "formattedCitation" : "[11]", "plainTextFormattedCitation" : "[11]", "previouslyFormattedCitation" : "(Franchini et al. 2012)" }, "properties" : { "noteIndex" : 0 }, "schema" : "https://github.com/citation-style-language/schema/raw/master/csl-citation.json" }</w:instrText>
      </w:r>
      <w:r w:rsidRPr="00911A46">
        <w:rPr>
          <w:rFonts w:ascii="Arial" w:eastAsia="Times New Roman" w:hAnsi="Arial" w:cs="Arial"/>
          <w:color w:val="231F20"/>
          <w:sz w:val="24"/>
          <w:szCs w:val="24"/>
          <w:lang w:val="en-GB"/>
        </w:rPr>
        <w:fldChar w:fldCharType="separate"/>
      </w:r>
      <w:r w:rsidR="005356A1" w:rsidRPr="005356A1">
        <w:rPr>
          <w:rFonts w:ascii="Arial" w:eastAsia="Times New Roman" w:hAnsi="Arial" w:cs="Arial"/>
          <w:noProof/>
          <w:color w:val="231F20"/>
          <w:sz w:val="24"/>
          <w:szCs w:val="24"/>
          <w:lang w:val="en-GB"/>
        </w:rPr>
        <w:t>[11]</w:t>
      </w:r>
      <w:r w:rsidRPr="00911A46">
        <w:rPr>
          <w:rFonts w:ascii="Arial" w:eastAsia="Times New Roman" w:hAnsi="Arial" w:cs="Arial"/>
          <w:color w:val="231F20"/>
          <w:sz w:val="24"/>
          <w:szCs w:val="24"/>
          <w:lang w:val="en-GB"/>
        </w:rPr>
        <w:fldChar w:fldCharType="end"/>
      </w:r>
      <w:r w:rsidRPr="00911A46">
        <w:rPr>
          <w:rFonts w:ascii="Arial" w:eastAsia="Times New Roman" w:hAnsi="Arial" w:cs="Arial"/>
          <w:color w:val="231F20"/>
          <w:sz w:val="24"/>
          <w:szCs w:val="24"/>
          <w:lang w:val="en-GB"/>
        </w:rPr>
        <w:t xml:space="preserve"> between the scores on a cohort level. </w:t>
      </w:r>
    </w:p>
    <w:p w14:paraId="1A12FE4E" w14:textId="77777777" w:rsidR="007C278A" w:rsidRPr="00911A46" w:rsidRDefault="007C278A" w:rsidP="00911A46">
      <w:pPr>
        <w:spacing w:line="480" w:lineRule="auto"/>
        <w:jc w:val="both"/>
        <w:rPr>
          <w:rFonts w:ascii="Arial" w:eastAsia="Times New Roman" w:hAnsi="Arial" w:cs="Arial"/>
          <w:color w:val="231F20"/>
          <w:sz w:val="24"/>
          <w:szCs w:val="24"/>
          <w:lang w:val="en-GB"/>
        </w:rPr>
      </w:pPr>
      <w:r w:rsidRPr="00911A46">
        <w:rPr>
          <w:rFonts w:ascii="Arial" w:hAnsi="Arial" w:cs="Arial"/>
          <w:sz w:val="24"/>
          <w:szCs w:val="24"/>
        </w:rPr>
        <w:t xml:space="preserve"> We will also re-interpret MTC as a two stage process: </w:t>
      </w:r>
    </w:p>
    <w:p w14:paraId="65B2AD2E" w14:textId="77777777" w:rsidR="007C278A" w:rsidRPr="00911A46" w:rsidRDefault="007C278A" w:rsidP="00911A46">
      <w:pPr>
        <w:pStyle w:val="ListParagraph"/>
        <w:numPr>
          <w:ilvl w:val="0"/>
          <w:numId w:val="3"/>
        </w:numPr>
        <w:spacing w:line="480" w:lineRule="auto"/>
        <w:jc w:val="both"/>
        <w:rPr>
          <w:rFonts w:ascii="Arial" w:hAnsi="Arial" w:cs="Arial"/>
          <w:sz w:val="24"/>
          <w:szCs w:val="24"/>
        </w:rPr>
      </w:pPr>
      <w:r w:rsidRPr="00911A46">
        <w:rPr>
          <w:rFonts w:ascii="Arial" w:hAnsi="Arial" w:cs="Arial"/>
          <w:sz w:val="24"/>
          <w:szCs w:val="24"/>
        </w:rPr>
        <w:t>Ordinary meta-analysis to gain the direct estimates for corresponding pooled effect estimates</w:t>
      </w:r>
    </w:p>
    <w:p w14:paraId="12AABC6B" w14:textId="77777777" w:rsidR="007C278A" w:rsidRPr="00911A46" w:rsidRDefault="007C278A" w:rsidP="00911A46">
      <w:pPr>
        <w:pStyle w:val="ListParagraph"/>
        <w:numPr>
          <w:ilvl w:val="0"/>
          <w:numId w:val="3"/>
        </w:numPr>
        <w:spacing w:line="480" w:lineRule="auto"/>
        <w:jc w:val="both"/>
        <w:rPr>
          <w:rFonts w:ascii="Arial" w:hAnsi="Arial" w:cs="Arial"/>
          <w:color w:val="000000" w:themeColor="text1"/>
          <w:sz w:val="24"/>
          <w:szCs w:val="24"/>
        </w:rPr>
      </w:pPr>
      <w:r w:rsidRPr="00911A46">
        <w:rPr>
          <w:rFonts w:ascii="Arial" w:hAnsi="Arial" w:cs="Arial"/>
          <w:color w:val="000000" w:themeColor="text1"/>
          <w:sz w:val="24"/>
          <w:szCs w:val="24"/>
        </w:rPr>
        <w:t>Based on the direct estimates and their variances from the first stage, they obtain to find the optimal estimate of the pooled effect parameters that obeys the fundamental consistency equations</w:t>
      </w:r>
    </w:p>
    <w:p w14:paraId="3B0B0E44" w14:textId="77777777" w:rsidR="007C278A" w:rsidRPr="00911A46" w:rsidRDefault="007C278A" w:rsidP="00911A46">
      <w:pPr>
        <w:pStyle w:val="Heading4"/>
        <w:spacing w:line="480" w:lineRule="auto"/>
        <w:rPr>
          <w:rFonts w:ascii="Arial" w:hAnsi="Arial" w:cs="Arial"/>
          <w:sz w:val="24"/>
          <w:szCs w:val="24"/>
        </w:rPr>
      </w:pPr>
    </w:p>
    <w:p w14:paraId="322F25CA" w14:textId="77777777" w:rsidR="007C278A" w:rsidRPr="00911A46" w:rsidRDefault="007C278A" w:rsidP="00911A46">
      <w:pPr>
        <w:pStyle w:val="Heading5"/>
        <w:spacing w:line="480" w:lineRule="auto"/>
        <w:rPr>
          <w:rFonts w:ascii="Arial" w:hAnsi="Arial" w:cs="Arial"/>
          <w:b/>
          <w:sz w:val="24"/>
          <w:szCs w:val="24"/>
        </w:rPr>
      </w:pPr>
      <w:r w:rsidRPr="00911A46">
        <w:rPr>
          <w:rFonts w:ascii="Arial" w:hAnsi="Arial" w:cs="Arial"/>
          <w:b/>
          <w:sz w:val="24"/>
          <w:szCs w:val="24"/>
        </w:rPr>
        <w:t xml:space="preserve">Stage I. Indirect comparisons meta-analysis </w:t>
      </w:r>
    </w:p>
    <w:p w14:paraId="55C97D1D" w14:textId="77777777" w:rsidR="007C278A" w:rsidRPr="00911A46" w:rsidRDefault="007C278A" w:rsidP="00911A46">
      <w:pPr>
        <w:spacing w:line="480" w:lineRule="auto"/>
        <w:jc w:val="both"/>
        <w:rPr>
          <w:rFonts w:ascii="Arial" w:hAnsi="Arial" w:cs="Arial"/>
          <w:sz w:val="24"/>
          <w:szCs w:val="24"/>
        </w:rPr>
      </w:pPr>
      <w:r w:rsidRPr="00911A46">
        <w:rPr>
          <w:rFonts w:ascii="Arial" w:hAnsi="Arial" w:cs="Arial"/>
          <w:sz w:val="24"/>
          <w:szCs w:val="24"/>
        </w:rPr>
        <w:t xml:space="preserve">Cohorts at our disposal are classified into “groups” according to which scores it is possible to evaluate by their data. Each of the G groups will be indicated as </w:t>
      </w:r>
      <w:r w:rsidRPr="00911A46">
        <w:rPr>
          <w:rFonts w:ascii="Arial" w:hAnsi="Arial" w:cs="Arial"/>
          <w:i/>
          <w:sz w:val="24"/>
          <w:szCs w:val="24"/>
        </w:rPr>
        <w:t>S</w:t>
      </w:r>
      <w:r w:rsidRPr="00911A46">
        <w:rPr>
          <w:rFonts w:ascii="Arial" w:hAnsi="Arial" w:cs="Arial"/>
          <w:i/>
          <w:sz w:val="24"/>
          <w:szCs w:val="24"/>
          <w:vertAlign w:val="subscript"/>
        </w:rPr>
        <w:t>g</w:t>
      </w:r>
      <w:r w:rsidRPr="00911A46">
        <w:rPr>
          <w:rFonts w:ascii="Arial" w:hAnsi="Arial" w:cs="Arial"/>
          <w:sz w:val="24"/>
          <w:szCs w:val="24"/>
        </w:rPr>
        <w:t xml:space="preserve"> (with g=1,…</w:t>
      </w:r>
      <w:proofErr w:type="gramStart"/>
      <w:r w:rsidRPr="00911A46">
        <w:rPr>
          <w:rFonts w:ascii="Arial" w:hAnsi="Arial" w:cs="Arial"/>
          <w:sz w:val="24"/>
          <w:szCs w:val="24"/>
        </w:rPr>
        <w:t>,G</w:t>
      </w:r>
      <w:proofErr w:type="gramEnd"/>
      <w:r w:rsidRPr="00911A46">
        <w:rPr>
          <w:rFonts w:ascii="Arial" w:hAnsi="Arial" w:cs="Arial"/>
          <w:sz w:val="24"/>
          <w:szCs w:val="24"/>
        </w:rPr>
        <w:t xml:space="preserve">). </w:t>
      </w:r>
      <w:r w:rsidRPr="00911A46">
        <w:rPr>
          <w:rFonts w:ascii="Arial" w:hAnsi="Arial" w:cs="Arial"/>
          <w:i/>
          <w:sz w:val="24"/>
          <w:szCs w:val="24"/>
        </w:rPr>
        <w:t>N</w:t>
      </w:r>
      <w:r w:rsidRPr="00911A46">
        <w:rPr>
          <w:rFonts w:ascii="Arial" w:hAnsi="Arial" w:cs="Arial"/>
          <w:i/>
          <w:sz w:val="24"/>
          <w:szCs w:val="24"/>
          <w:vertAlign w:val="subscript"/>
        </w:rPr>
        <w:t>g</w:t>
      </w:r>
      <w:r w:rsidRPr="00911A46">
        <w:rPr>
          <w:rFonts w:ascii="Arial" w:hAnsi="Arial" w:cs="Arial"/>
          <w:sz w:val="24"/>
          <w:szCs w:val="24"/>
        </w:rPr>
        <w:t xml:space="preserve"> will be the number of studies in the category </w:t>
      </w:r>
      <w:r w:rsidRPr="00911A46">
        <w:rPr>
          <w:rFonts w:ascii="Arial" w:hAnsi="Arial" w:cs="Arial"/>
          <w:i/>
          <w:sz w:val="24"/>
          <w:szCs w:val="24"/>
        </w:rPr>
        <w:t>S</w:t>
      </w:r>
      <w:r w:rsidRPr="00911A46">
        <w:rPr>
          <w:rFonts w:ascii="Arial" w:hAnsi="Arial" w:cs="Arial"/>
          <w:i/>
          <w:sz w:val="24"/>
          <w:szCs w:val="24"/>
          <w:vertAlign w:val="subscript"/>
        </w:rPr>
        <w:t>g</w:t>
      </w:r>
      <w:r w:rsidRPr="00911A46">
        <w:rPr>
          <w:rFonts w:ascii="Arial" w:hAnsi="Arial" w:cs="Arial"/>
          <w:sz w:val="24"/>
          <w:szCs w:val="24"/>
        </w:rPr>
        <w:t xml:space="preserve">; </w:t>
      </w:r>
      <w:r w:rsidRPr="00911A46">
        <w:rPr>
          <w:rFonts w:ascii="Arial" w:hAnsi="Arial" w:cs="Arial"/>
          <w:i/>
          <w:sz w:val="24"/>
          <w:szCs w:val="24"/>
        </w:rPr>
        <w:t>M</w:t>
      </w:r>
      <w:r w:rsidRPr="00911A46">
        <w:rPr>
          <w:rFonts w:ascii="Arial" w:hAnsi="Arial" w:cs="Arial"/>
          <w:i/>
          <w:sz w:val="24"/>
          <w:szCs w:val="24"/>
          <w:vertAlign w:val="subscript"/>
        </w:rPr>
        <w:t>g</w:t>
      </w:r>
      <w:r w:rsidRPr="00911A46">
        <w:rPr>
          <w:rFonts w:ascii="Arial" w:hAnsi="Arial" w:cs="Arial"/>
          <w:sz w:val="24"/>
          <w:szCs w:val="24"/>
        </w:rPr>
        <w:t xml:space="preserve"> is the number of scores (m</w:t>
      </w:r>
      <w:r w:rsidRPr="00911A46">
        <w:rPr>
          <w:rFonts w:ascii="Arial" w:hAnsi="Arial" w:cs="Arial"/>
          <w:sz w:val="24"/>
          <w:szCs w:val="24"/>
          <w:vertAlign w:val="subscript"/>
        </w:rPr>
        <w:t>g1</w:t>
      </w:r>
      <w:r w:rsidRPr="00911A46">
        <w:rPr>
          <w:rFonts w:ascii="Arial" w:hAnsi="Arial" w:cs="Arial"/>
          <w:sz w:val="24"/>
          <w:szCs w:val="24"/>
        </w:rPr>
        <w:t xml:space="preserve"> m</w:t>
      </w:r>
      <w:r w:rsidRPr="00911A46">
        <w:rPr>
          <w:rFonts w:ascii="Arial" w:hAnsi="Arial" w:cs="Arial"/>
          <w:sz w:val="24"/>
          <w:szCs w:val="24"/>
          <w:vertAlign w:val="subscript"/>
        </w:rPr>
        <w:t>g2</w:t>
      </w:r>
      <w:r w:rsidRPr="00911A46">
        <w:rPr>
          <w:rFonts w:ascii="Arial" w:hAnsi="Arial" w:cs="Arial"/>
          <w:sz w:val="24"/>
          <w:szCs w:val="24"/>
        </w:rPr>
        <w:t xml:space="preserve">, </w:t>
      </w:r>
      <w:proofErr w:type="spellStart"/>
      <w:r w:rsidRPr="00911A46">
        <w:rPr>
          <w:rFonts w:ascii="Arial" w:hAnsi="Arial" w:cs="Arial"/>
          <w:sz w:val="24"/>
          <w:szCs w:val="24"/>
        </w:rPr>
        <w:t>m</w:t>
      </w:r>
      <w:r w:rsidRPr="00911A46">
        <w:rPr>
          <w:rFonts w:ascii="Arial" w:hAnsi="Arial" w:cs="Arial"/>
          <w:sz w:val="24"/>
          <w:szCs w:val="24"/>
          <w:vertAlign w:val="subscript"/>
        </w:rPr>
        <w:t>gMg</w:t>
      </w:r>
      <w:proofErr w:type="spellEnd"/>
      <w:r w:rsidRPr="00911A46">
        <w:rPr>
          <w:rFonts w:ascii="Arial" w:hAnsi="Arial" w:cs="Arial"/>
          <w:sz w:val="24"/>
          <w:szCs w:val="24"/>
        </w:rPr>
        <w:t xml:space="preserve">) that is possible to evaluate in the group </w:t>
      </w:r>
      <w:r w:rsidRPr="00911A46">
        <w:rPr>
          <w:rFonts w:ascii="Arial" w:hAnsi="Arial" w:cs="Arial"/>
          <w:i/>
          <w:sz w:val="24"/>
          <w:szCs w:val="24"/>
        </w:rPr>
        <w:t>S</w:t>
      </w:r>
      <w:r w:rsidRPr="00911A46">
        <w:rPr>
          <w:rFonts w:ascii="Arial" w:hAnsi="Arial" w:cs="Arial"/>
          <w:i/>
          <w:sz w:val="24"/>
          <w:szCs w:val="24"/>
          <w:vertAlign w:val="subscript"/>
        </w:rPr>
        <w:t>g</w:t>
      </w:r>
      <w:r w:rsidRPr="00911A46">
        <w:rPr>
          <w:rFonts w:ascii="Arial" w:hAnsi="Arial" w:cs="Arial"/>
          <w:sz w:val="24"/>
          <w:szCs w:val="24"/>
        </w:rPr>
        <w:t xml:space="preserve"> (cohorts in which less than 2 scores can be evaluated will be excluded). We will refer to the generic cohort represented by the group Sg, in which </w:t>
      </w:r>
      <w:r w:rsidRPr="00911A46">
        <w:rPr>
          <w:rFonts w:ascii="Arial" w:hAnsi="Arial" w:cs="Arial"/>
          <w:i/>
          <w:sz w:val="24"/>
          <w:szCs w:val="24"/>
        </w:rPr>
        <w:t>N</w:t>
      </w:r>
      <w:r w:rsidRPr="00911A46">
        <w:rPr>
          <w:rFonts w:ascii="Arial" w:hAnsi="Arial" w:cs="Arial"/>
          <w:i/>
          <w:sz w:val="24"/>
          <w:szCs w:val="24"/>
          <w:vertAlign w:val="subscript"/>
        </w:rPr>
        <w:t>g</w:t>
      </w:r>
      <w:r w:rsidRPr="00911A46">
        <w:rPr>
          <w:rFonts w:ascii="Arial" w:hAnsi="Arial" w:cs="Arial"/>
          <w:sz w:val="24"/>
          <w:szCs w:val="24"/>
        </w:rPr>
        <w:t xml:space="preserve"> scores can be evaluated, as </w:t>
      </w:r>
      <w:proofErr w:type="gramStart"/>
      <w:r w:rsidRPr="00911A46">
        <w:rPr>
          <w:rFonts w:ascii="Arial" w:hAnsi="Arial" w:cs="Arial"/>
          <w:sz w:val="24"/>
          <w:szCs w:val="24"/>
        </w:rPr>
        <w:t>a</w:t>
      </w:r>
      <w:proofErr w:type="gramEnd"/>
      <w:r w:rsidRPr="00911A46">
        <w:rPr>
          <w:rFonts w:ascii="Arial" w:hAnsi="Arial" w:cs="Arial"/>
          <w:sz w:val="24"/>
          <w:szCs w:val="24"/>
        </w:rPr>
        <w:t xml:space="preserve"> </w:t>
      </w:r>
      <w:r w:rsidRPr="00911A46">
        <w:rPr>
          <w:rFonts w:ascii="Arial" w:hAnsi="Arial" w:cs="Arial"/>
          <w:i/>
          <w:sz w:val="24"/>
          <w:szCs w:val="24"/>
        </w:rPr>
        <w:t>N</w:t>
      </w:r>
      <w:r w:rsidRPr="00911A46">
        <w:rPr>
          <w:rFonts w:ascii="Arial" w:hAnsi="Arial" w:cs="Arial"/>
          <w:i/>
          <w:sz w:val="24"/>
          <w:szCs w:val="24"/>
          <w:vertAlign w:val="subscript"/>
        </w:rPr>
        <w:t>g</w:t>
      </w:r>
      <w:r w:rsidRPr="00911A46">
        <w:rPr>
          <w:rFonts w:ascii="Arial" w:hAnsi="Arial" w:cs="Arial"/>
          <w:sz w:val="24"/>
          <w:szCs w:val="24"/>
        </w:rPr>
        <w:t>-score group. A hypothetical representation of the groups follows:</w:t>
      </w:r>
    </w:p>
    <w:p w14:paraId="2DD1AD5C" w14:textId="77777777" w:rsidR="007C278A" w:rsidRPr="00911A46" w:rsidRDefault="007C278A" w:rsidP="00911A46">
      <w:pPr>
        <w:spacing w:line="480" w:lineRule="auto"/>
        <w:jc w:val="both"/>
        <w:rPr>
          <w:rFonts w:ascii="Arial" w:hAnsi="Arial" w:cs="Arial"/>
          <w:sz w:val="24"/>
          <w:szCs w:val="24"/>
        </w:rPr>
      </w:pPr>
    </w:p>
    <w:tbl>
      <w:tblPr>
        <w:tblStyle w:val="TableGrid"/>
        <w:tblW w:w="0" w:type="auto"/>
        <w:tblInd w:w="1384" w:type="dxa"/>
        <w:tblLook w:val="04A0" w:firstRow="1" w:lastRow="0" w:firstColumn="1" w:lastColumn="0" w:noHBand="0" w:noVBand="1"/>
      </w:tblPr>
      <w:tblGrid>
        <w:gridCol w:w="1985"/>
        <w:gridCol w:w="1762"/>
        <w:gridCol w:w="2065"/>
      </w:tblGrid>
      <w:tr w:rsidR="007C278A" w:rsidRPr="007C278A" w14:paraId="30C1B0A2" w14:textId="77777777" w:rsidTr="005356A1">
        <w:tc>
          <w:tcPr>
            <w:tcW w:w="1985" w:type="dxa"/>
          </w:tcPr>
          <w:p w14:paraId="5FF46482" w14:textId="77777777" w:rsidR="007C278A" w:rsidRPr="00911A46" w:rsidRDefault="007C278A" w:rsidP="00911A46">
            <w:pPr>
              <w:spacing w:line="480" w:lineRule="auto"/>
              <w:jc w:val="center"/>
              <w:rPr>
                <w:rFonts w:ascii="Arial" w:hAnsi="Arial" w:cs="Arial"/>
                <w:i/>
                <w:sz w:val="24"/>
                <w:szCs w:val="24"/>
              </w:rPr>
            </w:pPr>
            <w:r w:rsidRPr="00911A46">
              <w:rPr>
                <w:rFonts w:ascii="Arial" w:hAnsi="Arial" w:cs="Arial"/>
                <w:i/>
                <w:sz w:val="24"/>
                <w:szCs w:val="24"/>
              </w:rPr>
              <w:t>Group</w:t>
            </w:r>
          </w:p>
        </w:tc>
        <w:tc>
          <w:tcPr>
            <w:tcW w:w="1762" w:type="dxa"/>
          </w:tcPr>
          <w:p w14:paraId="3DC0B102" w14:textId="77777777" w:rsidR="007C278A" w:rsidRPr="00911A46" w:rsidRDefault="007C278A" w:rsidP="00911A46">
            <w:pPr>
              <w:spacing w:line="480" w:lineRule="auto"/>
              <w:jc w:val="center"/>
              <w:rPr>
                <w:rFonts w:ascii="Arial" w:hAnsi="Arial" w:cs="Arial"/>
                <w:sz w:val="24"/>
                <w:szCs w:val="24"/>
              </w:rPr>
            </w:pPr>
            <w:r w:rsidRPr="00911A46">
              <w:rPr>
                <w:rFonts w:ascii="Arial" w:hAnsi="Arial" w:cs="Arial"/>
                <w:sz w:val="24"/>
                <w:szCs w:val="24"/>
              </w:rPr>
              <w:t>No. of cohorts</w:t>
            </w:r>
          </w:p>
        </w:tc>
        <w:tc>
          <w:tcPr>
            <w:tcW w:w="2065" w:type="dxa"/>
          </w:tcPr>
          <w:p w14:paraId="24537524" w14:textId="77777777" w:rsidR="007C278A" w:rsidRPr="00911A46" w:rsidRDefault="007C278A" w:rsidP="00911A46">
            <w:pPr>
              <w:spacing w:line="480" w:lineRule="auto"/>
              <w:jc w:val="center"/>
              <w:rPr>
                <w:rFonts w:ascii="Arial" w:hAnsi="Arial" w:cs="Arial"/>
                <w:sz w:val="24"/>
                <w:szCs w:val="24"/>
              </w:rPr>
            </w:pPr>
            <w:r w:rsidRPr="00911A46">
              <w:rPr>
                <w:rFonts w:ascii="Arial" w:hAnsi="Arial" w:cs="Arial"/>
                <w:sz w:val="24"/>
                <w:szCs w:val="24"/>
              </w:rPr>
              <w:t>Scores</w:t>
            </w:r>
          </w:p>
        </w:tc>
      </w:tr>
      <w:tr w:rsidR="007C278A" w:rsidRPr="007C278A" w14:paraId="156DEB48" w14:textId="77777777" w:rsidTr="005356A1">
        <w:tc>
          <w:tcPr>
            <w:tcW w:w="1985" w:type="dxa"/>
          </w:tcPr>
          <w:p w14:paraId="11A2066E" w14:textId="77777777" w:rsidR="007C278A" w:rsidRPr="00911A46" w:rsidRDefault="007C278A" w:rsidP="00911A46">
            <w:pPr>
              <w:spacing w:line="480" w:lineRule="auto"/>
              <w:jc w:val="center"/>
              <w:rPr>
                <w:rFonts w:ascii="Arial" w:hAnsi="Arial" w:cs="Arial"/>
                <w:i/>
                <w:sz w:val="24"/>
                <w:szCs w:val="24"/>
              </w:rPr>
            </w:pPr>
            <w:r w:rsidRPr="00911A46">
              <w:rPr>
                <w:rFonts w:ascii="Arial" w:hAnsi="Arial" w:cs="Arial"/>
                <w:i/>
                <w:sz w:val="24"/>
                <w:szCs w:val="24"/>
              </w:rPr>
              <w:t>S</w:t>
            </w:r>
            <w:r w:rsidRPr="00911A46">
              <w:rPr>
                <w:rFonts w:ascii="Arial" w:hAnsi="Arial" w:cs="Arial"/>
                <w:i/>
                <w:sz w:val="24"/>
                <w:szCs w:val="24"/>
                <w:vertAlign w:val="subscript"/>
              </w:rPr>
              <w:t>1</w:t>
            </w:r>
          </w:p>
        </w:tc>
        <w:tc>
          <w:tcPr>
            <w:tcW w:w="1762" w:type="dxa"/>
          </w:tcPr>
          <w:p w14:paraId="0FDD59B2" w14:textId="77777777" w:rsidR="007C278A" w:rsidRPr="00911A46" w:rsidRDefault="007C278A" w:rsidP="00911A46">
            <w:pPr>
              <w:spacing w:line="480" w:lineRule="auto"/>
              <w:jc w:val="center"/>
              <w:rPr>
                <w:rFonts w:ascii="Arial" w:hAnsi="Arial" w:cs="Arial"/>
                <w:sz w:val="24"/>
                <w:szCs w:val="24"/>
              </w:rPr>
            </w:pPr>
            <w:r w:rsidRPr="00911A46">
              <w:rPr>
                <w:rFonts w:ascii="Arial" w:hAnsi="Arial" w:cs="Arial"/>
                <w:sz w:val="24"/>
                <w:szCs w:val="24"/>
              </w:rPr>
              <w:t>20</w:t>
            </w:r>
          </w:p>
        </w:tc>
        <w:tc>
          <w:tcPr>
            <w:tcW w:w="2065" w:type="dxa"/>
          </w:tcPr>
          <w:p w14:paraId="39C6A9D4" w14:textId="77777777" w:rsidR="007C278A" w:rsidRPr="00911A46" w:rsidRDefault="007C278A" w:rsidP="00911A46">
            <w:pPr>
              <w:spacing w:line="480" w:lineRule="auto"/>
              <w:jc w:val="center"/>
              <w:rPr>
                <w:rFonts w:ascii="Arial" w:hAnsi="Arial" w:cs="Arial"/>
                <w:i/>
                <w:sz w:val="24"/>
                <w:szCs w:val="24"/>
              </w:rPr>
            </w:pPr>
            <w:r w:rsidRPr="00911A46">
              <w:rPr>
                <w:rFonts w:ascii="Arial" w:hAnsi="Arial" w:cs="Arial"/>
                <w:i/>
                <w:sz w:val="24"/>
                <w:szCs w:val="24"/>
              </w:rPr>
              <w:t>X, Y</w:t>
            </w:r>
          </w:p>
        </w:tc>
      </w:tr>
      <w:tr w:rsidR="007C278A" w:rsidRPr="007C278A" w14:paraId="557EA076" w14:textId="77777777" w:rsidTr="005356A1">
        <w:tc>
          <w:tcPr>
            <w:tcW w:w="1985" w:type="dxa"/>
          </w:tcPr>
          <w:p w14:paraId="34E7E4A6" w14:textId="77777777" w:rsidR="007C278A" w:rsidRPr="00911A46" w:rsidRDefault="007C278A" w:rsidP="00911A46">
            <w:pPr>
              <w:spacing w:line="480" w:lineRule="auto"/>
              <w:jc w:val="center"/>
              <w:rPr>
                <w:rFonts w:ascii="Arial" w:hAnsi="Arial" w:cs="Arial"/>
                <w:i/>
                <w:sz w:val="24"/>
                <w:szCs w:val="24"/>
              </w:rPr>
            </w:pPr>
            <w:r w:rsidRPr="00911A46">
              <w:rPr>
                <w:rFonts w:ascii="Arial" w:hAnsi="Arial" w:cs="Arial"/>
                <w:i/>
                <w:sz w:val="24"/>
                <w:szCs w:val="24"/>
              </w:rPr>
              <w:t>S</w:t>
            </w:r>
            <w:r w:rsidRPr="00911A46">
              <w:rPr>
                <w:rFonts w:ascii="Arial" w:hAnsi="Arial" w:cs="Arial"/>
                <w:i/>
                <w:sz w:val="24"/>
                <w:szCs w:val="24"/>
                <w:vertAlign w:val="subscript"/>
              </w:rPr>
              <w:t>2</w:t>
            </w:r>
          </w:p>
        </w:tc>
        <w:tc>
          <w:tcPr>
            <w:tcW w:w="1762" w:type="dxa"/>
          </w:tcPr>
          <w:p w14:paraId="3F3B96B0" w14:textId="77777777" w:rsidR="007C278A" w:rsidRPr="00911A46" w:rsidRDefault="007C278A" w:rsidP="00911A46">
            <w:pPr>
              <w:spacing w:line="480" w:lineRule="auto"/>
              <w:jc w:val="center"/>
              <w:rPr>
                <w:rFonts w:ascii="Arial" w:hAnsi="Arial" w:cs="Arial"/>
                <w:sz w:val="24"/>
                <w:szCs w:val="24"/>
              </w:rPr>
            </w:pPr>
            <w:r w:rsidRPr="00911A46">
              <w:rPr>
                <w:rFonts w:ascii="Arial" w:hAnsi="Arial" w:cs="Arial"/>
                <w:sz w:val="24"/>
                <w:szCs w:val="24"/>
              </w:rPr>
              <w:t>16</w:t>
            </w:r>
          </w:p>
        </w:tc>
        <w:tc>
          <w:tcPr>
            <w:tcW w:w="2065" w:type="dxa"/>
          </w:tcPr>
          <w:p w14:paraId="6C10A45E" w14:textId="77777777" w:rsidR="007C278A" w:rsidRPr="00911A46" w:rsidRDefault="007C278A" w:rsidP="00911A46">
            <w:pPr>
              <w:spacing w:line="480" w:lineRule="auto"/>
              <w:jc w:val="center"/>
              <w:rPr>
                <w:rFonts w:ascii="Arial" w:hAnsi="Arial" w:cs="Arial"/>
                <w:i/>
                <w:sz w:val="24"/>
                <w:szCs w:val="24"/>
              </w:rPr>
            </w:pPr>
            <w:r w:rsidRPr="00911A46">
              <w:rPr>
                <w:rFonts w:ascii="Arial" w:hAnsi="Arial" w:cs="Arial"/>
                <w:i/>
                <w:sz w:val="24"/>
                <w:szCs w:val="24"/>
              </w:rPr>
              <w:t>Y, Z</w:t>
            </w:r>
          </w:p>
        </w:tc>
      </w:tr>
      <w:tr w:rsidR="007C278A" w:rsidRPr="007C278A" w14:paraId="63EA9B7C" w14:textId="77777777" w:rsidTr="005356A1">
        <w:tc>
          <w:tcPr>
            <w:tcW w:w="1985" w:type="dxa"/>
          </w:tcPr>
          <w:p w14:paraId="75DEA183" w14:textId="77777777" w:rsidR="007C278A" w:rsidRPr="00911A46" w:rsidRDefault="007C278A" w:rsidP="00911A46">
            <w:pPr>
              <w:spacing w:line="480" w:lineRule="auto"/>
              <w:jc w:val="center"/>
              <w:rPr>
                <w:rFonts w:ascii="Arial" w:hAnsi="Arial" w:cs="Arial"/>
                <w:i/>
                <w:sz w:val="24"/>
                <w:szCs w:val="24"/>
              </w:rPr>
            </w:pPr>
            <w:r w:rsidRPr="00911A46">
              <w:rPr>
                <w:rFonts w:ascii="Arial" w:hAnsi="Arial" w:cs="Arial"/>
                <w:i/>
                <w:sz w:val="24"/>
                <w:szCs w:val="24"/>
              </w:rPr>
              <w:t>S</w:t>
            </w:r>
            <w:r w:rsidRPr="00911A46">
              <w:rPr>
                <w:rFonts w:ascii="Arial" w:hAnsi="Arial" w:cs="Arial"/>
                <w:i/>
                <w:sz w:val="24"/>
                <w:szCs w:val="24"/>
                <w:vertAlign w:val="subscript"/>
              </w:rPr>
              <w:t>3</w:t>
            </w:r>
          </w:p>
        </w:tc>
        <w:tc>
          <w:tcPr>
            <w:tcW w:w="1762" w:type="dxa"/>
          </w:tcPr>
          <w:p w14:paraId="78E705D7" w14:textId="77777777" w:rsidR="007C278A" w:rsidRPr="00911A46" w:rsidRDefault="007C278A" w:rsidP="00911A46">
            <w:pPr>
              <w:spacing w:line="480" w:lineRule="auto"/>
              <w:jc w:val="center"/>
              <w:rPr>
                <w:rFonts w:ascii="Arial" w:hAnsi="Arial" w:cs="Arial"/>
                <w:sz w:val="24"/>
                <w:szCs w:val="24"/>
              </w:rPr>
            </w:pPr>
            <w:r w:rsidRPr="00911A46">
              <w:rPr>
                <w:rFonts w:ascii="Arial" w:hAnsi="Arial" w:cs="Arial"/>
                <w:sz w:val="24"/>
                <w:szCs w:val="24"/>
              </w:rPr>
              <w:t>8</w:t>
            </w:r>
          </w:p>
        </w:tc>
        <w:tc>
          <w:tcPr>
            <w:tcW w:w="2065" w:type="dxa"/>
          </w:tcPr>
          <w:p w14:paraId="51D7EEA2" w14:textId="77777777" w:rsidR="007C278A" w:rsidRPr="00911A46" w:rsidRDefault="007C278A" w:rsidP="00911A46">
            <w:pPr>
              <w:spacing w:line="480" w:lineRule="auto"/>
              <w:jc w:val="center"/>
              <w:rPr>
                <w:rFonts w:ascii="Arial" w:hAnsi="Arial" w:cs="Arial"/>
                <w:i/>
                <w:sz w:val="24"/>
                <w:szCs w:val="24"/>
              </w:rPr>
            </w:pPr>
            <w:r w:rsidRPr="00911A46">
              <w:rPr>
                <w:rFonts w:ascii="Arial" w:hAnsi="Arial" w:cs="Arial"/>
                <w:i/>
                <w:sz w:val="24"/>
                <w:szCs w:val="24"/>
              </w:rPr>
              <w:t>X, Y, Z</w:t>
            </w:r>
          </w:p>
        </w:tc>
      </w:tr>
      <w:tr w:rsidR="007C278A" w:rsidRPr="007C278A" w14:paraId="045063D2" w14:textId="77777777" w:rsidTr="005356A1">
        <w:tc>
          <w:tcPr>
            <w:tcW w:w="1985" w:type="dxa"/>
          </w:tcPr>
          <w:p w14:paraId="3A5BCDB2" w14:textId="77777777" w:rsidR="007C278A" w:rsidRPr="00911A46" w:rsidRDefault="007C278A" w:rsidP="00911A46">
            <w:pPr>
              <w:spacing w:line="480" w:lineRule="auto"/>
              <w:jc w:val="center"/>
              <w:rPr>
                <w:rFonts w:ascii="Arial" w:hAnsi="Arial" w:cs="Arial"/>
                <w:i/>
                <w:sz w:val="24"/>
                <w:szCs w:val="24"/>
              </w:rPr>
            </w:pPr>
            <w:r w:rsidRPr="00911A46">
              <w:rPr>
                <w:rFonts w:ascii="Arial" w:hAnsi="Arial" w:cs="Arial"/>
                <w:i/>
                <w:sz w:val="24"/>
                <w:szCs w:val="24"/>
              </w:rPr>
              <w:t>…</w:t>
            </w:r>
          </w:p>
        </w:tc>
        <w:tc>
          <w:tcPr>
            <w:tcW w:w="1762" w:type="dxa"/>
          </w:tcPr>
          <w:p w14:paraId="6EEF03D9" w14:textId="77777777" w:rsidR="007C278A" w:rsidRPr="00911A46" w:rsidRDefault="007C278A" w:rsidP="00911A46">
            <w:pPr>
              <w:spacing w:line="480" w:lineRule="auto"/>
              <w:jc w:val="center"/>
              <w:rPr>
                <w:rFonts w:ascii="Arial" w:hAnsi="Arial" w:cs="Arial"/>
                <w:sz w:val="24"/>
                <w:szCs w:val="24"/>
              </w:rPr>
            </w:pPr>
            <w:r w:rsidRPr="00911A46">
              <w:rPr>
                <w:rFonts w:ascii="Arial" w:hAnsi="Arial" w:cs="Arial"/>
                <w:sz w:val="24"/>
                <w:szCs w:val="24"/>
              </w:rPr>
              <w:t>…</w:t>
            </w:r>
          </w:p>
        </w:tc>
        <w:tc>
          <w:tcPr>
            <w:tcW w:w="2065" w:type="dxa"/>
          </w:tcPr>
          <w:p w14:paraId="62738208" w14:textId="77777777" w:rsidR="007C278A" w:rsidRPr="00911A46" w:rsidRDefault="007C278A" w:rsidP="00911A46">
            <w:pPr>
              <w:spacing w:line="480" w:lineRule="auto"/>
              <w:jc w:val="center"/>
              <w:rPr>
                <w:rFonts w:ascii="Arial" w:hAnsi="Arial" w:cs="Arial"/>
                <w:sz w:val="24"/>
                <w:szCs w:val="24"/>
              </w:rPr>
            </w:pPr>
            <w:r w:rsidRPr="00911A46">
              <w:rPr>
                <w:rFonts w:ascii="Arial" w:hAnsi="Arial" w:cs="Arial"/>
                <w:sz w:val="24"/>
                <w:szCs w:val="24"/>
              </w:rPr>
              <w:t>…</w:t>
            </w:r>
          </w:p>
        </w:tc>
      </w:tr>
      <w:tr w:rsidR="007C278A" w:rsidRPr="007C278A" w14:paraId="1D7B54CE" w14:textId="77777777" w:rsidTr="005356A1">
        <w:tc>
          <w:tcPr>
            <w:tcW w:w="1985" w:type="dxa"/>
          </w:tcPr>
          <w:p w14:paraId="1B122CE2" w14:textId="77777777" w:rsidR="007C278A" w:rsidRPr="00911A46" w:rsidRDefault="007C278A" w:rsidP="00911A46">
            <w:pPr>
              <w:spacing w:line="480" w:lineRule="auto"/>
              <w:jc w:val="center"/>
              <w:rPr>
                <w:rFonts w:ascii="Arial" w:hAnsi="Arial" w:cs="Arial"/>
                <w:i/>
                <w:sz w:val="24"/>
                <w:szCs w:val="24"/>
              </w:rPr>
            </w:pPr>
            <w:r w:rsidRPr="00911A46">
              <w:rPr>
                <w:rFonts w:ascii="Arial" w:hAnsi="Arial" w:cs="Arial"/>
                <w:i/>
                <w:sz w:val="24"/>
                <w:szCs w:val="24"/>
              </w:rPr>
              <w:t>S</w:t>
            </w:r>
            <w:r w:rsidRPr="00911A46">
              <w:rPr>
                <w:rFonts w:ascii="Arial" w:hAnsi="Arial" w:cs="Arial"/>
                <w:i/>
                <w:sz w:val="24"/>
                <w:szCs w:val="24"/>
                <w:vertAlign w:val="subscript"/>
              </w:rPr>
              <w:t>g</w:t>
            </w:r>
          </w:p>
        </w:tc>
        <w:tc>
          <w:tcPr>
            <w:tcW w:w="1762" w:type="dxa"/>
          </w:tcPr>
          <w:p w14:paraId="2350996B" w14:textId="77777777" w:rsidR="007C278A" w:rsidRPr="00911A46" w:rsidRDefault="007C278A" w:rsidP="00911A46">
            <w:pPr>
              <w:spacing w:line="480" w:lineRule="auto"/>
              <w:jc w:val="center"/>
              <w:rPr>
                <w:rFonts w:ascii="Arial" w:hAnsi="Arial" w:cs="Arial"/>
                <w:i/>
                <w:sz w:val="24"/>
                <w:szCs w:val="24"/>
              </w:rPr>
            </w:pPr>
            <w:r w:rsidRPr="00911A46">
              <w:rPr>
                <w:rFonts w:ascii="Arial" w:hAnsi="Arial" w:cs="Arial"/>
                <w:i/>
                <w:sz w:val="24"/>
                <w:szCs w:val="24"/>
              </w:rPr>
              <w:t>N</w:t>
            </w:r>
            <w:r w:rsidRPr="00911A46">
              <w:rPr>
                <w:rFonts w:ascii="Arial" w:hAnsi="Arial" w:cs="Arial"/>
                <w:i/>
                <w:sz w:val="24"/>
                <w:szCs w:val="24"/>
                <w:vertAlign w:val="subscript"/>
              </w:rPr>
              <w:t>g</w:t>
            </w:r>
          </w:p>
        </w:tc>
        <w:tc>
          <w:tcPr>
            <w:tcW w:w="2065" w:type="dxa"/>
          </w:tcPr>
          <w:p w14:paraId="661A6401" w14:textId="77777777" w:rsidR="007C278A" w:rsidRPr="00911A46" w:rsidRDefault="007C278A" w:rsidP="00911A46">
            <w:pPr>
              <w:spacing w:line="480" w:lineRule="auto"/>
              <w:jc w:val="center"/>
              <w:rPr>
                <w:rFonts w:ascii="Arial" w:hAnsi="Arial" w:cs="Arial"/>
                <w:sz w:val="24"/>
                <w:szCs w:val="24"/>
              </w:rPr>
            </w:pPr>
            <w:r w:rsidRPr="00911A46">
              <w:rPr>
                <w:rFonts w:ascii="Arial" w:hAnsi="Arial" w:cs="Arial"/>
                <w:sz w:val="24"/>
                <w:szCs w:val="24"/>
              </w:rPr>
              <w:t>m</w:t>
            </w:r>
            <w:r w:rsidRPr="00911A46">
              <w:rPr>
                <w:rFonts w:ascii="Arial" w:hAnsi="Arial" w:cs="Arial"/>
                <w:sz w:val="24"/>
                <w:szCs w:val="24"/>
                <w:vertAlign w:val="subscript"/>
              </w:rPr>
              <w:t>g,1</w:t>
            </w:r>
            <w:r w:rsidRPr="00911A46">
              <w:rPr>
                <w:rFonts w:ascii="Arial" w:hAnsi="Arial" w:cs="Arial"/>
                <w:sz w:val="24"/>
                <w:szCs w:val="24"/>
              </w:rPr>
              <w:t>, m</w:t>
            </w:r>
            <w:r w:rsidRPr="00911A46">
              <w:rPr>
                <w:rFonts w:ascii="Arial" w:hAnsi="Arial" w:cs="Arial"/>
                <w:sz w:val="24"/>
                <w:szCs w:val="24"/>
                <w:vertAlign w:val="subscript"/>
              </w:rPr>
              <w:t>g,2</w:t>
            </w:r>
            <w:r w:rsidRPr="00911A46">
              <w:rPr>
                <w:rFonts w:ascii="Arial" w:hAnsi="Arial" w:cs="Arial"/>
                <w:sz w:val="24"/>
                <w:szCs w:val="24"/>
              </w:rPr>
              <w:t>,…,</w:t>
            </w:r>
            <w:proofErr w:type="spellStart"/>
            <w:r w:rsidRPr="00911A46">
              <w:rPr>
                <w:rFonts w:ascii="Arial" w:hAnsi="Arial" w:cs="Arial"/>
                <w:sz w:val="24"/>
                <w:szCs w:val="24"/>
              </w:rPr>
              <w:t>m</w:t>
            </w:r>
            <w:r w:rsidRPr="00911A46">
              <w:rPr>
                <w:rFonts w:ascii="Arial" w:hAnsi="Arial" w:cs="Arial"/>
                <w:sz w:val="24"/>
                <w:szCs w:val="24"/>
                <w:vertAlign w:val="subscript"/>
              </w:rPr>
              <w:t>g,Mg</w:t>
            </w:r>
            <w:proofErr w:type="spellEnd"/>
          </w:p>
        </w:tc>
      </w:tr>
      <w:tr w:rsidR="007C278A" w:rsidRPr="007C278A" w14:paraId="066BB41B" w14:textId="77777777" w:rsidTr="005356A1">
        <w:tc>
          <w:tcPr>
            <w:tcW w:w="1985" w:type="dxa"/>
          </w:tcPr>
          <w:p w14:paraId="1F711F88" w14:textId="77777777" w:rsidR="007C278A" w:rsidRPr="00911A46" w:rsidRDefault="007C278A" w:rsidP="00911A46">
            <w:pPr>
              <w:spacing w:line="480" w:lineRule="auto"/>
              <w:jc w:val="center"/>
              <w:rPr>
                <w:rFonts w:ascii="Arial" w:hAnsi="Arial" w:cs="Arial"/>
                <w:i/>
                <w:sz w:val="24"/>
                <w:szCs w:val="24"/>
              </w:rPr>
            </w:pPr>
            <w:r w:rsidRPr="00911A46">
              <w:rPr>
                <w:rFonts w:ascii="Arial" w:hAnsi="Arial" w:cs="Arial"/>
                <w:i/>
                <w:sz w:val="24"/>
                <w:szCs w:val="24"/>
              </w:rPr>
              <w:t>…</w:t>
            </w:r>
          </w:p>
        </w:tc>
        <w:tc>
          <w:tcPr>
            <w:tcW w:w="1762" w:type="dxa"/>
          </w:tcPr>
          <w:p w14:paraId="51D35CD4" w14:textId="77777777" w:rsidR="007C278A" w:rsidRPr="00911A46" w:rsidRDefault="007C278A" w:rsidP="00911A46">
            <w:pPr>
              <w:spacing w:line="480" w:lineRule="auto"/>
              <w:jc w:val="center"/>
              <w:rPr>
                <w:rFonts w:ascii="Arial" w:hAnsi="Arial" w:cs="Arial"/>
                <w:sz w:val="24"/>
                <w:szCs w:val="24"/>
              </w:rPr>
            </w:pPr>
            <w:r w:rsidRPr="00911A46">
              <w:rPr>
                <w:rFonts w:ascii="Arial" w:hAnsi="Arial" w:cs="Arial"/>
                <w:sz w:val="24"/>
                <w:szCs w:val="24"/>
              </w:rPr>
              <w:t>…</w:t>
            </w:r>
          </w:p>
        </w:tc>
        <w:tc>
          <w:tcPr>
            <w:tcW w:w="2065" w:type="dxa"/>
          </w:tcPr>
          <w:p w14:paraId="349D023D" w14:textId="77777777" w:rsidR="007C278A" w:rsidRPr="00911A46" w:rsidRDefault="007C278A" w:rsidP="00911A46">
            <w:pPr>
              <w:spacing w:line="480" w:lineRule="auto"/>
              <w:jc w:val="center"/>
              <w:rPr>
                <w:rFonts w:ascii="Arial" w:hAnsi="Arial" w:cs="Arial"/>
                <w:sz w:val="24"/>
                <w:szCs w:val="24"/>
              </w:rPr>
            </w:pPr>
            <w:r w:rsidRPr="00911A46">
              <w:rPr>
                <w:rFonts w:ascii="Arial" w:hAnsi="Arial" w:cs="Arial"/>
                <w:sz w:val="24"/>
                <w:szCs w:val="24"/>
              </w:rPr>
              <w:t>…</w:t>
            </w:r>
          </w:p>
        </w:tc>
      </w:tr>
      <w:tr w:rsidR="007C278A" w:rsidRPr="007C278A" w14:paraId="5CA4A761" w14:textId="77777777" w:rsidTr="005356A1">
        <w:tc>
          <w:tcPr>
            <w:tcW w:w="1985" w:type="dxa"/>
          </w:tcPr>
          <w:p w14:paraId="6CE93065" w14:textId="77777777" w:rsidR="007C278A" w:rsidRPr="00911A46" w:rsidRDefault="007C278A" w:rsidP="00911A46">
            <w:pPr>
              <w:spacing w:line="480" w:lineRule="auto"/>
              <w:jc w:val="center"/>
              <w:rPr>
                <w:rFonts w:ascii="Arial" w:hAnsi="Arial" w:cs="Arial"/>
                <w:i/>
                <w:sz w:val="24"/>
                <w:szCs w:val="24"/>
              </w:rPr>
            </w:pPr>
            <w:r w:rsidRPr="00911A46">
              <w:rPr>
                <w:rFonts w:ascii="Arial" w:hAnsi="Arial" w:cs="Arial"/>
                <w:i/>
                <w:sz w:val="24"/>
                <w:szCs w:val="24"/>
              </w:rPr>
              <w:t>S</w:t>
            </w:r>
            <w:r w:rsidRPr="00911A46">
              <w:rPr>
                <w:rFonts w:ascii="Arial" w:hAnsi="Arial" w:cs="Arial"/>
                <w:i/>
                <w:sz w:val="24"/>
                <w:szCs w:val="24"/>
                <w:vertAlign w:val="subscript"/>
              </w:rPr>
              <w:t>G</w:t>
            </w:r>
          </w:p>
        </w:tc>
        <w:tc>
          <w:tcPr>
            <w:tcW w:w="1762" w:type="dxa"/>
          </w:tcPr>
          <w:p w14:paraId="48F2828F" w14:textId="77777777" w:rsidR="007C278A" w:rsidRPr="00911A46" w:rsidRDefault="007C278A" w:rsidP="00911A46">
            <w:pPr>
              <w:spacing w:line="480" w:lineRule="auto"/>
              <w:jc w:val="center"/>
              <w:rPr>
                <w:rFonts w:ascii="Arial" w:hAnsi="Arial" w:cs="Arial"/>
                <w:sz w:val="24"/>
                <w:szCs w:val="24"/>
              </w:rPr>
            </w:pPr>
            <w:r w:rsidRPr="00911A46">
              <w:rPr>
                <w:rFonts w:ascii="Arial" w:hAnsi="Arial" w:cs="Arial"/>
                <w:sz w:val="24"/>
                <w:szCs w:val="24"/>
              </w:rPr>
              <w:t>1</w:t>
            </w:r>
          </w:p>
        </w:tc>
        <w:tc>
          <w:tcPr>
            <w:tcW w:w="2065" w:type="dxa"/>
          </w:tcPr>
          <w:p w14:paraId="1A878922" w14:textId="77777777" w:rsidR="007C278A" w:rsidRPr="00911A46" w:rsidRDefault="007C278A" w:rsidP="00911A46">
            <w:pPr>
              <w:keepNext/>
              <w:spacing w:line="480" w:lineRule="auto"/>
              <w:jc w:val="center"/>
              <w:rPr>
                <w:rFonts w:ascii="Arial" w:hAnsi="Arial" w:cs="Arial"/>
                <w:sz w:val="24"/>
                <w:szCs w:val="24"/>
              </w:rPr>
            </w:pPr>
            <w:r w:rsidRPr="00911A46">
              <w:rPr>
                <w:rFonts w:ascii="Arial" w:hAnsi="Arial" w:cs="Arial"/>
                <w:sz w:val="24"/>
                <w:szCs w:val="24"/>
              </w:rPr>
              <w:t>m</w:t>
            </w:r>
            <w:r w:rsidRPr="00911A46">
              <w:rPr>
                <w:rFonts w:ascii="Arial" w:hAnsi="Arial" w:cs="Arial"/>
                <w:sz w:val="24"/>
                <w:szCs w:val="24"/>
                <w:vertAlign w:val="subscript"/>
              </w:rPr>
              <w:t>g,1</w:t>
            </w:r>
            <w:r w:rsidRPr="00911A46">
              <w:rPr>
                <w:rFonts w:ascii="Arial" w:hAnsi="Arial" w:cs="Arial"/>
                <w:sz w:val="24"/>
                <w:szCs w:val="24"/>
              </w:rPr>
              <w:t>, m</w:t>
            </w:r>
            <w:r w:rsidRPr="00911A46">
              <w:rPr>
                <w:rFonts w:ascii="Arial" w:hAnsi="Arial" w:cs="Arial"/>
                <w:sz w:val="24"/>
                <w:szCs w:val="24"/>
                <w:vertAlign w:val="subscript"/>
              </w:rPr>
              <w:t>g,2</w:t>
            </w:r>
            <w:r w:rsidRPr="00911A46">
              <w:rPr>
                <w:rFonts w:ascii="Arial" w:hAnsi="Arial" w:cs="Arial"/>
                <w:sz w:val="24"/>
                <w:szCs w:val="24"/>
              </w:rPr>
              <w:t xml:space="preserve">,…, </w:t>
            </w:r>
            <w:proofErr w:type="spellStart"/>
            <w:r w:rsidRPr="00911A46">
              <w:rPr>
                <w:rFonts w:ascii="Arial" w:hAnsi="Arial" w:cs="Arial"/>
                <w:sz w:val="24"/>
                <w:szCs w:val="24"/>
              </w:rPr>
              <w:t>m</w:t>
            </w:r>
            <w:r w:rsidRPr="00911A46">
              <w:rPr>
                <w:rFonts w:ascii="Arial" w:hAnsi="Arial" w:cs="Arial"/>
                <w:sz w:val="24"/>
                <w:szCs w:val="24"/>
                <w:vertAlign w:val="subscript"/>
              </w:rPr>
              <w:t>G,MG</w:t>
            </w:r>
            <w:proofErr w:type="spellEnd"/>
          </w:p>
        </w:tc>
      </w:tr>
    </w:tbl>
    <w:p w14:paraId="33B61FC3" w14:textId="77777777" w:rsidR="007C278A" w:rsidRPr="00911A46" w:rsidRDefault="007C278A" w:rsidP="00911A46">
      <w:pPr>
        <w:pStyle w:val="Caption"/>
        <w:spacing w:line="480" w:lineRule="auto"/>
        <w:rPr>
          <w:rFonts w:ascii="Arial" w:hAnsi="Arial" w:cs="Arial"/>
          <w:sz w:val="24"/>
          <w:szCs w:val="24"/>
        </w:rPr>
      </w:pPr>
      <w:bookmarkStart w:id="116" w:name="_Ref442218530"/>
      <w:bookmarkStart w:id="117" w:name="_Toc478291519"/>
      <w:proofErr w:type="gramStart"/>
      <w:r w:rsidRPr="00911A46">
        <w:rPr>
          <w:rFonts w:ascii="Arial" w:hAnsi="Arial" w:cs="Arial"/>
          <w:sz w:val="24"/>
          <w:szCs w:val="24"/>
        </w:rPr>
        <w:t xml:space="preserve">Table </w:t>
      </w:r>
      <w:r w:rsidRPr="00911A46">
        <w:rPr>
          <w:rFonts w:ascii="Arial" w:hAnsi="Arial" w:cs="Arial"/>
          <w:sz w:val="24"/>
          <w:szCs w:val="24"/>
        </w:rPr>
        <w:fldChar w:fldCharType="begin"/>
      </w:r>
      <w:r w:rsidRPr="00911A46">
        <w:rPr>
          <w:rFonts w:ascii="Arial" w:hAnsi="Arial" w:cs="Arial"/>
          <w:sz w:val="24"/>
          <w:szCs w:val="24"/>
        </w:rPr>
        <w:instrText xml:space="preserve"> SEQ Table \* ARABIC </w:instrText>
      </w:r>
      <w:r w:rsidRPr="00911A46">
        <w:rPr>
          <w:rFonts w:ascii="Arial" w:hAnsi="Arial" w:cs="Arial"/>
          <w:sz w:val="24"/>
          <w:szCs w:val="24"/>
        </w:rPr>
        <w:fldChar w:fldCharType="separate"/>
      </w:r>
      <w:r w:rsidR="001A1BC1">
        <w:rPr>
          <w:rFonts w:ascii="Arial" w:hAnsi="Arial" w:cs="Arial"/>
          <w:noProof/>
          <w:sz w:val="24"/>
          <w:szCs w:val="24"/>
        </w:rPr>
        <w:t>2</w:t>
      </w:r>
      <w:r w:rsidRPr="00911A46">
        <w:rPr>
          <w:rFonts w:ascii="Arial" w:hAnsi="Arial" w:cs="Arial"/>
          <w:noProof/>
          <w:sz w:val="24"/>
          <w:szCs w:val="24"/>
        </w:rPr>
        <w:fldChar w:fldCharType="end"/>
      </w:r>
      <w:bookmarkEnd w:id="116"/>
      <w:r w:rsidRPr="00911A46">
        <w:rPr>
          <w:rFonts w:ascii="Arial" w:hAnsi="Arial" w:cs="Arial"/>
          <w:sz w:val="24"/>
          <w:szCs w:val="24"/>
        </w:rPr>
        <w:t>.</w:t>
      </w:r>
      <w:proofErr w:type="gramEnd"/>
      <w:r w:rsidRPr="00911A46">
        <w:rPr>
          <w:rFonts w:ascii="Arial" w:hAnsi="Arial" w:cs="Arial"/>
          <w:sz w:val="24"/>
          <w:szCs w:val="24"/>
        </w:rPr>
        <w:t xml:space="preserve"> Groups of scores that can be evaluated with labels of the scores and the number of studies in which that combination of scores can be evaluated</w:t>
      </w:r>
      <w:bookmarkEnd w:id="117"/>
    </w:p>
    <w:p w14:paraId="6CED486A" w14:textId="77777777" w:rsidR="007C278A" w:rsidRPr="00911A46" w:rsidRDefault="007C278A" w:rsidP="00911A46">
      <w:pPr>
        <w:spacing w:line="480" w:lineRule="auto"/>
        <w:jc w:val="both"/>
        <w:rPr>
          <w:rFonts w:ascii="Arial" w:hAnsi="Arial" w:cs="Arial"/>
          <w:sz w:val="24"/>
          <w:szCs w:val="24"/>
        </w:rPr>
      </w:pPr>
      <w:r w:rsidRPr="00911A46">
        <w:rPr>
          <w:rFonts w:ascii="Arial" w:hAnsi="Arial" w:cs="Arial"/>
          <w:sz w:val="24"/>
          <w:szCs w:val="24"/>
        </w:rPr>
        <w:t xml:space="preserve">Looking at the hypothetical </w:t>
      </w:r>
      <w:r w:rsidRPr="00911A46">
        <w:rPr>
          <w:rFonts w:ascii="Arial" w:hAnsi="Arial" w:cs="Arial"/>
          <w:sz w:val="24"/>
          <w:szCs w:val="24"/>
        </w:rPr>
        <w:fldChar w:fldCharType="begin"/>
      </w:r>
      <w:r w:rsidRPr="00911A46">
        <w:rPr>
          <w:rFonts w:ascii="Arial" w:hAnsi="Arial" w:cs="Arial"/>
          <w:sz w:val="24"/>
          <w:szCs w:val="24"/>
        </w:rPr>
        <w:instrText xml:space="preserve"> REF _Ref442218530 \h  \* MERGEFORMAT </w:instrText>
      </w:r>
      <w:r w:rsidRPr="00911A46">
        <w:rPr>
          <w:rFonts w:ascii="Arial" w:hAnsi="Arial" w:cs="Arial"/>
          <w:sz w:val="24"/>
          <w:szCs w:val="24"/>
        </w:rPr>
      </w:r>
      <w:r w:rsidRPr="00911A46">
        <w:rPr>
          <w:rFonts w:ascii="Arial" w:hAnsi="Arial" w:cs="Arial"/>
          <w:sz w:val="24"/>
          <w:szCs w:val="24"/>
        </w:rPr>
        <w:fldChar w:fldCharType="separate"/>
      </w:r>
      <w:r w:rsidR="001A1BC1" w:rsidRPr="00911A46">
        <w:rPr>
          <w:rFonts w:ascii="Arial" w:hAnsi="Arial" w:cs="Arial"/>
          <w:sz w:val="24"/>
          <w:szCs w:val="24"/>
        </w:rPr>
        <w:t xml:space="preserve">Table </w:t>
      </w:r>
      <w:r w:rsidR="001A1BC1">
        <w:rPr>
          <w:rFonts w:ascii="Arial" w:hAnsi="Arial" w:cs="Arial"/>
          <w:noProof/>
          <w:sz w:val="24"/>
          <w:szCs w:val="24"/>
        </w:rPr>
        <w:t>2</w:t>
      </w:r>
      <w:r w:rsidRPr="00911A46">
        <w:rPr>
          <w:rFonts w:ascii="Arial" w:hAnsi="Arial" w:cs="Arial"/>
          <w:sz w:val="24"/>
          <w:szCs w:val="24"/>
        </w:rPr>
        <w:fldChar w:fldCharType="end"/>
      </w:r>
      <w:r w:rsidRPr="00911A46">
        <w:rPr>
          <w:rFonts w:ascii="Arial" w:hAnsi="Arial" w:cs="Arial"/>
          <w:sz w:val="24"/>
          <w:szCs w:val="24"/>
        </w:rPr>
        <w:t>, the groups S</w:t>
      </w:r>
      <w:r w:rsidRPr="00911A46">
        <w:rPr>
          <w:rFonts w:ascii="Arial" w:hAnsi="Arial" w:cs="Arial"/>
          <w:sz w:val="24"/>
          <w:szCs w:val="24"/>
          <w:vertAlign w:val="subscript"/>
        </w:rPr>
        <w:t>1</w:t>
      </w:r>
      <w:r w:rsidRPr="00911A46">
        <w:rPr>
          <w:rFonts w:ascii="Arial" w:hAnsi="Arial" w:cs="Arial"/>
          <w:sz w:val="24"/>
          <w:szCs w:val="24"/>
        </w:rPr>
        <w:t xml:space="preserve"> and S</w:t>
      </w:r>
      <w:r w:rsidRPr="00911A46">
        <w:rPr>
          <w:rFonts w:ascii="Arial" w:hAnsi="Arial" w:cs="Arial"/>
          <w:sz w:val="24"/>
          <w:szCs w:val="24"/>
          <w:vertAlign w:val="subscript"/>
        </w:rPr>
        <w:t>2</w:t>
      </w:r>
      <w:r w:rsidRPr="00911A46">
        <w:rPr>
          <w:rFonts w:ascii="Arial" w:hAnsi="Arial" w:cs="Arial"/>
          <w:sz w:val="24"/>
          <w:szCs w:val="24"/>
        </w:rPr>
        <w:t xml:space="preserve"> represent a direct comparison of the scores </w:t>
      </w:r>
      <w:r w:rsidRPr="00911A46">
        <w:rPr>
          <w:rFonts w:ascii="Arial" w:hAnsi="Arial" w:cs="Arial"/>
          <w:i/>
          <w:sz w:val="24"/>
          <w:szCs w:val="24"/>
        </w:rPr>
        <w:t>X</w:t>
      </w:r>
      <w:r w:rsidRPr="00911A46">
        <w:rPr>
          <w:rFonts w:ascii="Arial" w:hAnsi="Arial" w:cs="Arial"/>
          <w:sz w:val="24"/>
          <w:szCs w:val="24"/>
        </w:rPr>
        <w:t xml:space="preserve"> and </w:t>
      </w:r>
      <w:r w:rsidRPr="00911A46">
        <w:rPr>
          <w:rFonts w:ascii="Arial" w:hAnsi="Arial" w:cs="Arial"/>
          <w:i/>
          <w:sz w:val="24"/>
          <w:szCs w:val="24"/>
        </w:rPr>
        <w:t>Y</w:t>
      </w:r>
      <w:r w:rsidRPr="00911A46">
        <w:rPr>
          <w:rFonts w:ascii="Arial" w:hAnsi="Arial" w:cs="Arial"/>
          <w:sz w:val="24"/>
          <w:szCs w:val="24"/>
        </w:rPr>
        <w:t>, i.e., they are two-score groups. To these groups belong, respectively, 20 (N</w:t>
      </w:r>
      <w:r w:rsidRPr="00911A46">
        <w:rPr>
          <w:rFonts w:ascii="Arial" w:hAnsi="Arial" w:cs="Arial"/>
          <w:sz w:val="24"/>
          <w:szCs w:val="24"/>
          <w:vertAlign w:val="subscript"/>
        </w:rPr>
        <w:t>1</w:t>
      </w:r>
      <w:r w:rsidRPr="00911A46">
        <w:rPr>
          <w:rFonts w:ascii="Arial" w:hAnsi="Arial" w:cs="Arial"/>
          <w:sz w:val="24"/>
          <w:szCs w:val="24"/>
        </w:rPr>
        <w:t>) and 16 (N</w:t>
      </w:r>
      <w:r w:rsidRPr="00911A46">
        <w:rPr>
          <w:rFonts w:ascii="Arial" w:hAnsi="Arial" w:cs="Arial"/>
          <w:sz w:val="24"/>
          <w:szCs w:val="24"/>
          <w:vertAlign w:val="subscript"/>
        </w:rPr>
        <w:t>2</w:t>
      </w:r>
      <w:r w:rsidRPr="00911A46">
        <w:rPr>
          <w:rFonts w:ascii="Arial" w:hAnsi="Arial" w:cs="Arial"/>
          <w:sz w:val="24"/>
          <w:szCs w:val="24"/>
        </w:rPr>
        <w:t xml:space="preserve">) cohorts. That means that, respectively, 20 and 16 cohorts allow the evaluation of the score </w:t>
      </w:r>
      <w:r w:rsidRPr="00911A46">
        <w:rPr>
          <w:rFonts w:ascii="Arial" w:hAnsi="Arial" w:cs="Arial"/>
          <w:i/>
          <w:sz w:val="24"/>
          <w:szCs w:val="24"/>
        </w:rPr>
        <w:t>X</w:t>
      </w:r>
      <w:r w:rsidRPr="00911A46">
        <w:rPr>
          <w:rFonts w:ascii="Arial" w:hAnsi="Arial" w:cs="Arial"/>
          <w:sz w:val="24"/>
          <w:szCs w:val="24"/>
        </w:rPr>
        <w:t xml:space="preserve"> and </w:t>
      </w:r>
      <w:r w:rsidRPr="00911A46">
        <w:rPr>
          <w:rFonts w:ascii="Arial" w:hAnsi="Arial" w:cs="Arial"/>
          <w:i/>
          <w:sz w:val="24"/>
          <w:szCs w:val="24"/>
        </w:rPr>
        <w:t>Y</w:t>
      </w:r>
      <w:r w:rsidRPr="00911A46">
        <w:rPr>
          <w:rFonts w:ascii="Arial" w:hAnsi="Arial" w:cs="Arial"/>
          <w:sz w:val="24"/>
          <w:szCs w:val="24"/>
        </w:rPr>
        <w:t xml:space="preserve">, and </w:t>
      </w:r>
      <w:proofErr w:type="gramStart"/>
      <w:r w:rsidRPr="00911A46">
        <w:rPr>
          <w:rFonts w:ascii="Arial" w:hAnsi="Arial" w:cs="Arial"/>
          <w:i/>
          <w:sz w:val="24"/>
          <w:szCs w:val="24"/>
        </w:rPr>
        <w:t>Y</w:t>
      </w:r>
      <w:r w:rsidRPr="00911A46">
        <w:rPr>
          <w:rFonts w:ascii="Arial" w:hAnsi="Arial" w:cs="Arial"/>
          <w:sz w:val="24"/>
          <w:szCs w:val="24"/>
        </w:rPr>
        <w:t xml:space="preserve">  and</w:t>
      </w:r>
      <w:proofErr w:type="gramEnd"/>
      <w:r w:rsidRPr="00911A46">
        <w:rPr>
          <w:rFonts w:ascii="Arial" w:hAnsi="Arial" w:cs="Arial"/>
          <w:sz w:val="24"/>
          <w:szCs w:val="24"/>
        </w:rPr>
        <w:t xml:space="preserve"> </w:t>
      </w:r>
      <w:r w:rsidRPr="00911A46">
        <w:rPr>
          <w:rFonts w:ascii="Arial" w:hAnsi="Arial" w:cs="Arial"/>
          <w:i/>
          <w:sz w:val="24"/>
          <w:szCs w:val="24"/>
        </w:rPr>
        <w:t>Z</w:t>
      </w:r>
      <w:r w:rsidRPr="00911A46">
        <w:rPr>
          <w:rFonts w:ascii="Arial" w:hAnsi="Arial" w:cs="Arial"/>
          <w:sz w:val="24"/>
          <w:szCs w:val="24"/>
        </w:rPr>
        <w:t>, respectively. S</w:t>
      </w:r>
      <w:r w:rsidRPr="00911A46">
        <w:rPr>
          <w:rFonts w:ascii="Arial" w:hAnsi="Arial" w:cs="Arial"/>
          <w:sz w:val="24"/>
          <w:szCs w:val="24"/>
          <w:vertAlign w:val="subscript"/>
        </w:rPr>
        <w:t>3</w:t>
      </w:r>
      <w:r w:rsidRPr="00911A46">
        <w:rPr>
          <w:rFonts w:ascii="Arial" w:hAnsi="Arial" w:cs="Arial"/>
          <w:sz w:val="24"/>
          <w:szCs w:val="24"/>
        </w:rPr>
        <w:t xml:space="preserve"> represents a group in which the scores </w:t>
      </w:r>
      <w:r w:rsidRPr="00911A46">
        <w:rPr>
          <w:rFonts w:ascii="Arial" w:hAnsi="Arial" w:cs="Arial"/>
          <w:i/>
          <w:sz w:val="24"/>
          <w:szCs w:val="24"/>
        </w:rPr>
        <w:t>X</w:t>
      </w:r>
      <w:r w:rsidRPr="00911A46">
        <w:rPr>
          <w:rFonts w:ascii="Arial" w:hAnsi="Arial" w:cs="Arial"/>
          <w:sz w:val="24"/>
          <w:szCs w:val="24"/>
        </w:rPr>
        <w:t xml:space="preserve">, </w:t>
      </w:r>
      <w:r w:rsidRPr="00911A46">
        <w:rPr>
          <w:rFonts w:ascii="Arial" w:hAnsi="Arial" w:cs="Arial"/>
          <w:i/>
          <w:sz w:val="24"/>
          <w:szCs w:val="24"/>
        </w:rPr>
        <w:t>Y</w:t>
      </w:r>
      <w:r w:rsidRPr="00911A46">
        <w:rPr>
          <w:rFonts w:ascii="Arial" w:hAnsi="Arial" w:cs="Arial"/>
          <w:sz w:val="24"/>
          <w:szCs w:val="24"/>
        </w:rPr>
        <w:t xml:space="preserve"> and </w:t>
      </w:r>
      <w:r w:rsidRPr="00911A46">
        <w:rPr>
          <w:rFonts w:ascii="Arial" w:hAnsi="Arial" w:cs="Arial"/>
          <w:i/>
          <w:sz w:val="24"/>
          <w:szCs w:val="24"/>
        </w:rPr>
        <w:t>Z</w:t>
      </w:r>
      <w:r w:rsidRPr="00911A46">
        <w:rPr>
          <w:rFonts w:ascii="Arial" w:hAnsi="Arial" w:cs="Arial"/>
          <w:sz w:val="24"/>
          <w:szCs w:val="24"/>
        </w:rPr>
        <w:t xml:space="preserve"> can be compared in 8 (i.e., M</w:t>
      </w:r>
      <w:r w:rsidRPr="00911A46">
        <w:rPr>
          <w:rFonts w:ascii="Arial" w:hAnsi="Arial" w:cs="Arial"/>
          <w:sz w:val="24"/>
          <w:szCs w:val="24"/>
          <w:vertAlign w:val="subscript"/>
        </w:rPr>
        <w:t>3</w:t>
      </w:r>
      <w:r w:rsidRPr="00911A46">
        <w:rPr>
          <w:rFonts w:ascii="Arial" w:hAnsi="Arial" w:cs="Arial"/>
          <w:sz w:val="24"/>
          <w:szCs w:val="24"/>
        </w:rPr>
        <w:t>=8) different cohorts, thus S</w:t>
      </w:r>
      <w:r w:rsidRPr="00911A46">
        <w:rPr>
          <w:rFonts w:ascii="Arial" w:hAnsi="Arial" w:cs="Arial"/>
          <w:sz w:val="24"/>
          <w:szCs w:val="24"/>
          <w:vertAlign w:val="subscript"/>
        </w:rPr>
        <w:t>3</w:t>
      </w:r>
      <w:r w:rsidRPr="00911A46">
        <w:rPr>
          <w:rFonts w:ascii="Arial" w:hAnsi="Arial" w:cs="Arial"/>
          <w:sz w:val="24"/>
          <w:szCs w:val="24"/>
        </w:rPr>
        <w:t xml:space="preserve"> is a three-score group.</w:t>
      </w:r>
    </w:p>
    <w:p w14:paraId="65FFFCC5" w14:textId="77777777" w:rsidR="007C278A" w:rsidRPr="00911A46" w:rsidRDefault="007C278A" w:rsidP="00911A46">
      <w:pPr>
        <w:spacing w:line="480" w:lineRule="auto"/>
        <w:jc w:val="both"/>
        <w:rPr>
          <w:rFonts w:ascii="Arial" w:hAnsi="Arial" w:cs="Arial"/>
          <w:sz w:val="24"/>
          <w:szCs w:val="24"/>
        </w:rPr>
      </w:pPr>
      <w:r w:rsidRPr="00911A46">
        <w:rPr>
          <w:rFonts w:ascii="Arial" w:hAnsi="Arial" w:cs="Arial"/>
          <w:sz w:val="24"/>
          <w:szCs w:val="24"/>
        </w:rPr>
        <w:t>The objective of the first stage meta</w:t>
      </w:r>
      <w:r w:rsidRPr="00911A46">
        <w:rPr>
          <w:rFonts w:ascii="Cambria Math" w:hAnsi="Cambria Math" w:cs="Cambria Math"/>
          <w:sz w:val="24"/>
          <w:szCs w:val="24"/>
        </w:rPr>
        <w:t>‐</w:t>
      </w:r>
      <w:r w:rsidRPr="00911A46">
        <w:rPr>
          <w:rFonts w:ascii="Arial" w:hAnsi="Arial" w:cs="Arial"/>
          <w:sz w:val="24"/>
          <w:szCs w:val="24"/>
        </w:rPr>
        <w:t xml:space="preserve">analysis is to obtain the pooled performance difference estimate </w:t>
      </w:r>
      <m:oMath>
        <m:r>
          <m:rPr>
            <m:sty m:val="p"/>
          </m:rPr>
          <w:rPr>
            <w:rFonts w:ascii="Cambria Math" w:hAnsi="Cambria Math" w:cs="Arial"/>
            <w:sz w:val="24"/>
            <w:szCs w:val="24"/>
          </w:rPr>
          <m:t>Δ</m:t>
        </m:r>
      </m:oMath>
      <w:r w:rsidRPr="00911A46">
        <w:rPr>
          <w:rFonts w:ascii="Arial" w:hAnsi="Arial" w:cs="Arial"/>
          <w:sz w:val="24"/>
          <w:szCs w:val="24"/>
          <w:vertAlign w:val="subscript"/>
        </w:rPr>
        <w:t>g</w:t>
      </w:r>
      <w:r w:rsidRPr="00911A46">
        <w:rPr>
          <w:rFonts w:ascii="Arial" w:hAnsi="Arial" w:cs="Arial"/>
          <w:sz w:val="24"/>
          <w:szCs w:val="24"/>
        </w:rPr>
        <w:t xml:space="preserve"> and its variance V</w:t>
      </w:r>
      <w:r w:rsidRPr="00911A46">
        <w:rPr>
          <w:rFonts w:ascii="Arial" w:hAnsi="Arial" w:cs="Arial"/>
          <w:sz w:val="24"/>
          <w:szCs w:val="24"/>
          <w:vertAlign w:val="subscript"/>
        </w:rPr>
        <w:t>g</w:t>
      </w:r>
      <w:r w:rsidRPr="00911A46">
        <w:rPr>
          <w:rFonts w:ascii="Arial" w:hAnsi="Arial" w:cs="Arial"/>
          <w:sz w:val="24"/>
          <w:szCs w:val="24"/>
        </w:rPr>
        <w:t>≡W</w:t>
      </w:r>
      <w:r w:rsidRPr="00911A46">
        <w:rPr>
          <w:rFonts w:ascii="Arial" w:hAnsi="Arial" w:cs="Arial"/>
          <w:sz w:val="24"/>
          <w:szCs w:val="24"/>
          <w:vertAlign w:val="superscript"/>
        </w:rPr>
        <w:t>−1</w:t>
      </w:r>
      <w:r w:rsidRPr="00911A46">
        <w:rPr>
          <w:rFonts w:ascii="Arial" w:hAnsi="Arial" w:cs="Arial"/>
          <w:sz w:val="24"/>
          <w:szCs w:val="24"/>
          <w:vertAlign w:val="subscript"/>
        </w:rPr>
        <w:t>g</w:t>
      </w:r>
      <w:r w:rsidRPr="00911A46">
        <w:rPr>
          <w:rFonts w:ascii="Arial" w:hAnsi="Arial" w:cs="Arial"/>
          <w:sz w:val="24"/>
          <w:szCs w:val="24"/>
        </w:rPr>
        <w:t xml:space="preserve"> for each score group g, where </w:t>
      </w:r>
      <w:proofErr w:type="spellStart"/>
      <w:r w:rsidRPr="00911A46">
        <w:rPr>
          <w:rFonts w:ascii="Arial" w:hAnsi="Arial" w:cs="Arial"/>
          <w:sz w:val="24"/>
          <w:szCs w:val="24"/>
        </w:rPr>
        <w:t>Δ</w:t>
      </w:r>
      <w:r w:rsidRPr="00911A46">
        <w:rPr>
          <w:rFonts w:ascii="Arial" w:hAnsi="Arial" w:cs="Arial"/>
          <w:sz w:val="24"/>
          <w:szCs w:val="24"/>
          <w:vertAlign w:val="subscript"/>
        </w:rPr>
        <w:t>g</w:t>
      </w:r>
      <w:proofErr w:type="spellEnd"/>
      <w:r w:rsidRPr="00911A46">
        <w:rPr>
          <w:rFonts w:ascii="Arial" w:hAnsi="Arial" w:cs="Arial"/>
          <w:sz w:val="24"/>
          <w:szCs w:val="24"/>
        </w:rPr>
        <w:t xml:space="preserve"> and V</w:t>
      </w:r>
      <w:r w:rsidRPr="00911A46">
        <w:rPr>
          <w:rFonts w:ascii="Arial" w:hAnsi="Arial" w:cs="Arial"/>
          <w:sz w:val="24"/>
          <w:szCs w:val="24"/>
          <w:vertAlign w:val="subscript"/>
        </w:rPr>
        <w:t>g</w:t>
      </w:r>
      <w:r w:rsidRPr="00911A46">
        <w:rPr>
          <w:rFonts w:ascii="Arial" w:hAnsi="Arial" w:cs="Arial"/>
          <w:sz w:val="24"/>
          <w:szCs w:val="24"/>
        </w:rPr>
        <w:t xml:space="preserve"> are scalars for those two-score comparison groups </w:t>
      </w:r>
      <w:r w:rsidRPr="00911A46">
        <w:rPr>
          <w:rFonts w:ascii="Arial" w:hAnsi="Arial" w:cs="Arial"/>
          <w:i/>
          <w:sz w:val="24"/>
          <w:szCs w:val="24"/>
        </w:rPr>
        <w:t>S</w:t>
      </w:r>
      <w:r w:rsidRPr="00911A46">
        <w:rPr>
          <w:rFonts w:ascii="Arial" w:hAnsi="Arial" w:cs="Arial"/>
          <w:i/>
          <w:sz w:val="24"/>
          <w:szCs w:val="24"/>
          <w:vertAlign w:val="subscript"/>
        </w:rPr>
        <w:t xml:space="preserve">g </w:t>
      </w:r>
      <w:r w:rsidRPr="00911A46">
        <w:rPr>
          <w:rFonts w:ascii="Arial" w:hAnsi="Arial" w:cs="Arial"/>
          <w:sz w:val="24"/>
          <w:szCs w:val="24"/>
        </w:rPr>
        <w:t>(i.e., in which M</w:t>
      </w:r>
      <w:r w:rsidRPr="00911A46">
        <w:rPr>
          <w:rFonts w:ascii="Arial" w:hAnsi="Arial" w:cs="Arial"/>
          <w:sz w:val="24"/>
          <w:szCs w:val="24"/>
          <w:vertAlign w:val="subscript"/>
        </w:rPr>
        <w:t>g</w:t>
      </w:r>
      <w:r w:rsidRPr="00911A46">
        <w:rPr>
          <w:rFonts w:ascii="Arial" w:hAnsi="Arial" w:cs="Arial"/>
          <w:sz w:val="24"/>
          <w:szCs w:val="24"/>
        </w:rPr>
        <w:t xml:space="preserve">=2), while they are vectors (that we will than indicate with bold </w:t>
      </w:r>
      <m:oMath>
        <m:r>
          <m:rPr>
            <m:sty m:val="b"/>
          </m:rPr>
          <w:rPr>
            <w:rFonts w:ascii="Cambria Math" w:hAnsi="Cambria Math" w:cs="Arial"/>
            <w:sz w:val="24"/>
            <w:szCs w:val="24"/>
          </w:rPr>
          <m:t>Δ</m:t>
        </m:r>
      </m:oMath>
      <w:r w:rsidRPr="00911A46">
        <w:rPr>
          <w:rFonts w:ascii="Arial" w:hAnsi="Arial" w:cs="Arial"/>
          <w:b/>
          <w:sz w:val="24"/>
          <w:szCs w:val="24"/>
          <w:vertAlign w:val="subscript"/>
        </w:rPr>
        <w:t>g</w:t>
      </w:r>
      <w:r w:rsidRPr="00911A46">
        <w:rPr>
          <w:rFonts w:ascii="Arial" w:hAnsi="Arial" w:cs="Arial"/>
          <w:sz w:val="24"/>
          <w:szCs w:val="24"/>
        </w:rPr>
        <w:t xml:space="preserve"> and </w:t>
      </w:r>
      <w:r w:rsidRPr="00911A46">
        <w:rPr>
          <w:rFonts w:ascii="Arial" w:hAnsi="Arial" w:cs="Arial"/>
          <w:b/>
          <w:sz w:val="24"/>
          <w:szCs w:val="24"/>
        </w:rPr>
        <w:t>W</w:t>
      </w:r>
      <w:r w:rsidRPr="00911A46">
        <w:rPr>
          <w:rFonts w:ascii="Arial" w:hAnsi="Arial" w:cs="Arial"/>
          <w:b/>
          <w:sz w:val="24"/>
          <w:szCs w:val="24"/>
          <w:vertAlign w:val="superscript"/>
        </w:rPr>
        <w:t>−1</w:t>
      </w:r>
      <w:r w:rsidRPr="00911A46">
        <w:rPr>
          <w:rFonts w:ascii="Arial" w:hAnsi="Arial" w:cs="Arial"/>
          <w:b/>
          <w:sz w:val="24"/>
          <w:szCs w:val="24"/>
          <w:vertAlign w:val="subscript"/>
        </w:rPr>
        <w:t>g</w:t>
      </w:r>
      <w:r w:rsidRPr="00911A46">
        <w:rPr>
          <w:rFonts w:ascii="Arial" w:hAnsi="Arial" w:cs="Arial"/>
          <w:sz w:val="24"/>
          <w:szCs w:val="24"/>
        </w:rPr>
        <w:t xml:space="preserve">), if </w:t>
      </w:r>
      <w:r w:rsidRPr="00911A46">
        <w:rPr>
          <w:rFonts w:ascii="Arial" w:hAnsi="Arial" w:cs="Arial"/>
          <w:i/>
          <w:sz w:val="24"/>
          <w:szCs w:val="24"/>
        </w:rPr>
        <w:t>S</w:t>
      </w:r>
      <w:r w:rsidRPr="00911A46">
        <w:rPr>
          <w:rFonts w:ascii="Arial" w:hAnsi="Arial" w:cs="Arial"/>
          <w:i/>
          <w:sz w:val="24"/>
          <w:szCs w:val="24"/>
          <w:vertAlign w:val="subscript"/>
        </w:rPr>
        <w:t>g</w:t>
      </w:r>
      <w:r w:rsidRPr="00911A46">
        <w:rPr>
          <w:rFonts w:ascii="Arial" w:hAnsi="Arial" w:cs="Arial"/>
          <w:sz w:val="24"/>
          <w:szCs w:val="24"/>
        </w:rPr>
        <w:t xml:space="preserve"> is a n-score comparison group with n bigger than 2 (i.e., in which M</w:t>
      </w:r>
      <w:r w:rsidRPr="00911A46">
        <w:rPr>
          <w:rFonts w:ascii="Arial" w:hAnsi="Arial" w:cs="Arial"/>
          <w:sz w:val="24"/>
          <w:szCs w:val="24"/>
          <w:vertAlign w:val="subscript"/>
        </w:rPr>
        <w:t>g</w:t>
      </w:r>
      <w:r w:rsidRPr="00911A46">
        <w:rPr>
          <w:rFonts w:ascii="Arial" w:hAnsi="Arial" w:cs="Arial"/>
          <w:sz w:val="24"/>
          <w:szCs w:val="24"/>
        </w:rPr>
        <w:t xml:space="preserve">&gt;2); </w:t>
      </w:r>
      <w:proofErr w:type="spellStart"/>
      <w:r w:rsidRPr="00911A46">
        <w:rPr>
          <w:rFonts w:ascii="Arial" w:hAnsi="Arial" w:cs="Arial"/>
          <w:b/>
          <w:sz w:val="24"/>
          <w:szCs w:val="24"/>
        </w:rPr>
        <w:t>Δ</w:t>
      </w:r>
      <w:r w:rsidRPr="00911A46">
        <w:rPr>
          <w:rFonts w:ascii="Arial" w:hAnsi="Arial" w:cs="Arial"/>
          <w:b/>
          <w:sz w:val="24"/>
          <w:szCs w:val="24"/>
          <w:vertAlign w:val="subscript"/>
        </w:rPr>
        <w:t>g</w:t>
      </w:r>
      <w:proofErr w:type="spellEnd"/>
      <w:r w:rsidRPr="00911A46">
        <w:rPr>
          <w:rFonts w:ascii="Arial" w:hAnsi="Arial" w:cs="Arial"/>
          <w:sz w:val="24"/>
          <w:szCs w:val="24"/>
        </w:rPr>
        <w:t xml:space="preserve"> and </w:t>
      </w:r>
      <w:r w:rsidRPr="00911A46">
        <w:rPr>
          <w:rFonts w:ascii="Arial" w:hAnsi="Arial" w:cs="Arial"/>
          <w:b/>
          <w:sz w:val="24"/>
          <w:szCs w:val="24"/>
        </w:rPr>
        <w:t>W</w:t>
      </w:r>
      <w:r w:rsidRPr="00911A46">
        <w:rPr>
          <w:rFonts w:ascii="Arial" w:hAnsi="Arial" w:cs="Arial"/>
          <w:b/>
          <w:sz w:val="24"/>
          <w:szCs w:val="24"/>
          <w:vertAlign w:val="superscript"/>
        </w:rPr>
        <w:t>−1</w:t>
      </w:r>
      <w:r w:rsidRPr="00911A46">
        <w:rPr>
          <w:rFonts w:ascii="Arial" w:hAnsi="Arial" w:cs="Arial"/>
          <w:b/>
          <w:sz w:val="24"/>
          <w:szCs w:val="24"/>
          <w:vertAlign w:val="subscript"/>
        </w:rPr>
        <w:t>g</w:t>
      </w:r>
      <w:r w:rsidRPr="00911A46">
        <w:rPr>
          <w:rFonts w:ascii="Arial" w:hAnsi="Arial" w:cs="Arial"/>
          <w:sz w:val="24"/>
          <w:szCs w:val="24"/>
        </w:rPr>
        <w:t xml:space="preserve"> will be in general a (M</w:t>
      </w:r>
      <w:r w:rsidRPr="00911A46">
        <w:rPr>
          <w:rFonts w:ascii="Arial" w:hAnsi="Arial" w:cs="Arial"/>
          <w:sz w:val="24"/>
          <w:szCs w:val="24"/>
          <w:vertAlign w:val="subscript"/>
        </w:rPr>
        <w:t>g</w:t>
      </w:r>
      <w:r w:rsidRPr="00911A46">
        <w:rPr>
          <w:rFonts w:ascii="Arial" w:hAnsi="Arial" w:cs="Arial"/>
          <w:sz w:val="24"/>
          <w:szCs w:val="24"/>
        </w:rPr>
        <w:t xml:space="preserve"> -1) vector and a (M</w:t>
      </w:r>
      <w:r w:rsidRPr="00911A46">
        <w:rPr>
          <w:rFonts w:ascii="Arial" w:hAnsi="Arial" w:cs="Arial"/>
          <w:sz w:val="24"/>
          <w:szCs w:val="24"/>
          <w:vertAlign w:val="subscript"/>
        </w:rPr>
        <w:t>g</w:t>
      </w:r>
      <w:r w:rsidRPr="00911A46">
        <w:rPr>
          <w:rFonts w:ascii="Arial" w:hAnsi="Arial" w:cs="Arial"/>
          <w:sz w:val="24"/>
          <w:szCs w:val="24"/>
        </w:rPr>
        <w:t xml:space="preserve"> -1)* (M</w:t>
      </w:r>
      <w:r w:rsidRPr="00911A46">
        <w:rPr>
          <w:rFonts w:ascii="Arial" w:hAnsi="Arial" w:cs="Arial"/>
          <w:sz w:val="24"/>
          <w:szCs w:val="24"/>
          <w:vertAlign w:val="subscript"/>
        </w:rPr>
        <w:t>g</w:t>
      </w:r>
      <w:r w:rsidRPr="00911A46">
        <w:rPr>
          <w:rFonts w:ascii="Arial" w:hAnsi="Arial" w:cs="Arial"/>
          <w:sz w:val="24"/>
          <w:szCs w:val="24"/>
        </w:rPr>
        <w:t xml:space="preserve"> -1) covariance matrix. Thus, at the end of the first stage, we will have a collection of summarized data {(</w:t>
      </w:r>
      <w:proofErr w:type="spellStart"/>
      <w:r w:rsidRPr="00911A46">
        <w:rPr>
          <w:rFonts w:ascii="Arial" w:hAnsi="Arial" w:cs="Arial"/>
          <w:b/>
          <w:sz w:val="24"/>
          <w:szCs w:val="24"/>
        </w:rPr>
        <w:t>Δ</w:t>
      </w:r>
      <w:r w:rsidRPr="00911A46">
        <w:rPr>
          <w:rFonts w:ascii="Arial" w:hAnsi="Arial" w:cs="Arial"/>
          <w:b/>
          <w:sz w:val="24"/>
          <w:szCs w:val="24"/>
          <w:vertAlign w:val="subscript"/>
        </w:rPr>
        <w:t>g</w:t>
      </w:r>
      <w:proofErr w:type="spellEnd"/>
      <w:r w:rsidRPr="00911A46">
        <w:rPr>
          <w:rFonts w:ascii="Arial" w:hAnsi="Arial" w:cs="Arial"/>
          <w:sz w:val="24"/>
          <w:szCs w:val="24"/>
        </w:rPr>
        <w:t xml:space="preserve">, </w:t>
      </w:r>
      <w:r w:rsidRPr="00911A46">
        <w:rPr>
          <w:rFonts w:ascii="Arial" w:hAnsi="Arial" w:cs="Arial"/>
          <w:b/>
          <w:sz w:val="24"/>
          <w:szCs w:val="24"/>
        </w:rPr>
        <w:t>W</w:t>
      </w:r>
      <w:r w:rsidRPr="00911A46">
        <w:rPr>
          <w:rFonts w:ascii="Arial" w:hAnsi="Arial" w:cs="Arial"/>
          <w:b/>
          <w:sz w:val="24"/>
          <w:szCs w:val="24"/>
          <w:vertAlign w:val="superscript"/>
        </w:rPr>
        <w:t>−1</w:t>
      </w:r>
      <w:r w:rsidRPr="00911A46">
        <w:rPr>
          <w:rFonts w:ascii="Arial" w:hAnsi="Arial" w:cs="Arial"/>
          <w:b/>
          <w:sz w:val="24"/>
          <w:szCs w:val="24"/>
          <w:vertAlign w:val="subscript"/>
        </w:rPr>
        <w:t>g</w:t>
      </w:r>
      <w:r w:rsidRPr="00911A46">
        <w:rPr>
          <w:rFonts w:ascii="Arial" w:hAnsi="Arial" w:cs="Arial"/>
          <w:sz w:val="24"/>
          <w:szCs w:val="24"/>
        </w:rPr>
        <w:t>), g=1</w:t>
      </w:r>
      <w:proofErr w:type="gramStart"/>
      <w:r w:rsidRPr="00911A46">
        <w:rPr>
          <w:rFonts w:ascii="Arial" w:hAnsi="Arial" w:cs="Arial"/>
          <w:sz w:val="24"/>
          <w:szCs w:val="24"/>
        </w:rPr>
        <w:t>,…,</w:t>
      </w:r>
      <w:proofErr w:type="gramEnd"/>
      <w:r w:rsidRPr="00911A46">
        <w:rPr>
          <w:rFonts w:ascii="Arial" w:hAnsi="Arial" w:cs="Arial"/>
          <w:sz w:val="24"/>
          <w:szCs w:val="24"/>
        </w:rPr>
        <w:t xml:space="preserve"> G}, that include the direct evidence about all available comparisons.</w:t>
      </w:r>
    </w:p>
    <w:p w14:paraId="289111EC" w14:textId="77777777" w:rsidR="007C278A" w:rsidRPr="00911A46" w:rsidRDefault="007C278A" w:rsidP="00911A46">
      <w:pPr>
        <w:spacing w:line="480" w:lineRule="auto"/>
        <w:jc w:val="both"/>
        <w:rPr>
          <w:rFonts w:ascii="Arial" w:hAnsi="Arial" w:cs="Arial"/>
          <w:sz w:val="24"/>
          <w:szCs w:val="24"/>
        </w:rPr>
      </w:pPr>
      <w:r w:rsidRPr="00911A46">
        <w:rPr>
          <w:rFonts w:ascii="Arial" w:hAnsi="Arial" w:cs="Arial"/>
          <w:sz w:val="24"/>
          <w:szCs w:val="24"/>
        </w:rPr>
        <w:t xml:space="preserve">Several methods to estimate the pooled effect in ordinary meta-analysis for two-arm  trials (in our case, two-score studies) exist </w:t>
      </w:r>
      <w:r w:rsidRPr="00911A46">
        <w:rPr>
          <w:rFonts w:ascii="Arial" w:hAnsi="Arial" w:cs="Arial"/>
          <w:sz w:val="24"/>
          <w:szCs w:val="24"/>
        </w:rPr>
        <w:fldChar w:fldCharType="begin" w:fldLock="1"/>
      </w:r>
      <w:r w:rsidR="005356A1">
        <w:rPr>
          <w:rFonts w:ascii="Arial" w:hAnsi="Arial" w:cs="Arial"/>
          <w:sz w:val="24"/>
          <w:szCs w:val="24"/>
        </w:rPr>
        <w:instrText>ADDIN CSL_CITATION { "citationItems" : [ { "id" : "ITEM-1", "itemData" : { "author" : [ { "dropping-particle" : "", "family" : "Borenstein", "given" : "Michael;", "non-dropping-particle" : "", "parse-names" : false, "suffix" : "" }, { "dropping-particle" : "", "family" : "Hedges", "given" : "Larry V.;", "non-dropping-particle" : "", "parse-names" : false, "suffix" : "" }, { "dropping-particle" : "", "family" : "Higgins", "given" : "J", "non-dropping-particle" : "", "parse-names" : false, "suffix" : "" }, { "dropping-particle" : "", "family" : "R.", "given" : "Rothstein Hannah", "non-dropping-particle" : "", "parse-names" : false, "suffix" : "" } ], "id" : "ITEM-1", "issued" : { "date-parts" : [ [ "2011" ] ] }, "publisher" : "Wiley", "title" : "Introduction to Meta-Analysis", "type" : "book" }, "uris" : [ "http://www.mendeley.com/documents/?uuid=a4316611-afa4-415a-a308-726c53c00145" ] } ], "mendeley" : { "formattedCitation" : "[44]", "plainTextFormattedCitation" : "[44]", "previouslyFormattedCitation" : "(Borenstein et al. 2011)" }, "properties" : { "noteIndex" : 0 }, "schema" : "https://github.com/citation-style-language/schema/raw/master/csl-citation.json" }</w:instrText>
      </w:r>
      <w:r w:rsidRPr="00911A46">
        <w:rPr>
          <w:rFonts w:ascii="Arial" w:hAnsi="Arial" w:cs="Arial"/>
          <w:sz w:val="24"/>
          <w:szCs w:val="24"/>
        </w:rPr>
        <w:fldChar w:fldCharType="separate"/>
      </w:r>
      <w:r w:rsidR="005356A1" w:rsidRPr="005356A1">
        <w:rPr>
          <w:rFonts w:ascii="Arial" w:hAnsi="Arial" w:cs="Arial"/>
          <w:noProof/>
          <w:sz w:val="24"/>
          <w:szCs w:val="24"/>
        </w:rPr>
        <w:t>[44]</w:t>
      </w:r>
      <w:r w:rsidRPr="00911A46">
        <w:rPr>
          <w:rFonts w:ascii="Arial" w:hAnsi="Arial" w:cs="Arial"/>
          <w:sz w:val="24"/>
          <w:szCs w:val="24"/>
        </w:rPr>
        <w:fldChar w:fldCharType="end"/>
      </w:r>
      <w:r w:rsidRPr="00911A46">
        <w:rPr>
          <w:rFonts w:ascii="Arial" w:hAnsi="Arial" w:cs="Arial"/>
          <w:sz w:val="24"/>
          <w:szCs w:val="24"/>
        </w:rPr>
        <w:t>. Less common are multi-arm trials approaches. For instance, concerning a three-score group (</w:t>
      </w:r>
      <w:proofErr w:type="spellStart"/>
      <w:r w:rsidRPr="00911A46">
        <w:rPr>
          <w:rFonts w:ascii="Arial" w:hAnsi="Arial" w:cs="Arial"/>
          <w:i/>
          <w:sz w:val="24"/>
          <w:szCs w:val="24"/>
        </w:rPr>
        <w:t>M</w:t>
      </w:r>
      <w:r w:rsidRPr="00911A46">
        <w:rPr>
          <w:rFonts w:ascii="Arial" w:hAnsi="Arial" w:cs="Arial"/>
          <w:i/>
          <w:sz w:val="24"/>
          <w:szCs w:val="24"/>
          <w:vertAlign w:val="subscript"/>
        </w:rPr>
        <w:t>g</w:t>
      </w:r>
      <w:proofErr w:type="gramStart"/>
      <w:r w:rsidRPr="00911A46">
        <w:rPr>
          <w:rFonts w:ascii="Arial" w:hAnsi="Arial" w:cs="Arial"/>
          <w:i/>
          <w:sz w:val="24"/>
          <w:szCs w:val="24"/>
          <w:vertAlign w:val="subscript"/>
        </w:rPr>
        <w:t>,j</w:t>
      </w:r>
      <w:proofErr w:type="spellEnd"/>
      <w:proofErr w:type="gramEnd"/>
      <w:r w:rsidRPr="00911A46">
        <w:rPr>
          <w:rFonts w:ascii="Arial" w:hAnsi="Arial" w:cs="Arial"/>
          <w:sz w:val="24"/>
          <w:szCs w:val="24"/>
        </w:rPr>
        <w:t xml:space="preserve"> = 3), we can refer to the estimate vector </w:t>
      </w:r>
      <m:oMath>
        <m:sSub>
          <m:sSubPr>
            <m:ctrlPr>
              <w:rPr>
                <w:rFonts w:ascii="Cambria Math" w:hAnsi="Cambria Math" w:cs="Arial"/>
                <w:i/>
                <w:sz w:val="24"/>
                <w:szCs w:val="24"/>
              </w:rPr>
            </m:ctrlPr>
          </m:sSubPr>
          <m:e>
            <m:r>
              <m:rPr>
                <m:sty m:val="b"/>
              </m:rPr>
              <w:rPr>
                <w:rFonts w:ascii="Cambria Math" w:hAnsi="Cambria Math" w:cs="Arial"/>
                <w:sz w:val="24"/>
                <w:szCs w:val="24"/>
              </w:rPr>
              <m:t>Δ</m:t>
            </m:r>
          </m:e>
          <m:sub>
            <m:r>
              <w:rPr>
                <w:rFonts w:ascii="Cambria Math" w:hAnsi="Cambria Math" w:cs="Arial"/>
                <w:sz w:val="24"/>
                <w:szCs w:val="24"/>
              </w:rPr>
              <m:t>j,g</m:t>
            </m:r>
          </m:sub>
        </m:sSub>
      </m:oMath>
      <w:r w:rsidRPr="00911A46">
        <w:rPr>
          <w:rFonts w:ascii="Arial" w:eastAsiaTheme="minorEastAsia" w:hAnsi="Arial" w:cs="Arial"/>
          <w:sz w:val="24"/>
          <w:szCs w:val="24"/>
        </w:rPr>
        <w:t xml:space="preserve"> regarding the </w:t>
      </w:r>
      <w:r w:rsidRPr="00911A46">
        <w:rPr>
          <w:rFonts w:ascii="Arial" w:hAnsi="Arial" w:cs="Arial"/>
          <w:sz w:val="24"/>
          <w:szCs w:val="24"/>
        </w:rPr>
        <w:t xml:space="preserve">individual </w:t>
      </w:r>
      <w:r w:rsidRPr="00911A46">
        <w:rPr>
          <w:rFonts w:ascii="Arial" w:hAnsi="Arial" w:cs="Arial"/>
          <w:i/>
          <w:sz w:val="24"/>
          <w:szCs w:val="24"/>
        </w:rPr>
        <w:t>j-</w:t>
      </w:r>
      <w:proofErr w:type="spellStart"/>
      <w:r w:rsidRPr="00911A46">
        <w:rPr>
          <w:rFonts w:ascii="Arial" w:hAnsi="Arial" w:cs="Arial"/>
          <w:i/>
          <w:sz w:val="24"/>
          <w:szCs w:val="24"/>
        </w:rPr>
        <w:t>th</w:t>
      </w:r>
      <w:proofErr w:type="spellEnd"/>
      <w:r w:rsidRPr="00911A46">
        <w:rPr>
          <w:rFonts w:ascii="Arial" w:hAnsi="Arial" w:cs="Arial"/>
          <w:sz w:val="24"/>
          <w:szCs w:val="24"/>
        </w:rPr>
        <w:t xml:space="preserve"> cohort belonging to </w:t>
      </w:r>
      <w:r w:rsidRPr="00911A46">
        <w:rPr>
          <w:rFonts w:ascii="Arial" w:hAnsi="Arial" w:cs="Arial"/>
          <w:i/>
          <w:sz w:val="24"/>
          <w:szCs w:val="24"/>
        </w:rPr>
        <w:t>S</w:t>
      </w:r>
      <w:r w:rsidRPr="00911A46">
        <w:rPr>
          <w:rFonts w:ascii="Arial" w:hAnsi="Arial" w:cs="Arial"/>
          <w:i/>
          <w:sz w:val="24"/>
          <w:szCs w:val="24"/>
          <w:vertAlign w:val="subscript"/>
        </w:rPr>
        <w:t>g</w:t>
      </w:r>
      <w:r w:rsidRPr="00911A46">
        <w:rPr>
          <w:rFonts w:ascii="Arial" w:hAnsi="Arial" w:cs="Arial"/>
          <w:sz w:val="24"/>
          <w:szCs w:val="24"/>
        </w:rPr>
        <w:t>, as</w:t>
      </w:r>
    </w:p>
    <w:p w14:paraId="606943FA" w14:textId="77777777" w:rsidR="007C278A" w:rsidRPr="00911A46" w:rsidRDefault="007C278A" w:rsidP="00911A46">
      <w:pPr>
        <w:spacing w:line="480" w:lineRule="auto"/>
        <w:jc w:val="both"/>
        <w:rPr>
          <w:rFonts w:ascii="Arial" w:hAnsi="Arial" w:cs="Arial"/>
          <w:sz w:val="24"/>
          <w:szCs w:val="24"/>
        </w:rPr>
      </w:pPr>
    </w:p>
    <w:tbl>
      <w:tblPr>
        <w:tblStyle w:val="TableGrid"/>
        <w:tblpPr w:leftFromText="180" w:rightFromText="180" w:vertAnchor="text" w:horzAnchor="margin" w:tblpY="7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5"/>
        <w:gridCol w:w="8222"/>
        <w:gridCol w:w="725"/>
      </w:tblGrid>
      <w:tr w:rsidR="007C278A" w:rsidRPr="007C278A" w14:paraId="2DF054CB" w14:textId="77777777" w:rsidTr="005356A1">
        <w:trPr>
          <w:trHeight w:val="318"/>
        </w:trPr>
        <w:tc>
          <w:tcPr>
            <w:tcW w:w="675" w:type="dxa"/>
          </w:tcPr>
          <w:p w14:paraId="4161C555" w14:textId="77777777" w:rsidR="007C278A" w:rsidRPr="00911A46" w:rsidRDefault="007C278A" w:rsidP="00911A46">
            <w:pPr>
              <w:spacing w:before="240" w:line="480" w:lineRule="auto"/>
              <w:jc w:val="both"/>
              <w:rPr>
                <w:rFonts w:ascii="Arial" w:hAnsi="Arial" w:cs="Arial"/>
                <w:sz w:val="24"/>
                <w:szCs w:val="24"/>
              </w:rPr>
            </w:pPr>
          </w:p>
        </w:tc>
        <w:tc>
          <w:tcPr>
            <w:tcW w:w="8222" w:type="dxa"/>
            <w:vAlign w:val="center"/>
          </w:tcPr>
          <w:p w14:paraId="5EDC1CDA" w14:textId="77777777" w:rsidR="007C278A" w:rsidRPr="00911A46" w:rsidRDefault="00BD61D6" w:rsidP="00911A46">
            <w:pPr>
              <w:spacing w:line="480" w:lineRule="auto"/>
              <w:jc w:val="center"/>
              <w:rPr>
                <w:rFonts w:ascii="Arial" w:hAnsi="Arial" w:cs="Arial"/>
                <w:i/>
                <w:sz w:val="24"/>
                <w:szCs w:val="24"/>
              </w:rPr>
            </w:pPr>
            <m:oMath>
              <m:sSub>
                <m:sSubPr>
                  <m:ctrlPr>
                    <w:rPr>
                      <w:rFonts w:ascii="Cambria Math" w:hAnsi="Cambria Math" w:cs="Arial"/>
                      <w:b/>
                      <w:i/>
                      <w:sz w:val="24"/>
                      <w:szCs w:val="24"/>
                    </w:rPr>
                  </m:ctrlPr>
                </m:sSubPr>
                <m:e>
                  <m:r>
                    <m:rPr>
                      <m:sty m:val="b"/>
                    </m:rPr>
                    <w:rPr>
                      <w:rFonts w:ascii="Cambria Math" w:hAnsi="Cambria Math" w:cs="Arial"/>
                      <w:sz w:val="24"/>
                      <w:szCs w:val="24"/>
                    </w:rPr>
                    <m:t>Δ</m:t>
                  </m:r>
                </m:e>
                <m:sub>
                  <m:r>
                    <m:rPr>
                      <m:sty m:val="bi"/>
                    </m:rPr>
                    <w:rPr>
                      <w:rFonts w:ascii="Cambria Math" w:hAnsi="Cambria Math" w:cs="Arial"/>
                      <w:sz w:val="24"/>
                      <w:szCs w:val="24"/>
                    </w:rPr>
                    <m:t>jg</m:t>
                  </m:r>
                </m:sub>
              </m:sSub>
              <m:r>
                <w:rPr>
                  <w:rFonts w:ascii="Cambria Math" w:hAnsi="Cambria Math" w:cs="Arial"/>
                  <w:sz w:val="24"/>
                  <w:szCs w:val="24"/>
                </w:rPr>
                <m:t>=</m:t>
              </m:r>
              <m:sSup>
                <m:sSupPr>
                  <m:ctrlPr>
                    <w:rPr>
                      <w:rFonts w:ascii="Cambria Math" w:hAnsi="Cambria Math" w:cs="Arial"/>
                      <w:i/>
                      <w:sz w:val="24"/>
                      <w:szCs w:val="24"/>
                    </w:rPr>
                  </m:ctrlPr>
                </m:sSupPr>
                <m:e>
                  <m:r>
                    <w:rPr>
                      <w:rFonts w:ascii="Cambria Math" w:hAnsi="Cambria Math" w:cs="Arial"/>
                      <w:sz w:val="24"/>
                      <w:szCs w:val="24"/>
                    </w:rPr>
                    <m:t>(</m:t>
                  </m:r>
                  <m:sSub>
                    <m:sSubPr>
                      <m:ctrlPr>
                        <w:rPr>
                          <w:rFonts w:ascii="Cambria Math" w:hAnsi="Cambria Math" w:cs="Arial"/>
                          <w:i/>
                          <w:sz w:val="24"/>
                          <w:szCs w:val="24"/>
                        </w:rPr>
                      </m:ctrlPr>
                    </m:sSubPr>
                    <m:e>
                      <m:r>
                        <m:rPr>
                          <m:sty m:val="p"/>
                        </m:rPr>
                        <w:rPr>
                          <w:rFonts w:ascii="Cambria Math" w:hAnsi="Cambria Math" w:cs="Arial"/>
                          <w:sz w:val="24"/>
                          <w:szCs w:val="24"/>
                        </w:rPr>
                        <m:t>Δ</m:t>
                      </m:r>
                    </m:e>
                    <m:sub>
                      <m:r>
                        <w:rPr>
                          <w:rFonts w:ascii="Cambria Math" w:hAnsi="Cambria Math" w:cs="Arial"/>
                          <w:sz w:val="24"/>
                          <w:szCs w:val="24"/>
                        </w:rPr>
                        <m:t>jXY</m:t>
                      </m:r>
                    </m:sub>
                  </m:sSub>
                  <m:r>
                    <w:rPr>
                      <w:rFonts w:ascii="Cambria Math" w:hAnsi="Cambria Math" w:cs="Arial"/>
                      <w:sz w:val="24"/>
                      <w:szCs w:val="24"/>
                    </w:rPr>
                    <m:t xml:space="preserve">, </m:t>
                  </m:r>
                  <m:sSub>
                    <m:sSubPr>
                      <m:ctrlPr>
                        <w:rPr>
                          <w:rFonts w:ascii="Cambria Math" w:hAnsi="Cambria Math" w:cs="Arial"/>
                          <w:i/>
                          <w:sz w:val="24"/>
                          <w:szCs w:val="24"/>
                        </w:rPr>
                      </m:ctrlPr>
                    </m:sSubPr>
                    <m:e>
                      <m:r>
                        <m:rPr>
                          <m:sty m:val="p"/>
                        </m:rPr>
                        <w:rPr>
                          <w:rFonts w:ascii="Cambria Math" w:hAnsi="Cambria Math" w:cs="Arial"/>
                          <w:sz w:val="24"/>
                          <w:szCs w:val="24"/>
                        </w:rPr>
                        <m:t>Δ</m:t>
                      </m:r>
                    </m:e>
                    <m:sub>
                      <m:r>
                        <w:rPr>
                          <w:rFonts w:ascii="Cambria Math" w:hAnsi="Cambria Math" w:cs="Arial"/>
                          <w:sz w:val="24"/>
                          <w:szCs w:val="24"/>
                        </w:rPr>
                        <m:t>jXZ</m:t>
                      </m:r>
                    </m:sub>
                  </m:sSub>
                  <m:r>
                    <w:rPr>
                      <w:rFonts w:ascii="Cambria Math" w:hAnsi="Cambria Math" w:cs="Arial"/>
                      <w:sz w:val="24"/>
                      <w:szCs w:val="24"/>
                    </w:rPr>
                    <m:t>)</m:t>
                  </m:r>
                </m:e>
                <m:sup>
                  <m:r>
                    <w:rPr>
                      <w:rFonts w:ascii="Cambria Math" w:hAnsi="Cambria Math" w:cs="Arial"/>
                      <w:sz w:val="24"/>
                      <w:szCs w:val="24"/>
                    </w:rPr>
                    <m:t>T</m:t>
                  </m:r>
                </m:sup>
              </m:sSup>
            </m:oMath>
            <w:r w:rsidR="007C278A" w:rsidRPr="00911A46">
              <w:rPr>
                <w:rFonts w:ascii="Arial" w:eastAsiaTheme="minorEastAsia" w:hAnsi="Arial" w:cs="Arial"/>
                <w:i/>
                <w:sz w:val="24"/>
                <w:szCs w:val="24"/>
              </w:rPr>
              <w:t>,</w:t>
            </w:r>
          </w:p>
          <w:p w14:paraId="3D4BC245" w14:textId="77777777" w:rsidR="007C278A" w:rsidRPr="00911A46" w:rsidRDefault="007C278A" w:rsidP="00911A46">
            <w:pPr>
              <w:spacing w:line="480" w:lineRule="auto"/>
              <w:ind w:left="360"/>
              <w:jc w:val="center"/>
              <w:rPr>
                <w:rFonts w:ascii="Arial" w:hAnsi="Arial" w:cs="Arial"/>
                <w:sz w:val="24"/>
                <w:szCs w:val="24"/>
              </w:rPr>
            </w:pPr>
          </w:p>
        </w:tc>
        <w:tc>
          <w:tcPr>
            <w:tcW w:w="725" w:type="dxa"/>
            <w:vAlign w:val="center"/>
          </w:tcPr>
          <w:p w14:paraId="1E689A33" w14:textId="77777777" w:rsidR="007C278A" w:rsidRPr="00911A46" w:rsidRDefault="007C278A" w:rsidP="00911A46">
            <w:pPr>
              <w:spacing w:before="240" w:line="480" w:lineRule="auto"/>
              <w:jc w:val="right"/>
              <w:rPr>
                <w:rFonts w:ascii="Arial" w:hAnsi="Arial" w:cs="Arial"/>
                <w:sz w:val="24"/>
                <w:szCs w:val="24"/>
              </w:rPr>
            </w:pPr>
            <w:r w:rsidRPr="00911A46">
              <w:rPr>
                <w:rFonts w:ascii="Arial" w:hAnsi="Arial" w:cs="Arial"/>
                <w:sz w:val="24"/>
                <w:szCs w:val="24"/>
              </w:rPr>
              <w:fldChar w:fldCharType="begin"/>
            </w:r>
            <w:r w:rsidRPr="00911A46">
              <w:rPr>
                <w:rFonts w:ascii="Arial" w:hAnsi="Arial" w:cs="Arial"/>
                <w:sz w:val="24"/>
                <w:szCs w:val="24"/>
              </w:rPr>
              <w:instrText xml:space="preserve"> EQ </w:instrText>
            </w:r>
            <w:r w:rsidRPr="00911A46">
              <w:rPr>
                <w:rFonts w:ascii="Arial" w:hAnsi="Arial" w:cs="Arial"/>
                <w:sz w:val="24"/>
                <w:szCs w:val="24"/>
              </w:rPr>
              <w:fldChar w:fldCharType="end"/>
            </w:r>
            <w:r w:rsidRPr="00911A46">
              <w:rPr>
                <w:rFonts w:ascii="Arial" w:hAnsi="Arial" w:cs="Arial"/>
                <w:sz w:val="24"/>
                <w:szCs w:val="24"/>
              </w:rPr>
              <w:t>(</w:t>
            </w:r>
            <w:r w:rsidRPr="00911A46">
              <w:rPr>
                <w:rFonts w:ascii="Arial" w:hAnsi="Arial" w:cs="Arial"/>
                <w:sz w:val="24"/>
                <w:szCs w:val="24"/>
              </w:rPr>
              <w:fldChar w:fldCharType="begin"/>
            </w:r>
            <w:r w:rsidRPr="00911A46">
              <w:rPr>
                <w:rFonts w:ascii="Arial" w:hAnsi="Arial" w:cs="Arial"/>
                <w:sz w:val="24"/>
                <w:szCs w:val="24"/>
              </w:rPr>
              <w:instrText xml:space="preserve"> EQ </w:instrText>
            </w:r>
            <w:r w:rsidRPr="00911A46">
              <w:rPr>
                <w:rFonts w:ascii="Arial" w:hAnsi="Arial" w:cs="Arial"/>
                <w:sz w:val="24"/>
                <w:szCs w:val="24"/>
              </w:rPr>
              <w:fldChar w:fldCharType="end"/>
            </w:r>
            <w:r w:rsidRPr="00911A46">
              <w:rPr>
                <w:rFonts w:ascii="Arial" w:hAnsi="Arial" w:cs="Arial"/>
                <w:sz w:val="24"/>
                <w:szCs w:val="24"/>
              </w:rPr>
              <w:fldChar w:fldCharType="begin"/>
            </w:r>
            <w:r w:rsidRPr="00911A46">
              <w:rPr>
                <w:rFonts w:ascii="Arial" w:hAnsi="Arial" w:cs="Arial"/>
                <w:sz w:val="24"/>
                <w:szCs w:val="24"/>
              </w:rPr>
              <w:instrText xml:space="preserve"> SEQ Eq  \* MERGEFORMAT </w:instrText>
            </w:r>
            <w:r w:rsidRPr="00911A46">
              <w:rPr>
                <w:rFonts w:ascii="Arial" w:hAnsi="Arial" w:cs="Arial"/>
                <w:sz w:val="24"/>
                <w:szCs w:val="24"/>
              </w:rPr>
              <w:fldChar w:fldCharType="separate"/>
            </w:r>
            <w:r w:rsidR="001A1BC1">
              <w:rPr>
                <w:rFonts w:ascii="Arial" w:hAnsi="Arial" w:cs="Arial"/>
                <w:noProof/>
                <w:sz w:val="24"/>
                <w:szCs w:val="24"/>
              </w:rPr>
              <w:t>1</w:t>
            </w:r>
            <w:r w:rsidRPr="00911A46">
              <w:rPr>
                <w:rFonts w:ascii="Arial" w:hAnsi="Arial" w:cs="Arial"/>
                <w:noProof/>
                <w:sz w:val="24"/>
                <w:szCs w:val="24"/>
              </w:rPr>
              <w:fldChar w:fldCharType="end"/>
            </w:r>
            <w:r w:rsidRPr="00911A46">
              <w:rPr>
                <w:rFonts w:ascii="Arial" w:hAnsi="Arial" w:cs="Arial"/>
                <w:sz w:val="24"/>
                <w:szCs w:val="24"/>
              </w:rPr>
              <w:t>)</w:t>
            </w:r>
          </w:p>
        </w:tc>
      </w:tr>
      <w:tr w:rsidR="007C278A" w:rsidRPr="007C278A" w14:paraId="62632585" w14:textId="77777777" w:rsidTr="005356A1">
        <w:trPr>
          <w:trHeight w:val="318"/>
        </w:trPr>
        <w:tc>
          <w:tcPr>
            <w:tcW w:w="675" w:type="dxa"/>
          </w:tcPr>
          <w:p w14:paraId="77F1C769" w14:textId="77777777" w:rsidR="007C278A" w:rsidRPr="00911A46" w:rsidRDefault="007C278A" w:rsidP="00911A46">
            <w:pPr>
              <w:spacing w:before="240" w:line="480" w:lineRule="auto"/>
              <w:jc w:val="both"/>
              <w:rPr>
                <w:rFonts w:ascii="Arial" w:hAnsi="Arial" w:cs="Arial"/>
                <w:sz w:val="24"/>
                <w:szCs w:val="24"/>
              </w:rPr>
            </w:pPr>
          </w:p>
        </w:tc>
        <w:tc>
          <w:tcPr>
            <w:tcW w:w="8222" w:type="dxa"/>
            <w:vAlign w:val="center"/>
          </w:tcPr>
          <w:p w14:paraId="117BF4EB" w14:textId="77777777" w:rsidR="007C278A" w:rsidRPr="00911A46" w:rsidRDefault="007C278A" w:rsidP="00911A46">
            <w:pPr>
              <w:spacing w:line="480" w:lineRule="auto"/>
              <w:rPr>
                <w:rFonts w:ascii="Arial" w:hAnsi="Arial" w:cs="Arial"/>
                <w:sz w:val="24"/>
                <w:szCs w:val="24"/>
              </w:rPr>
            </w:pPr>
          </w:p>
        </w:tc>
        <w:tc>
          <w:tcPr>
            <w:tcW w:w="725" w:type="dxa"/>
            <w:vAlign w:val="center"/>
          </w:tcPr>
          <w:p w14:paraId="5B6F92E4" w14:textId="77777777" w:rsidR="007C278A" w:rsidRPr="00911A46" w:rsidRDefault="007C278A" w:rsidP="00911A46">
            <w:pPr>
              <w:spacing w:before="240" w:line="480" w:lineRule="auto"/>
              <w:jc w:val="right"/>
              <w:rPr>
                <w:rFonts w:ascii="Arial" w:hAnsi="Arial" w:cs="Arial"/>
                <w:sz w:val="24"/>
                <w:szCs w:val="24"/>
              </w:rPr>
            </w:pPr>
          </w:p>
        </w:tc>
      </w:tr>
    </w:tbl>
    <w:p w14:paraId="10A3405A" w14:textId="77777777" w:rsidR="007C278A" w:rsidRPr="00911A46" w:rsidRDefault="007C278A" w:rsidP="00911A46">
      <w:pPr>
        <w:spacing w:line="480" w:lineRule="auto"/>
        <w:jc w:val="both"/>
        <w:rPr>
          <w:rFonts w:ascii="Arial" w:hAnsi="Arial" w:cs="Arial"/>
          <w:sz w:val="24"/>
          <w:szCs w:val="24"/>
        </w:rPr>
      </w:pPr>
    </w:p>
    <w:p w14:paraId="61E878C9" w14:textId="77777777" w:rsidR="007C278A" w:rsidRPr="00911A46" w:rsidRDefault="007C278A" w:rsidP="00911A46">
      <w:pPr>
        <w:spacing w:line="480" w:lineRule="auto"/>
        <w:jc w:val="both"/>
        <w:rPr>
          <w:rFonts w:ascii="Arial" w:hAnsi="Arial" w:cs="Arial"/>
          <w:sz w:val="24"/>
          <w:szCs w:val="24"/>
        </w:rPr>
      </w:pPr>
      <w:r w:rsidRPr="00911A46">
        <w:rPr>
          <w:rFonts w:ascii="Arial" w:hAnsi="Arial" w:cs="Arial"/>
          <w:sz w:val="24"/>
          <w:szCs w:val="24"/>
        </w:rPr>
        <w:t xml:space="preserve">Where </w:t>
      </w:r>
      <w:proofErr w:type="spellStart"/>
      <w:proofErr w:type="gramStart"/>
      <w:r w:rsidRPr="00911A46">
        <w:rPr>
          <w:rFonts w:ascii="Arial" w:hAnsi="Arial" w:cs="Arial"/>
          <w:sz w:val="24"/>
          <w:szCs w:val="24"/>
        </w:rPr>
        <w:t>Δ</w:t>
      </w:r>
      <w:r w:rsidRPr="00911A46">
        <w:rPr>
          <w:rFonts w:ascii="Arial" w:hAnsi="Arial" w:cs="Arial"/>
          <w:i/>
          <w:sz w:val="24"/>
          <w:szCs w:val="24"/>
          <w:vertAlign w:val="subscript"/>
        </w:rPr>
        <w:t>jXZ</w:t>
      </w:r>
      <w:proofErr w:type="spellEnd"/>
      <w:r w:rsidRPr="00911A46">
        <w:rPr>
          <w:rFonts w:ascii="Arial" w:hAnsi="Arial" w:cs="Arial"/>
          <w:i/>
          <w:sz w:val="24"/>
          <w:szCs w:val="24"/>
          <w:vertAlign w:val="subscript"/>
        </w:rPr>
        <w:t xml:space="preserve"> </w:t>
      </w:r>
      <w:r w:rsidRPr="00911A46">
        <w:rPr>
          <w:rFonts w:ascii="Arial" w:hAnsi="Arial" w:cs="Arial"/>
          <w:i/>
          <w:sz w:val="24"/>
          <w:szCs w:val="24"/>
        </w:rPr>
        <w:t>,</w:t>
      </w:r>
      <w:proofErr w:type="gramEnd"/>
      <w:r w:rsidRPr="00911A46">
        <w:rPr>
          <w:rFonts w:ascii="Arial" w:hAnsi="Arial" w:cs="Arial"/>
          <w:i/>
          <w:sz w:val="24"/>
          <w:szCs w:val="24"/>
        </w:rPr>
        <w:t xml:space="preserve"> </w:t>
      </w:r>
      <w:r w:rsidRPr="00911A46">
        <w:rPr>
          <w:rFonts w:ascii="Arial" w:hAnsi="Arial" w:cs="Arial"/>
          <w:sz w:val="24"/>
          <w:szCs w:val="24"/>
        </w:rPr>
        <w:t>represents the performance difference related to the score</w:t>
      </w:r>
      <w:r w:rsidRPr="00911A46">
        <w:rPr>
          <w:rFonts w:ascii="Arial" w:hAnsi="Arial" w:cs="Arial"/>
          <w:i/>
          <w:sz w:val="24"/>
          <w:szCs w:val="24"/>
        </w:rPr>
        <w:t xml:space="preserve"> X </w:t>
      </w:r>
      <w:r w:rsidRPr="00911A46">
        <w:rPr>
          <w:rFonts w:ascii="Arial" w:hAnsi="Arial" w:cs="Arial"/>
          <w:sz w:val="24"/>
          <w:szCs w:val="24"/>
        </w:rPr>
        <w:t>and</w:t>
      </w:r>
      <w:r w:rsidRPr="00911A46">
        <w:rPr>
          <w:rFonts w:ascii="Arial" w:hAnsi="Arial" w:cs="Arial"/>
          <w:i/>
          <w:sz w:val="24"/>
          <w:szCs w:val="24"/>
        </w:rPr>
        <w:t xml:space="preserve"> Y </w:t>
      </w:r>
      <w:r w:rsidRPr="00911A46">
        <w:rPr>
          <w:rFonts w:ascii="Arial" w:hAnsi="Arial" w:cs="Arial"/>
          <w:sz w:val="24"/>
          <w:szCs w:val="24"/>
        </w:rPr>
        <w:t>evaluated in the cohort</w:t>
      </w:r>
      <w:r w:rsidRPr="00911A46">
        <w:rPr>
          <w:rFonts w:ascii="Arial" w:hAnsi="Arial" w:cs="Arial"/>
          <w:i/>
          <w:sz w:val="24"/>
          <w:szCs w:val="24"/>
        </w:rPr>
        <w:t xml:space="preserve"> j </w:t>
      </w:r>
      <w:r w:rsidRPr="00911A46">
        <w:rPr>
          <w:rFonts w:ascii="Arial" w:hAnsi="Arial" w:cs="Arial"/>
          <w:sz w:val="24"/>
          <w:szCs w:val="24"/>
        </w:rPr>
        <w:t>and such that</w:t>
      </w:r>
    </w:p>
    <w:p w14:paraId="2E6EAAC9" w14:textId="77777777" w:rsidR="007C278A" w:rsidRPr="00911A46" w:rsidRDefault="007C278A" w:rsidP="00911A46">
      <w:pPr>
        <w:spacing w:line="480" w:lineRule="auto"/>
        <w:rPr>
          <w:rFonts w:ascii="Arial" w:hAnsi="Arial" w:cs="Arial"/>
          <w:sz w:val="24"/>
          <w:szCs w:val="24"/>
        </w:rPr>
      </w:pPr>
      <w:r w:rsidRPr="00911A46">
        <w:rPr>
          <w:rFonts w:ascii="Arial" w:eastAsiaTheme="minorEastAsia" w:hAnsi="Arial" w:cs="Arial"/>
          <w:sz w:val="24"/>
          <w:szCs w:val="24"/>
        </w:rPr>
        <w:t xml:space="preserve">The terms </w:t>
      </w:r>
      <m:oMath>
        <m:sSub>
          <m:sSubPr>
            <m:ctrlPr>
              <w:rPr>
                <w:rFonts w:ascii="Cambria Math" w:hAnsi="Cambria Math" w:cs="Arial"/>
                <w:i/>
                <w:sz w:val="24"/>
                <w:szCs w:val="24"/>
              </w:rPr>
            </m:ctrlPr>
          </m:sSubPr>
          <m:e>
            <m:r>
              <m:rPr>
                <m:sty m:val="p"/>
              </m:rPr>
              <w:rPr>
                <w:rFonts w:ascii="Cambria Math" w:hAnsi="Cambria Math" w:cs="Arial"/>
                <w:sz w:val="24"/>
                <w:szCs w:val="24"/>
              </w:rPr>
              <m:t>Δ</m:t>
            </m:r>
          </m:e>
          <m:sub>
            <m:r>
              <w:rPr>
                <w:rFonts w:ascii="Cambria Math" w:hAnsi="Cambria Math" w:cs="Arial"/>
                <w:sz w:val="24"/>
                <w:szCs w:val="24"/>
              </w:rPr>
              <m:t>jXY</m:t>
            </m:r>
          </m:sub>
        </m:sSub>
      </m:oMath>
      <w:r w:rsidRPr="00911A46">
        <w:rPr>
          <w:rFonts w:ascii="Arial" w:eastAsiaTheme="minorEastAsia" w:hAnsi="Arial" w:cs="Arial"/>
          <w:sz w:val="24"/>
          <w:szCs w:val="24"/>
        </w:rPr>
        <w:t xml:space="preserve"> and </w:t>
      </w:r>
      <m:oMath>
        <m:sSub>
          <m:sSubPr>
            <m:ctrlPr>
              <w:rPr>
                <w:rFonts w:ascii="Cambria Math" w:hAnsi="Cambria Math" w:cs="Arial"/>
                <w:i/>
                <w:sz w:val="24"/>
                <w:szCs w:val="24"/>
              </w:rPr>
            </m:ctrlPr>
          </m:sSubPr>
          <m:e>
            <m:r>
              <m:rPr>
                <m:sty m:val="p"/>
              </m:rPr>
              <w:rPr>
                <w:rFonts w:ascii="Cambria Math" w:hAnsi="Cambria Math" w:cs="Arial"/>
                <w:sz w:val="24"/>
                <w:szCs w:val="24"/>
              </w:rPr>
              <m:t>Δ</m:t>
            </m:r>
          </m:e>
          <m:sub>
            <m:r>
              <w:rPr>
                <w:rFonts w:ascii="Cambria Math" w:hAnsi="Cambria Math" w:cs="Arial"/>
                <w:sz w:val="24"/>
                <w:szCs w:val="24"/>
              </w:rPr>
              <m:t>jXZ</m:t>
            </m:r>
          </m:sub>
        </m:sSub>
      </m:oMath>
      <w:r w:rsidRPr="00911A46">
        <w:rPr>
          <w:rFonts w:ascii="Arial" w:eastAsiaTheme="minorEastAsia" w:hAnsi="Arial" w:cs="Arial"/>
          <w:sz w:val="24"/>
          <w:szCs w:val="24"/>
        </w:rPr>
        <w:t xml:space="preserve"> are evaluated as follows:</w:t>
      </w:r>
    </w:p>
    <w:tbl>
      <w:tblPr>
        <w:tblStyle w:val="TableGrid"/>
        <w:tblpPr w:leftFromText="180" w:rightFromText="180" w:vertAnchor="text" w:horzAnchor="margin" w:tblpY="-8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5"/>
        <w:gridCol w:w="8222"/>
        <w:gridCol w:w="725"/>
      </w:tblGrid>
      <w:tr w:rsidR="007C278A" w:rsidRPr="007C278A" w14:paraId="37D80E4E" w14:textId="77777777" w:rsidTr="005356A1">
        <w:trPr>
          <w:trHeight w:val="318"/>
        </w:trPr>
        <w:tc>
          <w:tcPr>
            <w:tcW w:w="675" w:type="dxa"/>
          </w:tcPr>
          <w:p w14:paraId="669AACD8" w14:textId="77777777" w:rsidR="007C278A" w:rsidRPr="00911A46" w:rsidRDefault="007C278A" w:rsidP="00911A46">
            <w:pPr>
              <w:spacing w:before="240" w:line="480" w:lineRule="auto"/>
              <w:jc w:val="both"/>
              <w:rPr>
                <w:rFonts w:ascii="Arial" w:hAnsi="Arial" w:cs="Arial"/>
                <w:i/>
                <w:sz w:val="24"/>
                <w:szCs w:val="24"/>
              </w:rPr>
            </w:pPr>
          </w:p>
        </w:tc>
        <w:tc>
          <w:tcPr>
            <w:tcW w:w="8222" w:type="dxa"/>
            <w:vAlign w:val="center"/>
          </w:tcPr>
          <w:p w14:paraId="56E5D3C7" w14:textId="77777777" w:rsidR="007C278A" w:rsidRPr="00911A46" w:rsidRDefault="00BD61D6" w:rsidP="00911A46">
            <w:pPr>
              <w:spacing w:line="480" w:lineRule="auto"/>
              <w:jc w:val="both"/>
              <w:rPr>
                <w:rFonts w:ascii="Arial" w:hAnsi="Arial" w:cs="Arial"/>
                <w:i/>
                <w:sz w:val="24"/>
                <w:szCs w:val="24"/>
              </w:rPr>
            </w:pPr>
            <m:oMathPara>
              <m:oMath>
                <m:sSub>
                  <m:sSubPr>
                    <m:ctrlPr>
                      <w:rPr>
                        <w:rFonts w:ascii="Cambria Math" w:hAnsi="Cambria Math" w:cs="Arial"/>
                        <w:i/>
                        <w:sz w:val="24"/>
                        <w:szCs w:val="24"/>
                      </w:rPr>
                    </m:ctrlPr>
                  </m:sSubPr>
                  <m:e>
                    <m:r>
                      <m:rPr>
                        <m:sty m:val="p"/>
                      </m:rPr>
                      <w:rPr>
                        <w:rFonts w:ascii="Cambria Math" w:hAnsi="Cambria Math" w:cs="Arial"/>
                        <w:sz w:val="24"/>
                        <w:szCs w:val="24"/>
                      </w:rPr>
                      <m:t>Δ</m:t>
                    </m:r>
                  </m:e>
                  <m:sub>
                    <m:r>
                      <w:rPr>
                        <w:rFonts w:ascii="Cambria Math" w:hAnsi="Cambria Math" w:cs="Arial"/>
                        <w:sz w:val="24"/>
                        <w:szCs w:val="24"/>
                      </w:rPr>
                      <m:t>jYZ</m:t>
                    </m:r>
                  </m:sub>
                </m:sSub>
                <m:r>
                  <w:rPr>
                    <w:rFonts w:ascii="Cambria Math" w:hAnsi="Cambria Math" w:cs="Arial"/>
                    <w:sz w:val="24"/>
                    <w:szCs w:val="24"/>
                  </w:rPr>
                  <m:t>=</m:t>
                </m:r>
                <m:sSub>
                  <m:sSubPr>
                    <m:ctrlPr>
                      <w:rPr>
                        <w:rFonts w:ascii="Cambria Math" w:hAnsi="Cambria Math" w:cs="Arial"/>
                        <w:i/>
                        <w:sz w:val="24"/>
                        <w:szCs w:val="24"/>
                      </w:rPr>
                    </m:ctrlPr>
                  </m:sSubPr>
                  <m:e>
                    <m:d>
                      <m:dPr>
                        <m:ctrlPr>
                          <w:rPr>
                            <w:rFonts w:ascii="Cambria Math" w:hAnsi="Cambria Math" w:cs="Arial"/>
                            <w:i/>
                            <w:sz w:val="24"/>
                            <w:szCs w:val="24"/>
                          </w:rPr>
                        </m:ctrlPr>
                      </m:dPr>
                      <m:e>
                        <m:r>
                          <w:rPr>
                            <w:rFonts w:ascii="Cambria Math" w:hAnsi="Cambria Math" w:cs="Arial"/>
                            <w:sz w:val="24"/>
                            <w:szCs w:val="24"/>
                          </w:rPr>
                          <m:t>-1,+1</m:t>
                        </m:r>
                      </m:e>
                    </m:d>
                    <m:r>
                      <m:rPr>
                        <m:sty m:val="b"/>
                      </m:rPr>
                      <w:rPr>
                        <w:rFonts w:ascii="Cambria Math" w:hAnsi="Cambria Math" w:cs="Arial"/>
                        <w:sz w:val="24"/>
                        <w:szCs w:val="24"/>
                      </w:rPr>
                      <m:t>Δ</m:t>
                    </m:r>
                  </m:e>
                  <m:sub>
                    <m:r>
                      <m:rPr>
                        <m:sty m:val="bi"/>
                      </m:rPr>
                      <w:rPr>
                        <w:rFonts w:ascii="Cambria Math" w:hAnsi="Cambria Math" w:cs="Arial"/>
                        <w:sz w:val="24"/>
                        <w:szCs w:val="24"/>
                      </w:rPr>
                      <m:t>jg</m:t>
                    </m:r>
                  </m:sub>
                </m:sSub>
                <m:r>
                  <w:rPr>
                    <w:rFonts w:ascii="Cambria Math" w:hAnsi="Cambria Math" w:cs="Arial"/>
                    <w:sz w:val="24"/>
                    <w:szCs w:val="24"/>
                  </w:rPr>
                  <m:t>=</m:t>
                </m:r>
                <m:sSub>
                  <m:sSubPr>
                    <m:ctrlPr>
                      <w:rPr>
                        <w:rFonts w:ascii="Cambria Math" w:hAnsi="Cambria Math" w:cs="Arial"/>
                        <w:i/>
                        <w:sz w:val="24"/>
                        <w:szCs w:val="24"/>
                      </w:rPr>
                    </m:ctrlPr>
                  </m:sSubPr>
                  <m:e>
                    <m:r>
                      <m:rPr>
                        <m:sty m:val="p"/>
                      </m:rPr>
                      <w:rPr>
                        <w:rFonts w:ascii="Cambria Math" w:hAnsi="Cambria Math" w:cs="Arial"/>
                        <w:sz w:val="24"/>
                        <w:szCs w:val="24"/>
                      </w:rPr>
                      <m:t>Δ</m:t>
                    </m:r>
                  </m:e>
                  <m:sub>
                    <m:r>
                      <w:rPr>
                        <w:rFonts w:ascii="Cambria Math" w:hAnsi="Cambria Math" w:cs="Arial"/>
                        <w:sz w:val="24"/>
                        <w:szCs w:val="24"/>
                      </w:rPr>
                      <m:t>jXZ</m:t>
                    </m:r>
                  </m:sub>
                </m:sSub>
                <m:r>
                  <w:rPr>
                    <w:rFonts w:ascii="Cambria Math" w:hAnsi="Cambria Math" w:cs="Arial"/>
                    <w:sz w:val="24"/>
                    <w:szCs w:val="24"/>
                  </w:rPr>
                  <m:t>-</m:t>
                </m:r>
                <m:sSub>
                  <m:sSubPr>
                    <m:ctrlPr>
                      <w:rPr>
                        <w:rFonts w:ascii="Cambria Math" w:hAnsi="Cambria Math" w:cs="Arial"/>
                        <w:i/>
                        <w:sz w:val="24"/>
                        <w:szCs w:val="24"/>
                      </w:rPr>
                    </m:ctrlPr>
                  </m:sSubPr>
                  <m:e>
                    <m:r>
                      <m:rPr>
                        <m:sty m:val="p"/>
                      </m:rPr>
                      <w:rPr>
                        <w:rFonts w:ascii="Cambria Math" w:hAnsi="Cambria Math" w:cs="Arial"/>
                        <w:sz w:val="24"/>
                        <w:szCs w:val="24"/>
                      </w:rPr>
                      <m:t>Δ</m:t>
                    </m:r>
                  </m:e>
                  <m:sub>
                    <m:r>
                      <w:rPr>
                        <w:rFonts w:ascii="Cambria Math" w:hAnsi="Cambria Math" w:cs="Arial"/>
                        <w:sz w:val="24"/>
                        <w:szCs w:val="24"/>
                      </w:rPr>
                      <m:t>jXY</m:t>
                    </m:r>
                  </m:sub>
                </m:sSub>
              </m:oMath>
            </m:oMathPara>
          </w:p>
          <w:p w14:paraId="49FA560E" w14:textId="77777777" w:rsidR="007C278A" w:rsidRPr="00911A46" w:rsidRDefault="007C278A" w:rsidP="00911A46">
            <w:pPr>
              <w:spacing w:line="480" w:lineRule="auto"/>
              <w:ind w:left="360"/>
              <w:jc w:val="center"/>
              <w:rPr>
                <w:rFonts w:ascii="Arial" w:hAnsi="Arial" w:cs="Arial"/>
                <w:i/>
                <w:sz w:val="24"/>
                <w:szCs w:val="24"/>
              </w:rPr>
            </w:pPr>
          </w:p>
        </w:tc>
        <w:tc>
          <w:tcPr>
            <w:tcW w:w="725" w:type="dxa"/>
            <w:vAlign w:val="center"/>
          </w:tcPr>
          <w:p w14:paraId="23C42BFB" w14:textId="77777777" w:rsidR="007C278A" w:rsidRPr="00911A46" w:rsidRDefault="007C278A" w:rsidP="00911A46">
            <w:pPr>
              <w:spacing w:before="240" w:line="480" w:lineRule="auto"/>
              <w:jc w:val="right"/>
              <w:rPr>
                <w:rFonts w:ascii="Arial" w:hAnsi="Arial" w:cs="Arial"/>
                <w:i/>
                <w:sz w:val="24"/>
                <w:szCs w:val="24"/>
              </w:rPr>
            </w:pPr>
            <w:r w:rsidRPr="00911A46">
              <w:rPr>
                <w:rFonts w:ascii="Arial" w:hAnsi="Arial" w:cs="Arial"/>
                <w:i/>
                <w:sz w:val="24"/>
                <w:szCs w:val="24"/>
              </w:rPr>
              <w:fldChar w:fldCharType="begin"/>
            </w:r>
            <w:r w:rsidRPr="00911A46">
              <w:rPr>
                <w:rFonts w:ascii="Arial" w:hAnsi="Arial" w:cs="Arial"/>
                <w:i/>
                <w:sz w:val="24"/>
                <w:szCs w:val="24"/>
              </w:rPr>
              <w:instrText xml:space="preserve"> EQ </w:instrText>
            </w:r>
            <w:r w:rsidRPr="00911A46">
              <w:rPr>
                <w:rFonts w:ascii="Arial" w:hAnsi="Arial" w:cs="Arial"/>
                <w:i/>
                <w:sz w:val="24"/>
                <w:szCs w:val="24"/>
              </w:rPr>
              <w:fldChar w:fldCharType="end"/>
            </w:r>
            <w:r w:rsidRPr="00911A46">
              <w:rPr>
                <w:rFonts w:ascii="Arial" w:hAnsi="Arial" w:cs="Arial"/>
                <w:i/>
                <w:sz w:val="24"/>
                <w:szCs w:val="24"/>
              </w:rPr>
              <w:t>(</w:t>
            </w:r>
            <w:r w:rsidRPr="00911A46">
              <w:rPr>
                <w:rFonts w:ascii="Arial" w:hAnsi="Arial" w:cs="Arial"/>
                <w:i/>
                <w:sz w:val="24"/>
                <w:szCs w:val="24"/>
              </w:rPr>
              <w:fldChar w:fldCharType="begin"/>
            </w:r>
            <w:r w:rsidRPr="00911A46">
              <w:rPr>
                <w:rFonts w:ascii="Arial" w:hAnsi="Arial" w:cs="Arial"/>
                <w:i/>
                <w:sz w:val="24"/>
                <w:szCs w:val="24"/>
              </w:rPr>
              <w:instrText xml:space="preserve"> EQ </w:instrText>
            </w:r>
            <w:r w:rsidRPr="00911A46">
              <w:rPr>
                <w:rFonts w:ascii="Arial" w:hAnsi="Arial" w:cs="Arial"/>
                <w:i/>
                <w:sz w:val="24"/>
                <w:szCs w:val="24"/>
              </w:rPr>
              <w:fldChar w:fldCharType="end"/>
            </w:r>
            <w:r w:rsidRPr="00911A46">
              <w:rPr>
                <w:rFonts w:ascii="Arial" w:hAnsi="Arial" w:cs="Arial"/>
                <w:sz w:val="24"/>
                <w:szCs w:val="24"/>
              </w:rPr>
              <w:fldChar w:fldCharType="begin"/>
            </w:r>
            <w:r w:rsidRPr="00911A46">
              <w:rPr>
                <w:rFonts w:ascii="Arial" w:hAnsi="Arial" w:cs="Arial"/>
                <w:sz w:val="24"/>
                <w:szCs w:val="24"/>
              </w:rPr>
              <w:instrText xml:space="preserve"> SEQ Eq  \* MERGEFORMAT </w:instrText>
            </w:r>
            <w:r w:rsidRPr="00911A46">
              <w:rPr>
                <w:rFonts w:ascii="Arial" w:hAnsi="Arial" w:cs="Arial"/>
                <w:sz w:val="24"/>
                <w:szCs w:val="24"/>
              </w:rPr>
              <w:fldChar w:fldCharType="separate"/>
            </w:r>
            <w:r w:rsidR="001A1BC1" w:rsidRPr="00911A46">
              <w:rPr>
                <w:rFonts w:ascii="Arial" w:hAnsi="Arial" w:cs="Arial"/>
                <w:i/>
                <w:noProof/>
                <w:sz w:val="24"/>
                <w:szCs w:val="24"/>
              </w:rPr>
              <w:t>2</w:t>
            </w:r>
            <w:r w:rsidRPr="00911A46">
              <w:rPr>
                <w:rFonts w:ascii="Arial" w:hAnsi="Arial" w:cs="Arial"/>
                <w:i/>
                <w:noProof/>
                <w:sz w:val="24"/>
                <w:szCs w:val="24"/>
              </w:rPr>
              <w:fldChar w:fldCharType="end"/>
            </w:r>
            <w:r w:rsidRPr="00911A46">
              <w:rPr>
                <w:rFonts w:ascii="Arial" w:hAnsi="Arial" w:cs="Arial"/>
                <w:i/>
                <w:sz w:val="24"/>
                <w:szCs w:val="24"/>
              </w:rPr>
              <w:t>)</w:t>
            </w:r>
          </w:p>
        </w:tc>
      </w:tr>
      <w:tr w:rsidR="007C278A" w:rsidRPr="007C278A" w14:paraId="7A10A8F9" w14:textId="77777777" w:rsidTr="005356A1">
        <w:trPr>
          <w:trHeight w:val="318"/>
        </w:trPr>
        <w:tc>
          <w:tcPr>
            <w:tcW w:w="675" w:type="dxa"/>
          </w:tcPr>
          <w:p w14:paraId="76A9A32B" w14:textId="77777777" w:rsidR="007C278A" w:rsidRPr="00911A46" w:rsidRDefault="007C278A" w:rsidP="00911A46">
            <w:pPr>
              <w:spacing w:before="240" w:line="480" w:lineRule="auto"/>
              <w:jc w:val="both"/>
              <w:rPr>
                <w:rFonts w:ascii="Arial" w:hAnsi="Arial" w:cs="Arial"/>
                <w:i/>
                <w:sz w:val="24"/>
                <w:szCs w:val="24"/>
              </w:rPr>
            </w:pPr>
          </w:p>
        </w:tc>
        <w:tc>
          <w:tcPr>
            <w:tcW w:w="8222" w:type="dxa"/>
            <w:vAlign w:val="center"/>
          </w:tcPr>
          <w:p w14:paraId="64E5AAD8" w14:textId="77777777" w:rsidR="007C278A" w:rsidRPr="00911A46" w:rsidRDefault="007C278A" w:rsidP="00911A46">
            <w:pPr>
              <w:spacing w:line="480" w:lineRule="auto"/>
              <w:rPr>
                <w:rFonts w:ascii="Arial" w:hAnsi="Arial" w:cs="Arial"/>
                <w:i/>
                <w:sz w:val="24"/>
                <w:szCs w:val="24"/>
              </w:rPr>
            </w:pPr>
          </w:p>
          <w:p w14:paraId="59D814FB" w14:textId="77777777" w:rsidR="007C278A" w:rsidRPr="00911A46" w:rsidRDefault="007C278A" w:rsidP="00911A46">
            <w:pPr>
              <w:spacing w:line="480" w:lineRule="auto"/>
              <w:rPr>
                <w:rFonts w:ascii="Arial" w:hAnsi="Arial" w:cs="Arial"/>
                <w:i/>
                <w:sz w:val="24"/>
                <w:szCs w:val="24"/>
              </w:rPr>
            </w:pPr>
          </w:p>
        </w:tc>
        <w:tc>
          <w:tcPr>
            <w:tcW w:w="725" w:type="dxa"/>
            <w:vAlign w:val="center"/>
          </w:tcPr>
          <w:p w14:paraId="51A9CC55" w14:textId="77777777" w:rsidR="007C278A" w:rsidRPr="00911A46" w:rsidRDefault="007C278A" w:rsidP="00911A46">
            <w:pPr>
              <w:spacing w:before="240" w:line="480" w:lineRule="auto"/>
              <w:jc w:val="right"/>
              <w:rPr>
                <w:rFonts w:ascii="Arial" w:hAnsi="Arial" w:cs="Arial"/>
                <w:i/>
                <w:sz w:val="24"/>
                <w:szCs w:val="24"/>
              </w:rPr>
            </w:pPr>
          </w:p>
        </w:tc>
      </w:tr>
    </w:tbl>
    <w:p w14:paraId="6C2F5F53" w14:textId="77777777" w:rsidR="007C278A" w:rsidRPr="00911A46" w:rsidRDefault="007C278A" w:rsidP="00911A46">
      <w:pPr>
        <w:spacing w:line="480" w:lineRule="auto"/>
        <w:jc w:val="both"/>
        <w:rPr>
          <w:rFonts w:ascii="Arial" w:hAnsi="Arial" w:cs="Arial"/>
          <w:sz w:val="24"/>
          <w:szCs w:val="24"/>
        </w:rPr>
      </w:pPr>
      <w:r w:rsidRPr="00911A46">
        <w:rPr>
          <w:rFonts w:ascii="Arial" w:hAnsi="Arial" w:cs="Arial"/>
          <w:sz w:val="24"/>
          <w:szCs w:val="24"/>
        </w:rPr>
        <w:t>The expression for the covariance matrix is:</w:t>
      </w:r>
    </w:p>
    <w:tbl>
      <w:tblPr>
        <w:tblStyle w:val="TableGrid"/>
        <w:tblpPr w:leftFromText="180" w:rightFromText="180" w:vertAnchor="text" w:horzAnchor="margin" w:tblpY="-8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5"/>
        <w:gridCol w:w="8222"/>
        <w:gridCol w:w="725"/>
      </w:tblGrid>
      <w:tr w:rsidR="007C278A" w:rsidRPr="007C278A" w14:paraId="7D7BD945" w14:textId="77777777" w:rsidTr="005356A1">
        <w:trPr>
          <w:trHeight w:val="318"/>
        </w:trPr>
        <w:tc>
          <w:tcPr>
            <w:tcW w:w="675" w:type="dxa"/>
          </w:tcPr>
          <w:p w14:paraId="7068F18E" w14:textId="77777777" w:rsidR="007C278A" w:rsidRPr="00911A46" w:rsidRDefault="007C278A" w:rsidP="00911A46">
            <w:pPr>
              <w:spacing w:before="240" w:line="480" w:lineRule="auto"/>
              <w:jc w:val="both"/>
              <w:rPr>
                <w:rFonts w:ascii="Arial" w:hAnsi="Arial" w:cs="Arial"/>
                <w:i/>
                <w:sz w:val="24"/>
                <w:szCs w:val="24"/>
              </w:rPr>
            </w:pPr>
          </w:p>
        </w:tc>
        <w:tc>
          <w:tcPr>
            <w:tcW w:w="8222" w:type="dxa"/>
            <w:vAlign w:val="center"/>
          </w:tcPr>
          <w:p w14:paraId="0507BEEA" w14:textId="77777777" w:rsidR="007C278A" w:rsidRPr="00911A46" w:rsidRDefault="00BD61D6" w:rsidP="00911A46">
            <w:pPr>
              <w:spacing w:line="480" w:lineRule="auto"/>
              <w:jc w:val="center"/>
              <w:rPr>
                <w:rFonts w:ascii="Arial" w:hAnsi="Arial" w:cs="Arial"/>
                <w:i/>
                <w:sz w:val="24"/>
                <w:szCs w:val="24"/>
              </w:rPr>
            </w:pPr>
            <m:oMath>
              <m:sSub>
                <m:sSubPr>
                  <m:ctrlPr>
                    <w:rPr>
                      <w:rFonts w:ascii="Cambria Math" w:hAnsi="Cambria Math" w:cs="Arial"/>
                      <w:i/>
                      <w:sz w:val="24"/>
                      <w:szCs w:val="24"/>
                    </w:rPr>
                  </m:ctrlPr>
                </m:sSubPr>
                <m:e>
                  <m:r>
                    <m:rPr>
                      <m:sty m:val="b"/>
                    </m:rPr>
                    <w:rPr>
                      <w:rFonts w:ascii="Cambria Math" w:hAnsi="Cambria Math" w:cs="Arial"/>
                      <w:sz w:val="24"/>
                      <w:szCs w:val="24"/>
                    </w:rPr>
                    <m:t>Δ</m:t>
                  </m:r>
                </m:e>
                <m:sub>
                  <m:r>
                    <w:rPr>
                      <w:rFonts w:ascii="Cambria Math" w:hAnsi="Cambria Math" w:cs="Arial"/>
                      <w:sz w:val="24"/>
                      <w:szCs w:val="24"/>
                    </w:rPr>
                    <m:t>jg</m:t>
                  </m:r>
                </m:sub>
              </m:sSub>
              <m:r>
                <w:rPr>
                  <w:rFonts w:ascii="Cambria Math" w:hAnsi="Cambria Math" w:cs="Arial"/>
                  <w:sz w:val="24"/>
                  <w:szCs w:val="24"/>
                </w:rPr>
                <m:t>=</m:t>
              </m:r>
              <m:d>
                <m:dPr>
                  <m:ctrlPr>
                    <w:rPr>
                      <w:rFonts w:ascii="Cambria Math" w:hAnsi="Cambria Math" w:cs="Arial"/>
                      <w:i/>
                      <w:sz w:val="24"/>
                      <w:szCs w:val="24"/>
                    </w:rPr>
                  </m:ctrlPr>
                </m:dPr>
                <m:e>
                  <m:eqArr>
                    <m:eqArrPr>
                      <m:ctrlPr>
                        <w:rPr>
                          <w:rFonts w:ascii="Cambria Math" w:hAnsi="Cambria Math" w:cs="Arial"/>
                          <w:i/>
                          <w:sz w:val="24"/>
                          <w:szCs w:val="24"/>
                        </w:rPr>
                      </m:ctrlPr>
                    </m:eqArrPr>
                    <m:e>
                      <m:sSub>
                        <m:sSubPr>
                          <m:ctrlPr>
                            <w:rPr>
                              <w:rFonts w:ascii="Cambria Math" w:hAnsi="Cambria Math" w:cs="Arial"/>
                              <w:i/>
                              <w:sz w:val="24"/>
                              <w:szCs w:val="24"/>
                            </w:rPr>
                          </m:ctrlPr>
                        </m:sSubPr>
                        <m:e>
                          <m:r>
                            <m:rPr>
                              <m:sty m:val="p"/>
                            </m:rPr>
                            <w:rPr>
                              <w:rFonts w:ascii="Cambria Math" w:hAnsi="Cambria Math" w:cs="Arial"/>
                              <w:sz w:val="24"/>
                              <w:szCs w:val="24"/>
                            </w:rPr>
                            <m:t>Δ</m:t>
                          </m:r>
                        </m:e>
                        <m:sub>
                          <m:r>
                            <w:rPr>
                              <w:rFonts w:ascii="Cambria Math" w:hAnsi="Cambria Math" w:cs="Arial"/>
                              <w:sz w:val="24"/>
                              <w:szCs w:val="24"/>
                            </w:rPr>
                            <m:t>jXY</m:t>
                          </m:r>
                        </m:sub>
                      </m:sSub>
                    </m:e>
                    <m:e>
                      <m:sSub>
                        <m:sSubPr>
                          <m:ctrlPr>
                            <w:rPr>
                              <w:rFonts w:ascii="Cambria Math" w:hAnsi="Cambria Math" w:cs="Arial"/>
                              <w:i/>
                              <w:sz w:val="24"/>
                              <w:szCs w:val="24"/>
                            </w:rPr>
                          </m:ctrlPr>
                        </m:sSubPr>
                        <m:e>
                          <m:r>
                            <m:rPr>
                              <m:sty m:val="p"/>
                            </m:rPr>
                            <w:rPr>
                              <w:rFonts w:ascii="Cambria Math" w:hAnsi="Cambria Math" w:cs="Arial"/>
                              <w:sz w:val="24"/>
                              <w:szCs w:val="24"/>
                            </w:rPr>
                            <m:t>Δ</m:t>
                          </m:r>
                        </m:e>
                        <m:sub>
                          <m:r>
                            <w:rPr>
                              <w:rFonts w:ascii="Cambria Math" w:hAnsi="Cambria Math" w:cs="Arial"/>
                              <w:sz w:val="24"/>
                              <w:szCs w:val="24"/>
                            </w:rPr>
                            <m:t>jXZ</m:t>
                          </m:r>
                        </m:sub>
                      </m:sSub>
                    </m:e>
                  </m:eqArr>
                </m:e>
              </m:d>
              <m:r>
                <w:rPr>
                  <w:rFonts w:ascii="Cambria Math" w:hAnsi="Cambria Math" w:cs="Arial"/>
                  <w:sz w:val="24"/>
                  <w:szCs w:val="24"/>
                </w:rPr>
                <m:t>=</m:t>
              </m:r>
              <m:d>
                <m:dPr>
                  <m:ctrlPr>
                    <w:rPr>
                      <w:rFonts w:ascii="Cambria Math" w:hAnsi="Cambria Math" w:cs="Arial"/>
                      <w:i/>
                      <w:sz w:val="24"/>
                      <w:szCs w:val="24"/>
                    </w:rPr>
                  </m:ctrlPr>
                </m:dPr>
                <m:e>
                  <m:eqArr>
                    <m:eqArrPr>
                      <m:ctrlPr>
                        <w:rPr>
                          <w:rFonts w:ascii="Cambria Math" w:hAnsi="Cambria Math" w:cs="Arial"/>
                          <w:i/>
                          <w:sz w:val="24"/>
                          <w:szCs w:val="24"/>
                        </w:rPr>
                      </m:ctrlPr>
                    </m:eqArrPr>
                    <m:e>
                      <m:sSub>
                        <m:sSubPr>
                          <m:ctrlPr>
                            <w:rPr>
                              <w:rFonts w:ascii="Cambria Math" w:hAnsi="Cambria Math" w:cs="Arial"/>
                              <w:i/>
                              <w:sz w:val="24"/>
                              <w:szCs w:val="24"/>
                            </w:rPr>
                          </m:ctrlPr>
                        </m:sSubPr>
                        <m:e>
                          <m:r>
                            <m:rPr>
                              <m:sty m:val="p"/>
                            </m:rPr>
                            <w:rPr>
                              <w:rFonts w:ascii="Cambria Math" w:hAnsi="Cambria Math" w:cs="Arial"/>
                              <w:sz w:val="24"/>
                              <w:szCs w:val="24"/>
                            </w:rPr>
                            <m:t>Δ</m:t>
                          </m:r>
                        </m:e>
                        <m:sub>
                          <m:r>
                            <w:rPr>
                              <w:rFonts w:ascii="Cambria Math" w:hAnsi="Cambria Math" w:cs="Arial"/>
                              <w:sz w:val="24"/>
                              <w:szCs w:val="24"/>
                            </w:rPr>
                            <m:t>jY</m:t>
                          </m:r>
                        </m:sub>
                      </m:sSub>
                      <m:r>
                        <w:rPr>
                          <w:rFonts w:ascii="Cambria Math" w:hAnsi="Cambria Math" w:cs="Arial"/>
                          <w:sz w:val="24"/>
                          <w:szCs w:val="24"/>
                        </w:rPr>
                        <m:t xml:space="preserve">- </m:t>
                      </m:r>
                      <m:sSub>
                        <m:sSubPr>
                          <m:ctrlPr>
                            <w:rPr>
                              <w:rFonts w:ascii="Cambria Math" w:hAnsi="Cambria Math" w:cs="Arial"/>
                              <w:i/>
                              <w:sz w:val="24"/>
                              <w:szCs w:val="24"/>
                            </w:rPr>
                          </m:ctrlPr>
                        </m:sSubPr>
                        <m:e>
                          <m:r>
                            <m:rPr>
                              <m:sty m:val="p"/>
                            </m:rPr>
                            <w:rPr>
                              <w:rFonts w:ascii="Cambria Math" w:hAnsi="Cambria Math" w:cs="Arial"/>
                              <w:sz w:val="24"/>
                              <w:szCs w:val="24"/>
                            </w:rPr>
                            <m:t>Δ</m:t>
                          </m:r>
                        </m:e>
                        <m:sub>
                          <m:r>
                            <w:rPr>
                              <w:rFonts w:ascii="Cambria Math" w:hAnsi="Cambria Math" w:cs="Arial"/>
                              <w:sz w:val="24"/>
                              <w:szCs w:val="24"/>
                            </w:rPr>
                            <m:t>jX</m:t>
                          </m:r>
                        </m:sub>
                      </m:sSub>
                    </m:e>
                    <m:e>
                      <m:sSub>
                        <m:sSubPr>
                          <m:ctrlPr>
                            <w:rPr>
                              <w:rFonts w:ascii="Cambria Math" w:hAnsi="Cambria Math" w:cs="Arial"/>
                              <w:i/>
                              <w:sz w:val="24"/>
                              <w:szCs w:val="24"/>
                            </w:rPr>
                          </m:ctrlPr>
                        </m:sSubPr>
                        <m:e>
                          <m:r>
                            <m:rPr>
                              <m:sty m:val="p"/>
                            </m:rPr>
                            <w:rPr>
                              <w:rFonts w:ascii="Cambria Math" w:hAnsi="Cambria Math" w:cs="Arial"/>
                              <w:sz w:val="24"/>
                              <w:szCs w:val="24"/>
                            </w:rPr>
                            <m:t>Δ</m:t>
                          </m:r>
                        </m:e>
                        <m:sub>
                          <m:r>
                            <w:rPr>
                              <w:rFonts w:ascii="Cambria Math" w:hAnsi="Cambria Math" w:cs="Arial"/>
                              <w:sz w:val="24"/>
                              <w:szCs w:val="24"/>
                            </w:rPr>
                            <m:t>jZ</m:t>
                          </m:r>
                        </m:sub>
                      </m:sSub>
                      <m:r>
                        <w:rPr>
                          <w:rFonts w:ascii="Cambria Math" w:hAnsi="Cambria Math" w:cs="Arial"/>
                          <w:sz w:val="24"/>
                          <w:szCs w:val="24"/>
                        </w:rPr>
                        <m:t>-</m:t>
                      </m:r>
                      <m:sSub>
                        <m:sSubPr>
                          <m:ctrlPr>
                            <w:rPr>
                              <w:rFonts w:ascii="Cambria Math" w:hAnsi="Cambria Math" w:cs="Arial"/>
                              <w:i/>
                              <w:sz w:val="24"/>
                              <w:szCs w:val="24"/>
                            </w:rPr>
                          </m:ctrlPr>
                        </m:sSubPr>
                        <m:e>
                          <m:r>
                            <m:rPr>
                              <m:sty m:val="p"/>
                            </m:rPr>
                            <w:rPr>
                              <w:rFonts w:ascii="Cambria Math" w:hAnsi="Cambria Math" w:cs="Arial"/>
                              <w:sz w:val="24"/>
                              <w:szCs w:val="24"/>
                            </w:rPr>
                            <m:t>Δ</m:t>
                          </m:r>
                        </m:e>
                        <m:sub>
                          <m:r>
                            <w:rPr>
                              <w:rFonts w:ascii="Cambria Math" w:hAnsi="Cambria Math" w:cs="Arial"/>
                              <w:sz w:val="24"/>
                              <w:szCs w:val="24"/>
                            </w:rPr>
                            <m:t>jX</m:t>
                          </m:r>
                        </m:sub>
                      </m:sSub>
                    </m:e>
                  </m:eqArr>
                </m:e>
              </m:d>
            </m:oMath>
            <w:r w:rsidR="007C278A" w:rsidRPr="00911A46">
              <w:rPr>
                <w:rFonts w:ascii="Arial" w:eastAsiaTheme="minorEastAsia" w:hAnsi="Arial" w:cs="Arial"/>
                <w:i/>
                <w:sz w:val="24"/>
                <w:szCs w:val="24"/>
              </w:rPr>
              <w:t>.</w:t>
            </w:r>
          </w:p>
        </w:tc>
        <w:tc>
          <w:tcPr>
            <w:tcW w:w="725" w:type="dxa"/>
            <w:vAlign w:val="center"/>
          </w:tcPr>
          <w:p w14:paraId="1533C0E5" w14:textId="77777777" w:rsidR="007C278A" w:rsidRPr="00911A46" w:rsidRDefault="007C278A" w:rsidP="00911A46">
            <w:pPr>
              <w:spacing w:before="240" w:line="480" w:lineRule="auto"/>
              <w:jc w:val="right"/>
              <w:rPr>
                <w:rFonts w:ascii="Arial" w:hAnsi="Arial" w:cs="Arial"/>
                <w:i/>
                <w:sz w:val="24"/>
                <w:szCs w:val="24"/>
              </w:rPr>
            </w:pPr>
            <w:r w:rsidRPr="00911A46">
              <w:rPr>
                <w:rFonts w:ascii="Arial" w:hAnsi="Arial" w:cs="Arial"/>
                <w:i/>
                <w:sz w:val="24"/>
                <w:szCs w:val="24"/>
              </w:rPr>
              <w:fldChar w:fldCharType="begin"/>
            </w:r>
            <w:r w:rsidRPr="00911A46">
              <w:rPr>
                <w:rFonts w:ascii="Arial" w:hAnsi="Arial" w:cs="Arial"/>
                <w:i/>
                <w:sz w:val="24"/>
                <w:szCs w:val="24"/>
              </w:rPr>
              <w:instrText xml:space="preserve"> EQ </w:instrText>
            </w:r>
            <w:r w:rsidRPr="00911A46">
              <w:rPr>
                <w:rFonts w:ascii="Arial" w:hAnsi="Arial" w:cs="Arial"/>
                <w:i/>
                <w:sz w:val="24"/>
                <w:szCs w:val="24"/>
              </w:rPr>
              <w:fldChar w:fldCharType="end"/>
            </w:r>
            <w:r w:rsidRPr="00911A46">
              <w:rPr>
                <w:rFonts w:ascii="Arial" w:hAnsi="Arial" w:cs="Arial"/>
                <w:i/>
                <w:sz w:val="24"/>
                <w:szCs w:val="24"/>
              </w:rPr>
              <w:t>(</w:t>
            </w:r>
            <w:r w:rsidRPr="00911A46">
              <w:rPr>
                <w:rFonts w:ascii="Arial" w:hAnsi="Arial" w:cs="Arial"/>
                <w:i/>
                <w:sz w:val="24"/>
                <w:szCs w:val="24"/>
              </w:rPr>
              <w:fldChar w:fldCharType="begin"/>
            </w:r>
            <w:r w:rsidRPr="00911A46">
              <w:rPr>
                <w:rFonts w:ascii="Arial" w:hAnsi="Arial" w:cs="Arial"/>
                <w:i/>
                <w:sz w:val="24"/>
                <w:szCs w:val="24"/>
              </w:rPr>
              <w:instrText xml:space="preserve"> EQ </w:instrText>
            </w:r>
            <w:r w:rsidRPr="00911A46">
              <w:rPr>
                <w:rFonts w:ascii="Arial" w:hAnsi="Arial" w:cs="Arial"/>
                <w:i/>
                <w:sz w:val="24"/>
                <w:szCs w:val="24"/>
              </w:rPr>
              <w:fldChar w:fldCharType="end"/>
            </w:r>
            <w:r w:rsidRPr="00911A46">
              <w:rPr>
                <w:rFonts w:ascii="Arial" w:hAnsi="Arial" w:cs="Arial"/>
                <w:sz w:val="24"/>
                <w:szCs w:val="24"/>
              </w:rPr>
              <w:fldChar w:fldCharType="begin"/>
            </w:r>
            <w:r w:rsidRPr="00911A46">
              <w:rPr>
                <w:rFonts w:ascii="Arial" w:hAnsi="Arial" w:cs="Arial"/>
                <w:sz w:val="24"/>
                <w:szCs w:val="24"/>
              </w:rPr>
              <w:instrText xml:space="preserve"> SEQ Eq  \* MERGEFORMAT </w:instrText>
            </w:r>
            <w:r w:rsidRPr="00911A46">
              <w:rPr>
                <w:rFonts w:ascii="Arial" w:hAnsi="Arial" w:cs="Arial"/>
                <w:sz w:val="24"/>
                <w:szCs w:val="24"/>
              </w:rPr>
              <w:fldChar w:fldCharType="separate"/>
            </w:r>
            <w:r w:rsidR="001A1BC1" w:rsidRPr="00911A46">
              <w:rPr>
                <w:rFonts w:ascii="Arial" w:hAnsi="Arial" w:cs="Arial"/>
                <w:i/>
                <w:noProof/>
                <w:sz w:val="24"/>
                <w:szCs w:val="24"/>
              </w:rPr>
              <w:t>3</w:t>
            </w:r>
            <w:r w:rsidRPr="00911A46">
              <w:rPr>
                <w:rFonts w:ascii="Arial" w:hAnsi="Arial" w:cs="Arial"/>
                <w:i/>
                <w:noProof/>
                <w:sz w:val="24"/>
                <w:szCs w:val="24"/>
              </w:rPr>
              <w:fldChar w:fldCharType="end"/>
            </w:r>
            <w:r w:rsidRPr="00911A46">
              <w:rPr>
                <w:rFonts w:ascii="Arial" w:hAnsi="Arial" w:cs="Arial"/>
                <w:i/>
                <w:sz w:val="24"/>
                <w:szCs w:val="24"/>
              </w:rPr>
              <w:t>)</w:t>
            </w:r>
          </w:p>
        </w:tc>
      </w:tr>
      <w:tr w:rsidR="007C278A" w:rsidRPr="007C278A" w14:paraId="5E6E6FAB" w14:textId="77777777" w:rsidTr="005356A1">
        <w:trPr>
          <w:trHeight w:val="318"/>
        </w:trPr>
        <w:tc>
          <w:tcPr>
            <w:tcW w:w="675" w:type="dxa"/>
          </w:tcPr>
          <w:p w14:paraId="134B223B" w14:textId="77777777" w:rsidR="007C278A" w:rsidRPr="00911A46" w:rsidRDefault="007C278A" w:rsidP="00911A46">
            <w:pPr>
              <w:spacing w:before="240" w:line="480" w:lineRule="auto"/>
              <w:jc w:val="both"/>
              <w:rPr>
                <w:rFonts w:ascii="Arial" w:hAnsi="Arial" w:cs="Arial"/>
                <w:sz w:val="24"/>
                <w:szCs w:val="24"/>
              </w:rPr>
            </w:pPr>
          </w:p>
        </w:tc>
        <w:tc>
          <w:tcPr>
            <w:tcW w:w="8222" w:type="dxa"/>
            <w:vAlign w:val="center"/>
          </w:tcPr>
          <w:p w14:paraId="446CF625" w14:textId="77777777" w:rsidR="007C278A" w:rsidRPr="00911A46" w:rsidRDefault="007C278A" w:rsidP="00911A46">
            <w:pPr>
              <w:spacing w:line="480" w:lineRule="auto"/>
              <w:rPr>
                <w:rFonts w:ascii="Arial" w:hAnsi="Arial" w:cs="Arial"/>
                <w:sz w:val="24"/>
                <w:szCs w:val="24"/>
              </w:rPr>
            </w:pPr>
          </w:p>
        </w:tc>
        <w:tc>
          <w:tcPr>
            <w:tcW w:w="725" w:type="dxa"/>
            <w:vAlign w:val="center"/>
          </w:tcPr>
          <w:p w14:paraId="232BB293" w14:textId="77777777" w:rsidR="007C278A" w:rsidRPr="00911A46" w:rsidRDefault="007C278A" w:rsidP="00911A46">
            <w:pPr>
              <w:spacing w:before="240" w:line="480" w:lineRule="auto"/>
              <w:jc w:val="right"/>
              <w:rPr>
                <w:rFonts w:ascii="Arial" w:hAnsi="Arial" w:cs="Arial"/>
                <w:sz w:val="24"/>
                <w:szCs w:val="24"/>
              </w:rPr>
            </w:pPr>
          </w:p>
        </w:tc>
      </w:tr>
    </w:tbl>
    <w:p w14:paraId="4DBECAC9" w14:textId="77777777" w:rsidR="007C278A" w:rsidRPr="00911A46" w:rsidRDefault="007C278A" w:rsidP="00911A46">
      <w:pPr>
        <w:spacing w:line="480" w:lineRule="auto"/>
        <w:jc w:val="both"/>
        <w:rPr>
          <w:rFonts w:ascii="Arial" w:hAnsi="Arial" w:cs="Arial"/>
          <w:sz w:val="24"/>
          <w:szCs w:val="24"/>
        </w:rPr>
      </w:pPr>
    </w:p>
    <w:tbl>
      <w:tblPr>
        <w:tblStyle w:val="TableGrid"/>
        <w:tblpPr w:leftFromText="180" w:rightFromText="180" w:vertAnchor="text" w:horzAnchor="margin" w:tblpY="-8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5"/>
        <w:gridCol w:w="8222"/>
        <w:gridCol w:w="725"/>
      </w:tblGrid>
      <w:tr w:rsidR="007C278A" w:rsidRPr="007C278A" w14:paraId="471837E8" w14:textId="77777777" w:rsidTr="005356A1">
        <w:trPr>
          <w:trHeight w:val="318"/>
        </w:trPr>
        <w:tc>
          <w:tcPr>
            <w:tcW w:w="675" w:type="dxa"/>
          </w:tcPr>
          <w:p w14:paraId="2B766ECB" w14:textId="77777777" w:rsidR="007C278A" w:rsidRPr="00911A46" w:rsidRDefault="007C278A" w:rsidP="00911A46">
            <w:pPr>
              <w:spacing w:before="240" w:line="480" w:lineRule="auto"/>
              <w:jc w:val="both"/>
              <w:rPr>
                <w:rFonts w:ascii="Arial" w:hAnsi="Arial" w:cs="Arial"/>
                <w:sz w:val="24"/>
                <w:szCs w:val="24"/>
              </w:rPr>
            </w:pPr>
          </w:p>
        </w:tc>
        <w:tc>
          <w:tcPr>
            <w:tcW w:w="8222" w:type="dxa"/>
            <w:vAlign w:val="center"/>
          </w:tcPr>
          <w:p w14:paraId="79851931" w14:textId="77777777" w:rsidR="007C278A" w:rsidRPr="00911A46" w:rsidRDefault="00BD61D6" w:rsidP="00911A46">
            <w:pPr>
              <w:spacing w:line="480" w:lineRule="auto"/>
              <w:jc w:val="both"/>
              <w:rPr>
                <w:rFonts w:ascii="Arial" w:hAnsi="Arial" w:cs="Arial"/>
                <w:i/>
                <w:sz w:val="24"/>
                <w:szCs w:val="24"/>
              </w:rPr>
            </w:pPr>
            <m:oMathPara>
              <m:oMathParaPr>
                <m:jc m:val="center"/>
              </m:oMathParaPr>
              <m:oMath>
                <m:sSup>
                  <m:sSupPr>
                    <m:ctrlPr>
                      <w:rPr>
                        <w:rFonts w:ascii="Cambria Math" w:hAnsi="Cambria Math" w:cs="Arial"/>
                        <w:b/>
                        <w:i/>
                        <w:sz w:val="24"/>
                        <w:szCs w:val="24"/>
                      </w:rPr>
                    </m:ctrlPr>
                  </m:sSupPr>
                  <m:e>
                    <m:sSub>
                      <m:sSubPr>
                        <m:ctrlPr>
                          <w:rPr>
                            <w:rFonts w:ascii="Cambria Math" w:hAnsi="Cambria Math" w:cs="Arial"/>
                            <w:b/>
                            <w:i/>
                            <w:sz w:val="24"/>
                            <w:szCs w:val="24"/>
                          </w:rPr>
                        </m:ctrlPr>
                      </m:sSubPr>
                      <m:e>
                        <m:r>
                          <m:rPr>
                            <m:sty m:val="bi"/>
                          </m:rPr>
                          <w:rPr>
                            <w:rFonts w:ascii="Cambria Math" w:hAnsi="Cambria Math" w:cs="Arial"/>
                            <w:sz w:val="24"/>
                            <w:szCs w:val="24"/>
                          </w:rPr>
                          <m:t>W</m:t>
                        </m:r>
                      </m:e>
                      <m:sub>
                        <m:r>
                          <m:rPr>
                            <m:sty m:val="bi"/>
                          </m:rPr>
                          <w:rPr>
                            <w:rFonts w:ascii="Cambria Math" w:hAnsi="Cambria Math" w:cs="Arial"/>
                            <w:sz w:val="24"/>
                            <w:szCs w:val="24"/>
                          </w:rPr>
                          <m:t>jg</m:t>
                        </m:r>
                      </m:sub>
                    </m:sSub>
                  </m:e>
                  <m:sup>
                    <m:r>
                      <m:rPr>
                        <m:sty m:val="bi"/>
                      </m:rPr>
                      <w:rPr>
                        <w:rFonts w:ascii="Cambria Math" w:hAnsi="Cambria Math" w:cs="Arial"/>
                        <w:sz w:val="24"/>
                        <w:szCs w:val="24"/>
                      </w:rPr>
                      <m:t>-1</m:t>
                    </m:r>
                  </m:sup>
                </m:sSup>
                <m:r>
                  <w:rPr>
                    <w:rFonts w:ascii="Cambria Math" w:hAnsi="Cambria Math" w:cs="Arial"/>
                    <w:sz w:val="24"/>
                    <w:szCs w:val="24"/>
                  </w:rPr>
                  <m:t>=var</m:t>
                </m:r>
                <m:d>
                  <m:dPr>
                    <m:ctrlPr>
                      <w:rPr>
                        <w:rFonts w:ascii="Cambria Math" w:hAnsi="Cambria Math" w:cs="Arial"/>
                        <w:i/>
                        <w:sz w:val="24"/>
                        <w:szCs w:val="24"/>
                      </w:rPr>
                    </m:ctrlPr>
                  </m:dPr>
                  <m:e>
                    <m:sSub>
                      <m:sSubPr>
                        <m:ctrlPr>
                          <w:rPr>
                            <w:rFonts w:ascii="Cambria Math" w:hAnsi="Cambria Math" w:cs="Arial"/>
                            <w:b/>
                            <w:i/>
                            <w:sz w:val="24"/>
                            <w:szCs w:val="24"/>
                          </w:rPr>
                        </m:ctrlPr>
                      </m:sSubPr>
                      <m:e>
                        <m:r>
                          <m:rPr>
                            <m:sty m:val="p"/>
                          </m:rPr>
                          <w:rPr>
                            <w:rFonts w:ascii="Cambria Math" w:hAnsi="Cambria Math" w:cs="Arial"/>
                            <w:sz w:val="24"/>
                            <w:szCs w:val="24"/>
                          </w:rPr>
                          <m:t>Δ</m:t>
                        </m:r>
                      </m:e>
                      <m:sub>
                        <m:r>
                          <m:rPr>
                            <m:sty m:val="bi"/>
                          </m:rPr>
                          <w:rPr>
                            <w:rFonts w:ascii="Cambria Math" w:hAnsi="Cambria Math" w:cs="Arial"/>
                            <w:sz w:val="24"/>
                            <w:szCs w:val="24"/>
                          </w:rPr>
                          <m:t>jg</m:t>
                        </m:r>
                      </m:sub>
                    </m:sSub>
                  </m:e>
                </m:d>
                <m:r>
                  <w:rPr>
                    <w:rFonts w:ascii="Cambria Math" w:hAnsi="Cambria Math" w:cs="Arial"/>
                    <w:sz w:val="24"/>
                    <w:szCs w:val="24"/>
                  </w:rPr>
                  <m:t>=</m:t>
                </m:r>
                <m:d>
                  <m:dPr>
                    <m:ctrlPr>
                      <w:rPr>
                        <w:rFonts w:ascii="Cambria Math" w:hAnsi="Cambria Math" w:cs="Arial"/>
                        <w:i/>
                        <w:sz w:val="24"/>
                        <w:szCs w:val="24"/>
                      </w:rPr>
                    </m:ctrlPr>
                  </m:dPr>
                  <m:e>
                    <m:f>
                      <m:fPr>
                        <m:type m:val="noBar"/>
                        <m:ctrlPr>
                          <w:rPr>
                            <w:rFonts w:ascii="Cambria Math" w:hAnsi="Cambria Math" w:cs="Arial"/>
                            <w:i/>
                            <w:sz w:val="24"/>
                            <w:szCs w:val="24"/>
                          </w:rPr>
                        </m:ctrlPr>
                      </m:fPr>
                      <m:num>
                        <m:sSub>
                          <m:sSubPr>
                            <m:ctrlPr>
                              <w:rPr>
                                <w:rFonts w:ascii="Cambria Math" w:hAnsi="Cambria Math" w:cs="Arial"/>
                                <w:i/>
                                <w:sz w:val="24"/>
                                <w:szCs w:val="24"/>
                              </w:rPr>
                            </m:ctrlPr>
                          </m:sSubPr>
                          <m:e>
                            <m:r>
                              <w:rPr>
                                <w:rFonts w:ascii="Cambria Math" w:hAnsi="Cambria Math" w:cs="Arial"/>
                                <w:sz w:val="24"/>
                                <w:szCs w:val="24"/>
                              </w:rPr>
                              <m:t>var(</m:t>
                            </m:r>
                            <m:r>
                              <m:rPr>
                                <m:sty m:val="p"/>
                              </m:rPr>
                              <w:rPr>
                                <w:rFonts w:ascii="Cambria Math" w:hAnsi="Cambria Math" w:cs="Arial"/>
                                <w:sz w:val="24"/>
                                <w:szCs w:val="24"/>
                              </w:rPr>
                              <m:t>Δ</m:t>
                            </m:r>
                          </m:e>
                          <m:sub>
                            <m:r>
                              <w:rPr>
                                <w:rFonts w:ascii="Cambria Math" w:hAnsi="Cambria Math" w:cs="Arial"/>
                                <w:sz w:val="24"/>
                                <w:szCs w:val="24"/>
                              </w:rPr>
                              <m:t>jXY</m:t>
                            </m:r>
                          </m:sub>
                        </m:sSub>
                        <m:r>
                          <w:rPr>
                            <w:rFonts w:ascii="Cambria Math" w:hAnsi="Cambria Math" w:cs="Arial"/>
                            <w:sz w:val="24"/>
                            <w:szCs w:val="24"/>
                          </w:rPr>
                          <m:t>)</m:t>
                        </m:r>
                      </m:num>
                      <m:den>
                        <m:sSub>
                          <m:sSubPr>
                            <m:ctrlPr>
                              <w:rPr>
                                <w:rFonts w:ascii="Cambria Math" w:hAnsi="Cambria Math" w:cs="Arial"/>
                                <w:i/>
                                <w:sz w:val="24"/>
                                <w:szCs w:val="24"/>
                              </w:rPr>
                            </m:ctrlPr>
                          </m:sSubPr>
                          <m:e>
                            <m:r>
                              <w:rPr>
                                <w:rFonts w:ascii="Cambria Math" w:hAnsi="Cambria Math" w:cs="Arial"/>
                                <w:sz w:val="24"/>
                                <w:szCs w:val="24"/>
                              </w:rPr>
                              <m:t>cov(</m:t>
                            </m:r>
                            <m:r>
                              <m:rPr>
                                <m:sty m:val="p"/>
                              </m:rPr>
                              <w:rPr>
                                <w:rFonts w:ascii="Cambria Math" w:hAnsi="Cambria Math" w:cs="Arial"/>
                                <w:sz w:val="24"/>
                                <w:szCs w:val="24"/>
                              </w:rPr>
                              <m:t>Δ</m:t>
                            </m:r>
                          </m:e>
                          <m:sub>
                            <m:r>
                              <w:rPr>
                                <w:rFonts w:ascii="Cambria Math" w:hAnsi="Cambria Math" w:cs="Arial"/>
                                <w:sz w:val="24"/>
                                <w:szCs w:val="24"/>
                              </w:rPr>
                              <m:t>jXY,XZ</m:t>
                            </m:r>
                          </m:sub>
                        </m:sSub>
                        <m:r>
                          <w:rPr>
                            <w:rFonts w:ascii="Cambria Math" w:hAnsi="Cambria Math" w:cs="Arial"/>
                            <w:sz w:val="24"/>
                            <w:szCs w:val="24"/>
                          </w:rPr>
                          <m:t>)</m:t>
                        </m:r>
                      </m:den>
                    </m:f>
                    <m:r>
                      <w:rPr>
                        <w:rFonts w:ascii="Cambria Math" w:hAnsi="Cambria Math" w:cs="Arial"/>
                        <w:sz w:val="24"/>
                        <w:szCs w:val="24"/>
                      </w:rPr>
                      <m:t xml:space="preserve"> </m:t>
                    </m:r>
                    <m:f>
                      <m:fPr>
                        <m:type m:val="noBar"/>
                        <m:ctrlPr>
                          <w:rPr>
                            <w:rFonts w:ascii="Cambria Math" w:hAnsi="Cambria Math" w:cs="Arial"/>
                            <w:i/>
                            <w:sz w:val="24"/>
                            <w:szCs w:val="24"/>
                          </w:rPr>
                        </m:ctrlPr>
                      </m:fPr>
                      <m:num>
                        <m:sSub>
                          <m:sSubPr>
                            <m:ctrlPr>
                              <w:rPr>
                                <w:rFonts w:ascii="Cambria Math" w:hAnsi="Cambria Math" w:cs="Arial"/>
                                <w:i/>
                                <w:sz w:val="24"/>
                                <w:szCs w:val="24"/>
                              </w:rPr>
                            </m:ctrlPr>
                          </m:sSubPr>
                          <m:e>
                            <m:r>
                              <w:rPr>
                                <w:rFonts w:ascii="Cambria Math" w:hAnsi="Cambria Math" w:cs="Arial"/>
                                <w:sz w:val="24"/>
                                <w:szCs w:val="24"/>
                              </w:rPr>
                              <m:t>cov(</m:t>
                            </m:r>
                            <m:r>
                              <m:rPr>
                                <m:sty m:val="p"/>
                              </m:rPr>
                              <w:rPr>
                                <w:rFonts w:ascii="Cambria Math" w:hAnsi="Cambria Math" w:cs="Arial"/>
                                <w:sz w:val="24"/>
                                <w:szCs w:val="24"/>
                              </w:rPr>
                              <m:t>Δ</m:t>
                            </m:r>
                          </m:e>
                          <m:sub>
                            <m:r>
                              <w:rPr>
                                <w:rFonts w:ascii="Cambria Math" w:hAnsi="Cambria Math" w:cs="Arial"/>
                                <w:sz w:val="24"/>
                                <w:szCs w:val="24"/>
                              </w:rPr>
                              <m:t>jXY,XZ</m:t>
                            </m:r>
                          </m:sub>
                        </m:sSub>
                        <m:r>
                          <w:rPr>
                            <w:rFonts w:ascii="Cambria Math" w:hAnsi="Cambria Math" w:cs="Arial"/>
                            <w:sz w:val="24"/>
                            <w:szCs w:val="24"/>
                          </w:rPr>
                          <m:t>)</m:t>
                        </m:r>
                      </m:num>
                      <m:den>
                        <m:sSub>
                          <m:sSubPr>
                            <m:ctrlPr>
                              <w:rPr>
                                <w:rFonts w:ascii="Cambria Math" w:hAnsi="Cambria Math" w:cs="Arial"/>
                                <w:i/>
                                <w:sz w:val="24"/>
                                <w:szCs w:val="24"/>
                              </w:rPr>
                            </m:ctrlPr>
                          </m:sSubPr>
                          <m:e>
                            <m:r>
                              <w:rPr>
                                <w:rFonts w:ascii="Cambria Math" w:hAnsi="Cambria Math" w:cs="Arial"/>
                                <w:sz w:val="24"/>
                                <w:szCs w:val="24"/>
                              </w:rPr>
                              <m:t>var(</m:t>
                            </m:r>
                            <m:r>
                              <m:rPr>
                                <m:sty m:val="p"/>
                              </m:rPr>
                              <w:rPr>
                                <w:rFonts w:ascii="Cambria Math" w:hAnsi="Cambria Math" w:cs="Arial"/>
                                <w:sz w:val="24"/>
                                <w:szCs w:val="24"/>
                              </w:rPr>
                              <m:t>Δ</m:t>
                            </m:r>
                          </m:e>
                          <m:sub>
                            <m:r>
                              <w:rPr>
                                <w:rFonts w:ascii="Cambria Math" w:hAnsi="Cambria Math" w:cs="Arial"/>
                                <w:sz w:val="24"/>
                                <w:szCs w:val="24"/>
                              </w:rPr>
                              <m:t>jXZ</m:t>
                            </m:r>
                          </m:sub>
                        </m:sSub>
                        <m:r>
                          <w:rPr>
                            <w:rFonts w:ascii="Cambria Math" w:hAnsi="Cambria Math" w:cs="Arial"/>
                            <w:sz w:val="24"/>
                            <w:szCs w:val="24"/>
                          </w:rPr>
                          <m:t>)</m:t>
                        </m:r>
                      </m:den>
                    </m:f>
                  </m:e>
                </m:d>
              </m:oMath>
            </m:oMathPara>
          </w:p>
        </w:tc>
        <w:tc>
          <w:tcPr>
            <w:tcW w:w="725" w:type="dxa"/>
            <w:vAlign w:val="center"/>
          </w:tcPr>
          <w:p w14:paraId="02245687" w14:textId="77777777" w:rsidR="007C278A" w:rsidRPr="00911A46" w:rsidRDefault="007C278A" w:rsidP="00911A46">
            <w:pPr>
              <w:spacing w:before="240" w:line="480" w:lineRule="auto"/>
              <w:jc w:val="right"/>
              <w:rPr>
                <w:rFonts w:ascii="Arial" w:hAnsi="Arial" w:cs="Arial"/>
                <w:sz w:val="24"/>
                <w:szCs w:val="24"/>
              </w:rPr>
            </w:pPr>
            <w:r w:rsidRPr="00911A46">
              <w:rPr>
                <w:rFonts w:ascii="Arial" w:hAnsi="Arial" w:cs="Arial"/>
                <w:sz w:val="24"/>
                <w:szCs w:val="24"/>
              </w:rPr>
              <w:fldChar w:fldCharType="begin"/>
            </w:r>
            <w:r w:rsidRPr="00911A46">
              <w:rPr>
                <w:rFonts w:ascii="Arial" w:hAnsi="Arial" w:cs="Arial"/>
                <w:sz w:val="24"/>
                <w:szCs w:val="24"/>
              </w:rPr>
              <w:instrText xml:space="preserve"> EQ </w:instrText>
            </w:r>
            <w:r w:rsidRPr="00911A46">
              <w:rPr>
                <w:rFonts w:ascii="Arial" w:hAnsi="Arial" w:cs="Arial"/>
                <w:sz w:val="24"/>
                <w:szCs w:val="24"/>
              </w:rPr>
              <w:fldChar w:fldCharType="end"/>
            </w:r>
            <w:r w:rsidRPr="00911A46">
              <w:rPr>
                <w:rFonts w:ascii="Arial" w:hAnsi="Arial" w:cs="Arial"/>
                <w:sz w:val="24"/>
                <w:szCs w:val="24"/>
              </w:rPr>
              <w:t>(</w:t>
            </w:r>
            <w:r w:rsidRPr="00911A46">
              <w:rPr>
                <w:rFonts w:ascii="Arial" w:hAnsi="Arial" w:cs="Arial"/>
                <w:sz w:val="24"/>
                <w:szCs w:val="24"/>
              </w:rPr>
              <w:fldChar w:fldCharType="begin"/>
            </w:r>
            <w:r w:rsidRPr="00911A46">
              <w:rPr>
                <w:rFonts w:ascii="Arial" w:hAnsi="Arial" w:cs="Arial"/>
                <w:sz w:val="24"/>
                <w:szCs w:val="24"/>
              </w:rPr>
              <w:instrText xml:space="preserve"> EQ </w:instrText>
            </w:r>
            <w:r w:rsidRPr="00911A46">
              <w:rPr>
                <w:rFonts w:ascii="Arial" w:hAnsi="Arial" w:cs="Arial"/>
                <w:sz w:val="24"/>
                <w:szCs w:val="24"/>
              </w:rPr>
              <w:fldChar w:fldCharType="end"/>
            </w:r>
            <w:r w:rsidRPr="00911A46">
              <w:rPr>
                <w:rFonts w:ascii="Arial" w:hAnsi="Arial" w:cs="Arial"/>
                <w:sz w:val="24"/>
                <w:szCs w:val="24"/>
              </w:rPr>
              <w:fldChar w:fldCharType="begin"/>
            </w:r>
            <w:r w:rsidRPr="00911A46">
              <w:rPr>
                <w:rFonts w:ascii="Arial" w:hAnsi="Arial" w:cs="Arial"/>
                <w:sz w:val="24"/>
                <w:szCs w:val="24"/>
              </w:rPr>
              <w:instrText xml:space="preserve"> SEQ Eq  \* MERGEFORMAT </w:instrText>
            </w:r>
            <w:r w:rsidRPr="00911A46">
              <w:rPr>
                <w:rFonts w:ascii="Arial" w:hAnsi="Arial" w:cs="Arial"/>
                <w:sz w:val="24"/>
                <w:szCs w:val="24"/>
              </w:rPr>
              <w:fldChar w:fldCharType="separate"/>
            </w:r>
            <w:r w:rsidR="001A1BC1">
              <w:rPr>
                <w:rFonts w:ascii="Arial" w:hAnsi="Arial" w:cs="Arial"/>
                <w:noProof/>
                <w:sz w:val="24"/>
                <w:szCs w:val="24"/>
              </w:rPr>
              <w:t>4</w:t>
            </w:r>
            <w:r w:rsidRPr="00911A46">
              <w:rPr>
                <w:rFonts w:ascii="Arial" w:hAnsi="Arial" w:cs="Arial"/>
                <w:noProof/>
                <w:sz w:val="24"/>
                <w:szCs w:val="24"/>
              </w:rPr>
              <w:fldChar w:fldCharType="end"/>
            </w:r>
            <w:r w:rsidRPr="00911A46">
              <w:rPr>
                <w:rFonts w:ascii="Arial" w:hAnsi="Arial" w:cs="Arial"/>
                <w:sz w:val="24"/>
                <w:szCs w:val="24"/>
              </w:rPr>
              <w:t>)</w:t>
            </w:r>
          </w:p>
        </w:tc>
      </w:tr>
      <w:tr w:rsidR="007C278A" w:rsidRPr="007C278A" w14:paraId="5E0B06CD" w14:textId="77777777" w:rsidTr="005356A1">
        <w:trPr>
          <w:trHeight w:val="318"/>
        </w:trPr>
        <w:tc>
          <w:tcPr>
            <w:tcW w:w="675" w:type="dxa"/>
          </w:tcPr>
          <w:p w14:paraId="0725A856" w14:textId="77777777" w:rsidR="007C278A" w:rsidRPr="00911A46" w:rsidRDefault="007C278A" w:rsidP="00911A46">
            <w:pPr>
              <w:spacing w:before="240" w:line="480" w:lineRule="auto"/>
              <w:jc w:val="both"/>
              <w:rPr>
                <w:rFonts w:ascii="Arial" w:hAnsi="Arial" w:cs="Arial"/>
                <w:sz w:val="24"/>
                <w:szCs w:val="24"/>
              </w:rPr>
            </w:pPr>
          </w:p>
        </w:tc>
        <w:tc>
          <w:tcPr>
            <w:tcW w:w="8222" w:type="dxa"/>
            <w:vAlign w:val="center"/>
          </w:tcPr>
          <w:p w14:paraId="4AB7A8AF" w14:textId="77777777" w:rsidR="007C278A" w:rsidRPr="00911A46" w:rsidRDefault="007C278A" w:rsidP="00911A46">
            <w:pPr>
              <w:spacing w:line="480" w:lineRule="auto"/>
              <w:rPr>
                <w:rFonts w:ascii="Arial" w:hAnsi="Arial" w:cs="Arial"/>
                <w:sz w:val="24"/>
                <w:szCs w:val="24"/>
              </w:rPr>
            </w:pPr>
          </w:p>
        </w:tc>
        <w:tc>
          <w:tcPr>
            <w:tcW w:w="725" w:type="dxa"/>
            <w:vAlign w:val="center"/>
          </w:tcPr>
          <w:p w14:paraId="02CF1952" w14:textId="77777777" w:rsidR="007C278A" w:rsidRPr="00911A46" w:rsidRDefault="007C278A" w:rsidP="00911A46">
            <w:pPr>
              <w:spacing w:before="240" w:line="480" w:lineRule="auto"/>
              <w:jc w:val="right"/>
              <w:rPr>
                <w:rFonts w:ascii="Arial" w:hAnsi="Arial" w:cs="Arial"/>
                <w:sz w:val="24"/>
                <w:szCs w:val="24"/>
              </w:rPr>
            </w:pPr>
          </w:p>
        </w:tc>
      </w:tr>
    </w:tbl>
    <w:p w14:paraId="6810C029" w14:textId="77777777" w:rsidR="007C278A" w:rsidRPr="00911A46" w:rsidRDefault="007C278A" w:rsidP="00911A46">
      <w:pPr>
        <w:spacing w:line="480" w:lineRule="auto"/>
        <w:jc w:val="both"/>
        <w:rPr>
          <w:rFonts w:ascii="Arial" w:hAnsi="Arial" w:cs="Arial"/>
          <w:sz w:val="24"/>
          <w:szCs w:val="24"/>
        </w:rPr>
      </w:pPr>
      <w:r w:rsidRPr="00911A46">
        <w:rPr>
          <w:rFonts w:ascii="Arial" w:hAnsi="Arial" w:cs="Arial"/>
          <w:sz w:val="24"/>
          <w:szCs w:val="24"/>
        </w:rPr>
        <w:t xml:space="preserve">All the terms of the covariance matrix </w:t>
      </w:r>
      <m:oMath>
        <m:sSup>
          <m:sSupPr>
            <m:ctrlPr>
              <w:rPr>
                <w:rFonts w:ascii="Cambria Math" w:hAnsi="Cambria Math" w:cs="Arial"/>
                <w:b/>
                <w:i/>
                <w:sz w:val="24"/>
                <w:szCs w:val="24"/>
              </w:rPr>
            </m:ctrlPr>
          </m:sSupPr>
          <m:e>
            <m:sSub>
              <m:sSubPr>
                <m:ctrlPr>
                  <w:rPr>
                    <w:rFonts w:ascii="Cambria Math" w:hAnsi="Cambria Math" w:cs="Arial"/>
                    <w:b/>
                    <w:i/>
                    <w:sz w:val="24"/>
                    <w:szCs w:val="24"/>
                  </w:rPr>
                </m:ctrlPr>
              </m:sSubPr>
              <m:e>
                <m:r>
                  <m:rPr>
                    <m:sty m:val="bi"/>
                  </m:rPr>
                  <w:rPr>
                    <w:rFonts w:ascii="Cambria Math" w:hAnsi="Cambria Math" w:cs="Arial"/>
                    <w:sz w:val="24"/>
                    <w:szCs w:val="24"/>
                  </w:rPr>
                  <m:t>W</m:t>
                </m:r>
              </m:e>
              <m:sub>
                <m:r>
                  <m:rPr>
                    <m:sty m:val="bi"/>
                  </m:rPr>
                  <w:rPr>
                    <w:rFonts w:ascii="Cambria Math" w:hAnsi="Cambria Math" w:cs="Arial"/>
                    <w:sz w:val="24"/>
                    <w:szCs w:val="24"/>
                  </w:rPr>
                  <m:t>jg</m:t>
                </m:r>
              </m:sub>
            </m:sSub>
          </m:e>
          <m:sup>
            <m:r>
              <m:rPr>
                <m:sty m:val="bi"/>
              </m:rPr>
              <w:rPr>
                <w:rFonts w:ascii="Cambria Math" w:hAnsi="Cambria Math" w:cs="Arial"/>
                <w:sz w:val="24"/>
                <w:szCs w:val="24"/>
              </w:rPr>
              <m:t>-1</m:t>
            </m:r>
          </m:sup>
        </m:sSup>
      </m:oMath>
      <w:r w:rsidRPr="00911A46">
        <w:rPr>
          <w:rFonts w:ascii="Arial" w:eastAsiaTheme="minorEastAsia" w:hAnsi="Arial" w:cs="Arial"/>
          <w:sz w:val="24"/>
          <w:szCs w:val="24"/>
        </w:rPr>
        <w:t xml:space="preserve"> can be </w:t>
      </w:r>
      <w:r w:rsidRPr="00911A46">
        <w:rPr>
          <w:rFonts w:ascii="Arial" w:hAnsi="Arial" w:cs="Arial"/>
          <w:sz w:val="24"/>
          <w:szCs w:val="24"/>
        </w:rPr>
        <w:t>obtained by bootstrapping.</w:t>
      </w:r>
    </w:p>
    <w:p w14:paraId="65A8E5FE" w14:textId="77777777" w:rsidR="007C278A" w:rsidRPr="00911A46" w:rsidRDefault="007C278A" w:rsidP="00911A46">
      <w:pPr>
        <w:spacing w:line="480" w:lineRule="auto"/>
        <w:jc w:val="both"/>
        <w:rPr>
          <w:rFonts w:ascii="Arial" w:hAnsi="Arial" w:cs="Arial"/>
          <w:sz w:val="24"/>
          <w:szCs w:val="24"/>
        </w:rPr>
      </w:pPr>
    </w:p>
    <w:p w14:paraId="1B8C4034" w14:textId="77777777" w:rsidR="007C278A" w:rsidRPr="00911A46" w:rsidRDefault="007C278A" w:rsidP="00911A46">
      <w:pPr>
        <w:spacing w:line="480" w:lineRule="auto"/>
        <w:jc w:val="both"/>
        <w:rPr>
          <w:rFonts w:ascii="Arial" w:hAnsi="Arial" w:cs="Arial"/>
          <w:sz w:val="24"/>
          <w:szCs w:val="24"/>
          <w:lang w:val="de-CH"/>
        </w:rPr>
      </w:pPr>
      <w:r w:rsidRPr="00911A46">
        <w:rPr>
          <w:rFonts w:ascii="Arial" w:hAnsi="Arial" w:cs="Arial"/>
          <w:sz w:val="24"/>
          <w:szCs w:val="24"/>
        </w:rPr>
        <w:t xml:space="preserve">Given the expected heterogeneity, we will use a random effect </w:t>
      </w:r>
      <w:proofErr w:type="gramStart"/>
      <w:r w:rsidRPr="00911A46">
        <w:rPr>
          <w:rFonts w:ascii="Arial" w:hAnsi="Arial" w:cs="Arial"/>
          <w:sz w:val="24"/>
          <w:szCs w:val="24"/>
        </w:rPr>
        <w:t>model,</w:t>
      </w:r>
      <w:proofErr w:type="gramEnd"/>
      <w:r w:rsidRPr="00911A46">
        <w:rPr>
          <w:rFonts w:ascii="Arial" w:hAnsi="Arial" w:cs="Arial"/>
          <w:sz w:val="24"/>
          <w:szCs w:val="24"/>
        </w:rPr>
        <w:t xml:space="preserve"> all the equations </w:t>
      </w:r>
      <w:r w:rsidR="00E66929">
        <w:rPr>
          <w:rFonts w:ascii="Arial" w:hAnsi="Arial" w:cs="Arial"/>
          <w:sz w:val="24"/>
          <w:szCs w:val="24"/>
        </w:rPr>
        <w:t xml:space="preserve">used in the standard meta-analysis approach </w:t>
      </w:r>
      <w:r w:rsidRPr="00911A46">
        <w:rPr>
          <w:rFonts w:ascii="Arial" w:hAnsi="Arial" w:cs="Arial"/>
          <w:sz w:val="24"/>
          <w:szCs w:val="24"/>
        </w:rPr>
        <w:t xml:space="preserve">hold, but assume a </w:t>
      </w:r>
      <w:proofErr w:type="spellStart"/>
      <w:r w:rsidRPr="00911A46">
        <w:rPr>
          <w:rFonts w:ascii="Arial" w:hAnsi="Arial" w:cs="Arial"/>
          <w:sz w:val="24"/>
          <w:szCs w:val="24"/>
        </w:rPr>
        <w:t>vectorial</w:t>
      </w:r>
      <w:proofErr w:type="spellEnd"/>
      <w:r w:rsidRPr="00911A46">
        <w:rPr>
          <w:rFonts w:ascii="Arial" w:hAnsi="Arial" w:cs="Arial"/>
          <w:sz w:val="24"/>
          <w:szCs w:val="24"/>
        </w:rPr>
        <w:t xml:space="preserve"> form instead than a scalar one. For instance, </w:t>
      </w:r>
      <w:r w:rsidRPr="00911A46">
        <w:rPr>
          <w:rFonts w:ascii="Arial" w:hAnsi="Arial" w:cs="Arial"/>
          <w:sz w:val="24"/>
          <w:szCs w:val="24"/>
          <w:lang w:val="de-CH"/>
        </w:rPr>
        <w:t xml:space="preserve">for the group </w:t>
      </w:r>
      <w:r w:rsidRPr="00911A46">
        <w:rPr>
          <w:rFonts w:ascii="Arial" w:hAnsi="Arial" w:cs="Arial"/>
          <w:i/>
          <w:sz w:val="24"/>
          <w:szCs w:val="24"/>
          <w:lang w:val="de-CH"/>
        </w:rPr>
        <w:t>S</w:t>
      </w:r>
      <w:r w:rsidR="00E66929">
        <w:rPr>
          <w:rFonts w:ascii="Arial" w:hAnsi="Arial" w:cs="Arial"/>
          <w:i/>
          <w:sz w:val="24"/>
          <w:szCs w:val="24"/>
          <w:vertAlign w:val="subscript"/>
          <w:lang w:val="de-CH"/>
        </w:rPr>
        <w:t xml:space="preserve">j </w:t>
      </w:r>
      <w:r w:rsidR="00E66929">
        <w:rPr>
          <w:rFonts w:ascii="Arial" w:hAnsi="Arial" w:cs="Arial"/>
          <w:sz w:val="24"/>
          <w:szCs w:val="24"/>
          <w:lang w:val="de-CH"/>
        </w:rPr>
        <w:t>we have</w:t>
      </w:r>
      <w:r w:rsidRPr="00911A46">
        <w:rPr>
          <w:rFonts w:ascii="Arial" w:hAnsi="Arial" w:cs="Arial"/>
          <w:sz w:val="24"/>
          <w:szCs w:val="24"/>
          <w:lang w:val="de-CH"/>
        </w:rPr>
        <w:t>:</w:t>
      </w:r>
    </w:p>
    <w:p w14:paraId="6E87D930" w14:textId="77777777" w:rsidR="007C278A" w:rsidRPr="00911A46" w:rsidRDefault="007C278A" w:rsidP="00911A46">
      <w:pPr>
        <w:spacing w:line="480" w:lineRule="auto"/>
        <w:jc w:val="both"/>
        <w:rPr>
          <w:rFonts w:ascii="Arial" w:hAnsi="Arial" w:cs="Arial"/>
          <w:sz w:val="24"/>
          <w:szCs w:val="24"/>
          <w:lang w:val="de-CH"/>
        </w:rPr>
      </w:pPr>
    </w:p>
    <w:tbl>
      <w:tblPr>
        <w:tblStyle w:val="TableGrid"/>
        <w:tblpPr w:leftFromText="180" w:rightFromText="180" w:vertAnchor="text" w:horzAnchor="margin" w:tblpY="-8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5"/>
        <w:gridCol w:w="8222"/>
        <w:gridCol w:w="725"/>
      </w:tblGrid>
      <w:tr w:rsidR="007C278A" w:rsidRPr="007C278A" w14:paraId="0A6E996A" w14:textId="77777777" w:rsidTr="005356A1">
        <w:trPr>
          <w:trHeight w:val="318"/>
        </w:trPr>
        <w:tc>
          <w:tcPr>
            <w:tcW w:w="675" w:type="dxa"/>
          </w:tcPr>
          <w:p w14:paraId="6CA3FF85" w14:textId="77777777" w:rsidR="007C278A" w:rsidRPr="00911A46" w:rsidRDefault="007C278A" w:rsidP="00911A46">
            <w:pPr>
              <w:spacing w:before="240" w:line="480" w:lineRule="auto"/>
              <w:jc w:val="both"/>
              <w:rPr>
                <w:rFonts w:ascii="Arial" w:hAnsi="Arial" w:cs="Arial"/>
                <w:sz w:val="24"/>
                <w:szCs w:val="24"/>
                <w:lang w:val="de-CH"/>
              </w:rPr>
            </w:pPr>
          </w:p>
        </w:tc>
        <w:tc>
          <w:tcPr>
            <w:tcW w:w="8222" w:type="dxa"/>
            <w:vAlign w:val="center"/>
          </w:tcPr>
          <w:p w14:paraId="6A8E7F89" w14:textId="77777777" w:rsidR="007C278A" w:rsidRPr="00E66929" w:rsidRDefault="00BD61D6" w:rsidP="00911A46">
            <w:pPr>
              <w:spacing w:line="480" w:lineRule="auto"/>
              <w:jc w:val="center"/>
              <w:rPr>
                <w:rFonts w:ascii="Arial" w:hAnsi="Arial" w:cs="Arial"/>
                <w:sz w:val="24"/>
                <w:szCs w:val="24"/>
              </w:rPr>
            </w:pPr>
            <m:oMath>
              <m:sSub>
                <m:sSubPr>
                  <m:ctrlPr>
                    <w:rPr>
                      <w:rFonts w:ascii="Cambria Math" w:hAnsi="Cambria Math" w:cs="Arial"/>
                      <w:i/>
                      <w:sz w:val="24"/>
                      <w:szCs w:val="24"/>
                    </w:rPr>
                  </m:ctrlPr>
                </m:sSubPr>
                <m:e>
                  <m:r>
                    <m:rPr>
                      <m:sty m:val="b"/>
                    </m:rPr>
                    <w:rPr>
                      <w:rFonts w:ascii="Cambria Math" w:hAnsi="Cambria Math" w:cs="Arial"/>
                      <w:sz w:val="24"/>
                      <w:szCs w:val="24"/>
                    </w:rPr>
                    <m:t>Δ</m:t>
                  </m:r>
                </m:e>
                <m:sub>
                  <m:r>
                    <w:rPr>
                      <w:rFonts w:ascii="Cambria Math" w:hAnsi="Cambria Math" w:cs="Arial"/>
                      <w:sz w:val="24"/>
                      <w:szCs w:val="24"/>
                    </w:rPr>
                    <m:t>g</m:t>
                  </m:r>
                </m:sub>
              </m:sSub>
              <m:r>
                <m:rPr>
                  <m:sty m:val="p"/>
                </m:rPr>
                <w:rPr>
                  <w:rFonts w:ascii="Cambria Math" w:hAnsi="Cambria Math" w:cs="Arial"/>
                  <w:sz w:val="24"/>
                  <w:szCs w:val="24"/>
                </w:rPr>
                <m:t>=</m:t>
              </m:r>
              <m:sSup>
                <m:sSupPr>
                  <m:ctrlPr>
                    <w:rPr>
                      <w:rFonts w:ascii="Cambria Math" w:hAnsi="Cambria Math" w:cs="Arial"/>
                      <w:sz w:val="24"/>
                      <w:szCs w:val="24"/>
                    </w:rPr>
                  </m:ctrlPr>
                </m:sSupPr>
                <m:e>
                  <m:d>
                    <m:dPr>
                      <m:ctrlPr>
                        <w:rPr>
                          <w:rFonts w:ascii="Cambria Math" w:hAnsi="Cambria Math" w:cs="Arial"/>
                          <w:sz w:val="24"/>
                          <w:szCs w:val="24"/>
                        </w:rPr>
                      </m:ctrlPr>
                    </m:dPr>
                    <m:e>
                      <m:sSub>
                        <m:sSubPr>
                          <m:ctrlPr>
                            <w:rPr>
                              <w:rFonts w:ascii="Cambria Math" w:hAnsi="Cambria Math" w:cs="Arial"/>
                              <w:i/>
                              <w:sz w:val="24"/>
                              <w:szCs w:val="24"/>
                            </w:rPr>
                          </m:ctrlPr>
                        </m:sSubPr>
                        <m:e>
                          <m:r>
                            <m:rPr>
                              <m:sty m:val="p"/>
                            </m:rPr>
                            <w:rPr>
                              <w:rFonts w:ascii="Cambria Math" w:hAnsi="Cambria Math" w:cs="Arial"/>
                              <w:sz w:val="24"/>
                              <w:szCs w:val="24"/>
                            </w:rPr>
                            <m:t>Δ</m:t>
                          </m:r>
                        </m:e>
                        <m:sub>
                          <m:r>
                            <w:rPr>
                              <w:rFonts w:ascii="Cambria Math" w:hAnsi="Cambria Math" w:cs="Arial"/>
                              <w:sz w:val="24"/>
                              <w:szCs w:val="24"/>
                            </w:rPr>
                            <m:t>jXY</m:t>
                          </m:r>
                        </m:sub>
                      </m:sSub>
                      <m:r>
                        <m:rPr>
                          <m:sty m:val="p"/>
                        </m:rPr>
                        <w:rPr>
                          <w:rFonts w:ascii="Cambria Math" w:hAnsi="Cambria Math" w:cs="Arial"/>
                          <w:sz w:val="24"/>
                          <w:szCs w:val="24"/>
                        </w:rPr>
                        <m:t xml:space="preserve">, </m:t>
                      </m:r>
                      <m:sSub>
                        <m:sSubPr>
                          <m:ctrlPr>
                            <w:rPr>
                              <w:rFonts w:ascii="Cambria Math" w:hAnsi="Cambria Math" w:cs="Arial"/>
                              <w:i/>
                              <w:sz w:val="24"/>
                              <w:szCs w:val="24"/>
                            </w:rPr>
                          </m:ctrlPr>
                        </m:sSubPr>
                        <m:e>
                          <m:r>
                            <m:rPr>
                              <m:sty m:val="p"/>
                            </m:rPr>
                            <w:rPr>
                              <w:rFonts w:ascii="Cambria Math" w:hAnsi="Cambria Math" w:cs="Arial"/>
                              <w:sz w:val="24"/>
                              <w:szCs w:val="24"/>
                            </w:rPr>
                            <m:t>Δ</m:t>
                          </m:r>
                        </m:e>
                        <m:sub>
                          <m:r>
                            <w:rPr>
                              <w:rFonts w:ascii="Cambria Math" w:hAnsi="Cambria Math" w:cs="Arial"/>
                              <w:sz w:val="24"/>
                              <w:szCs w:val="24"/>
                            </w:rPr>
                            <m:t>jXZ</m:t>
                          </m:r>
                        </m:sub>
                      </m:sSub>
                    </m:e>
                  </m:d>
                </m:e>
                <m:sup>
                  <m:r>
                    <w:rPr>
                      <w:rFonts w:ascii="Cambria Math" w:hAnsi="Cambria Math" w:cs="Arial"/>
                      <w:sz w:val="24"/>
                      <w:szCs w:val="24"/>
                    </w:rPr>
                    <m:t>T</m:t>
                  </m:r>
                </m:sup>
              </m:sSup>
              <m:r>
                <m:rPr>
                  <m:sty m:val="p"/>
                </m:rPr>
                <w:rPr>
                  <w:rFonts w:ascii="Cambria Math" w:hAnsi="Cambria Math" w:cs="Arial"/>
                  <w:sz w:val="24"/>
                  <w:szCs w:val="24"/>
                </w:rPr>
                <m:t>=</m:t>
              </m:r>
              <m:f>
                <m:fPr>
                  <m:ctrlPr>
                    <w:rPr>
                      <w:rFonts w:ascii="Cambria Math" w:hAnsi="Cambria Math" w:cs="Arial"/>
                      <w:sz w:val="24"/>
                      <w:szCs w:val="24"/>
                    </w:rPr>
                  </m:ctrlPr>
                </m:fPr>
                <m:num>
                  <m:nary>
                    <m:naryPr>
                      <m:chr m:val="∑"/>
                      <m:limLoc m:val="undOvr"/>
                      <m:supHide m:val="1"/>
                      <m:ctrlPr>
                        <w:rPr>
                          <w:rFonts w:ascii="Cambria Math" w:hAnsi="Cambria Math" w:cs="Arial"/>
                          <w:sz w:val="24"/>
                          <w:szCs w:val="24"/>
                        </w:rPr>
                      </m:ctrlPr>
                    </m:naryPr>
                    <m:sub>
                      <m:r>
                        <m:rPr>
                          <m:sty m:val="p"/>
                        </m:rPr>
                        <w:rPr>
                          <w:rFonts w:ascii="Cambria Math" w:hAnsi="Cambria Math" w:cs="Arial"/>
                          <w:sz w:val="24"/>
                          <w:szCs w:val="24"/>
                        </w:rPr>
                        <m:t>j</m:t>
                      </m:r>
                    </m:sub>
                    <m:sup/>
                    <m:e>
                      <m:sSub>
                        <m:sSubPr>
                          <m:ctrlPr>
                            <w:rPr>
                              <w:rFonts w:ascii="Cambria Math" w:hAnsi="Cambria Math" w:cs="Arial"/>
                              <w:sz w:val="24"/>
                              <w:szCs w:val="24"/>
                            </w:rPr>
                          </m:ctrlPr>
                        </m:sSubPr>
                        <m:e>
                          <m:r>
                            <m:rPr>
                              <m:sty m:val="b"/>
                            </m:rPr>
                            <w:rPr>
                              <w:rFonts w:ascii="Cambria Math" w:hAnsi="Cambria Math" w:cs="Arial"/>
                              <w:sz w:val="24"/>
                              <w:szCs w:val="24"/>
                            </w:rPr>
                            <m:t>W</m:t>
                          </m:r>
                        </m:e>
                        <m:sub>
                          <m:r>
                            <m:rPr>
                              <m:sty m:val="p"/>
                            </m:rPr>
                            <w:rPr>
                              <w:rFonts w:ascii="Cambria Math" w:hAnsi="Cambria Math" w:cs="Arial"/>
                              <w:sz w:val="24"/>
                              <w:szCs w:val="24"/>
                            </w:rPr>
                            <m:t>jg</m:t>
                          </m:r>
                        </m:sub>
                      </m:sSub>
                      <m:sSub>
                        <m:sSubPr>
                          <m:ctrlPr>
                            <w:rPr>
                              <w:rFonts w:ascii="Cambria Math" w:hAnsi="Cambria Math" w:cs="Arial"/>
                              <w:sz w:val="24"/>
                              <w:szCs w:val="24"/>
                            </w:rPr>
                          </m:ctrlPr>
                        </m:sSubPr>
                        <m:e>
                          <m:r>
                            <m:rPr>
                              <m:sty m:val="p"/>
                            </m:rPr>
                            <w:rPr>
                              <w:rFonts w:ascii="Cambria Math" w:hAnsi="Cambria Math" w:cs="Arial"/>
                              <w:sz w:val="24"/>
                              <w:szCs w:val="24"/>
                            </w:rPr>
                            <m:t>Δ</m:t>
                          </m:r>
                        </m:e>
                        <m:sub>
                          <m:r>
                            <m:rPr>
                              <m:sty m:val="p"/>
                            </m:rPr>
                            <w:rPr>
                              <w:rFonts w:ascii="Cambria Math" w:hAnsi="Cambria Math" w:cs="Arial"/>
                              <w:sz w:val="24"/>
                              <w:szCs w:val="24"/>
                            </w:rPr>
                            <m:t>jg</m:t>
                          </m:r>
                        </m:sub>
                      </m:sSub>
                    </m:e>
                  </m:nary>
                </m:num>
                <m:den>
                  <m:nary>
                    <m:naryPr>
                      <m:chr m:val="∑"/>
                      <m:limLoc m:val="undOvr"/>
                      <m:supHide m:val="1"/>
                      <m:ctrlPr>
                        <w:rPr>
                          <w:rFonts w:ascii="Cambria Math" w:hAnsi="Cambria Math" w:cs="Arial"/>
                          <w:sz w:val="24"/>
                          <w:szCs w:val="24"/>
                        </w:rPr>
                      </m:ctrlPr>
                    </m:naryPr>
                    <m:sub>
                      <m:r>
                        <m:rPr>
                          <m:sty m:val="p"/>
                        </m:rPr>
                        <w:rPr>
                          <w:rFonts w:ascii="Cambria Math" w:hAnsi="Cambria Math" w:cs="Arial"/>
                          <w:sz w:val="24"/>
                          <w:szCs w:val="24"/>
                        </w:rPr>
                        <m:t>j</m:t>
                      </m:r>
                    </m:sub>
                    <m:sup/>
                    <m:e>
                      <m:sSub>
                        <m:sSubPr>
                          <m:ctrlPr>
                            <w:rPr>
                              <w:rFonts w:ascii="Cambria Math" w:hAnsi="Cambria Math" w:cs="Arial"/>
                              <w:sz w:val="24"/>
                              <w:szCs w:val="24"/>
                            </w:rPr>
                          </m:ctrlPr>
                        </m:sSubPr>
                        <m:e>
                          <m:r>
                            <m:rPr>
                              <m:sty m:val="b"/>
                            </m:rPr>
                            <w:rPr>
                              <w:rFonts w:ascii="Cambria Math" w:hAnsi="Cambria Math" w:cs="Arial"/>
                              <w:sz w:val="24"/>
                              <w:szCs w:val="24"/>
                            </w:rPr>
                            <m:t>W</m:t>
                          </m:r>
                        </m:e>
                        <m:sub>
                          <m:r>
                            <m:rPr>
                              <m:sty m:val="p"/>
                            </m:rPr>
                            <w:rPr>
                              <w:rFonts w:ascii="Cambria Math" w:hAnsi="Cambria Math" w:cs="Arial"/>
                              <w:sz w:val="24"/>
                              <w:szCs w:val="24"/>
                            </w:rPr>
                            <m:t>jg</m:t>
                          </m:r>
                        </m:sub>
                      </m:sSub>
                    </m:e>
                  </m:nary>
                </m:den>
              </m:f>
            </m:oMath>
            <w:r w:rsidR="007C278A" w:rsidRPr="00E66929">
              <w:rPr>
                <w:rFonts w:ascii="Arial" w:eastAsiaTheme="minorEastAsia" w:hAnsi="Arial" w:cs="Arial"/>
                <w:sz w:val="24"/>
                <w:szCs w:val="24"/>
              </w:rPr>
              <w:t>,</w:t>
            </w:r>
          </w:p>
        </w:tc>
        <w:tc>
          <w:tcPr>
            <w:tcW w:w="725" w:type="dxa"/>
            <w:vAlign w:val="center"/>
          </w:tcPr>
          <w:p w14:paraId="77BF8C19" w14:textId="77777777" w:rsidR="007C278A" w:rsidRPr="00E66929" w:rsidRDefault="007C278A" w:rsidP="00911A46">
            <w:pPr>
              <w:spacing w:before="240" w:line="480" w:lineRule="auto"/>
              <w:jc w:val="right"/>
              <w:rPr>
                <w:rFonts w:ascii="Arial" w:hAnsi="Arial" w:cs="Arial"/>
                <w:sz w:val="24"/>
                <w:szCs w:val="24"/>
              </w:rPr>
            </w:pPr>
            <w:r w:rsidRPr="00E66929">
              <w:rPr>
                <w:rFonts w:ascii="Arial" w:hAnsi="Arial" w:cs="Arial"/>
                <w:sz w:val="24"/>
                <w:szCs w:val="24"/>
              </w:rPr>
              <w:fldChar w:fldCharType="begin"/>
            </w:r>
            <w:r w:rsidRPr="00E66929">
              <w:rPr>
                <w:rFonts w:ascii="Arial" w:hAnsi="Arial" w:cs="Arial"/>
                <w:sz w:val="24"/>
                <w:szCs w:val="24"/>
              </w:rPr>
              <w:instrText xml:space="preserve"> EQ </w:instrText>
            </w:r>
            <w:r w:rsidRPr="00E66929">
              <w:rPr>
                <w:rFonts w:ascii="Arial" w:hAnsi="Arial" w:cs="Arial"/>
                <w:sz w:val="24"/>
                <w:szCs w:val="24"/>
              </w:rPr>
              <w:fldChar w:fldCharType="end"/>
            </w:r>
            <w:r w:rsidRPr="00E66929">
              <w:rPr>
                <w:rFonts w:ascii="Arial" w:hAnsi="Arial" w:cs="Arial"/>
                <w:sz w:val="24"/>
                <w:szCs w:val="24"/>
              </w:rPr>
              <w:t>(</w:t>
            </w:r>
            <w:r w:rsidRPr="00E66929">
              <w:rPr>
                <w:rFonts w:ascii="Arial" w:hAnsi="Arial" w:cs="Arial"/>
                <w:sz w:val="24"/>
                <w:szCs w:val="24"/>
              </w:rPr>
              <w:fldChar w:fldCharType="begin"/>
            </w:r>
            <w:r w:rsidRPr="00E66929">
              <w:rPr>
                <w:rFonts w:ascii="Arial" w:hAnsi="Arial" w:cs="Arial"/>
                <w:sz w:val="24"/>
                <w:szCs w:val="24"/>
              </w:rPr>
              <w:instrText xml:space="preserve"> EQ </w:instrText>
            </w:r>
            <w:r w:rsidRPr="00E66929">
              <w:rPr>
                <w:rFonts w:ascii="Arial" w:hAnsi="Arial" w:cs="Arial"/>
                <w:sz w:val="24"/>
                <w:szCs w:val="24"/>
              </w:rPr>
              <w:fldChar w:fldCharType="end"/>
            </w:r>
            <w:r w:rsidRPr="00E66929">
              <w:rPr>
                <w:rFonts w:ascii="Arial" w:hAnsi="Arial" w:cs="Arial"/>
                <w:sz w:val="24"/>
                <w:szCs w:val="24"/>
              </w:rPr>
              <w:fldChar w:fldCharType="begin"/>
            </w:r>
            <w:r w:rsidRPr="00E66929">
              <w:rPr>
                <w:rFonts w:ascii="Arial" w:hAnsi="Arial" w:cs="Arial"/>
                <w:sz w:val="24"/>
                <w:szCs w:val="24"/>
              </w:rPr>
              <w:instrText xml:space="preserve"> SEQ Eq  \* MERGEFORMAT </w:instrText>
            </w:r>
            <w:r w:rsidRPr="00E66929">
              <w:rPr>
                <w:rFonts w:ascii="Arial" w:hAnsi="Arial" w:cs="Arial"/>
                <w:sz w:val="24"/>
                <w:szCs w:val="24"/>
              </w:rPr>
              <w:fldChar w:fldCharType="separate"/>
            </w:r>
            <w:r w:rsidR="001A1BC1">
              <w:rPr>
                <w:rFonts w:ascii="Arial" w:hAnsi="Arial" w:cs="Arial"/>
                <w:noProof/>
                <w:sz w:val="24"/>
                <w:szCs w:val="24"/>
              </w:rPr>
              <w:t>5</w:t>
            </w:r>
            <w:r w:rsidRPr="00E66929">
              <w:rPr>
                <w:rFonts w:ascii="Arial" w:hAnsi="Arial" w:cs="Arial"/>
                <w:noProof/>
                <w:sz w:val="24"/>
                <w:szCs w:val="24"/>
              </w:rPr>
              <w:fldChar w:fldCharType="end"/>
            </w:r>
            <w:r w:rsidRPr="00E66929">
              <w:rPr>
                <w:rFonts w:ascii="Arial" w:hAnsi="Arial" w:cs="Arial"/>
                <w:sz w:val="24"/>
                <w:szCs w:val="24"/>
              </w:rPr>
              <w:t>)</w:t>
            </w:r>
          </w:p>
        </w:tc>
      </w:tr>
      <w:tr w:rsidR="007C278A" w:rsidRPr="007C278A" w14:paraId="4FAE79AA" w14:textId="77777777" w:rsidTr="005356A1">
        <w:trPr>
          <w:trHeight w:val="318"/>
        </w:trPr>
        <w:tc>
          <w:tcPr>
            <w:tcW w:w="675" w:type="dxa"/>
          </w:tcPr>
          <w:p w14:paraId="50003493" w14:textId="77777777" w:rsidR="007C278A" w:rsidRPr="00E66929" w:rsidRDefault="007C278A" w:rsidP="00E66929">
            <w:pPr>
              <w:spacing w:before="240" w:line="480" w:lineRule="auto"/>
              <w:jc w:val="both"/>
              <w:rPr>
                <w:rFonts w:ascii="Arial" w:hAnsi="Arial" w:cs="Arial"/>
                <w:sz w:val="24"/>
                <w:szCs w:val="24"/>
              </w:rPr>
            </w:pPr>
          </w:p>
        </w:tc>
        <w:tc>
          <w:tcPr>
            <w:tcW w:w="8222" w:type="dxa"/>
            <w:vAlign w:val="center"/>
          </w:tcPr>
          <w:p w14:paraId="32EDC6AB" w14:textId="77777777" w:rsidR="007C278A" w:rsidRPr="00E66929" w:rsidRDefault="007C278A" w:rsidP="00E66929">
            <w:pPr>
              <w:spacing w:line="480" w:lineRule="auto"/>
              <w:rPr>
                <w:rFonts w:ascii="Arial" w:hAnsi="Arial" w:cs="Arial"/>
                <w:sz w:val="24"/>
                <w:szCs w:val="24"/>
              </w:rPr>
            </w:pPr>
          </w:p>
          <w:p w14:paraId="66EB4ABC" w14:textId="77777777" w:rsidR="007C278A" w:rsidRPr="00E66929" w:rsidRDefault="007C278A" w:rsidP="00E66929">
            <w:pPr>
              <w:spacing w:line="480" w:lineRule="auto"/>
              <w:rPr>
                <w:rFonts w:ascii="Arial" w:hAnsi="Arial" w:cs="Arial"/>
                <w:sz w:val="24"/>
                <w:szCs w:val="24"/>
              </w:rPr>
            </w:pPr>
          </w:p>
        </w:tc>
        <w:tc>
          <w:tcPr>
            <w:tcW w:w="725" w:type="dxa"/>
            <w:vAlign w:val="center"/>
          </w:tcPr>
          <w:p w14:paraId="6B9F0C79" w14:textId="77777777" w:rsidR="007C278A" w:rsidRPr="00E66929" w:rsidRDefault="007C278A" w:rsidP="00E66929">
            <w:pPr>
              <w:spacing w:before="240" w:line="480" w:lineRule="auto"/>
              <w:jc w:val="right"/>
              <w:rPr>
                <w:rFonts w:ascii="Arial" w:hAnsi="Arial" w:cs="Arial"/>
                <w:sz w:val="24"/>
                <w:szCs w:val="24"/>
              </w:rPr>
            </w:pPr>
          </w:p>
        </w:tc>
      </w:tr>
    </w:tbl>
    <w:p w14:paraId="737E4466" w14:textId="77777777" w:rsidR="007C278A" w:rsidRPr="00E66929" w:rsidRDefault="007C278A" w:rsidP="00E66929">
      <w:pPr>
        <w:spacing w:line="480" w:lineRule="auto"/>
        <w:jc w:val="both"/>
        <w:rPr>
          <w:rFonts w:ascii="Arial" w:hAnsi="Arial" w:cs="Arial"/>
          <w:sz w:val="24"/>
          <w:szCs w:val="24"/>
        </w:rPr>
      </w:pPr>
      <w:r w:rsidRPr="00E66929">
        <w:rPr>
          <w:rFonts w:ascii="Arial" w:hAnsi="Arial" w:cs="Arial"/>
          <w:sz w:val="24"/>
          <w:szCs w:val="24"/>
        </w:rPr>
        <w:t>Which has the covariance matrix</w:t>
      </w:r>
    </w:p>
    <w:p w14:paraId="4E12EE7F" w14:textId="77777777" w:rsidR="007C278A" w:rsidRPr="00E66929" w:rsidRDefault="007C278A" w:rsidP="00E66929">
      <w:pPr>
        <w:spacing w:line="480" w:lineRule="auto"/>
        <w:jc w:val="both"/>
        <w:rPr>
          <w:rFonts w:ascii="Arial" w:hAnsi="Arial" w:cs="Arial"/>
          <w:sz w:val="24"/>
          <w:szCs w:val="24"/>
        </w:rPr>
      </w:pPr>
    </w:p>
    <w:tbl>
      <w:tblPr>
        <w:tblStyle w:val="TableGrid"/>
        <w:tblpPr w:leftFromText="180" w:rightFromText="180" w:vertAnchor="text" w:horzAnchor="margin" w:tblpY="-8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5"/>
        <w:gridCol w:w="8222"/>
        <w:gridCol w:w="725"/>
      </w:tblGrid>
      <w:tr w:rsidR="007C278A" w:rsidRPr="007C278A" w14:paraId="67CD844B" w14:textId="77777777" w:rsidTr="005356A1">
        <w:trPr>
          <w:trHeight w:val="318"/>
        </w:trPr>
        <w:tc>
          <w:tcPr>
            <w:tcW w:w="675" w:type="dxa"/>
          </w:tcPr>
          <w:p w14:paraId="47545846" w14:textId="77777777" w:rsidR="007C278A" w:rsidRPr="00E66929" w:rsidRDefault="007C278A" w:rsidP="00E66929">
            <w:pPr>
              <w:spacing w:before="240" w:line="480" w:lineRule="auto"/>
              <w:jc w:val="both"/>
              <w:rPr>
                <w:rFonts w:ascii="Arial" w:hAnsi="Arial" w:cs="Arial"/>
                <w:sz w:val="24"/>
                <w:szCs w:val="24"/>
              </w:rPr>
            </w:pPr>
          </w:p>
        </w:tc>
        <w:tc>
          <w:tcPr>
            <w:tcW w:w="8222" w:type="dxa"/>
            <w:vAlign w:val="center"/>
          </w:tcPr>
          <w:p w14:paraId="09CB62FA" w14:textId="77777777" w:rsidR="007C278A" w:rsidRPr="00E66929" w:rsidRDefault="00BD61D6" w:rsidP="00E66929">
            <w:pPr>
              <w:spacing w:line="480" w:lineRule="auto"/>
              <w:jc w:val="center"/>
              <w:rPr>
                <w:rFonts w:ascii="Arial" w:hAnsi="Arial" w:cs="Arial"/>
                <w:sz w:val="24"/>
                <w:szCs w:val="24"/>
              </w:rPr>
            </w:pPr>
            <m:oMath>
              <m:sSup>
                <m:sSupPr>
                  <m:ctrlPr>
                    <w:rPr>
                      <w:rFonts w:ascii="Cambria Math" w:hAnsi="Cambria Math" w:cs="Arial"/>
                      <w:i/>
                      <w:sz w:val="24"/>
                      <w:szCs w:val="24"/>
                    </w:rPr>
                  </m:ctrlPr>
                </m:sSupPr>
                <m:e>
                  <m:sSub>
                    <m:sSubPr>
                      <m:ctrlPr>
                        <w:rPr>
                          <w:rFonts w:ascii="Cambria Math" w:hAnsi="Cambria Math" w:cs="Arial"/>
                          <w:i/>
                          <w:sz w:val="24"/>
                          <w:szCs w:val="24"/>
                        </w:rPr>
                      </m:ctrlPr>
                    </m:sSubPr>
                    <m:e>
                      <m:r>
                        <w:rPr>
                          <w:rFonts w:ascii="Cambria Math" w:hAnsi="Cambria Math" w:cs="Arial"/>
                          <w:sz w:val="24"/>
                          <w:szCs w:val="24"/>
                        </w:rPr>
                        <m:t>W</m:t>
                      </m:r>
                    </m:e>
                    <m:sub>
                      <m:r>
                        <w:rPr>
                          <w:rFonts w:ascii="Cambria Math" w:hAnsi="Cambria Math" w:cs="Arial"/>
                          <w:sz w:val="24"/>
                          <w:szCs w:val="24"/>
                        </w:rPr>
                        <m:t>jg</m:t>
                      </m:r>
                    </m:sub>
                  </m:sSub>
                </m:e>
                <m:sup>
                  <m:r>
                    <w:rPr>
                      <w:rFonts w:ascii="Cambria Math" w:hAnsi="Cambria Math" w:cs="Arial"/>
                      <w:sz w:val="24"/>
                      <w:szCs w:val="24"/>
                    </w:rPr>
                    <m:t>-1</m:t>
                  </m:r>
                </m:sup>
              </m:sSup>
              <m:r>
                <w:rPr>
                  <w:rFonts w:ascii="Cambria Math" w:hAnsi="Cambria Math" w:cs="Arial"/>
                  <w:sz w:val="24"/>
                  <w:szCs w:val="24"/>
                </w:rPr>
                <m:t>=</m:t>
              </m:r>
              <m:sSup>
                <m:sSupPr>
                  <m:ctrlPr>
                    <w:rPr>
                      <w:rFonts w:ascii="Cambria Math" w:hAnsi="Cambria Math" w:cs="Arial"/>
                      <w:i/>
                      <w:sz w:val="24"/>
                      <w:szCs w:val="24"/>
                    </w:rPr>
                  </m:ctrlPr>
                </m:sSupPr>
                <m:e>
                  <m:d>
                    <m:dPr>
                      <m:ctrlPr>
                        <w:rPr>
                          <w:rFonts w:ascii="Cambria Math" w:hAnsi="Cambria Math" w:cs="Arial"/>
                          <w:i/>
                          <w:sz w:val="24"/>
                          <w:szCs w:val="24"/>
                        </w:rPr>
                      </m:ctrlPr>
                    </m:dPr>
                    <m:e>
                      <m:nary>
                        <m:naryPr>
                          <m:chr m:val="∑"/>
                          <m:limLoc m:val="undOvr"/>
                          <m:supHide m:val="1"/>
                          <m:ctrlPr>
                            <w:rPr>
                              <w:rFonts w:ascii="Cambria Math" w:hAnsi="Cambria Math" w:cs="Arial"/>
                              <w:i/>
                              <w:sz w:val="24"/>
                              <w:szCs w:val="24"/>
                            </w:rPr>
                          </m:ctrlPr>
                        </m:naryPr>
                        <m:sub>
                          <m:r>
                            <w:rPr>
                              <w:rFonts w:ascii="Cambria Math" w:hAnsi="Cambria Math" w:cs="Arial"/>
                              <w:sz w:val="24"/>
                              <w:szCs w:val="24"/>
                            </w:rPr>
                            <m:t>j</m:t>
                          </m:r>
                        </m:sub>
                        <m:sup/>
                        <m:e>
                          <m:sSub>
                            <m:sSubPr>
                              <m:ctrlPr>
                                <w:rPr>
                                  <w:rFonts w:ascii="Cambria Math" w:hAnsi="Cambria Math" w:cs="Arial"/>
                                  <w:i/>
                                  <w:sz w:val="24"/>
                                  <w:szCs w:val="24"/>
                                </w:rPr>
                              </m:ctrlPr>
                            </m:sSubPr>
                            <m:e>
                              <m:r>
                                <w:rPr>
                                  <w:rFonts w:ascii="Cambria Math" w:hAnsi="Cambria Math" w:cs="Arial"/>
                                  <w:sz w:val="24"/>
                                  <w:szCs w:val="24"/>
                                </w:rPr>
                                <m:t>W</m:t>
                              </m:r>
                            </m:e>
                            <m:sub>
                              <m:r>
                                <w:rPr>
                                  <w:rFonts w:ascii="Cambria Math" w:hAnsi="Cambria Math" w:cs="Arial"/>
                                  <w:sz w:val="24"/>
                                  <w:szCs w:val="24"/>
                                </w:rPr>
                                <m:t>jg</m:t>
                              </m:r>
                            </m:sub>
                          </m:sSub>
                        </m:e>
                      </m:nary>
                    </m:e>
                  </m:d>
                </m:e>
                <m:sup>
                  <m:r>
                    <w:rPr>
                      <w:rFonts w:ascii="Cambria Math" w:hAnsi="Cambria Math" w:cs="Arial"/>
                      <w:sz w:val="24"/>
                      <w:szCs w:val="24"/>
                    </w:rPr>
                    <m:t>-1</m:t>
                  </m:r>
                </m:sup>
              </m:sSup>
            </m:oMath>
            <w:r w:rsidR="007C278A" w:rsidRPr="00E66929">
              <w:rPr>
                <w:rFonts w:ascii="Arial" w:eastAsiaTheme="minorEastAsia" w:hAnsi="Arial" w:cs="Arial"/>
                <w:sz w:val="24"/>
                <w:szCs w:val="24"/>
              </w:rPr>
              <w:t>.</w:t>
            </w:r>
          </w:p>
        </w:tc>
        <w:tc>
          <w:tcPr>
            <w:tcW w:w="725" w:type="dxa"/>
            <w:vAlign w:val="center"/>
          </w:tcPr>
          <w:p w14:paraId="5AA0D9B9" w14:textId="77777777" w:rsidR="007C278A" w:rsidRPr="00E66929" w:rsidRDefault="007C278A" w:rsidP="00E66929">
            <w:pPr>
              <w:spacing w:before="240" w:line="480" w:lineRule="auto"/>
              <w:jc w:val="right"/>
              <w:rPr>
                <w:rFonts w:ascii="Arial" w:hAnsi="Arial" w:cs="Arial"/>
                <w:sz w:val="24"/>
                <w:szCs w:val="24"/>
              </w:rPr>
            </w:pPr>
            <w:r w:rsidRPr="00E66929">
              <w:rPr>
                <w:rFonts w:ascii="Arial" w:hAnsi="Arial" w:cs="Arial"/>
                <w:sz w:val="24"/>
                <w:szCs w:val="24"/>
              </w:rPr>
              <w:fldChar w:fldCharType="begin"/>
            </w:r>
            <w:r w:rsidRPr="00E66929">
              <w:rPr>
                <w:rFonts w:ascii="Arial" w:hAnsi="Arial" w:cs="Arial"/>
                <w:sz w:val="24"/>
                <w:szCs w:val="24"/>
              </w:rPr>
              <w:instrText xml:space="preserve"> EQ </w:instrText>
            </w:r>
            <w:r w:rsidRPr="00E66929">
              <w:rPr>
                <w:rFonts w:ascii="Arial" w:hAnsi="Arial" w:cs="Arial"/>
                <w:sz w:val="24"/>
                <w:szCs w:val="24"/>
              </w:rPr>
              <w:fldChar w:fldCharType="end"/>
            </w:r>
            <w:r w:rsidRPr="00E66929">
              <w:rPr>
                <w:rFonts w:ascii="Arial" w:hAnsi="Arial" w:cs="Arial"/>
                <w:sz w:val="24"/>
                <w:szCs w:val="24"/>
              </w:rPr>
              <w:t>(</w:t>
            </w:r>
            <w:r w:rsidRPr="00E66929">
              <w:rPr>
                <w:rFonts w:ascii="Arial" w:hAnsi="Arial" w:cs="Arial"/>
                <w:sz w:val="24"/>
                <w:szCs w:val="24"/>
              </w:rPr>
              <w:fldChar w:fldCharType="begin"/>
            </w:r>
            <w:r w:rsidRPr="00E66929">
              <w:rPr>
                <w:rFonts w:ascii="Arial" w:hAnsi="Arial" w:cs="Arial"/>
                <w:sz w:val="24"/>
                <w:szCs w:val="24"/>
              </w:rPr>
              <w:instrText xml:space="preserve"> EQ </w:instrText>
            </w:r>
            <w:r w:rsidRPr="00E66929">
              <w:rPr>
                <w:rFonts w:ascii="Arial" w:hAnsi="Arial" w:cs="Arial"/>
                <w:sz w:val="24"/>
                <w:szCs w:val="24"/>
              </w:rPr>
              <w:fldChar w:fldCharType="end"/>
            </w:r>
            <w:r w:rsidRPr="00E66929">
              <w:rPr>
                <w:rFonts w:ascii="Arial" w:hAnsi="Arial" w:cs="Arial"/>
                <w:sz w:val="24"/>
                <w:szCs w:val="24"/>
              </w:rPr>
              <w:fldChar w:fldCharType="begin"/>
            </w:r>
            <w:r w:rsidRPr="00E66929">
              <w:rPr>
                <w:rFonts w:ascii="Arial" w:hAnsi="Arial" w:cs="Arial"/>
                <w:sz w:val="24"/>
                <w:szCs w:val="24"/>
              </w:rPr>
              <w:instrText xml:space="preserve"> SEQ Eq  \* MERGEFORMAT </w:instrText>
            </w:r>
            <w:r w:rsidRPr="00E66929">
              <w:rPr>
                <w:rFonts w:ascii="Arial" w:hAnsi="Arial" w:cs="Arial"/>
                <w:sz w:val="24"/>
                <w:szCs w:val="24"/>
              </w:rPr>
              <w:fldChar w:fldCharType="separate"/>
            </w:r>
            <w:r w:rsidR="001A1BC1">
              <w:rPr>
                <w:rFonts w:ascii="Arial" w:hAnsi="Arial" w:cs="Arial"/>
                <w:noProof/>
                <w:sz w:val="24"/>
                <w:szCs w:val="24"/>
              </w:rPr>
              <w:t>6</w:t>
            </w:r>
            <w:r w:rsidRPr="00E66929">
              <w:rPr>
                <w:rFonts w:ascii="Arial" w:hAnsi="Arial" w:cs="Arial"/>
                <w:noProof/>
                <w:sz w:val="24"/>
                <w:szCs w:val="24"/>
              </w:rPr>
              <w:fldChar w:fldCharType="end"/>
            </w:r>
            <w:r w:rsidRPr="00E66929">
              <w:rPr>
                <w:rFonts w:ascii="Arial" w:hAnsi="Arial" w:cs="Arial"/>
                <w:sz w:val="24"/>
                <w:szCs w:val="24"/>
              </w:rPr>
              <w:t>)</w:t>
            </w:r>
          </w:p>
        </w:tc>
      </w:tr>
      <w:tr w:rsidR="007C278A" w:rsidRPr="007C278A" w14:paraId="31AE9FD8" w14:textId="77777777" w:rsidTr="005356A1">
        <w:trPr>
          <w:trHeight w:val="318"/>
        </w:trPr>
        <w:tc>
          <w:tcPr>
            <w:tcW w:w="675" w:type="dxa"/>
          </w:tcPr>
          <w:p w14:paraId="52591546" w14:textId="77777777" w:rsidR="007C278A" w:rsidRPr="00E66929" w:rsidRDefault="007C278A" w:rsidP="00E66929">
            <w:pPr>
              <w:spacing w:before="240" w:line="480" w:lineRule="auto"/>
              <w:jc w:val="both"/>
              <w:rPr>
                <w:rFonts w:ascii="Arial" w:hAnsi="Arial" w:cs="Arial"/>
                <w:sz w:val="24"/>
                <w:szCs w:val="24"/>
              </w:rPr>
            </w:pPr>
          </w:p>
        </w:tc>
        <w:tc>
          <w:tcPr>
            <w:tcW w:w="8222" w:type="dxa"/>
            <w:vAlign w:val="center"/>
          </w:tcPr>
          <w:p w14:paraId="3E920B13" w14:textId="77777777" w:rsidR="007C278A" w:rsidRPr="00E66929" w:rsidRDefault="007C278A" w:rsidP="00E66929">
            <w:pPr>
              <w:spacing w:line="480" w:lineRule="auto"/>
              <w:rPr>
                <w:rFonts w:ascii="Arial" w:hAnsi="Arial" w:cs="Arial"/>
                <w:sz w:val="24"/>
                <w:szCs w:val="24"/>
              </w:rPr>
            </w:pPr>
          </w:p>
          <w:p w14:paraId="03BFC048" w14:textId="77777777" w:rsidR="007C278A" w:rsidRPr="00E66929" w:rsidRDefault="007C278A" w:rsidP="00E66929">
            <w:pPr>
              <w:spacing w:line="480" w:lineRule="auto"/>
              <w:rPr>
                <w:rFonts w:ascii="Arial" w:hAnsi="Arial" w:cs="Arial"/>
                <w:sz w:val="24"/>
                <w:szCs w:val="24"/>
              </w:rPr>
            </w:pPr>
          </w:p>
        </w:tc>
        <w:tc>
          <w:tcPr>
            <w:tcW w:w="725" w:type="dxa"/>
            <w:vAlign w:val="center"/>
          </w:tcPr>
          <w:p w14:paraId="6E403E9B" w14:textId="77777777" w:rsidR="007C278A" w:rsidRPr="00E66929" w:rsidRDefault="007C278A" w:rsidP="00E66929">
            <w:pPr>
              <w:spacing w:before="240" w:line="480" w:lineRule="auto"/>
              <w:jc w:val="right"/>
              <w:rPr>
                <w:rFonts w:ascii="Arial" w:hAnsi="Arial" w:cs="Arial"/>
                <w:sz w:val="24"/>
                <w:szCs w:val="24"/>
              </w:rPr>
            </w:pPr>
          </w:p>
        </w:tc>
      </w:tr>
    </w:tbl>
    <w:p w14:paraId="1336EBBA" w14:textId="77777777" w:rsidR="007C278A" w:rsidRPr="00E66929" w:rsidRDefault="007C278A" w:rsidP="00E66929">
      <w:pPr>
        <w:spacing w:line="480" w:lineRule="auto"/>
        <w:jc w:val="both"/>
        <w:rPr>
          <w:rFonts w:ascii="Arial" w:hAnsi="Arial" w:cs="Arial"/>
          <w:sz w:val="24"/>
          <w:szCs w:val="24"/>
        </w:rPr>
      </w:pPr>
    </w:p>
    <w:p w14:paraId="3CFDF245" w14:textId="77777777" w:rsidR="007C278A" w:rsidRPr="00E66929" w:rsidRDefault="007C278A" w:rsidP="00E66929">
      <w:pPr>
        <w:pStyle w:val="Heading3"/>
        <w:spacing w:line="480" w:lineRule="auto"/>
        <w:rPr>
          <w:rFonts w:ascii="Arial" w:hAnsi="Arial" w:cs="Arial"/>
          <w:sz w:val="24"/>
          <w:szCs w:val="24"/>
        </w:rPr>
      </w:pPr>
    </w:p>
    <w:p w14:paraId="754427A4" w14:textId="77777777" w:rsidR="007C278A" w:rsidRPr="00E66929" w:rsidRDefault="007C278A" w:rsidP="00E66929">
      <w:pPr>
        <w:pStyle w:val="Heading5"/>
        <w:spacing w:line="480" w:lineRule="auto"/>
        <w:rPr>
          <w:rFonts w:ascii="Arial" w:hAnsi="Arial" w:cs="Arial"/>
          <w:b/>
          <w:sz w:val="24"/>
          <w:szCs w:val="24"/>
        </w:rPr>
      </w:pPr>
      <w:r w:rsidRPr="00E66929">
        <w:rPr>
          <w:rFonts w:ascii="Arial" w:hAnsi="Arial" w:cs="Arial"/>
          <w:b/>
          <w:sz w:val="24"/>
          <w:szCs w:val="24"/>
        </w:rPr>
        <w:t>Stage II. Regression to consistent estimation</w:t>
      </w:r>
    </w:p>
    <w:p w14:paraId="52B1B1F8" w14:textId="77777777" w:rsidR="007C278A" w:rsidRPr="00E66929" w:rsidRDefault="007C278A" w:rsidP="00E66929">
      <w:pPr>
        <w:spacing w:line="480" w:lineRule="auto"/>
        <w:jc w:val="both"/>
        <w:rPr>
          <w:rFonts w:ascii="Arial" w:hAnsi="Arial" w:cs="Arial"/>
          <w:sz w:val="24"/>
          <w:szCs w:val="24"/>
        </w:rPr>
      </w:pPr>
      <w:r w:rsidRPr="00E66929">
        <w:rPr>
          <w:rFonts w:ascii="Arial" w:hAnsi="Arial" w:cs="Arial"/>
          <w:sz w:val="24"/>
          <w:szCs w:val="24"/>
        </w:rPr>
        <w:t xml:space="preserve">We will follow the approach explained and implemented in </w:t>
      </w:r>
      <w:r w:rsidRPr="00E66929">
        <w:rPr>
          <w:rFonts w:ascii="Arial" w:hAnsi="Arial" w:cs="Arial"/>
          <w:sz w:val="24"/>
          <w:szCs w:val="24"/>
        </w:rPr>
        <w:fldChar w:fldCharType="begin" w:fldLock="1"/>
      </w:r>
      <w:r w:rsidR="005356A1">
        <w:rPr>
          <w:rFonts w:ascii="Arial" w:hAnsi="Arial" w:cs="Arial"/>
          <w:sz w:val="24"/>
          <w:szCs w:val="24"/>
        </w:rPr>
        <w:instrText>ADDIN CSL_CITATION { "citationItems" : [ { "id" : "ITEM-1", "itemData" : { "DOI" : "10.1002/jrsm.34", "ISBN" : "17592879", "ISSN" : "17592879", "PMID" : "26061599", "abstract" : "Mixed treatment comparisons (MTC) meta\u2010analysis synthesises comparative evidence on multiple treatments or other interventions from a collection of randomised controlled trials (RCT) available in a research area, while still respecting the randomisation structure in RCTs. This paper sets out to examine the properties of MTC estimates and elucidate the concept of consistency between direct and indirect evidence in MTC networks. We decompose MTC synthesis into two stages. At the first stage, ordinary meta\u2010analysis is performed in each group of trials that have the same treatment comparators\u2014this provides the \u2018direct\u2019 estimates of relative effect parameters. At the second stage, the optimal consistent estimates that minimise the distance between the direct estimates and the consistency hyper\u2010plane can be deduced as the weighted least squares solution to a linear regression model with a specific design matrix that represents the consistency conditions. The consistent MTC estimates can then be represented explicitly as linear combinations of direct estimates, and under normality assumptions the overall evidence consistency can be tested with a likelihood\u2010ratio statistic. This two\u2010stage framework further allows us to use the leverage statistics to diagnose influence of the first\u2010stage evidence and use the regression residuals to assess local inconsistency. The method is illustrated with two examples from medical research.", "author" : [ { "dropping-particle" : "", "family" : "Lu", "given" : "G.", "non-dropping-particle" : "", "parse-names" : false, "suffix" : "" }, { "dropping-particle" : "", "family" : "Welton", "given" : "Nicky J", "non-dropping-particle" : "", "parse-names" : false, "suffix" : "" }, { "dropping-particle" : "", "family" : "Higgins", "given" : "J", "non-dropping-particle" : "", "parse-names" : false, "suffix" : "" }, { "dropping-particle" : "", "family" : "White", "given" : "Ian R.", "non-dropping-particle" : "", "parse-names" : false, "suffix" : "" }, { "dropping-particle" : "", "family" : "Ades", "given" : "A E", "non-dropping-particle" : "", "parse-names" : false, "suffix" : "" } ], "container-title" : "Research Synthesis Methods", "id" : "ITEM-1", "issue" : "1", "issued" : { "date-parts" : [ [ "2011" ] ] }, "page" : "43-60", "title" : "Linear inference for mixed treatment comparison meta-analysis: A two-stage approach", "type" : "article-journal", "volume" : "2" }, "uris" : [ "http://www.mendeley.com/documents/?uuid=7997c6c8-1d36-4145-b4ea-24ba7087c79c" ] } ], "mendeley" : { "formattedCitation" : "[26]", "plainTextFormattedCitation" : "[26]", "previouslyFormattedCitation" : "(Lu et al. 2011)" }, "properties" : { "noteIndex" : 0 }, "schema" : "https://github.com/citation-style-language/schema/raw/master/csl-citation.json" }</w:instrText>
      </w:r>
      <w:r w:rsidRPr="00E66929">
        <w:rPr>
          <w:rFonts w:ascii="Arial" w:hAnsi="Arial" w:cs="Arial"/>
          <w:sz w:val="24"/>
          <w:szCs w:val="24"/>
        </w:rPr>
        <w:fldChar w:fldCharType="separate"/>
      </w:r>
      <w:r w:rsidR="005356A1" w:rsidRPr="005356A1">
        <w:rPr>
          <w:rFonts w:ascii="Arial" w:hAnsi="Arial" w:cs="Arial"/>
          <w:noProof/>
          <w:sz w:val="24"/>
          <w:szCs w:val="24"/>
        </w:rPr>
        <w:t>[26]</w:t>
      </w:r>
      <w:r w:rsidRPr="00E66929">
        <w:rPr>
          <w:rFonts w:ascii="Arial" w:hAnsi="Arial" w:cs="Arial"/>
          <w:sz w:val="24"/>
          <w:szCs w:val="24"/>
        </w:rPr>
        <w:fldChar w:fldCharType="end"/>
      </w:r>
      <w:r w:rsidRPr="00E66929">
        <w:rPr>
          <w:rFonts w:ascii="Arial" w:hAnsi="Arial" w:cs="Arial"/>
          <w:sz w:val="24"/>
          <w:szCs w:val="24"/>
        </w:rPr>
        <w:t>.</w:t>
      </w:r>
    </w:p>
    <w:p w14:paraId="06054672" w14:textId="77777777" w:rsidR="007C278A" w:rsidRPr="00E66929" w:rsidRDefault="007C278A" w:rsidP="007C278A">
      <w:pPr>
        <w:pStyle w:val="BodyText"/>
        <w:spacing w:after="170" w:line="480" w:lineRule="auto"/>
        <w:rPr>
          <w:rFonts w:ascii="Arial" w:hAnsi="Arial" w:cs="Arial"/>
          <w:lang w:val="en-US"/>
        </w:rPr>
      </w:pPr>
    </w:p>
    <w:p w14:paraId="136C449B" w14:textId="77777777" w:rsidR="007C278A" w:rsidRPr="00E66929" w:rsidRDefault="007C278A" w:rsidP="007C278A">
      <w:pPr>
        <w:pStyle w:val="BodyText"/>
        <w:spacing w:after="170" w:line="480" w:lineRule="auto"/>
        <w:rPr>
          <w:rFonts w:ascii="Arial" w:hAnsi="Arial" w:cs="Arial"/>
          <w:lang w:val="en-US"/>
        </w:rPr>
      </w:pPr>
    </w:p>
    <w:p w14:paraId="3B90A2D5" w14:textId="77777777" w:rsidR="007C278A" w:rsidRDefault="007C278A">
      <w:pPr>
        <w:pStyle w:val="BodyText"/>
        <w:spacing w:after="170" w:line="480" w:lineRule="auto"/>
        <w:rPr>
          <w:lang w:val="en-US"/>
        </w:rPr>
      </w:pPr>
    </w:p>
    <w:p w14:paraId="36C3ABE2" w14:textId="77777777" w:rsidR="00342E07" w:rsidRDefault="00342E07">
      <w:pPr>
        <w:pStyle w:val="BodyText"/>
        <w:spacing w:after="170" w:line="480" w:lineRule="auto"/>
        <w:rPr>
          <w:lang w:val="en-US"/>
        </w:rPr>
      </w:pPr>
    </w:p>
    <w:p w14:paraId="0BA5C32A" w14:textId="77777777" w:rsidR="00342E07" w:rsidRDefault="00342E07">
      <w:pPr>
        <w:pStyle w:val="BodyText"/>
        <w:spacing w:after="170" w:line="480" w:lineRule="auto"/>
        <w:rPr>
          <w:lang w:val="en-US"/>
        </w:rPr>
      </w:pPr>
    </w:p>
    <w:p w14:paraId="713CCF5D" w14:textId="77777777" w:rsidR="00342E07" w:rsidRDefault="005356A1">
      <w:pPr>
        <w:pStyle w:val="Heading1"/>
      </w:pPr>
      <w:bookmarkStart w:id="118" w:name="_Toc469904541"/>
      <w:bookmarkStart w:id="119" w:name="_Toc488490629"/>
      <w:bookmarkStart w:id="120" w:name="_Toc373597608"/>
      <w:r>
        <w:t>MSC: H</w:t>
      </w:r>
      <w:bookmarkEnd w:id="118"/>
      <w:bookmarkEnd w:id="119"/>
      <w:r>
        <w:t>ETEROGENEITY</w:t>
      </w:r>
      <w:bookmarkEnd w:id="120"/>
    </w:p>
    <w:p w14:paraId="44EC09F6" w14:textId="77777777" w:rsidR="00342E07" w:rsidRDefault="005356A1">
      <w:pPr>
        <w:jc w:val="both"/>
      </w:pPr>
      <w:r>
        <w:t xml:space="preserve">We have already defined the heterogeneity for meta-analysis of direct comparisons. A similar definition can be used for the heterogeneity of network meta-analysis, adapting a definition used for multi-arm trials to multiple score comparison.  Since we have singleton groups in our MSC data (group 6 in our database), it is recommended in our case to use pooled estimate of the </w:t>
      </w:r>
      <w:r>
        <w:rPr>
          <w:i/>
        </w:rPr>
        <w:t>τ</w:t>
      </w:r>
      <w:r>
        <w:rPr>
          <w:i/>
          <w:vertAlign w:val="superscript"/>
        </w:rPr>
        <w:t xml:space="preserve">2 </w:t>
      </w:r>
      <w:r>
        <w:t>(</w:t>
      </w:r>
      <w:r>
        <w:rPr>
          <w:i/>
        </w:rPr>
        <w:t>τ</w:t>
      </w:r>
      <w:r>
        <w:rPr>
          <w:i/>
          <w:vertAlign w:val="superscript"/>
        </w:rPr>
        <w:t>2</w:t>
      </w:r>
      <w:r>
        <w:rPr>
          <w:i/>
          <w:vertAlign w:val="subscript"/>
        </w:rPr>
        <w:t>pooled</w:t>
      </w:r>
      <w:r>
        <w:t xml:space="preserve">), </w:t>
      </w:r>
      <w:r>
        <w:fldChar w:fldCharType="begin" w:fldLock="1"/>
      </w:r>
      <w:r>
        <w:instrText>ADDIN CSL_CITATION { "citationItems" : [ { "id" : "ITEM-1", "itemData" : { "DOI" : "10.1002/jrsm.34", "ISBN" : "17592879", "ISSN" : "17592879", "PMID" : "26061599", "abstract" : "Mixed treatment comparisons (MTC) meta\u2010analysis synthesises comparative evidence on multiple treatments or other interventions from a collection of randomised controlled trials (RCT) available in a research area, while still respecting the randomisation structure in RCTs. This paper sets out to examine the properties of MTC estimates and elucidate the concept of consistency between direct and indirect evidence in MTC networks. We decompose MTC synthesis into two stages. At the first stage, ordinary meta\u2010analysis is performed in each group of trials that have the same treatment comparators\u2014this provides the \u2018direct\u2019 estimates of relative effect parameters. At the second stage, the optimal consistent estimates that minimise the distance between the direct estimates and the consistency hyper\u2010plane can be deduced as the weighted least squares solution to a linear regression model with a specific design matrix that represents the consistency conditions. The consistent MTC estimates can then be represented explicitly as linear combinations of direct estimates, and under normality assumptions the overall evidence consistency can be tested with a likelihood\u2010ratio statistic. This two\u2010stage framework further allows us to use the leverage statistics to diagnose influence of the first\u2010stage evidence and use the regression residuals to assess local inconsistency. The method is illustrated with two examples from medical research.", "author" : [ { "dropping-particle" : "", "family" : "Lu", "given" : "G.", "non-dropping-particle" : "", "parse-names" : false, "suffix" : "" }, { "dropping-particle" : "", "family" : "Welton", "given" : "Nicky J", "non-dropping-particle" : "", "parse-names" : false, "suffix" : "" }, { "dropping-particle" : "", "family" : "Higgins", "given" : "J", "non-dropping-particle" : "", "parse-names" : false, "suffix" : "" }, { "dropping-particle" : "", "family" : "White", "given" : "Ian R.", "non-dropping-particle" : "", "parse-names" : false, "suffix" : "" }, { "dropping-particle" : "", "family" : "Ades", "given" : "A E", "non-dropping-particle" : "", "parse-names" : false, "suffix" : "" } ], "container-title" : "Research Synthesis Methods", "id" : "ITEM-1", "issue" : "1", "issued" : { "date-parts" : [ [ "2011" ] ] }, "page" : "43-60", "title" : "Linear inference for mixed treatment comparison meta-analysis: A two-stage approach", "type" : "article-journal", "volume" : "2" }, "uris" : [ "http://www.mendeley.com/documents/?uuid=7997c6c8-1d36-4145-b4ea-24ba7087c79c" ] } ], "mendeley" : { "formattedCitation" : "[26]", "plainTextFormattedCitation" : "[26]", "previouslyFormattedCitation" : "[26]" }, "properties" : { "noteIndex" : 0 }, "schema" : "https://github.com/citation-style-language/schema/raw/master/csl-citation.json" }</w:instrText>
      </w:r>
      <w:r>
        <w:fldChar w:fldCharType="separate"/>
      </w:r>
      <w:bookmarkStart w:id="121" w:name="__Fieldmark__923_1374788089"/>
      <w:r>
        <w:rPr>
          <w:noProof/>
        </w:rPr>
        <w:t>[</w:t>
      </w:r>
      <w:bookmarkStart w:id="122" w:name="__Fieldmark__936_1114282649"/>
      <w:bookmarkStart w:id="123" w:name="__Fieldmark__621_931786406"/>
      <w:r>
        <w:rPr>
          <w:noProof/>
        </w:rPr>
        <w:t>26]</w:t>
      </w:r>
      <w:r>
        <w:fldChar w:fldCharType="end"/>
      </w:r>
      <w:bookmarkEnd w:id="121"/>
      <w:bookmarkEnd w:id="122"/>
      <w:bookmarkEnd w:id="123"/>
      <w:r>
        <w:t xml:space="preserve"> defined as follows:</w:t>
      </w:r>
    </w:p>
    <w:p w14:paraId="2E4700DA" w14:textId="77777777" w:rsidR="00342E07" w:rsidRDefault="00342E07">
      <w:pPr>
        <w:jc w:val="both"/>
      </w:pPr>
    </w:p>
    <w:p w14:paraId="74F886E8" w14:textId="77777777" w:rsidR="00342E07" w:rsidRDefault="00BD61D6">
      <w:pPr>
        <w:jc w:val="center"/>
      </w:pPr>
      <m:oMathPara>
        <m:oMath>
          <m:sSub>
            <m:sSubPr>
              <m:ctrlPr>
                <w:rPr>
                  <w:rFonts w:ascii="Cambria Math" w:hAnsi="Cambria Math"/>
                </w:rPr>
              </m:ctrlPr>
            </m:sSubPr>
            <m:e>
              <m:sSup>
                <m:sSupPr>
                  <m:ctrlPr>
                    <w:rPr>
                      <w:rFonts w:ascii="Cambria Math" w:hAnsi="Cambria Math"/>
                    </w:rPr>
                  </m:ctrlPr>
                </m:sSupPr>
                <m:e>
                  <m:r>
                    <w:rPr>
                      <w:rFonts w:ascii="Cambria Math" w:hAnsi="Cambria Math"/>
                    </w:rPr>
                    <m:t>τ</m:t>
                  </m:r>
                </m:e>
                <m:sup>
                  <m:r>
                    <w:rPr>
                      <w:rFonts w:ascii="Cambria Math" w:hAnsi="Cambria Math"/>
                    </w:rPr>
                    <m:t>2</m:t>
                  </m:r>
                </m:sup>
              </m:sSup>
            </m:e>
            <m:sub>
              <m:r>
                <w:rPr>
                  <w:rFonts w:ascii="Cambria Math" w:hAnsi="Cambria Math"/>
                </w:rPr>
                <m:t>pooled</m:t>
              </m:r>
            </m:sub>
          </m:sSub>
          <m:r>
            <w:rPr>
              <w:rFonts w:ascii="Cambria Math" w:hAnsi="Cambria Math"/>
            </w:rPr>
            <m:t>=</m:t>
          </m:r>
          <m:f>
            <m:fPr>
              <m:ctrlPr>
                <w:rPr>
                  <w:rFonts w:ascii="Cambria Math" w:hAnsi="Cambria Math"/>
                </w:rPr>
              </m:ctrlPr>
            </m:fPr>
            <m:num>
              <m:nary>
                <m:naryPr>
                  <m:chr m:val="∑"/>
                  <m:supHide m:val="1"/>
                  <m:ctrlPr>
                    <w:rPr>
                      <w:rFonts w:ascii="Cambria Math" w:hAnsi="Cambria Math"/>
                    </w:rPr>
                  </m:ctrlPr>
                </m:naryPr>
                <m:sub>
                  <m:r>
                    <w:rPr>
                      <w:rFonts w:ascii="Cambria Math" w:hAnsi="Cambria Math"/>
                    </w:rPr>
                    <m:t>g</m:t>
                  </m:r>
                </m:sub>
                <m:sup/>
                <m:e>
                  <m:sSub>
                    <m:sSubPr>
                      <m:ctrlPr>
                        <w:rPr>
                          <w:rFonts w:ascii="Cambria Math" w:hAnsi="Cambria Math"/>
                        </w:rPr>
                      </m:ctrlPr>
                    </m:sSubPr>
                    <m:e>
                      <m:r>
                        <w:rPr>
                          <w:rFonts w:ascii="Cambria Math" w:hAnsi="Cambria Math"/>
                        </w:rPr>
                        <m:t>Q</m:t>
                      </m:r>
                    </m:e>
                    <m:sub>
                      <m:r>
                        <w:rPr>
                          <w:rFonts w:ascii="Cambria Math" w:hAnsi="Cambria Math"/>
                        </w:rPr>
                        <m:t>g</m:t>
                      </m:r>
                    </m:sub>
                  </m:sSub>
                </m:e>
              </m:nary>
              <m:r>
                <w:rPr>
                  <w:rFonts w:ascii="Cambria Math" w:hAnsi="Cambria Math"/>
                </w:rPr>
                <m:t>-</m:t>
              </m:r>
              <m:nary>
                <m:naryPr>
                  <m:chr m:val="∑"/>
                  <m:supHide m:val="1"/>
                  <m:ctrlPr>
                    <w:rPr>
                      <w:rFonts w:ascii="Cambria Math" w:hAnsi="Cambria Math"/>
                    </w:rPr>
                  </m:ctrlPr>
                </m:naryPr>
                <m:sub>
                  <m:r>
                    <w:rPr>
                      <w:rFonts w:ascii="Cambria Math" w:hAnsi="Cambria Math"/>
                    </w:rPr>
                    <m:t>g</m:t>
                  </m:r>
                </m:sub>
                <m:sup/>
                <m:e>
                  <m:r>
                    <w:rPr>
                      <w:rFonts w:ascii="Cambria Math" w:hAnsi="Cambria Math"/>
                    </w:rPr>
                    <m:t>d</m:t>
                  </m:r>
                  <m:sSub>
                    <m:sSubPr>
                      <m:ctrlPr>
                        <w:rPr>
                          <w:rFonts w:ascii="Cambria Math" w:hAnsi="Cambria Math"/>
                        </w:rPr>
                      </m:ctrlPr>
                    </m:sSubPr>
                    <m:e>
                      <m:r>
                        <w:rPr>
                          <w:rFonts w:ascii="Cambria Math" w:hAnsi="Cambria Math"/>
                        </w:rPr>
                        <m:t>f</m:t>
                      </m:r>
                    </m:e>
                    <m:sub>
                      <m:r>
                        <w:rPr>
                          <w:rFonts w:ascii="Cambria Math" w:hAnsi="Cambria Math"/>
                        </w:rPr>
                        <m:t>g</m:t>
                      </m:r>
                    </m:sub>
                  </m:sSub>
                </m:e>
              </m:nary>
            </m:num>
            <m:den>
              <m:nary>
                <m:naryPr>
                  <m:chr m:val="∑"/>
                  <m:supHide m:val="1"/>
                  <m:ctrlPr>
                    <w:rPr>
                      <w:rFonts w:ascii="Cambria Math" w:hAnsi="Cambria Math"/>
                    </w:rPr>
                  </m:ctrlPr>
                </m:naryPr>
                <m:sub>
                  <m:r>
                    <w:rPr>
                      <w:rFonts w:ascii="Cambria Math" w:hAnsi="Cambria Math"/>
                    </w:rPr>
                    <m:t>g</m:t>
                  </m:r>
                </m:sub>
                <m:sup/>
                <m:e>
                  <m:sSub>
                    <m:sSubPr>
                      <m:ctrlPr>
                        <w:rPr>
                          <w:rFonts w:ascii="Cambria Math" w:hAnsi="Cambria Math"/>
                        </w:rPr>
                      </m:ctrlPr>
                    </m:sSubPr>
                    <m:e>
                      <m:r>
                        <w:rPr>
                          <w:rFonts w:ascii="Cambria Math" w:hAnsi="Cambria Math"/>
                        </w:rPr>
                        <m:t>C</m:t>
                      </m:r>
                    </m:e>
                    <m:sub>
                      <m:r>
                        <w:rPr>
                          <w:rFonts w:ascii="Cambria Math" w:hAnsi="Cambria Math"/>
                        </w:rPr>
                        <m:t>g</m:t>
                      </m:r>
                    </m:sub>
                  </m:sSub>
                </m:e>
              </m:nary>
            </m:den>
          </m:f>
        </m:oMath>
      </m:oMathPara>
    </w:p>
    <w:p w14:paraId="7D5C58B4" w14:textId="77777777" w:rsidR="00342E07" w:rsidRDefault="005356A1">
      <w:pPr>
        <w:jc w:val="both"/>
      </w:pPr>
      <w:proofErr w:type="gramStart"/>
      <w:r>
        <w:t>i.e</w:t>
      </w:r>
      <w:proofErr w:type="gramEnd"/>
      <w:r>
        <w:t>. a multivariate version of the pooled estimate for the heterogeneity variance.</w:t>
      </w:r>
    </w:p>
    <w:p w14:paraId="5AC3FD48" w14:textId="77777777" w:rsidR="00342E07" w:rsidRDefault="00342E07">
      <w:pPr>
        <w:pStyle w:val="Heading2"/>
      </w:pPr>
    </w:p>
    <w:p w14:paraId="2BD891CB" w14:textId="77777777" w:rsidR="00342E07" w:rsidRDefault="005356A1">
      <w:pPr>
        <w:pStyle w:val="Heading2"/>
      </w:pPr>
      <w:bookmarkStart w:id="124" w:name="_Toc488490630"/>
      <w:bookmarkStart w:id="125" w:name="_Toc469904542"/>
      <w:bookmarkStart w:id="126" w:name="_Toc373597609"/>
      <w:r>
        <w:t>Tau pooled vs tau group</w:t>
      </w:r>
      <w:bookmarkEnd w:id="124"/>
      <w:bookmarkEnd w:id="125"/>
      <w:bookmarkEnd w:id="126"/>
      <w:r>
        <w:t xml:space="preserve"> </w:t>
      </w:r>
    </w:p>
    <w:p w14:paraId="2E5DDC08" w14:textId="77777777" w:rsidR="00342E07" w:rsidRDefault="00342E07"/>
    <w:p w14:paraId="61CEFD17" w14:textId="77777777" w:rsidR="00342E07" w:rsidRDefault="005356A1">
      <w:r>
        <w:t xml:space="preserve">An alternative (not recommended in our case) is to consider not a pooled version of </w:t>
      </w:r>
      <w:r>
        <w:rPr>
          <w:i/>
        </w:rPr>
        <w:t>τ</w:t>
      </w:r>
      <w:r>
        <w:rPr>
          <w:i/>
          <w:vertAlign w:val="superscript"/>
        </w:rPr>
        <w:t>2</w:t>
      </w:r>
      <w:r>
        <w:t>, but</w:t>
      </w:r>
      <w:r>
        <w:rPr>
          <w:i/>
          <w:vertAlign w:val="superscript"/>
        </w:rPr>
        <w:t xml:space="preserve"> </w:t>
      </w:r>
      <w:r>
        <w:t xml:space="preserve">a </w:t>
      </w:r>
      <w:r>
        <w:rPr>
          <w:i/>
        </w:rPr>
        <w:t>τ</w:t>
      </w:r>
      <w:r>
        <w:rPr>
          <w:i/>
          <w:vertAlign w:val="superscript"/>
        </w:rPr>
        <w:t>2</w:t>
      </w:r>
      <w:r>
        <w:t xml:space="preserve"> for each group (</w:t>
      </w:r>
      <w:r>
        <w:rPr>
          <w:i/>
        </w:rPr>
        <w:t>τ</w:t>
      </w:r>
      <w:r>
        <w:rPr>
          <w:i/>
          <w:vertAlign w:val="superscript"/>
        </w:rPr>
        <w:t>2</w:t>
      </w:r>
      <w:r>
        <w:rPr>
          <w:i/>
          <w:vertAlign w:val="subscript"/>
        </w:rPr>
        <w:t>g</w:t>
      </w:r>
      <w:r>
        <w:t>), defined as follows:</w:t>
      </w:r>
    </w:p>
    <w:p w14:paraId="5CD0418E" w14:textId="77777777" w:rsidR="00342E07" w:rsidRDefault="00342E07"/>
    <w:p w14:paraId="0B0C1E32" w14:textId="77777777" w:rsidR="003A6033" w:rsidRPr="00117729" w:rsidRDefault="00BD61D6" w:rsidP="003A6033">
      <w:pPr>
        <w:jc w:val="center"/>
        <w:rPr>
          <w:rFonts w:eastAsiaTheme="minorEastAsia"/>
        </w:rPr>
      </w:pPr>
      <m:oMathPara>
        <m:oMath>
          <m:sSub>
            <m:sSubPr>
              <m:ctrlPr>
                <w:rPr>
                  <w:rFonts w:ascii="Cambria Math" w:hAnsi="Cambria Math"/>
                  <w:i/>
                </w:rPr>
              </m:ctrlPr>
            </m:sSubPr>
            <m:e>
              <m:r>
                <w:rPr>
                  <w:rFonts w:ascii="Cambria Math" w:hAnsi="Cambria Math"/>
                </w:rPr>
                <m:t>Q</m:t>
              </m:r>
            </m:e>
            <m:sub>
              <m:r>
                <w:rPr>
                  <w:rFonts w:ascii="Cambria Math" w:hAnsi="Cambria Math"/>
                </w:rPr>
                <m:t>g</m:t>
              </m:r>
            </m:sub>
          </m:sSub>
          <m:r>
            <w:rPr>
              <w:rFonts w:ascii="Cambria Math" w:hAnsi="Cambria Math"/>
            </w:rPr>
            <m:t>=</m:t>
          </m:r>
          <m:nary>
            <m:naryPr>
              <m:chr m:val="∑"/>
              <m:limLoc m:val="undOvr"/>
              <m:supHide m:val="1"/>
              <m:ctrlPr>
                <w:rPr>
                  <w:rFonts w:ascii="Cambria Math" w:hAnsi="Cambria Math"/>
                  <w:i/>
                </w:rPr>
              </m:ctrlPr>
            </m:naryPr>
            <m:sub>
              <m:r>
                <w:rPr>
                  <w:rFonts w:ascii="Cambria Math" w:hAnsi="Cambria Math"/>
                </w:rPr>
                <m:t>j</m:t>
              </m:r>
            </m:sub>
            <m:sup/>
            <m:e>
              <m:sSub>
                <m:sSubPr>
                  <m:ctrlPr>
                    <w:rPr>
                      <w:rFonts w:ascii="Cambria Math" w:hAnsi="Cambria Math"/>
                      <w:i/>
                    </w:rPr>
                  </m:ctrlPr>
                </m:sSubPr>
                <m:e>
                  <m:r>
                    <w:rPr>
                      <w:rFonts w:ascii="Cambria Math" w:hAnsi="Cambria Math"/>
                    </w:rPr>
                    <m:t>(</m:t>
                  </m:r>
                  <m:r>
                    <m:rPr>
                      <m:sty m:val="bi"/>
                    </m:rPr>
                    <w:rPr>
                      <w:rFonts w:ascii="Cambria Math" w:hAnsi="Cambria Math"/>
                    </w:rPr>
                    <m:t>d</m:t>
                  </m:r>
                  <m:r>
                    <m:rPr>
                      <m:sty m:val="bi"/>
                    </m:rPr>
                    <w:rPr>
                      <w:rFonts w:ascii="Cambria Math" w:hAnsi="Cambria Math" w:cs="Arial"/>
                    </w:rPr>
                    <m:t>̂</m:t>
                  </m:r>
                </m:e>
                <m:sub>
                  <m:r>
                    <w:rPr>
                      <w:rFonts w:ascii="Cambria Math" w:hAnsi="Cambria Math"/>
                    </w:rPr>
                    <m:t>jg</m:t>
                  </m:r>
                </m:sub>
              </m:sSub>
              <m:r>
                <w:rPr>
                  <w:rFonts w:ascii="Cambria Math" w:hAnsi="Cambria Math"/>
                </w:rPr>
                <m:t>-</m:t>
              </m:r>
              <m:sSub>
                <m:sSubPr>
                  <m:ctrlPr>
                    <w:rPr>
                      <w:rFonts w:ascii="Cambria Math" w:hAnsi="Cambria Math"/>
                      <w:i/>
                    </w:rPr>
                  </m:ctrlPr>
                </m:sSubPr>
                <m:e>
                  <m:r>
                    <m:rPr>
                      <m:sty m:val="bi"/>
                    </m:rPr>
                    <w:rPr>
                      <w:rFonts w:ascii="Cambria Math" w:hAnsi="Cambria Math"/>
                    </w:rPr>
                    <m:t>d</m:t>
                  </m:r>
                  <m:r>
                    <m:rPr>
                      <m:sty m:val="bi"/>
                    </m:rPr>
                    <w:rPr>
                      <w:rFonts w:ascii="Cambria Math" w:hAnsi="Cambria Math" w:cs="Arial"/>
                    </w:rPr>
                    <m:t>̂</m:t>
                  </m:r>
                </m:e>
                <m:sub>
                  <m:r>
                    <w:rPr>
                      <w:rFonts w:ascii="Cambria Math" w:hAnsi="Cambria Math"/>
                    </w:rPr>
                    <m:t>g</m:t>
                  </m:r>
                </m:sub>
              </m:sSub>
              <m:r>
                <w:rPr>
                  <w:rFonts w:ascii="Cambria Math" w:hAnsi="Cambria Math"/>
                </w:rPr>
                <m:t>)</m:t>
              </m:r>
            </m:e>
          </m:nary>
          <m:sSub>
            <m:sSubPr>
              <m:ctrlPr>
                <w:rPr>
                  <w:rFonts w:ascii="Cambria Math" w:hAnsi="Cambria Math"/>
                  <w:i/>
                </w:rPr>
              </m:ctrlPr>
            </m:sSubPr>
            <m:e>
              <m:r>
                <w:rPr>
                  <w:rFonts w:ascii="Cambria Math" w:hAnsi="Cambria Math"/>
                </w:rPr>
                <m:t>W</m:t>
              </m:r>
            </m:e>
            <m:sub>
              <m:r>
                <w:rPr>
                  <w:rFonts w:ascii="Cambria Math" w:hAnsi="Cambria Math"/>
                </w:rPr>
                <m:t>g</m:t>
              </m:r>
            </m:sub>
          </m:sSub>
          <m:sSub>
            <m:sSubPr>
              <m:ctrlPr>
                <w:rPr>
                  <w:rFonts w:ascii="Cambria Math" w:hAnsi="Cambria Math"/>
                  <w:i/>
                </w:rPr>
              </m:ctrlPr>
            </m:sSubPr>
            <m:e>
              <m:r>
                <w:rPr>
                  <w:rFonts w:ascii="Cambria Math" w:hAnsi="Cambria Math"/>
                </w:rPr>
                <m:t>(</m:t>
              </m:r>
              <m:r>
                <m:rPr>
                  <m:sty m:val="bi"/>
                </m:rPr>
                <w:rPr>
                  <w:rFonts w:ascii="Cambria Math" w:hAnsi="Cambria Math"/>
                </w:rPr>
                <m:t>d</m:t>
              </m:r>
              <m:r>
                <m:rPr>
                  <m:sty m:val="bi"/>
                </m:rPr>
                <w:rPr>
                  <w:rFonts w:ascii="Cambria Math" w:hAnsi="Cambria Math" w:cs="Arial"/>
                </w:rPr>
                <m:t>̂</m:t>
              </m:r>
            </m:e>
            <m:sub>
              <m:r>
                <w:rPr>
                  <w:rFonts w:ascii="Cambria Math" w:hAnsi="Cambria Math"/>
                </w:rPr>
                <m:t>jg</m:t>
              </m:r>
            </m:sub>
          </m:sSub>
          <m:r>
            <w:rPr>
              <w:rFonts w:ascii="Cambria Math" w:hAnsi="Cambria Math"/>
            </w:rPr>
            <m:t>-</m:t>
          </m:r>
          <m:sSub>
            <m:sSubPr>
              <m:ctrlPr>
                <w:rPr>
                  <w:rFonts w:ascii="Cambria Math" w:hAnsi="Cambria Math"/>
                  <w:i/>
                </w:rPr>
              </m:ctrlPr>
            </m:sSubPr>
            <m:e>
              <m:r>
                <m:rPr>
                  <m:sty m:val="bi"/>
                </m:rPr>
                <w:rPr>
                  <w:rFonts w:ascii="Cambria Math" w:hAnsi="Cambria Math"/>
                </w:rPr>
                <m:t>d</m:t>
              </m:r>
              <m:r>
                <m:rPr>
                  <m:sty m:val="bi"/>
                </m:rPr>
                <w:rPr>
                  <w:rFonts w:ascii="Cambria Math" w:hAnsi="Cambria Math" w:cs="Arial"/>
                </w:rPr>
                <m:t>̂</m:t>
              </m:r>
            </m:e>
            <m:sub>
              <m:r>
                <w:rPr>
                  <w:rFonts w:ascii="Cambria Math" w:hAnsi="Cambria Math"/>
                </w:rPr>
                <m:t>g</m:t>
              </m:r>
            </m:sub>
          </m:sSub>
          <m:r>
            <w:rPr>
              <w:rFonts w:ascii="Cambria Math" w:hAnsi="Cambria Math"/>
            </w:rPr>
            <m:t>)</m:t>
          </m:r>
        </m:oMath>
      </m:oMathPara>
    </w:p>
    <w:p w14:paraId="4CF5C179" w14:textId="77777777" w:rsidR="003A6033" w:rsidRDefault="003A6033"/>
    <w:p w14:paraId="2A447B18" w14:textId="77777777" w:rsidR="00342E07" w:rsidRDefault="00342E07">
      <w:pPr>
        <w:jc w:val="center"/>
      </w:pPr>
    </w:p>
    <w:p w14:paraId="20330709" w14:textId="77777777" w:rsidR="00342E07" w:rsidRDefault="005356A1">
      <w:pPr>
        <w:jc w:val="center"/>
      </w:pPr>
      <m:oMathPara>
        <m:oMath>
          <m:r>
            <w:rPr>
              <w:rFonts w:ascii="Cambria Math" w:hAnsi="Cambria Math"/>
            </w:rPr>
            <m:t>df=</m:t>
          </m:r>
          <m:d>
            <m:dPr>
              <m:ctrlPr>
                <w:rPr>
                  <w:rFonts w:ascii="Cambria Math" w:hAnsi="Cambria Math"/>
                </w:rPr>
              </m:ctrlPr>
            </m:dPr>
            <m:e>
              <m:sSub>
                <m:sSubPr>
                  <m:ctrlPr>
                    <w:rPr>
                      <w:rFonts w:ascii="Cambria Math" w:hAnsi="Cambria Math"/>
                    </w:rPr>
                  </m:ctrlPr>
                </m:sSubPr>
                <m:e>
                  <m:r>
                    <w:rPr>
                      <w:rFonts w:ascii="Cambria Math" w:hAnsi="Cambria Math"/>
                    </w:rPr>
                    <m:t>T</m:t>
                  </m:r>
                </m:e>
                <m:sub>
                  <m:r>
                    <w:rPr>
                      <w:rFonts w:ascii="Cambria Math" w:hAnsi="Cambria Math"/>
                    </w:rPr>
                    <m:t>g</m:t>
                  </m:r>
                </m:sub>
              </m:sSub>
              <m:r>
                <w:rPr>
                  <w:rFonts w:ascii="Cambria Math" w:hAnsi="Cambria Math"/>
                </w:rPr>
                <m:t>-1</m:t>
              </m:r>
            </m:e>
          </m:d>
          <m:d>
            <m:dPr>
              <m:ctrlPr>
                <w:rPr>
                  <w:rFonts w:ascii="Cambria Math" w:hAnsi="Cambria Math"/>
                </w:rPr>
              </m:ctrlPr>
            </m:dPr>
            <m:e>
              <m:sSub>
                <m:sSubPr>
                  <m:ctrlPr>
                    <w:rPr>
                      <w:rFonts w:ascii="Cambria Math" w:hAnsi="Cambria Math"/>
                    </w:rPr>
                  </m:ctrlPr>
                </m:sSubPr>
                <m:e>
                  <m:r>
                    <w:rPr>
                      <w:rFonts w:ascii="Cambria Math" w:hAnsi="Cambria Math"/>
                    </w:rPr>
                    <m:t>N</m:t>
                  </m:r>
                </m:e>
                <m:sub>
                  <m:r>
                    <w:rPr>
                      <w:rFonts w:ascii="Cambria Math" w:hAnsi="Cambria Math"/>
                    </w:rPr>
                    <m:t>g</m:t>
                  </m:r>
                </m:sub>
              </m:sSub>
              <m:r>
                <w:rPr>
                  <w:rFonts w:ascii="Cambria Math" w:hAnsi="Cambria Math"/>
                </w:rPr>
                <m:t>-1</m:t>
              </m:r>
            </m:e>
          </m:d>
        </m:oMath>
      </m:oMathPara>
    </w:p>
    <w:p w14:paraId="60A1AA67" w14:textId="77777777" w:rsidR="00342E07" w:rsidRDefault="00342E07">
      <w:pPr>
        <w:jc w:val="center"/>
      </w:pPr>
    </w:p>
    <w:p w14:paraId="35130BDB" w14:textId="77777777" w:rsidR="00342E07" w:rsidRDefault="00BD61D6">
      <w:pPr>
        <w:jc w:val="center"/>
      </w:pPr>
      <m:oMathPara>
        <m:oMath>
          <m:sSub>
            <m:sSubPr>
              <m:ctrlPr>
                <w:rPr>
                  <w:rFonts w:ascii="Cambria Math" w:hAnsi="Cambria Math"/>
                </w:rPr>
              </m:ctrlPr>
            </m:sSubPr>
            <m:e>
              <m:r>
                <w:rPr>
                  <w:rFonts w:ascii="Cambria Math" w:hAnsi="Cambria Math"/>
                </w:rPr>
                <m:t>C</m:t>
              </m:r>
            </m:e>
            <m:sub>
              <m:r>
                <w:rPr>
                  <w:rFonts w:ascii="Cambria Math" w:hAnsi="Cambria Math"/>
                </w:rPr>
                <m:t>g</m:t>
              </m:r>
            </m:sub>
          </m:sSub>
          <m:r>
            <w:rPr>
              <w:rFonts w:ascii="Cambria Math" w:hAnsi="Cambria Math"/>
            </w:rPr>
            <m:t>=tr</m:t>
          </m:r>
          <m:d>
            <m:dPr>
              <m:begChr m:val="{"/>
              <m:endChr m:val="}"/>
              <m:ctrlPr>
                <w:rPr>
                  <w:rFonts w:ascii="Cambria Math" w:hAnsi="Cambria Math"/>
                </w:rPr>
              </m:ctrlPr>
            </m:dPr>
            <m:e>
              <m:nary>
                <m:naryPr>
                  <m:chr m:val="∑"/>
                  <m:supHide m:val="1"/>
                  <m:ctrlPr>
                    <w:rPr>
                      <w:rFonts w:ascii="Cambria Math" w:hAnsi="Cambria Math"/>
                    </w:rPr>
                  </m:ctrlPr>
                </m:naryPr>
                <m:sub>
                  <m:r>
                    <w:rPr>
                      <w:rFonts w:ascii="Cambria Math" w:hAnsi="Cambria Math"/>
                    </w:rPr>
                    <m:t>j</m:t>
                  </m:r>
                </m:sub>
                <m:sup/>
                <m:e>
                  <m:sSub>
                    <m:sSubPr>
                      <m:ctrlPr>
                        <w:rPr>
                          <w:rFonts w:ascii="Cambria Math" w:hAnsi="Cambria Math"/>
                        </w:rPr>
                      </m:ctrlPr>
                    </m:sSubPr>
                    <m:e>
                      <m:r>
                        <w:rPr>
                          <w:rFonts w:ascii="Cambria Math" w:hAnsi="Cambria Math"/>
                        </w:rPr>
                        <m:t>W</m:t>
                      </m:r>
                    </m:e>
                    <m:sub>
                      <m:r>
                        <w:rPr>
                          <w:rFonts w:ascii="Cambria Math" w:hAnsi="Cambria Math"/>
                        </w:rPr>
                        <m:t>jg</m:t>
                      </m:r>
                    </m:sub>
                  </m:sSub>
                </m:e>
              </m:nary>
              <m:r>
                <w:rPr>
                  <w:rFonts w:ascii="Cambria Math" w:hAnsi="Cambria Math"/>
                </w:rPr>
                <m:t>-</m:t>
              </m:r>
              <m:nary>
                <m:naryPr>
                  <m:chr m:val="∑"/>
                  <m:supHide m:val="1"/>
                  <m:ctrlPr>
                    <w:rPr>
                      <w:rFonts w:ascii="Cambria Math" w:hAnsi="Cambria Math"/>
                    </w:rPr>
                  </m:ctrlPr>
                </m:naryPr>
                <m:sub>
                  <m:r>
                    <w:rPr>
                      <w:rFonts w:ascii="Cambria Math" w:hAnsi="Cambria Math"/>
                    </w:rPr>
                    <m:t>j</m:t>
                  </m:r>
                </m:sub>
                <m:sup/>
                <m:e>
                  <m:sSubSup>
                    <m:sSubSupPr>
                      <m:ctrlPr>
                        <w:rPr>
                          <w:rFonts w:ascii="Cambria Math" w:hAnsi="Cambria Math"/>
                        </w:rPr>
                      </m:ctrlPr>
                    </m:sSubSupPr>
                    <m:e>
                      <m:r>
                        <w:rPr>
                          <w:rFonts w:ascii="Cambria Math" w:hAnsi="Cambria Math"/>
                        </w:rPr>
                        <m:t>W</m:t>
                      </m:r>
                    </m:e>
                    <m:sub>
                      <m:r>
                        <w:rPr>
                          <w:rFonts w:ascii="Cambria Math" w:hAnsi="Cambria Math"/>
                        </w:rPr>
                        <m:t>jg</m:t>
                      </m:r>
                    </m:sub>
                    <m:sup>
                      <m:r>
                        <w:rPr>
                          <w:rFonts w:ascii="Cambria Math" w:hAnsi="Cambria Math"/>
                        </w:rPr>
                        <m:t>2</m:t>
                      </m:r>
                    </m:sup>
                  </m:sSubSup>
                </m:e>
              </m:nary>
              <m:sSup>
                <m:sSupPr>
                  <m:ctrlPr>
                    <w:rPr>
                      <w:rFonts w:ascii="Cambria Math" w:hAnsi="Cambria Math"/>
                    </w:rPr>
                  </m:ctrlPr>
                </m:sSupPr>
                <m:e>
                  <m:d>
                    <m:dPr>
                      <m:ctrlPr>
                        <w:rPr>
                          <w:rFonts w:ascii="Cambria Math" w:hAnsi="Cambria Math"/>
                        </w:rPr>
                      </m:ctrlPr>
                    </m:dPr>
                    <m:e>
                      <m:nary>
                        <m:naryPr>
                          <m:chr m:val="∑"/>
                          <m:supHide m:val="1"/>
                          <m:ctrlPr>
                            <w:rPr>
                              <w:rFonts w:ascii="Cambria Math" w:hAnsi="Cambria Math"/>
                            </w:rPr>
                          </m:ctrlPr>
                        </m:naryPr>
                        <m:sub>
                          <m:r>
                            <w:rPr>
                              <w:rFonts w:ascii="Cambria Math" w:hAnsi="Cambria Math"/>
                            </w:rPr>
                            <m:t>j</m:t>
                          </m:r>
                        </m:sub>
                        <m:sup/>
                        <m:e>
                          <m:sSub>
                            <m:sSubPr>
                              <m:ctrlPr>
                                <w:rPr>
                                  <w:rFonts w:ascii="Cambria Math" w:hAnsi="Cambria Math"/>
                                </w:rPr>
                              </m:ctrlPr>
                            </m:sSubPr>
                            <m:e>
                              <m:r>
                                <w:rPr>
                                  <w:rFonts w:ascii="Cambria Math" w:hAnsi="Cambria Math"/>
                                </w:rPr>
                                <m:t>W</m:t>
                              </m:r>
                            </m:e>
                            <m:sub>
                              <m:r>
                                <w:rPr>
                                  <w:rFonts w:ascii="Cambria Math" w:hAnsi="Cambria Math"/>
                                </w:rPr>
                                <m:t>jg</m:t>
                              </m:r>
                            </m:sub>
                          </m:sSub>
                        </m:e>
                      </m:nary>
                    </m:e>
                  </m:d>
                </m:e>
                <m:sup>
                  <m:r>
                    <w:rPr>
                      <w:rFonts w:ascii="Cambria Math" w:hAnsi="Cambria Math"/>
                    </w:rPr>
                    <m:t>-1</m:t>
                  </m:r>
                </m:sup>
              </m:sSup>
            </m:e>
          </m:d>
        </m:oMath>
      </m:oMathPara>
    </w:p>
    <w:p w14:paraId="36BAB39D" w14:textId="77777777" w:rsidR="00342E07" w:rsidRDefault="00342E07"/>
    <w:p w14:paraId="33896CD2" w14:textId="77777777" w:rsidR="00342E07" w:rsidRDefault="00BD61D6">
      <w:pPr>
        <w:jc w:val="center"/>
      </w:pPr>
      <m:oMathPara>
        <m:oMath>
          <m:sSubSup>
            <m:sSubSupPr>
              <m:ctrlPr>
                <w:rPr>
                  <w:rFonts w:ascii="Cambria Math" w:hAnsi="Cambria Math"/>
                </w:rPr>
              </m:ctrlPr>
            </m:sSubSupPr>
            <m:e>
              <m:r>
                <w:rPr>
                  <w:rFonts w:ascii="Cambria Math" w:hAnsi="Cambria Math"/>
                </w:rPr>
                <m:t>τ̂</m:t>
              </m:r>
            </m:e>
            <m:sub>
              <m:r>
                <w:rPr>
                  <w:rFonts w:ascii="Cambria Math" w:hAnsi="Cambria Math"/>
                </w:rPr>
                <m:t>g</m:t>
              </m:r>
            </m:sub>
            <m:sup>
              <m:r>
                <w:rPr>
                  <w:rFonts w:ascii="Cambria Math" w:hAnsi="Cambria Math"/>
                </w:rPr>
                <m:t>2</m:t>
              </m:r>
            </m:sup>
          </m:sSubSup>
          <m:r>
            <w:rPr>
              <w:rFonts w:ascii="Cambria Math" w:hAnsi="Cambria Math"/>
            </w:rPr>
            <m:t>=max⁡{0,</m:t>
          </m:r>
          <m:f>
            <m:fPr>
              <m:ctrlPr>
                <w:rPr>
                  <w:rFonts w:ascii="Cambria Math" w:hAnsi="Cambria Math"/>
                </w:rPr>
              </m:ctrlPr>
            </m:fPr>
            <m:num>
              <m:sSub>
                <m:sSubPr>
                  <m:ctrlPr>
                    <w:rPr>
                      <w:rFonts w:ascii="Cambria Math" w:hAnsi="Cambria Math"/>
                    </w:rPr>
                  </m:ctrlPr>
                </m:sSubPr>
                <m:e>
                  <m:r>
                    <w:rPr>
                      <w:rFonts w:ascii="Cambria Math" w:hAnsi="Cambria Math"/>
                    </w:rPr>
                    <m:t>Q</m:t>
                  </m:r>
                </m:e>
                <m:sub>
                  <m:r>
                    <w:rPr>
                      <w:rFonts w:ascii="Cambria Math" w:hAnsi="Cambria Math"/>
                    </w:rPr>
                    <m:t>g</m:t>
                  </m:r>
                </m:sub>
              </m:sSub>
              <m:r>
                <w:rPr>
                  <w:rFonts w:ascii="Cambria Math" w:hAnsi="Cambria Math"/>
                </w:rPr>
                <m:t>-</m:t>
              </m:r>
              <m:sSub>
                <m:sSubPr>
                  <m:ctrlPr>
                    <w:rPr>
                      <w:rFonts w:ascii="Cambria Math" w:hAnsi="Cambria Math"/>
                    </w:rPr>
                  </m:ctrlPr>
                </m:sSubPr>
                <m:e>
                  <m:r>
                    <w:rPr>
                      <w:rFonts w:ascii="Cambria Math" w:hAnsi="Cambria Math"/>
                    </w:rPr>
                    <m:t>df</m:t>
                  </m:r>
                </m:e>
                <m:sub>
                  <m:r>
                    <w:rPr>
                      <w:rFonts w:ascii="Cambria Math" w:hAnsi="Cambria Math"/>
                    </w:rPr>
                    <m:t>g</m:t>
                  </m:r>
                </m:sub>
              </m:sSub>
            </m:num>
            <m:den>
              <m:sSub>
                <m:sSubPr>
                  <m:ctrlPr>
                    <w:rPr>
                      <w:rFonts w:ascii="Cambria Math" w:hAnsi="Cambria Math"/>
                    </w:rPr>
                  </m:ctrlPr>
                </m:sSubPr>
                <m:e>
                  <m:r>
                    <w:rPr>
                      <w:rFonts w:ascii="Cambria Math" w:hAnsi="Cambria Math"/>
                    </w:rPr>
                    <m:t>C</m:t>
                  </m:r>
                </m:e>
                <m:sub>
                  <m:r>
                    <w:rPr>
                      <w:rFonts w:ascii="Cambria Math" w:hAnsi="Cambria Math"/>
                    </w:rPr>
                    <m:t>g</m:t>
                  </m:r>
                </m:sub>
              </m:sSub>
            </m:den>
          </m:f>
          <m:r>
            <w:rPr>
              <w:rFonts w:ascii="Cambria Math" w:hAnsi="Cambria Math"/>
            </w:rPr>
            <m:t>}</m:t>
          </m:r>
        </m:oMath>
      </m:oMathPara>
    </w:p>
    <w:p w14:paraId="3A208583" w14:textId="77777777" w:rsidR="00342E07" w:rsidRDefault="005356A1">
      <w:r>
        <w:t>Where</w:t>
      </w:r>
    </w:p>
    <w:p w14:paraId="0CAEC889" w14:textId="77777777" w:rsidR="00342E07" w:rsidRDefault="005356A1">
      <w:r>
        <w:t xml:space="preserve">In the previous formulas the subscript </w:t>
      </w:r>
      <w:r>
        <w:rPr>
          <w:i/>
        </w:rPr>
        <w:t>j</w:t>
      </w:r>
      <w:r>
        <w:t xml:space="preserve"> represents a generic cohort and the subscript</w:t>
      </w:r>
      <w:r>
        <w:rPr>
          <w:i/>
        </w:rPr>
        <w:t xml:space="preserve"> g</w:t>
      </w:r>
      <w:r>
        <w:t xml:space="preserve"> represents a generic group. Then, </w:t>
      </w:r>
      <w:proofErr w:type="spellStart"/>
      <w:r>
        <w:rPr>
          <w:b/>
          <w:i/>
        </w:rPr>
        <w:t>W</w:t>
      </w:r>
      <w:r>
        <w:rPr>
          <w:i/>
          <w:vertAlign w:val="subscript"/>
        </w:rPr>
        <w:t>jg</w:t>
      </w:r>
      <w:proofErr w:type="spellEnd"/>
      <w:r>
        <w:rPr>
          <w:i/>
          <w:vertAlign w:val="subscript"/>
        </w:rPr>
        <w:t xml:space="preserve"> </w:t>
      </w:r>
      <w:r>
        <w:t xml:space="preserve">is the inverse of the covariance matrix related to the performance of the scores in the cohort </w:t>
      </w:r>
      <w:r>
        <w:rPr>
          <w:i/>
        </w:rPr>
        <w:t xml:space="preserve">j </w:t>
      </w:r>
      <w:r>
        <w:t>in the group</w:t>
      </w:r>
      <w:r>
        <w:rPr>
          <w:i/>
        </w:rPr>
        <w:t xml:space="preserve"> g</w:t>
      </w:r>
      <w:r>
        <w:t xml:space="preserve">. </w:t>
      </w:r>
      <w:proofErr w:type="spellStart"/>
      <w:r>
        <w:rPr>
          <w:i/>
        </w:rPr>
        <w:t>T</w:t>
      </w:r>
      <w:r>
        <w:rPr>
          <w:i/>
          <w:vertAlign w:val="subscript"/>
        </w:rPr>
        <w:t>g</w:t>
      </w:r>
      <w:proofErr w:type="spellEnd"/>
      <w:r>
        <w:rPr>
          <w:i/>
          <w:vertAlign w:val="subscript"/>
        </w:rPr>
        <w:t xml:space="preserve"> </w:t>
      </w:r>
      <w:r>
        <w:t xml:space="preserve">is the number of scores that can be evaluated in the group </w:t>
      </w:r>
      <w:r>
        <w:rPr>
          <w:i/>
        </w:rPr>
        <w:t>g</w:t>
      </w:r>
      <w:r>
        <w:t xml:space="preserve">, </w:t>
      </w:r>
      <w:r>
        <w:rPr>
          <w:i/>
        </w:rPr>
        <w:t>N</w:t>
      </w:r>
      <w:r>
        <w:rPr>
          <w:i/>
          <w:vertAlign w:val="subscript"/>
        </w:rPr>
        <w:t>g</w:t>
      </w:r>
      <w:r>
        <w:t xml:space="preserve"> is the number of cohorts in the group </w:t>
      </w:r>
      <w:r>
        <w:rPr>
          <w:i/>
        </w:rPr>
        <w:t>g</w:t>
      </w:r>
      <w:r>
        <w:t xml:space="preserve">. Finally, </w:t>
      </w:r>
      <w:proofErr w:type="spellStart"/>
      <w:r>
        <w:rPr>
          <w:b/>
        </w:rPr>
        <w:t>d</w:t>
      </w:r>
      <w:r>
        <w:rPr>
          <w:rFonts w:ascii="Arial" w:hAnsi="Arial" w:cs="Arial"/>
          <w:b/>
        </w:rPr>
        <w:t>̂</w:t>
      </w:r>
      <w:r>
        <w:rPr>
          <w:rFonts w:ascii="Arial" w:hAnsi="Arial" w:cs="Arial"/>
          <w:b/>
          <w:vertAlign w:val="subscript"/>
        </w:rPr>
        <w:t>g</w:t>
      </w:r>
      <w:proofErr w:type="spellEnd"/>
      <w:r>
        <w:rPr>
          <w:rFonts w:ascii="Arial" w:hAnsi="Arial" w:cs="Arial"/>
        </w:rPr>
        <w:t xml:space="preserve"> </w:t>
      </w:r>
      <w:r>
        <w:t xml:space="preserve">is the estimate of the performance vector in the group </w:t>
      </w:r>
      <w:r>
        <w:rPr>
          <w:i/>
        </w:rPr>
        <w:t>g</w:t>
      </w:r>
      <w:r>
        <w:t xml:space="preserve"> </w:t>
      </w:r>
      <w:proofErr w:type="gramStart"/>
      <w:r>
        <w:t xml:space="preserve">and  </w:t>
      </w:r>
      <w:proofErr w:type="spellStart"/>
      <w:r>
        <w:rPr>
          <w:b/>
        </w:rPr>
        <w:t>d</w:t>
      </w:r>
      <w:proofErr w:type="gramEnd"/>
      <w:r>
        <w:rPr>
          <w:rFonts w:ascii="Arial" w:hAnsi="Arial" w:cs="Arial"/>
          <w:b/>
        </w:rPr>
        <w:t>̂</w:t>
      </w:r>
      <w:r>
        <w:rPr>
          <w:rFonts w:ascii="Arial" w:hAnsi="Arial" w:cs="Arial"/>
          <w:b/>
          <w:vertAlign w:val="subscript"/>
        </w:rPr>
        <w:t>jg</w:t>
      </w:r>
      <w:proofErr w:type="spellEnd"/>
      <w:r>
        <w:t xml:space="preserve">  is the estimate of the performance vector in the cohort </w:t>
      </w:r>
      <w:r>
        <w:rPr>
          <w:i/>
        </w:rPr>
        <w:t>j</w:t>
      </w:r>
      <w:r>
        <w:t xml:space="preserve"> of the group </w:t>
      </w:r>
      <w:r>
        <w:rPr>
          <w:i/>
        </w:rPr>
        <w:t>g</w:t>
      </w:r>
      <w:r>
        <w:t>.</w:t>
      </w:r>
    </w:p>
    <w:p w14:paraId="284FF05C" w14:textId="77777777" w:rsidR="00342E07" w:rsidRDefault="005356A1">
      <w:pPr>
        <w:tabs>
          <w:tab w:val="left" w:pos="3736"/>
        </w:tabs>
      </w:pPr>
      <w:r>
        <w:tab/>
      </w:r>
    </w:p>
    <w:p w14:paraId="1DC4C2EE" w14:textId="77777777" w:rsidR="00342E07" w:rsidRDefault="00342E07">
      <w:pPr>
        <w:tabs>
          <w:tab w:val="left" w:pos="3736"/>
        </w:tabs>
      </w:pPr>
    </w:p>
    <w:tbl>
      <w:tblPr>
        <w:tblW w:w="6843" w:type="dxa"/>
        <w:jc w:val="center"/>
        <w:tblBorders>
          <w:top w:val="single" w:sz="4" w:space="0" w:color="00000A"/>
        </w:tblBorders>
        <w:tblLook w:val="04A0" w:firstRow="1" w:lastRow="0" w:firstColumn="1" w:lastColumn="0" w:noHBand="0" w:noVBand="1"/>
      </w:tblPr>
      <w:tblGrid>
        <w:gridCol w:w="961"/>
        <w:gridCol w:w="1040"/>
        <w:gridCol w:w="1041"/>
        <w:gridCol w:w="1460"/>
        <w:gridCol w:w="980"/>
        <w:gridCol w:w="1361"/>
      </w:tblGrid>
      <w:tr w:rsidR="00342E07" w14:paraId="0B5DB751" w14:textId="77777777">
        <w:trPr>
          <w:trHeight w:val="288"/>
          <w:jc w:val="center"/>
        </w:trPr>
        <w:tc>
          <w:tcPr>
            <w:tcW w:w="6842" w:type="dxa"/>
            <w:gridSpan w:val="6"/>
            <w:tcBorders>
              <w:top w:val="single" w:sz="4" w:space="0" w:color="00000A"/>
            </w:tcBorders>
            <w:shd w:val="clear" w:color="auto" w:fill="FFFFFF"/>
            <w:vAlign w:val="center"/>
          </w:tcPr>
          <w:p w14:paraId="2076DF35" w14:textId="77777777" w:rsidR="00342E07" w:rsidRDefault="005356A1">
            <w:pPr>
              <w:spacing w:after="0" w:line="240" w:lineRule="auto"/>
              <w:rPr>
                <w:rFonts w:cs="Arial"/>
                <w:b/>
              </w:rPr>
            </w:pPr>
            <w:r>
              <w:rPr>
                <w:rFonts w:cs="Arial"/>
                <w:b/>
              </w:rPr>
              <w:t>Heterogeneity parameters in the MSC meta-analysis</w:t>
            </w:r>
          </w:p>
        </w:tc>
      </w:tr>
      <w:tr w:rsidR="00342E07" w14:paraId="6AE48ECA" w14:textId="77777777">
        <w:trPr>
          <w:trHeight w:val="288"/>
          <w:jc w:val="center"/>
        </w:trPr>
        <w:tc>
          <w:tcPr>
            <w:tcW w:w="960" w:type="dxa"/>
            <w:shd w:val="clear" w:color="auto" w:fill="A6A6A6"/>
            <w:vAlign w:val="center"/>
          </w:tcPr>
          <w:p w14:paraId="254E67B5" w14:textId="77777777" w:rsidR="00342E07" w:rsidRDefault="005356A1">
            <w:pPr>
              <w:spacing w:after="0" w:line="240" w:lineRule="auto"/>
              <w:jc w:val="center"/>
              <w:rPr>
                <w:rFonts w:eastAsia="Times New Roman" w:cs="Times New Roman"/>
                <w:b/>
                <w:bCs/>
                <w:color w:val="000000"/>
              </w:rPr>
            </w:pPr>
            <w:r>
              <w:rPr>
                <w:rFonts w:eastAsia="Times New Roman" w:cs="Times New Roman"/>
                <w:b/>
                <w:bCs/>
                <w:color w:val="000000"/>
              </w:rPr>
              <w:t>Group</w:t>
            </w:r>
          </w:p>
        </w:tc>
        <w:tc>
          <w:tcPr>
            <w:tcW w:w="1040" w:type="dxa"/>
            <w:shd w:val="clear" w:color="auto" w:fill="A6A6A6"/>
            <w:vAlign w:val="center"/>
          </w:tcPr>
          <w:p w14:paraId="4BED56F5" w14:textId="77777777" w:rsidR="00342E07" w:rsidRDefault="005356A1">
            <w:pPr>
              <w:spacing w:after="0" w:line="240" w:lineRule="auto"/>
              <w:jc w:val="center"/>
            </w:pPr>
            <w:proofErr w:type="spellStart"/>
            <w:r>
              <w:rPr>
                <w:rFonts w:eastAsia="Times New Roman" w:cs="Times New Roman"/>
                <w:b/>
                <w:bCs/>
                <w:color w:val="000000"/>
              </w:rPr>
              <w:t>Q</w:t>
            </w:r>
            <w:r>
              <w:rPr>
                <w:rFonts w:eastAsia="Times New Roman" w:cs="Times New Roman"/>
                <w:b/>
                <w:bCs/>
                <w:color w:val="000000"/>
                <w:vertAlign w:val="subscript"/>
              </w:rPr>
              <w:t>g</w:t>
            </w:r>
            <w:proofErr w:type="spellEnd"/>
          </w:p>
        </w:tc>
        <w:tc>
          <w:tcPr>
            <w:tcW w:w="1041" w:type="dxa"/>
            <w:shd w:val="clear" w:color="auto" w:fill="A6A6A6"/>
            <w:vAlign w:val="center"/>
          </w:tcPr>
          <w:p w14:paraId="6B2DC46D" w14:textId="77777777" w:rsidR="00342E07" w:rsidRDefault="005356A1">
            <w:pPr>
              <w:spacing w:after="0" w:line="240" w:lineRule="auto"/>
              <w:jc w:val="center"/>
            </w:pPr>
            <w:proofErr w:type="spellStart"/>
            <w:r>
              <w:rPr>
                <w:rFonts w:eastAsia="Times New Roman" w:cs="Times New Roman"/>
                <w:b/>
                <w:bCs/>
                <w:color w:val="000000"/>
              </w:rPr>
              <w:t>df</w:t>
            </w:r>
            <w:r>
              <w:rPr>
                <w:rFonts w:eastAsia="Times New Roman" w:cs="Times New Roman"/>
                <w:b/>
                <w:bCs/>
                <w:color w:val="000000"/>
                <w:vertAlign w:val="subscript"/>
              </w:rPr>
              <w:t>g</w:t>
            </w:r>
            <w:proofErr w:type="spellEnd"/>
          </w:p>
        </w:tc>
        <w:tc>
          <w:tcPr>
            <w:tcW w:w="1460" w:type="dxa"/>
            <w:shd w:val="clear" w:color="auto" w:fill="A6A6A6"/>
            <w:vAlign w:val="center"/>
          </w:tcPr>
          <w:p w14:paraId="55D5781E" w14:textId="77777777" w:rsidR="00342E07" w:rsidRDefault="005356A1">
            <w:pPr>
              <w:spacing w:after="0" w:line="240" w:lineRule="auto"/>
              <w:jc w:val="center"/>
            </w:pPr>
            <w:r>
              <w:rPr>
                <w:rFonts w:eastAsia="Times New Roman" w:cs="Times New Roman"/>
                <w:b/>
                <w:bCs/>
                <w:color w:val="000000"/>
              </w:rPr>
              <w:t>C</w:t>
            </w:r>
            <w:r>
              <w:rPr>
                <w:rFonts w:eastAsia="Times New Roman" w:cs="Times New Roman"/>
                <w:b/>
                <w:bCs/>
                <w:color w:val="000000"/>
                <w:vertAlign w:val="subscript"/>
              </w:rPr>
              <w:t>g</w:t>
            </w:r>
          </w:p>
        </w:tc>
        <w:tc>
          <w:tcPr>
            <w:tcW w:w="980" w:type="dxa"/>
            <w:shd w:val="clear" w:color="auto" w:fill="A6A6A6"/>
            <w:vAlign w:val="center"/>
          </w:tcPr>
          <w:p w14:paraId="796DEDBD" w14:textId="77777777" w:rsidR="00342E07" w:rsidRDefault="005356A1">
            <w:pPr>
              <w:spacing w:after="0" w:line="240" w:lineRule="auto"/>
              <w:jc w:val="center"/>
            </w:pPr>
            <w:r>
              <w:rPr>
                <w:rFonts w:eastAsia="Times New Roman" w:cs="Times New Roman"/>
                <w:b/>
                <w:bCs/>
                <w:color w:val="000000"/>
              </w:rPr>
              <w:t>τ</w:t>
            </w:r>
            <w:r>
              <w:rPr>
                <w:rFonts w:eastAsia="Times New Roman" w:cs="Times New Roman"/>
                <w:b/>
                <w:bCs/>
                <w:color w:val="000000"/>
                <w:vertAlign w:val="subscript"/>
              </w:rPr>
              <w:t>g</w:t>
            </w:r>
            <w:r>
              <w:rPr>
                <w:rFonts w:eastAsia="Times New Roman" w:cs="Times New Roman"/>
                <w:b/>
                <w:bCs/>
                <w:color w:val="000000"/>
                <w:vertAlign w:val="superscript"/>
              </w:rPr>
              <w:t>2</w:t>
            </w:r>
          </w:p>
        </w:tc>
        <w:tc>
          <w:tcPr>
            <w:tcW w:w="1361" w:type="dxa"/>
            <w:shd w:val="clear" w:color="auto" w:fill="A6A6A6"/>
            <w:vAlign w:val="center"/>
          </w:tcPr>
          <w:p w14:paraId="09465982" w14:textId="77777777" w:rsidR="00342E07" w:rsidRDefault="005356A1">
            <w:pPr>
              <w:spacing w:after="0" w:line="240" w:lineRule="auto"/>
              <w:jc w:val="center"/>
            </w:pPr>
            <w:proofErr w:type="spellStart"/>
            <w:r>
              <w:rPr>
                <w:rFonts w:eastAsia="Times New Roman" w:cs="Times New Roman"/>
                <w:b/>
                <w:bCs/>
                <w:color w:val="000000"/>
              </w:rPr>
              <w:t>τ</w:t>
            </w:r>
            <w:r>
              <w:rPr>
                <w:rFonts w:eastAsia="Times New Roman" w:cs="Times New Roman"/>
                <w:b/>
                <w:bCs/>
                <w:color w:val="000000"/>
                <w:vertAlign w:val="subscript"/>
              </w:rPr>
              <w:t>g</w:t>
            </w:r>
            <w:proofErr w:type="spellEnd"/>
          </w:p>
        </w:tc>
      </w:tr>
      <w:tr w:rsidR="00342E07" w14:paraId="2F454EE0" w14:textId="77777777">
        <w:trPr>
          <w:trHeight w:val="288"/>
          <w:jc w:val="center"/>
        </w:trPr>
        <w:tc>
          <w:tcPr>
            <w:tcW w:w="960" w:type="dxa"/>
            <w:tcBorders>
              <w:top w:val="single" w:sz="4" w:space="0" w:color="00000A"/>
              <w:bottom w:val="single" w:sz="4" w:space="0" w:color="00000A"/>
            </w:tcBorders>
            <w:shd w:val="clear" w:color="auto" w:fill="FFFFFF"/>
            <w:vAlign w:val="center"/>
          </w:tcPr>
          <w:p w14:paraId="5D46CEEC" w14:textId="77777777" w:rsidR="00342E07" w:rsidRDefault="005356A1">
            <w:pPr>
              <w:spacing w:after="0" w:line="240" w:lineRule="auto"/>
              <w:jc w:val="center"/>
              <w:rPr>
                <w:rFonts w:eastAsia="Times New Roman" w:cs="Times New Roman"/>
                <w:color w:val="000000"/>
              </w:rPr>
            </w:pPr>
            <w:r>
              <w:rPr>
                <w:rFonts w:eastAsia="Times New Roman" w:cs="Times New Roman"/>
                <w:color w:val="000000"/>
              </w:rPr>
              <w:t>1</w:t>
            </w:r>
          </w:p>
        </w:tc>
        <w:tc>
          <w:tcPr>
            <w:tcW w:w="1040" w:type="dxa"/>
            <w:tcBorders>
              <w:top w:val="single" w:sz="4" w:space="0" w:color="00000A"/>
              <w:bottom w:val="single" w:sz="4" w:space="0" w:color="00000A"/>
            </w:tcBorders>
            <w:shd w:val="clear" w:color="auto" w:fill="FFFFFF"/>
            <w:vAlign w:val="center"/>
          </w:tcPr>
          <w:p w14:paraId="007D112D" w14:textId="77777777" w:rsidR="00342E07" w:rsidRDefault="005356A1">
            <w:pPr>
              <w:spacing w:after="0" w:line="240" w:lineRule="auto"/>
              <w:jc w:val="center"/>
              <w:rPr>
                <w:rFonts w:eastAsia="Times New Roman" w:cs="Times New Roman"/>
                <w:color w:val="000000"/>
              </w:rPr>
            </w:pPr>
            <w:r>
              <w:rPr>
                <w:rFonts w:eastAsia="Times New Roman" w:cs="Times New Roman"/>
                <w:color w:val="000000"/>
              </w:rPr>
              <w:t>3</w:t>
            </w:r>
          </w:p>
        </w:tc>
        <w:tc>
          <w:tcPr>
            <w:tcW w:w="1041" w:type="dxa"/>
            <w:tcBorders>
              <w:top w:val="single" w:sz="4" w:space="0" w:color="00000A"/>
              <w:bottom w:val="single" w:sz="4" w:space="0" w:color="00000A"/>
            </w:tcBorders>
            <w:shd w:val="clear" w:color="auto" w:fill="FFFFFF"/>
            <w:vAlign w:val="center"/>
          </w:tcPr>
          <w:p w14:paraId="59088BDE" w14:textId="77777777" w:rsidR="00342E07" w:rsidRDefault="005356A1">
            <w:pPr>
              <w:spacing w:after="0" w:line="240" w:lineRule="auto"/>
              <w:jc w:val="center"/>
              <w:rPr>
                <w:rFonts w:eastAsia="Times New Roman" w:cs="Times New Roman"/>
                <w:color w:val="000000"/>
              </w:rPr>
            </w:pPr>
            <w:r>
              <w:rPr>
                <w:rFonts w:eastAsia="Times New Roman" w:cs="Times New Roman"/>
                <w:color w:val="000000"/>
              </w:rPr>
              <w:t>3</w:t>
            </w:r>
          </w:p>
        </w:tc>
        <w:tc>
          <w:tcPr>
            <w:tcW w:w="1460" w:type="dxa"/>
            <w:tcBorders>
              <w:top w:val="single" w:sz="4" w:space="0" w:color="00000A"/>
              <w:bottom w:val="single" w:sz="4" w:space="0" w:color="00000A"/>
            </w:tcBorders>
            <w:shd w:val="clear" w:color="auto" w:fill="FFFFFF"/>
            <w:vAlign w:val="center"/>
          </w:tcPr>
          <w:p w14:paraId="37EA970C" w14:textId="77777777" w:rsidR="00342E07" w:rsidRDefault="005356A1">
            <w:pPr>
              <w:spacing w:after="0" w:line="240" w:lineRule="auto"/>
              <w:jc w:val="center"/>
              <w:rPr>
                <w:rFonts w:eastAsia="Times New Roman" w:cs="Times New Roman"/>
                <w:color w:val="000000"/>
              </w:rPr>
            </w:pPr>
            <w:r>
              <w:rPr>
                <w:rFonts w:eastAsia="Times New Roman" w:cs="Times New Roman"/>
                <w:color w:val="000000"/>
              </w:rPr>
              <w:t>4667</w:t>
            </w:r>
          </w:p>
        </w:tc>
        <w:tc>
          <w:tcPr>
            <w:tcW w:w="980" w:type="dxa"/>
            <w:tcBorders>
              <w:top w:val="single" w:sz="4" w:space="0" w:color="00000A"/>
              <w:bottom w:val="single" w:sz="4" w:space="0" w:color="00000A"/>
            </w:tcBorders>
            <w:shd w:val="clear" w:color="auto" w:fill="FFFFFF"/>
            <w:vAlign w:val="center"/>
          </w:tcPr>
          <w:p w14:paraId="3DB16CAB" w14:textId="77777777" w:rsidR="00342E07" w:rsidRDefault="005356A1">
            <w:pPr>
              <w:spacing w:after="0" w:line="240" w:lineRule="auto"/>
              <w:jc w:val="center"/>
              <w:rPr>
                <w:rFonts w:eastAsia="Times New Roman" w:cs="Times New Roman"/>
                <w:color w:val="000000"/>
              </w:rPr>
            </w:pPr>
            <w:r>
              <w:rPr>
                <w:rFonts w:eastAsia="Times New Roman" w:cs="Times New Roman"/>
                <w:color w:val="000000"/>
              </w:rPr>
              <w:t>0.000</w:t>
            </w:r>
          </w:p>
        </w:tc>
        <w:tc>
          <w:tcPr>
            <w:tcW w:w="1361" w:type="dxa"/>
            <w:tcBorders>
              <w:top w:val="single" w:sz="4" w:space="0" w:color="00000A"/>
              <w:bottom w:val="single" w:sz="4" w:space="0" w:color="00000A"/>
            </w:tcBorders>
            <w:shd w:val="clear" w:color="auto" w:fill="FFFFFF"/>
            <w:vAlign w:val="center"/>
          </w:tcPr>
          <w:p w14:paraId="5AA2B6A2" w14:textId="77777777" w:rsidR="00342E07" w:rsidRDefault="005356A1">
            <w:pPr>
              <w:spacing w:after="0" w:line="240" w:lineRule="auto"/>
              <w:jc w:val="center"/>
              <w:rPr>
                <w:rFonts w:eastAsia="Times New Roman" w:cs="Times New Roman"/>
                <w:color w:val="000000"/>
              </w:rPr>
            </w:pPr>
            <w:r>
              <w:rPr>
                <w:rFonts w:eastAsia="Times New Roman" w:cs="Times New Roman"/>
                <w:color w:val="000000"/>
              </w:rPr>
              <w:t>0.00000</w:t>
            </w:r>
          </w:p>
        </w:tc>
      </w:tr>
      <w:tr w:rsidR="00342E07" w14:paraId="1FB6980F" w14:textId="77777777">
        <w:trPr>
          <w:trHeight w:val="288"/>
          <w:jc w:val="center"/>
        </w:trPr>
        <w:tc>
          <w:tcPr>
            <w:tcW w:w="960" w:type="dxa"/>
            <w:tcBorders>
              <w:top w:val="single" w:sz="4" w:space="0" w:color="00000A"/>
              <w:bottom w:val="single" w:sz="4" w:space="0" w:color="00000A"/>
            </w:tcBorders>
            <w:shd w:val="clear" w:color="auto" w:fill="FFFFFF"/>
            <w:vAlign w:val="center"/>
          </w:tcPr>
          <w:p w14:paraId="10EFC20B" w14:textId="77777777" w:rsidR="00342E07" w:rsidRDefault="005356A1">
            <w:pPr>
              <w:spacing w:after="0" w:line="240" w:lineRule="auto"/>
              <w:jc w:val="center"/>
              <w:rPr>
                <w:rFonts w:eastAsia="Times New Roman" w:cs="Times New Roman"/>
                <w:color w:val="000000"/>
              </w:rPr>
            </w:pPr>
            <w:r>
              <w:rPr>
                <w:rFonts w:eastAsia="Times New Roman" w:cs="Times New Roman"/>
                <w:color w:val="000000"/>
              </w:rPr>
              <w:t>2</w:t>
            </w:r>
          </w:p>
        </w:tc>
        <w:tc>
          <w:tcPr>
            <w:tcW w:w="1040" w:type="dxa"/>
            <w:tcBorders>
              <w:top w:val="single" w:sz="4" w:space="0" w:color="00000A"/>
              <w:bottom w:val="single" w:sz="4" w:space="0" w:color="00000A"/>
            </w:tcBorders>
            <w:shd w:val="clear" w:color="auto" w:fill="FFFFFF"/>
            <w:vAlign w:val="center"/>
          </w:tcPr>
          <w:p w14:paraId="58F3CB3B" w14:textId="77777777" w:rsidR="00342E07" w:rsidRDefault="005356A1">
            <w:pPr>
              <w:spacing w:after="0" w:line="240" w:lineRule="auto"/>
              <w:jc w:val="center"/>
              <w:rPr>
                <w:rFonts w:eastAsia="Times New Roman" w:cs="Times New Roman"/>
                <w:color w:val="000000"/>
              </w:rPr>
            </w:pPr>
            <w:r>
              <w:rPr>
                <w:rFonts w:eastAsia="Times New Roman" w:cs="Times New Roman"/>
                <w:color w:val="000000"/>
              </w:rPr>
              <w:t>16</w:t>
            </w:r>
          </w:p>
        </w:tc>
        <w:tc>
          <w:tcPr>
            <w:tcW w:w="1041" w:type="dxa"/>
            <w:tcBorders>
              <w:top w:val="single" w:sz="4" w:space="0" w:color="00000A"/>
              <w:bottom w:val="single" w:sz="4" w:space="0" w:color="00000A"/>
            </w:tcBorders>
            <w:shd w:val="clear" w:color="auto" w:fill="FFFFFF"/>
            <w:vAlign w:val="center"/>
          </w:tcPr>
          <w:p w14:paraId="1BC868DB" w14:textId="77777777" w:rsidR="00342E07" w:rsidRDefault="005356A1">
            <w:pPr>
              <w:spacing w:after="0" w:line="240" w:lineRule="auto"/>
              <w:jc w:val="center"/>
              <w:rPr>
                <w:rFonts w:eastAsia="Times New Roman" w:cs="Times New Roman"/>
                <w:color w:val="000000"/>
              </w:rPr>
            </w:pPr>
            <w:r>
              <w:rPr>
                <w:rFonts w:eastAsia="Times New Roman" w:cs="Times New Roman"/>
                <w:color w:val="000000"/>
              </w:rPr>
              <w:t>12</w:t>
            </w:r>
          </w:p>
        </w:tc>
        <w:tc>
          <w:tcPr>
            <w:tcW w:w="1460" w:type="dxa"/>
            <w:tcBorders>
              <w:top w:val="single" w:sz="4" w:space="0" w:color="00000A"/>
              <w:bottom w:val="single" w:sz="4" w:space="0" w:color="00000A"/>
            </w:tcBorders>
            <w:shd w:val="clear" w:color="auto" w:fill="FFFFFF"/>
            <w:vAlign w:val="center"/>
          </w:tcPr>
          <w:p w14:paraId="726B6BE7" w14:textId="77777777" w:rsidR="00342E07" w:rsidRDefault="005356A1">
            <w:pPr>
              <w:spacing w:after="0" w:line="240" w:lineRule="auto"/>
              <w:jc w:val="center"/>
              <w:rPr>
                <w:rFonts w:eastAsia="Times New Roman" w:cs="Times New Roman"/>
                <w:color w:val="000000"/>
              </w:rPr>
            </w:pPr>
            <w:r>
              <w:rPr>
                <w:rFonts w:eastAsia="Times New Roman" w:cs="Times New Roman"/>
                <w:color w:val="000000"/>
              </w:rPr>
              <w:t>19105</w:t>
            </w:r>
          </w:p>
        </w:tc>
        <w:tc>
          <w:tcPr>
            <w:tcW w:w="980" w:type="dxa"/>
            <w:tcBorders>
              <w:top w:val="single" w:sz="4" w:space="0" w:color="00000A"/>
              <w:bottom w:val="single" w:sz="4" w:space="0" w:color="00000A"/>
            </w:tcBorders>
            <w:shd w:val="clear" w:color="auto" w:fill="FFFFFF"/>
            <w:vAlign w:val="center"/>
          </w:tcPr>
          <w:p w14:paraId="1E176EA9" w14:textId="77777777" w:rsidR="00342E07" w:rsidRDefault="005356A1">
            <w:pPr>
              <w:spacing w:after="0" w:line="240" w:lineRule="auto"/>
              <w:jc w:val="center"/>
              <w:rPr>
                <w:rFonts w:eastAsia="Times New Roman" w:cs="Times New Roman"/>
                <w:color w:val="000000"/>
              </w:rPr>
            </w:pPr>
            <w:r>
              <w:rPr>
                <w:rFonts w:eastAsia="Times New Roman" w:cs="Times New Roman"/>
                <w:color w:val="000000"/>
              </w:rPr>
              <w:t>0.014</w:t>
            </w:r>
          </w:p>
        </w:tc>
        <w:tc>
          <w:tcPr>
            <w:tcW w:w="1361" w:type="dxa"/>
            <w:tcBorders>
              <w:top w:val="single" w:sz="4" w:space="0" w:color="00000A"/>
              <w:bottom w:val="single" w:sz="4" w:space="0" w:color="00000A"/>
            </w:tcBorders>
            <w:shd w:val="clear" w:color="auto" w:fill="FFFFFF"/>
            <w:vAlign w:val="center"/>
          </w:tcPr>
          <w:p w14:paraId="03FD190C" w14:textId="77777777" w:rsidR="00342E07" w:rsidRDefault="005356A1">
            <w:pPr>
              <w:spacing w:after="0" w:line="240" w:lineRule="auto"/>
              <w:jc w:val="center"/>
              <w:rPr>
                <w:rFonts w:eastAsia="Times New Roman" w:cs="Times New Roman"/>
                <w:color w:val="000000"/>
              </w:rPr>
            </w:pPr>
            <w:r>
              <w:rPr>
                <w:rFonts w:eastAsia="Times New Roman" w:cs="Times New Roman"/>
                <w:color w:val="000000"/>
              </w:rPr>
              <w:t>0.00019</w:t>
            </w:r>
          </w:p>
        </w:tc>
      </w:tr>
      <w:tr w:rsidR="00342E07" w14:paraId="187A78A8" w14:textId="77777777">
        <w:trPr>
          <w:trHeight w:val="288"/>
          <w:jc w:val="center"/>
        </w:trPr>
        <w:tc>
          <w:tcPr>
            <w:tcW w:w="960" w:type="dxa"/>
            <w:tcBorders>
              <w:top w:val="single" w:sz="4" w:space="0" w:color="00000A"/>
              <w:bottom w:val="single" w:sz="4" w:space="0" w:color="00000A"/>
            </w:tcBorders>
            <w:shd w:val="clear" w:color="auto" w:fill="FFFFFF"/>
            <w:vAlign w:val="center"/>
          </w:tcPr>
          <w:p w14:paraId="3AF441DB" w14:textId="77777777" w:rsidR="00342E07" w:rsidRDefault="005356A1">
            <w:pPr>
              <w:spacing w:after="0" w:line="240" w:lineRule="auto"/>
              <w:jc w:val="center"/>
              <w:rPr>
                <w:rFonts w:eastAsia="Times New Roman" w:cs="Times New Roman"/>
                <w:color w:val="000000"/>
              </w:rPr>
            </w:pPr>
            <w:r>
              <w:rPr>
                <w:rFonts w:eastAsia="Times New Roman" w:cs="Times New Roman"/>
                <w:color w:val="000000"/>
              </w:rPr>
              <w:t>3</w:t>
            </w:r>
          </w:p>
        </w:tc>
        <w:tc>
          <w:tcPr>
            <w:tcW w:w="1040" w:type="dxa"/>
            <w:tcBorders>
              <w:top w:val="single" w:sz="4" w:space="0" w:color="00000A"/>
              <w:bottom w:val="single" w:sz="4" w:space="0" w:color="00000A"/>
            </w:tcBorders>
            <w:shd w:val="clear" w:color="auto" w:fill="FFFFFF"/>
            <w:vAlign w:val="center"/>
          </w:tcPr>
          <w:p w14:paraId="478F3032" w14:textId="77777777" w:rsidR="00342E07" w:rsidRDefault="005356A1">
            <w:pPr>
              <w:spacing w:after="0" w:line="240" w:lineRule="auto"/>
              <w:jc w:val="center"/>
              <w:rPr>
                <w:rFonts w:eastAsia="Times New Roman" w:cs="Times New Roman"/>
                <w:color w:val="000000"/>
              </w:rPr>
            </w:pPr>
            <w:r>
              <w:rPr>
                <w:rFonts w:eastAsia="Times New Roman" w:cs="Times New Roman"/>
                <w:color w:val="000000"/>
              </w:rPr>
              <w:t>11</w:t>
            </w:r>
          </w:p>
        </w:tc>
        <w:tc>
          <w:tcPr>
            <w:tcW w:w="1041" w:type="dxa"/>
            <w:tcBorders>
              <w:top w:val="single" w:sz="4" w:space="0" w:color="00000A"/>
              <w:bottom w:val="single" w:sz="4" w:space="0" w:color="00000A"/>
            </w:tcBorders>
            <w:shd w:val="clear" w:color="auto" w:fill="FFFFFF"/>
            <w:vAlign w:val="center"/>
          </w:tcPr>
          <w:p w14:paraId="5B38CC7F" w14:textId="77777777" w:rsidR="00342E07" w:rsidRDefault="005356A1">
            <w:pPr>
              <w:spacing w:after="0" w:line="240" w:lineRule="auto"/>
              <w:jc w:val="center"/>
              <w:rPr>
                <w:rFonts w:eastAsia="Times New Roman" w:cs="Times New Roman"/>
                <w:color w:val="000000"/>
              </w:rPr>
            </w:pPr>
            <w:r>
              <w:rPr>
                <w:rFonts w:eastAsia="Times New Roman" w:cs="Times New Roman"/>
                <w:color w:val="000000"/>
              </w:rPr>
              <w:t>8</w:t>
            </w:r>
          </w:p>
        </w:tc>
        <w:tc>
          <w:tcPr>
            <w:tcW w:w="1460" w:type="dxa"/>
            <w:tcBorders>
              <w:top w:val="single" w:sz="4" w:space="0" w:color="00000A"/>
              <w:bottom w:val="single" w:sz="4" w:space="0" w:color="00000A"/>
            </w:tcBorders>
            <w:shd w:val="clear" w:color="auto" w:fill="FFFFFF"/>
            <w:vAlign w:val="center"/>
          </w:tcPr>
          <w:p w14:paraId="2D0A1847" w14:textId="77777777" w:rsidR="00342E07" w:rsidRDefault="005356A1">
            <w:pPr>
              <w:spacing w:after="0" w:line="240" w:lineRule="auto"/>
              <w:jc w:val="center"/>
              <w:rPr>
                <w:rFonts w:eastAsia="Times New Roman" w:cs="Times New Roman"/>
                <w:color w:val="000000"/>
              </w:rPr>
            </w:pPr>
            <w:r>
              <w:rPr>
                <w:rFonts w:eastAsia="Times New Roman" w:cs="Times New Roman"/>
                <w:color w:val="000000"/>
              </w:rPr>
              <w:t>4699</w:t>
            </w:r>
          </w:p>
        </w:tc>
        <w:tc>
          <w:tcPr>
            <w:tcW w:w="980" w:type="dxa"/>
            <w:tcBorders>
              <w:top w:val="single" w:sz="4" w:space="0" w:color="00000A"/>
              <w:bottom w:val="single" w:sz="4" w:space="0" w:color="00000A"/>
            </w:tcBorders>
            <w:shd w:val="clear" w:color="auto" w:fill="FFFFFF"/>
            <w:vAlign w:val="center"/>
          </w:tcPr>
          <w:p w14:paraId="77522419" w14:textId="77777777" w:rsidR="00342E07" w:rsidRDefault="005356A1">
            <w:pPr>
              <w:spacing w:after="0" w:line="240" w:lineRule="auto"/>
              <w:jc w:val="center"/>
              <w:rPr>
                <w:rFonts w:eastAsia="Times New Roman" w:cs="Times New Roman"/>
                <w:color w:val="000000"/>
              </w:rPr>
            </w:pPr>
            <w:r>
              <w:rPr>
                <w:rFonts w:eastAsia="Times New Roman" w:cs="Times New Roman"/>
                <w:color w:val="000000"/>
              </w:rPr>
              <w:t>0.025</w:t>
            </w:r>
          </w:p>
        </w:tc>
        <w:tc>
          <w:tcPr>
            <w:tcW w:w="1361" w:type="dxa"/>
            <w:tcBorders>
              <w:top w:val="single" w:sz="4" w:space="0" w:color="00000A"/>
              <w:bottom w:val="single" w:sz="4" w:space="0" w:color="00000A"/>
            </w:tcBorders>
            <w:shd w:val="clear" w:color="auto" w:fill="FFFFFF"/>
            <w:vAlign w:val="center"/>
          </w:tcPr>
          <w:p w14:paraId="253FB7CA" w14:textId="77777777" w:rsidR="00342E07" w:rsidRDefault="005356A1">
            <w:pPr>
              <w:spacing w:after="0" w:line="240" w:lineRule="auto"/>
              <w:jc w:val="center"/>
              <w:rPr>
                <w:rFonts w:eastAsia="Times New Roman" w:cs="Times New Roman"/>
                <w:color w:val="000000"/>
              </w:rPr>
            </w:pPr>
            <w:r>
              <w:rPr>
                <w:rFonts w:eastAsia="Times New Roman" w:cs="Times New Roman"/>
                <w:color w:val="000000"/>
              </w:rPr>
              <w:t>0.00062</w:t>
            </w:r>
          </w:p>
        </w:tc>
      </w:tr>
      <w:tr w:rsidR="00342E07" w14:paraId="13A7CD89" w14:textId="77777777">
        <w:trPr>
          <w:trHeight w:val="288"/>
          <w:jc w:val="center"/>
        </w:trPr>
        <w:tc>
          <w:tcPr>
            <w:tcW w:w="960" w:type="dxa"/>
            <w:tcBorders>
              <w:top w:val="single" w:sz="4" w:space="0" w:color="00000A"/>
              <w:bottom w:val="single" w:sz="4" w:space="0" w:color="00000A"/>
            </w:tcBorders>
            <w:shd w:val="clear" w:color="auto" w:fill="FFFFFF"/>
            <w:vAlign w:val="center"/>
          </w:tcPr>
          <w:p w14:paraId="2D738851" w14:textId="77777777" w:rsidR="00342E07" w:rsidRDefault="005356A1">
            <w:pPr>
              <w:spacing w:after="0" w:line="240" w:lineRule="auto"/>
              <w:jc w:val="center"/>
              <w:rPr>
                <w:rFonts w:eastAsia="Times New Roman" w:cs="Times New Roman"/>
                <w:color w:val="000000"/>
              </w:rPr>
            </w:pPr>
            <w:r>
              <w:rPr>
                <w:rFonts w:eastAsia="Times New Roman" w:cs="Times New Roman"/>
                <w:color w:val="000000"/>
              </w:rPr>
              <w:t>4</w:t>
            </w:r>
          </w:p>
        </w:tc>
        <w:tc>
          <w:tcPr>
            <w:tcW w:w="1040" w:type="dxa"/>
            <w:tcBorders>
              <w:top w:val="single" w:sz="4" w:space="0" w:color="00000A"/>
              <w:bottom w:val="single" w:sz="4" w:space="0" w:color="00000A"/>
            </w:tcBorders>
            <w:shd w:val="clear" w:color="auto" w:fill="FFFFFF"/>
            <w:vAlign w:val="center"/>
          </w:tcPr>
          <w:p w14:paraId="4441699C" w14:textId="77777777" w:rsidR="00342E07" w:rsidRDefault="005356A1">
            <w:pPr>
              <w:spacing w:after="0" w:line="240" w:lineRule="auto"/>
              <w:jc w:val="center"/>
              <w:rPr>
                <w:rFonts w:eastAsia="Times New Roman" w:cs="Times New Roman"/>
                <w:color w:val="000000"/>
              </w:rPr>
            </w:pPr>
            <w:r>
              <w:rPr>
                <w:rFonts w:eastAsia="Times New Roman" w:cs="Times New Roman"/>
                <w:color w:val="000000"/>
              </w:rPr>
              <w:t>0</w:t>
            </w:r>
          </w:p>
        </w:tc>
        <w:tc>
          <w:tcPr>
            <w:tcW w:w="1041" w:type="dxa"/>
            <w:tcBorders>
              <w:top w:val="single" w:sz="4" w:space="0" w:color="00000A"/>
              <w:bottom w:val="single" w:sz="4" w:space="0" w:color="00000A"/>
            </w:tcBorders>
            <w:shd w:val="clear" w:color="auto" w:fill="FFFFFF"/>
            <w:vAlign w:val="center"/>
          </w:tcPr>
          <w:p w14:paraId="1C7D6BE0" w14:textId="77777777" w:rsidR="00342E07" w:rsidRDefault="005356A1">
            <w:pPr>
              <w:spacing w:after="0" w:line="240" w:lineRule="auto"/>
              <w:jc w:val="center"/>
              <w:rPr>
                <w:rFonts w:eastAsia="Times New Roman" w:cs="Times New Roman"/>
                <w:color w:val="000000"/>
              </w:rPr>
            </w:pPr>
            <w:r>
              <w:rPr>
                <w:rFonts w:eastAsia="Times New Roman" w:cs="Times New Roman"/>
                <w:color w:val="000000"/>
              </w:rPr>
              <w:t>0</w:t>
            </w:r>
          </w:p>
        </w:tc>
        <w:tc>
          <w:tcPr>
            <w:tcW w:w="1460" w:type="dxa"/>
            <w:tcBorders>
              <w:top w:val="single" w:sz="4" w:space="0" w:color="00000A"/>
              <w:bottom w:val="single" w:sz="4" w:space="0" w:color="00000A"/>
            </w:tcBorders>
            <w:shd w:val="clear" w:color="auto" w:fill="FFFFFF"/>
            <w:vAlign w:val="center"/>
          </w:tcPr>
          <w:p w14:paraId="12A040ED" w14:textId="77777777" w:rsidR="00342E07" w:rsidRDefault="005356A1">
            <w:pPr>
              <w:spacing w:after="0" w:line="240" w:lineRule="auto"/>
              <w:jc w:val="center"/>
              <w:rPr>
                <w:rFonts w:eastAsia="Times New Roman" w:cs="Times New Roman"/>
                <w:color w:val="000000"/>
              </w:rPr>
            </w:pPr>
            <w:r>
              <w:rPr>
                <w:rFonts w:eastAsia="Times New Roman" w:cs="Times New Roman"/>
                <w:color w:val="000000"/>
              </w:rPr>
              <w:t>0</w:t>
            </w:r>
          </w:p>
        </w:tc>
        <w:tc>
          <w:tcPr>
            <w:tcW w:w="980" w:type="dxa"/>
            <w:tcBorders>
              <w:top w:val="single" w:sz="4" w:space="0" w:color="00000A"/>
              <w:bottom w:val="single" w:sz="4" w:space="0" w:color="00000A"/>
            </w:tcBorders>
            <w:shd w:val="clear" w:color="auto" w:fill="FFFFFF"/>
            <w:vAlign w:val="center"/>
          </w:tcPr>
          <w:p w14:paraId="28E781B1" w14:textId="77777777" w:rsidR="00342E07" w:rsidRDefault="005356A1">
            <w:pPr>
              <w:spacing w:after="0" w:line="240" w:lineRule="auto"/>
              <w:jc w:val="center"/>
              <w:rPr>
                <w:rFonts w:eastAsia="Times New Roman" w:cs="Times New Roman"/>
                <w:color w:val="000000"/>
              </w:rPr>
            </w:pPr>
            <w:r>
              <w:rPr>
                <w:rFonts w:eastAsia="Times New Roman" w:cs="Times New Roman"/>
                <w:color w:val="000000"/>
              </w:rPr>
              <w:t>0.000</w:t>
            </w:r>
          </w:p>
        </w:tc>
        <w:tc>
          <w:tcPr>
            <w:tcW w:w="1361" w:type="dxa"/>
            <w:tcBorders>
              <w:top w:val="single" w:sz="4" w:space="0" w:color="00000A"/>
              <w:bottom w:val="single" w:sz="4" w:space="0" w:color="00000A"/>
            </w:tcBorders>
            <w:shd w:val="clear" w:color="auto" w:fill="FFFFFF"/>
            <w:vAlign w:val="center"/>
          </w:tcPr>
          <w:p w14:paraId="5467229D" w14:textId="77777777" w:rsidR="00342E07" w:rsidRDefault="005356A1">
            <w:pPr>
              <w:spacing w:after="0" w:line="240" w:lineRule="auto"/>
              <w:jc w:val="center"/>
              <w:rPr>
                <w:rFonts w:eastAsia="Times New Roman" w:cs="Times New Roman"/>
                <w:color w:val="000000"/>
              </w:rPr>
            </w:pPr>
            <w:r>
              <w:rPr>
                <w:rFonts w:eastAsia="Times New Roman" w:cs="Times New Roman"/>
                <w:color w:val="000000"/>
              </w:rPr>
              <w:t>0.00000</w:t>
            </w:r>
          </w:p>
        </w:tc>
      </w:tr>
      <w:tr w:rsidR="00342E07" w14:paraId="0B9CD3A3" w14:textId="77777777">
        <w:trPr>
          <w:trHeight w:val="288"/>
          <w:jc w:val="center"/>
        </w:trPr>
        <w:tc>
          <w:tcPr>
            <w:tcW w:w="960" w:type="dxa"/>
            <w:tcBorders>
              <w:top w:val="single" w:sz="4" w:space="0" w:color="00000A"/>
              <w:bottom w:val="single" w:sz="4" w:space="0" w:color="00000A"/>
            </w:tcBorders>
            <w:shd w:val="clear" w:color="auto" w:fill="FFFFFF"/>
            <w:vAlign w:val="center"/>
          </w:tcPr>
          <w:p w14:paraId="2784B4D9" w14:textId="77777777" w:rsidR="00342E07" w:rsidRDefault="005356A1">
            <w:pPr>
              <w:spacing w:after="0" w:line="240" w:lineRule="auto"/>
              <w:jc w:val="center"/>
              <w:rPr>
                <w:rFonts w:eastAsia="Times New Roman" w:cs="Times New Roman"/>
                <w:color w:val="000000"/>
              </w:rPr>
            </w:pPr>
            <w:r>
              <w:rPr>
                <w:rFonts w:eastAsia="Times New Roman" w:cs="Times New Roman"/>
                <w:color w:val="000000"/>
              </w:rPr>
              <w:t>5</w:t>
            </w:r>
          </w:p>
        </w:tc>
        <w:tc>
          <w:tcPr>
            <w:tcW w:w="1040" w:type="dxa"/>
            <w:tcBorders>
              <w:top w:val="single" w:sz="4" w:space="0" w:color="00000A"/>
              <w:bottom w:val="single" w:sz="4" w:space="0" w:color="00000A"/>
            </w:tcBorders>
            <w:shd w:val="clear" w:color="auto" w:fill="FFFFFF"/>
            <w:vAlign w:val="center"/>
          </w:tcPr>
          <w:p w14:paraId="291AA587" w14:textId="77777777" w:rsidR="00342E07" w:rsidRDefault="005356A1">
            <w:pPr>
              <w:spacing w:after="0" w:line="240" w:lineRule="auto"/>
              <w:jc w:val="center"/>
              <w:rPr>
                <w:rFonts w:eastAsia="Times New Roman" w:cs="Times New Roman"/>
                <w:color w:val="000000"/>
              </w:rPr>
            </w:pPr>
            <w:r>
              <w:rPr>
                <w:rFonts w:eastAsia="Times New Roman" w:cs="Times New Roman"/>
                <w:color w:val="000000"/>
              </w:rPr>
              <w:t>48</w:t>
            </w:r>
          </w:p>
        </w:tc>
        <w:tc>
          <w:tcPr>
            <w:tcW w:w="1041" w:type="dxa"/>
            <w:tcBorders>
              <w:top w:val="single" w:sz="4" w:space="0" w:color="00000A"/>
              <w:bottom w:val="single" w:sz="4" w:space="0" w:color="00000A"/>
            </w:tcBorders>
            <w:shd w:val="clear" w:color="auto" w:fill="FFFFFF"/>
            <w:vAlign w:val="center"/>
          </w:tcPr>
          <w:p w14:paraId="7E4CE476" w14:textId="77777777" w:rsidR="00342E07" w:rsidRDefault="005356A1">
            <w:pPr>
              <w:spacing w:after="0" w:line="240" w:lineRule="auto"/>
              <w:jc w:val="center"/>
              <w:rPr>
                <w:rFonts w:eastAsia="Times New Roman" w:cs="Times New Roman"/>
                <w:color w:val="000000"/>
              </w:rPr>
            </w:pPr>
            <w:r>
              <w:rPr>
                <w:rFonts w:eastAsia="Times New Roman" w:cs="Times New Roman"/>
                <w:color w:val="000000"/>
              </w:rPr>
              <w:t>30</w:t>
            </w:r>
          </w:p>
        </w:tc>
        <w:tc>
          <w:tcPr>
            <w:tcW w:w="1460" w:type="dxa"/>
            <w:tcBorders>
              <w:top w:val="single" w:sz="4" w:space="0" w:color="00000A"/>
              <w:bottom w:val="single" w:sz="4" w:space="0" w:color="00000A"/>
            </w:tcBorders>
            <w:shd w:val="clear" w:color="auto" w:fill="FFFFFF"/>
            <w:vAlign w:val="center"/>
          </w:tcPr>
          <w:p w14:paraId="66E57A73" w14:textId="77777777" w:rsidR="00342E07" w:rsidRDefault="005356A1">
            <w:pPr>
              <w:spacing w:after="0" w:line="240" w:lineRule="auto"/>
              <w:jc w:val="center"/>
              <w:rPr>
                <w:rFonts w:eastAsia="Times New Roman" w:cs="Times New Roman"/>
                <w:color w:val="000000"/>
              </w:rPr>
            </w:pPr>
            <w:r>
              <w:rPr>
                <w:rFonts w:eastAsia="Times New Roman" w:cs="Times New Roman"/>
                <w:color w:val="000000"/>
              </w:rPr>
              <w:t>148807</w:t>
            </w:r>
          </w:p>
        </w:tc>
        <w:tc>
          <w:tcPr>
            <w:tcW w:w="980" w:type="dxa"/>
            <w:tcBorders>
              <w:top w:val="single" w:sz="4" w:space="0" w:color="00000A"/>
              <w:bottom w:val="single" w:sz="4" w:space="0" w:color="00000A"/>
            </w:tcBorders>
            <w:shd w:val="clear" w:color="auto" w:fill="FFFFFF"/>
            <w:vAlign w:val="center"/>
          </w:tcPr>
          <w:p w14:paraId="0C978A16" w14:textId="77777777" w:rsidR="00342E07" w:rsidRDefault="005356A1">
            <w:pPr>
              <w:spacing w:after="0" w:line="240" w:lineRule="auto"/>
              <w:jc w:val="center"/>
              <w:rPr>
                <w:rFonts w:eastAsia="Times New Roman" w:cs="Times New Roman"/>
                <w:color w:val="000000"/>
              </w:rPr>
            </w:pPr>
            <w:r>
              <w:rPr>
                <w:rFonts w:eastAsia="Times New Roman" w:cs="Times New Roman"/>
                <w:color w:val="000000"/>
              </w:rPr>
              <w:t>0.011</w:t>
            </w:r>
          </w:p>
        </w:tc>
        <w:tc>
          <w:tcPr>
            <w:tcW w:w="1361" w:type="dxa"/>
            <w:tcBorders>
              <w:top w:val="single" w:sz="4" w:space="0" w:color="00000A"/>
              <w:bottom w:val="single" w:sz="4" w:space="0" w:color="00000A"/>
            </w:tcBorders>
            <w:shd w:val="clear" w:color="auto" w:fill="FFFFFF"/>
            <w:vAlign w:val="center"/>
          </w:tcPr>
          <w:p w14:paraId="2C992E95" w14:textId="77777777" w:rsidR="00342E07" w:rsidRDefault="005356A1">
            <w:pPr>
              <w:spacing w:after="0" w:line="240" w:lineRule="auto"/>
              <w:jc w:val="center"/>
              <w:rPr>
                <w:rFonts w:eastAsia="Times New Roman" w:cs="Times New Roman"/>
                <w:color w:val="000000"/>
              </w:rPr>
            </w:pPr>
            <w:r>
              <w:rPr>
                <w:rFonts w:eastAsia="Times New Roman" w:cs="Times New Roman"/>
                <w:color w:val="000000"/>
              </w:rPr>
              <w:t>0.00012</w:t>
            </w:r>
          </w:p>
        </w:tc>
      </w:tr>
      <w:tr w:rsidR="00342E07" w14:paraId="00CF2784" w14:textId="77777777">
        <w:trPr>
          <w:trHeight w:val="288"/>
          <w:jc w:val="center"/>
        </w:trPr>
        <w:tc>
          <w:tcPr>
            <w:tcW w:w="960" w:type="dxa"/>
            <w:tcBorders>
              <w:top w:val="single" w:sz="4" w:space="0" w:color="00000A"/>
              <w:bottom w:val="single" w:sz="4" w:space="0" w:color="00000A"/>
            </w:tcBorders>
            <w:shd w:val="clear" w:color="auto" w:fill="FFFFFF"/>
            <w:vAlign w:val="center"/>
          </w:tcPr>
          <w:p w14:paraId="1A6FCEF6" w14:textId="77777777" w:rsidR="00342E07" w:rsidRDefault="005356A1">
            <w:pPr>
              <w:spacing w:after="0" w:line="240" w:lineRule="auto"/>
              <w:jc w:val="center"/>
              <w:rPr>
                <w:rFonts w:eastAsia="Times New Roman" w:cs="Times New Roman"/>
                <w:color w:val="000000"/>
              </w:rPr>
            </w:pPr>
            <w:r>
              <w:rPr>
                <w:rFonts w:eastAsia="Times New Roman" w:cs="Times New Roman"/>
                <w:color w:val="000000"/>
              </w:rPr>
              <w:t>6</w:t>
            </w:r>
          </w:p>
        </w:tc>
        <w:tc>
          <w:tcPr>
            <w:tcW w:w="1040" w:type="dxa"/>
            <w:tcBorders>
              <w:top w:val="single" w:sz="4" w:space="0" w:color="00000A"/>
              <w:bottom w:val="single" w:sz="4" w:space="0" w:color="00000A"/>
            </w:tcBorders>
            <w:shd w:val="clear" w:color="auto" w:fill="FFFFFF"/>
            <w:vAlign w:val="center"/>
          </w:tcPr>
          <w:p w14:paraId="4E63766D" w14:textId="77777777" w:rsidR="00342E07" w:rsidRDefault="005356A1">
            <w:pPr>
              <w:spacing w:after="0" w:line="240" w:lineRule="auto"/>
              <w:jc w:val="center"/>
              <w:rPr>
                <w:rFonts w:eastAsia="Times New Roman" w:cs="Times New Roman"/>
                <w:color w:val="000000"/>
              </w:rPr>
            </w:pPr>
            <w:r>
              <w:rPr>
                <w:rFonts w:eastAsia="Times New Roman" w:cs="Times New Roman"/>
                <w:color w:val="000000"/>
              </w:rPr>
              <w:t>35</w:t>
            </w:r>
          </w:p>
        </w:tc>
        <w:tc>
          <w:tcPr>
            <w:tcW w:w="1041" w:type="dxa"/>
            <w:tcBorders>
              <w:top w:val="single" w:sz="4" w:space="0" w:color="00000A"/>
              <w:bottom w:val="single" w:sz="4" w:space="0" w:color="00000A"/>
            </w:tcBorders>
            <w:shd w:val="clear" w:color="auto" w:fill="FFFFFF"/>
            <w:vAlign w:val="center"/>
          </w:tcPr>
          <w:p w14:paraId="58C3233D" w14:textId="77777777" w:rsidR="00342E07" w:rsidRDefault="005356A1">
            <w:pPr>
              <w:spacing w:after="0" w:line="240" w:lineRule="auto"/>
              <w:jc w:val="center"/>
              <w:rPr>
                <w:rFonts w:eastAsia="Times New Roman" w:cs="Times New Roman"/>
                <w:color w:val="000000"/>
              </w:rPr>
            </w:pPr>
            <w:r>
              <w:rPr>
                <w:rFonts w:eastAsia="Times New Roman" w:cs="Times New Roman"/>
                <w:color w:val="000000"/>
              </w:rPr>
              <w:t>24</w:t>
            </w:r>
          </w:p>
        </w:tc>
        <w:tc>
          <w:tcPr>
            <w:tcW w:w="1460" w:type="dxa"/>
            <w:tcBorders>
              <w:top w:val="single" w:sz="4" w:space="0" w:color="00000A"/>
              <w:bottom w:val="single" w:sz="4" w:space="0" w:color="00000A"/>
            </w:tcBorders>
            <w:shd w:val="clear" w:color="auto" w:fill="FFFFFF"/>
            <w:vAlign w:val="center"/>
          </w:tcPr>
          <w:p w14:paraId="512BCDBA" w14:textId="77777777" w:rsidR="00342E07" w:rsidRDefault="005356A1">
            <w:pPr>
              <w:spacing w:after="0" w:line="240" w:lineRule="auto"/>
              <w:jc w:val="center"/>
              <w:rPr>
                <w:rFonts w:eastAsia="Times New Roman" w:cs="Times New Roman"/>
                <w:color w:val="000000"/>
              </w:rPr>
            </w:pPr>
            <w:r>
              <w:rPr>
                <w:rFonts w:eastAsia="Times New Roman" w:cs="Times New Roman"/>
                <w:color w:val="000000"/>
              </w:rPr>
              <w:t>57077</w:t>
            </w:r>
          </w:p>
        </w:tc>
        <w:tc>
          <w:tcPr>
            <w:tcW w:w="980" w:type="dxa"/>
            <w:tcBorders>
              <w:top w:val="single" w:sz="4" w:space="0" w:color="00000A"/>
              <w:bottom w:val="single" w:sz="4" w:space="0" w:color="00000A"/>
            </w:tcBorders>
            <w:shd w:val="clear" w:color="auto" w:fill="FFFFFF"/>
            <w:vAlign w:val="center"/>
          </w:tcPr>
          <w:p w14:paraId="188027FF" w14:textId="77777777" w:rsidR="00342E07" w:rsidRDefault="005356A1">
            <w:pPr>
              <w:spacing w:after="0" w:line="240" w:lineRule="auto"/>
              <w:jc w:val="center"/>
              <w:rPr>
                <w:rFonts w:eastAsia="Times New Roman" w:cs="Times New Roman"/>
                <w:color w:val="000000"/>
              </w:rPr>
            </w:pPr>
            <w:r>
              <w:rPr>
                <w:rFonts w:eastAsia="Times New Roman" w:cs="Times New Roman"/>
                <w:color w:val="000000"/>
              </w:rPr>
              <w:t>0.014</w:t>
            </w:r>
          </w:p>
        </w:tc>
        <w:tc>
          <w:tcPr>
            <w:tcW w:w="1361" w:type="dxa"/>
            <w:tcBorders>
              <w:top w:val="single" w:sz="4" w:space="0" w:color="00000A"/>
              <w:bottom w:val="single" w:sz="4" w:space="0" w:color="00000A"/>
            </w:tcBorders>
            <w:shd w:val="clear" w:color="auto" w:fill="FFFFFF"/>
            <w:vAlign w:val="center"/>
          </w:tcPr>
          <w:p w14:paraId="078B29CC" w14:textId="77777777" w:rsidR="00342E07" w:rsidRDefault="005356A1">
            <w:pPr>
              <w:spacing w:after="0" w:line="240" w:lineRule="auto"/>
              <w:jc w:val="center"/>
              <w:rPr>
                <w:rFonts w:eastAsia="Times New Roman" w:cs="Times New Roman"/>
                <w:color w:val="000000"/>
              </w:rPr>
            </w:pPr>
            <w:r>
              <w:rPr>
                <w:rFonts w:eastAsia="Times New Roman" w:cs="Times New Roman"/>
                <w:color w:val="000000"/>
              </w:rPr>
              <w:t>0.00018</w:t>
            </w:r>
          </w:p>
        </w:tc>
      </w:tr>
    </w:tbl>
    <w:p w14:paraId="262BB378" w14:textId="77777777" w:rsidR="00342E07" w:rsidRDefault="00342E07">
      <w:pPr>
        <w:tabs>
          <w:tab w:val="left" w:pos="3736"/>
        </w:tabs>
      </w:pPr>
    </w:p>
    <w:p w14:paraId="7590C521" w14:textId="77777777" w:rsidR="00342E07" w:rsidRDefault="00342E07">
      <w:pPr>
        <w:tabs>
          <w:tab w:val="left" w:pos="3736"/>
        </w:tabs>
      </w:pPr>
    </w:p>
    <w:p w14:paraId="4DE773B8" w14:textId="77777777" w:rsidR="00342E07" w:rsidRDefault="00342E07">
      <w:pPr>
        <w:jc w:val="center"/>
      </w:pPr>
    </w:p>
    <w:p w14:paraId="434F2B4A" w14:textId="77777777" w:rsidR="00342E07" w:rsidRDefault="00342E07">
      <w:pPr>
        <w:jc w:val="center"/>
      </w:pPr>
    </w:p>
    <w:p w14:paraId="4F3CA0BB" w14:textId="77777777" w:rsidR="00342E07" w:rsidRDefault="005356A1">
      <w:r>
        <w:rPr>
          <w:rFonts w:eastAsia="Times New Roman" w:cs="Times New Roman"/>
          <w:color w:val="000000"/>
        </w:rPr>
        <w:t xml:space="preserve">We notice that the values for the singleton group 5 are all 0. This is the reason that induces us to consider more reliable the </w:t>
      </w:r>
      <w:r>
        <w:rPr>
          <w:i/>
        </w:rPr>
        <w:t>τ</w:t>
      </w:r>
      <w:r>
        <w:rPr>
          <w:i/>
          <w:vertAlign w:val="superscript"/>
        </w:rPr>
        <w:t xml:space="preserve">2 </w:t>
      </w:r>
      <w:r>
        <w:t xml:space="preserve">pooled approach compared to the </w:t>
      </w:r>
      <w:r>
        <w:rPr>
          <w:i/>
        </w:rPr>
        <w:t>τ</w:t>
      </w:r>
      <w:r>
        <w:rPr>
          <w:i/>
          <w:vertAlign w:val="superscript"/>
        </w:rPr>
        <w:t>2</w:t>
      </w:r>
      <w:r>
        <w:rPr>
          <w:i/>
          <w:vertAlign w:val="subscript"/>
        </w:rPr>
        <w:t xml:space="preserve">g </w:t>
      </w:r>
      <w:r>
        <w:t>approach.</w:t>
      </w:r>
    </w:p>
    <w:p w14:paraId="63EF0085" w14:textId="77777777" w:rsidR="00342E07" w:rsidRDefault="005356A1">
      <w:r>
        <w:t>We show below a visual comparison between the estimates in the 2 cases:</w:t>
      </w:r>
    </w:p>
    <w:p w14:paraId="62F3DF4E" w14:textId="77777777" w:rsidR="00342E07" w:rsidRDefault="005356A1">
      <w:pPr>
        <w:pStyle w:val="ListParagraph"/>
        <w:numPr>
          <w:ilvl w:val="0"/>
          <w:numId w:val="1"/>
        </w:numPr>
      </w:pPr>
      <w:proofErr w:type="spellStart"/>
      <w:r>
        <w:rPr>
          <w:b/>
          <w:sz w:val="60"/>
          <w:szCs w:val="60"/>
        </w:rPr>
        <w:t>τ</w:t>
      </w:r>
      <w:r>
        <w:rPr>
          <w:b/>
          <w:sz w:val="60"/>
          <w:szCs w:val="60"/>
          <w:vertAlign w:val="subscript"/>
        </w:rPr>
        <w:t>pooled</w:t>
      </w:r>
      <w:proofErr w:type="spellEnd"/>
    </w:p>
    <w:p w14:paraId="40CAB03E" w14:textId="77777777" w:rsidR="00342E07" w:rsidRDefault="005356A1">
      <w:pPr>
        <w:pStyle w:val="ListParagraph"/>
        <w:numPr>
          <w:ilvl w:val="0"/>
          <w:numId w:val="1"/>
        </w:numPr>
      </w:pPr>
      <w:proofErr w:type="spellStart"/>
      <w:r>
        <w:rPr>
          <w:b/>
          <w:sz w:val="60"/>
          <w:szCs w:val="60"/>
        </w:rPr>
        <w:t>τ</w:t>
      </w:r>
      <w:r>
        <w:rPr>
          <w:b/>
          <w:sz w:val="60"/>
          <w:szCs w:val="60"/>
          <w:vertAlign w:val="subscript"/>
        </w:rPr>
        <w:t>g</w:t>
      </w:r>
      <w:proofErr w:type="spellEnd"/>
    </w:p>
    <w:p w14:paraId="3AD80C7F" w14:textId="77777777" w:rsidR="00342E07" w:rsidRDefault="00342E07">
      <w:pPr>
        <w:pStyle w:val="ListParagraph"/>
        <w:ind w:left="360"/>
      </w:pPr>
    </w:p>
    <w:p w14:paraId="0D64330A" w14:textId="77777777" w:rsidR="00342E07" w:rsidRDefault="00342E07"/>
    <w:p w14:paraId="5806C45F" w14:textId="77777777" w:rsidR="00342E07" w:rsidRDefault="00342E07"/>
    <w:p w14:paraId="16A86421" w14:textId="77777777" w:rsidR="00342E07" w:rsidRDefault="00342E07"/>
    <w:p w14:paraId="551603E1" w14:textId="77777777" w:rsidR="00342E07" w:rsidRDefault="005356A1">
      <w:pPr>
        <w:jc w:val="center"/>
      </w:pPr>
      <w:proofErr w:type="spellStart"/>
      <w:r>
        <w:rPr>
          <w:b/>
          <w:sz w:val="60"/>
          <w:szCs w:val="60"/>
        </w:rPr>
        <w:t>τ</w:t>
      </w:r>
      <w:r>
        <w:rPr>
          <w:b/>
          <w:sz w:val="60"/>
          <w:szCs w:val="60"/>
          <w:vertAlign w:val="subscript"/>
        </w:rPr>
        <w:t>pooled</w:t>
      </w:r>
      <w:proofErr w:type="spellEnd"/>
    </w:p>
    <w:p w14:paraId="489FA9ED" w14:textId="77777777" w:rsidR="00342E07" w:rsidRDefault="005356A1">
      <w:r>
        <w:rPr>
          <w:noProof/>
        </w:rPr>
        <w:drawing>
          <wp:inline distT="0" distB="0" distL="0" distR="0" wp14:anchorId="3DC399B2" wp14:editId="13EC24DF">
            <wp:extent cx="4419600" cy="3190875"/>
            <wp:effectExtent l="0" t="0" r="0" b="0"/>
            <wp:docPr id="8" name="Grafik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fik 53"/>
                    <pic:cNvPicPr>
                      <a:picLocks noChangeAspect="1" noChangeArrowheads="1"/>
                    </pic:cNvPicPr>
                  </pic:nvPicPr>
                  <pic:blipFill>
                    <a:blip r:embed="rId10"/>
                    <a:stretch>
                      <a:fillRect/>
                    </a:stretch>
                  </pic:blipFill>
                  <pic:spPr bwMode="auto">
                    <a:xfrm>
                      <a:off x="0" y="0"/>
                      <a:ext cx="4419600" cy="3190875"/>
                    </a:xfrm>
                    <a:prstGeom prst="rect">
                      <a:avLst/>
                    </a:prstGeom>
                  </pic:spPr>
                </pic:pic>
              </a:graphicData>
            </a:graphic>
          </wp:inline>
        </w:drawing>
      </w:r>
    </w:p>
    <w:p w14:paraId="3046C51C" w14:textId="77777777" w:rsidR="00342E07" w:rsidRDefault="005356A1">
      <w:pPr>
        <w:jc w:val="center"/>
      </w:pPr>
      <w:proofErr w:type="spellStart"/>
      <w:r>
        <w:rPr>
          <w:b/>
          <w:sz w:val="60"/>
          <w:szCs w:val="60"/>
        </w:rPr>
        <w:t>τ</w:t>
      </w:r>
      <w:r>
        <w:rPr>
          <w:b/>
          <w:sz w:val="60"/>
          <w:szCs w:val="60"/>
          <w:vertAlign w:val="subscript"/>
        </w:rPr>
        <w:t>g</w:t>
      </w:r>
      <w:proofErr w:type="spellEnd"/>
    </w:p>
    <w:p w14:paraId="26049F1C" w14:textId="77777777" w:rsidR="00342E07" w:rsidRDefault="005356A1">
      <w:r>
        <w:rPr>
          <w:noProof/>
        </w:rPr>
        <w:drawing>
          <wp:inline distT="0" distB="0" distL="0" distR="0" wp14:anchorId="654F455E" wp14:editId="2D25167E">
            <wp:extent cx="4419600" cy="3190875"/>
            <wp:effectExtent l="0" t="0" r="0" b="0"/>
            <wp:docPr id="9" name="Grafik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fik 48"/>
                    <pic:cNvPicPr>
                      <a:picLocks noChangeAspect="1" noChangeArrowheads="1"/>
                    </pic:cNvPicPr>
                  </pic:nvPicPr>
                  <pic:blipFill>
                    <a:blip r:embed="rId11"/>
                    <a:stretch>
                      <a:fillRect/>
                    </a:stretch>
                  </pic:blipFill>
                  <pic:spPr bwMode="auto">
                    <a:xfrm>
                      <a:off x="0" y="0"/>
                      <a:ext cx="4419600" cy="3190875"/>
                    </a:xfrm>
                    <a:prstGeom prst="rect">
                      <a:avLst/>
                    </a:prstGeom>
                  </pic:spPr>
                </pic:pic>
              </a:graphicData>
            </a:graphic>
          </wp:inline>
        </w:drawing>
      </w:r>
    </w:p>
    <w:p w14:paraId="1A58CA25" w14:textId="77777777" w:rsidR="00342E07" w:rsidRDefault="005356A1">
      <w:pPr>
        <w:pStyle w:val="ListParagraph"/>
        <w:ind w:left="360"/>
      </w:pPr>
      <w:r>
        <w:t xml:space="preserve">There are no differences in the ranking. Some differences in the CIs are to notice: the authors feel more comfortable with a much bigger CI for, say, the SAFE score as in the case of </w:t>
      </w:r>
      <w:proofErr w:type="spellStart"/>
      <w:r>
        <w:t>τ</w:t>
      </w:r>
      <w:r>
        <w:rPr>
          <w:vertAlign w:val="subscript"/>
        </w:rPr>
        <w:t>pooled</w:t>
      </w:r>
      <w:proofErr w:type="spellEnd"/>
      <w:r>
        <w:rPr>
          <w:vertAlign w:val="subscript"/>
        </w:rPr>
        <w:t xml:space="preserve">. </w:t>
      </w:r>
      <w:r>
        <w:t>Indeed, we</w:t>
      </w:r>
      <w:r>
        <w:rPr>
          <w:vertAlign w:val="subscript"/>
        </w:rPr>
        <w:t xml:space="preserve"> </w:t>
      </w:r>
      <w:r>
        <w:t xml:space="preserve">expect a MSC CI to be bigger for a score that is present in only 1 group (SAFE is only in group 4 that is constituted by only one cohort). Thus, the authors are convinced that the </w:t>
      </w:r>
      <w:proofErr w:type="spellStart"/>
      <w:r>
        <w:t>τ</w:t>
      </w:r>
      <w:r>
        <w:rPr>
          <w:vertAlign w:val="subscript"/>
        </w:rPr>
        <w:t>pooled</w:t>
      </w:r>
      <w:proofErr w:type="spellEnd"/>
      <w:r>
        <w:rPr>
          <w:vertAlign w:val="subscript"/>
        </w:rPr>
        <w:t xml:space="preserve"> is the best </w:t>
      </w:r>
      <w:r>
        <w:t>approach for their case.</w:t>
      </w:r>
    </w:p>
    <w:p w14:paraId="5B4FA02B" w14:textId="77777777" w:rsidR="00342E07" w:rsidRDefault="00342E07">
      <w:pPr>
        <w:jc w:val="both"/>
      </w:pPr>
    </w:p>
    <w:p w14:paraId="18C06A57" w14:textId="77777777" w:rsidR="00342E07" w:rsidRDefault="00342E07">
      <w:pPr>
        <w:jc w:val="center"/>
      </w:pPr>
    </w:p>
    <w:p w14:paraId="28BC417B" w14:textId="77777777" w:rsidR="00342E07" w:rsidRDefault="00342E07">
      <w:pPr>
        <w:jc w:val="center"/>
      </w:pPr>
    </w:p>
    <w:p w14:paraId="5928D629" w14:textId="77777777" w:rsidR="00342E07" w:rsidRDefault="00342E07">
      <w:pPr>
        <w:jc w:val="center"/>
      </w:pPr>
    </w:p>
    <w:p w14:paraId="0EACD1DE" w14:textId="77777777" w:rsidR="00342E07" w:rsidRDefault="00342E07">
      <w:pPr>
        <w:jc w:val="center"/>
      </w:pPr>
    </w:p>
    <w:p w14:paraId="16FBE580" w14:textId="77777777" w:rsidR="00342E07" w:rsidRDefault="00342E07">
      <w:pPr>
        <w:jc w:val="center"/>
      </w:pPr>
    </w:p>
    <w:p w14:paraId="58A02DA6" w14:textId="77777777" w:rsidR="00342E07" w:rsidRDefault="00342E07">
      <w:pPr>
        <w:jc w:val="center"/>
      </w:pPr>
    </w:p>
    <w:p w14:paraId="14042475" w14:textId="77777777" w:rsidR="00342E07" w:rsidRDefault="00342E07">
      <w:pPr>
        <w:jc w:val="center"/>
      </w:pPr>
    </w:p>
    <w:p w14:paraId="7DF7463C" w14:textId="77777777" w:rsidR="00342E07" w:rsidRDefault="00342E07">
      <w:pPr>
        <w:jc w:val="center"/>
      </w:pPr>
    </w:p>
    <w:p w14:paraId="124E72AC" w14:textId="77777777" w:rsidR="00342E07" w:rsidRDefault="00342E07">
      <w:pPr>
        <w:jc w:val="center"/>
      </w:pPr>
    </w:p>
    <w:p w14:paraId="6691E229" w14:textId="77777777" w:rsidR="00342E07" w:rsidRDefault="00342E07">
      <w:pPr>
        <w:jc w:val="center"/>
      </w:pPr>
    </w:p>
    <w:p w14:paraId="059E2926" w14:textId="77777777" w:rsidR="00342E07" w:rsidRDefault="00342E07">
      <w:pPr>
        <w:jc w:val="center"/>
      </w:pPr>
    </w:p>
    <w:p w14:paraId="1F9D39A6" w14:textId="77777777" w:rsidR="00342E07" w:rsidRDefault="00342E07">
      <w:pPr>
        <w:jc w:val="center"/>
      </w:pPr>
    </w:p>
    <w:p w14:paraId="6DB95A89" w14:textId="77777777" w:rsidR="00342E07" w:rsidRDefault="00342E07">
      <w:pPr>
        <w:jc w:val="center"/>
      </w:pPr>
    </w:p>
    <w:p w14:paraId="7AD333AD" w14:textId="77777777" w:rsidR="00342E07" w:rsidRDefault="00342E07">
      <w:pPr>
        <w:jc w:val="center"/>
      </w:pPr>
    </w:p>
    <w:p w14:paraId="13726212" w14:textId="77777777" w:rsidR="00342E07" w:rsidRDefault="00342E07">
      <w:pPr>
        <w:jc w:val="center"/>
      </w:pPr>
    </w:p>
    <w:p w14:paraId="26290782" w14:textId="77777777" w:rsidR="00342E07" w:rsidRDefault="00342E07">
      <w:pPr>
        <w:jc w:val="center"/>
      </w:pPr>
    </w:p>
    <w:p w14:paraId="0F11DE32" w14:textId="77777777" w:rsidR="00342E07" w:rsidRDefault="00342E07">
      <w:pPr>
        <w:jc w:val="center"/>
      </w:pPr>
    </w:p>
    <w:p w14:paraId="3B85E115" w14:textId="77777777" w:rsidR="00342E07" w:rsidRDefault="00342E07">
      <w:pPr>
        <w:jc w:val="center"/>
      </w:pPr>
    </w:p>
    <w:p w14:paraId="1A18AFF5" w14:textId="77777777" w:rsidR="00342E07" w:rsidRDefault="00342E07">
      <w:pPr>
        <w:jc w:val="center"/>
      </w:pPr>
    </w:p>
    <w:p w14:paraId="40230EDD" w14:textId="77777777" w:rsidR="00342E07" w:rsidRDefault="00342E07">
      <w:pPr>
        <w:jc w:val="center"/>
      </w:pPr>
    </w:p>
    <w:p w14:paraId="1BFE0B5B" w14:textId="77777777" w:rsidR="00342E07" w:rsidRDefault="00342E07">
      <w:pPr>
        <w:jc w:val="center"/>
      </w:pPr>
    </w:p>
    <w:p w14:paraId="7C065814" w14:textId="77777777" w:rsidR="00342E07" w:rsidRDefault="005356A1">
      <w:pPr>
        <w:pStyle w:val="Heading1"/>
      </w:pPr>
      <w:bookmarkStart w:id="127" w:name="_Toc469904543"/>
      <w:bookmarkStart w:id="128" w:name="_Toc488490631"/>
      <w:bookmarkStart w:id="129" w:name="_Toc373597610"/>
      <w:r>
        <w:t>MSC: T</w:t>
      </w:r>
      <w:bookmarkEnd w:id="127"/>
      <w:bookmarkEnd w:id="128"/>
      <w:r>
        <w:t>RANSITIVITY</w:t>
      </w:r>
      <w:bookmarkEnd w:id="129"/>
    </w:p>
    <w:p w14:paraId="1A6DF60C" w14:textId="77777777" w:rsidR="00342E07" w:rsidRDefault="00342E07">
      <w:pPr>
        <w:spacing w:after="0" w:line="240" w:lineRule="auto"/>
        <w:ind w:firstLine="720"/>
        <w:jc w:val="both"/>
      </w:pPr>
    </w:p>
    <w:p w14:paraId="0784EABA" w14:textId="77777777" w:rsidR="00342E07" w:rsidRDefault="005356A1">
      <w:pPr>
        <w:spacing w:after="0" w:line="240" w:lineRule="auto"/>
        <w:jc w:val="both"/>
      </w:pPr>
      <w:r>
        <w:t xml:space="preserve">For a brief introduction concerning the concept of transitivity (or similarity) please look at the section “transitivity (or similarity)” in the protocol above. For a more detailed discussion we recommend the suited literature </w:t>
      </w:r>
      <w:r>
        <w:fldChar w:fldCharType="begin" w:fldLock="1"/>
      </w:r>
      <w:r>
        <w:instrText>ADDIN CSL_CITATION { "citationItems" : [ { "id" : "ITEM-1", "itemData" : { "DOI" : "10.7326/0003-4819-159-2-201307160-00008", "ISBN" : "1539-3704", "ISSN" : "00034819", "PMID" : "23856683", "author" : [ { "dropping-particle" : "", "family" : "Cipriani", "given" : "Andrea", "non-dropping-particle" : "", "parse-names" : false, "suffix" : "" }, { "dropping-particle" : "", "family" : "Higgins", "given" : "J", "non-dropping-particle" : "", "parse-names" : false, "suffix" : "" }, { "dropping-particle" : "", "family" : "Geddes", "given" : "John R", "non-dropping-particle" : "", "parse-names" : false, "suffix" : "" }, { "dropping-particle" : "", "family" : "Salanti", "given" : "G.", "non-dropping-particle" : "", "parse-names" : false, "suffix" : "" } ], "id" : "ITEM-1", "issue" : "8", "issued" : { "date-parts" : [ [ "2013" ] ] }, "title" : "Research and Reporting Methods Annals of Internal Medicine Conceptual and Technical Challenges in Network Meta-analysis", "type" : "article-journal" }, "uris" : [ "http://www.mendeley.com/documents/?uuid=8e91b5ca-5238-4b24-a447-5db6ae7f4272" ] }, { "id" : "ITEM-2", "itemData" : { "DOI" : "10.1371/journal.pone.0011054", "ISSN" : "1932-6203", "author" : [ { "dropping-particle" : "", "family" : "Donegan", "given" : "Sarah", "non-dropping-particle" : "", "parse-names" : false, "suffix" : "" }, { "dropping-particle" : "", "family" : "Williamson", "given" : "Paula", "non-dropping-particle" : "", "parse-names" : false, "suffix" : "" }, { "dropping-particle" : "", "family" : "Gamble", "given" : "Carrol", "non-dropping-particle" : "", "parse-names" : false, "suffix" : "" }, { "dropping-particle" : "", "family" : "Tudur-Smith", "given" : "Catrin", "non-dropping-particle" : "", "parse-names" : false, "suffix" : "" } ], "container-title" : "PLoS ONE", "id" : "ITEM-2", "issue" : "11", "issued" : { "date-parts" : [ [ "2010" ] ] }, "page" : "e11054", "title" : "Indirect Comparisons: A Review of Reporting and Methodological Quality", "type" : "article-journal", "volume" : "5" }, "uris" : [ "http://www.mendeley.com/documents/?uuid=78f686be-ac9e-4f6f-b955-1df2b7c932fb" ] }, { "id" : "ITEM-3", "itemData" : { "DOI" : "10.1136/bmj.b1147", "ISBN" : "1756-1833 (Electronic)\\n0959-535X (Linking)", "ISSN" : "0959-8138", "PMID" : "19346285", "abstract" : "OBJECTIVE: To investigate basic assumptions and other methodological problems in the application of indirect comparison in systematic reviews of competing healthcare interventions. DESIGN: Survey of published systematic reviews. Inclusion criteria Systematic reviews published between 2000 and 2007 in which an indirect approach had been explicitly used. DATA EXTRACTION: Identified reviews were assessed for comprehensiveness of the literature search, method for indirect comparison, and whether assumptions about similarity and consistency were explicitly mentioned. RESULTS: The survey included 88 review reports. In 13 reviews, indirect comparison was informal. Results from different trials were naively compared without using a common control in six reviews. Adjusted indirect comparison was usually done using classic frequentist methods (n=49) or more complex methods (n=18). The key assumption of trial similarity was explicitly mentioned in only 40 of the 88 reviews. The consistency assumption was not explicit in most cases where direct and indirect evidence were compared or combined (18/30). Evidence from head to head comparison trials was not systematically searched for or not included in nine cases. CONCLUSIONS: Identified methodological problems were an unclear understanding of underlying assumptions, inappropriate search and selection of relevant trials, use of inappropriate or flawed methods, lack of objective and validated methods to assess or improve trial similarity, and inadequate comparison or inappropriate combination of direct and indirect evidence. Adequate understanding of basic assumptions underlying indirect and mixed treatment comparison is crucial to resolve these methodological problems. APPENDIX 1: PubMed search strategy. APPENDIX 2: Characteristics of identified reports. APPENDIX 3: Identified studies. References of included studies.", "author" : [ { "dropping-particle" : "", "family" : "Song", "given" : "F.", "non-dropping-particle" : "", "parse-names" : false, "suffix" : "" }, { "dropping-particle" : "", "family" : "Loke", "given" : "Yoon K", "non-dropping-particle" : "", "parse-names" : false, "suffix" : "" }, { "dropping-particle" : "", "family" : "Walsh", "given" : "Tanya", "non-dropping-particle" : "", "parse-names" : false, "suffix" : "" }, { "dropping-particle" : "", "family" : "Glenny", "given" : "Anne-Marie", "non-dropping-particle" : "", "parse-names" : false, "suffix" : "" }, { "dropping-particle" : "", "family" : "Eastwood", "given" : "Alison J", "non-dropping-particle" : "", "parse-names" : false, "suffix" : "" }, { "dropping-particle" : "", "family" : "Altman", "given" : "Douglas G.", "non-dropping-particle" : "", "parse-names" : false, "suffix" : "" } ], "container-title" : "Bmj", "id" : "ITEM-3", "issued" : { "date-parts" : [ [ "2009" ] ] }, "page" : "1-7", "title" : "Methodological problems in the use of indirect comparisons for evaluating healthcare interventions: survey of published systematic reviews.", "type" : "article-journal", "volume" : "338" }, "uris" : [ "http://www.mendeley.com/documents/?uuid=562fcfe0-0351-4da8-8367-abdce8c8935c" ] }, { "id" : "ITEM-4", "itemData" : { "DOI" : "10.1002/jrsm.1037", "ISBN" : "1759-2887", "ISSN" : "17592879", "PMID" : "26062083", "abstract" : "The ever increasing number of alternative treatment options and the plethora of clinical trials have put systematic reviews and meta-analysis under a new perspective by emphasizing the need to make inferences about competing treatments for the same condition. The statistical component in reviews that compare multiple interventions, network meta-analysis, is the next generation evidence synthesis toolkit which, when properly applied, can serve decision-making better than the established pairwise meta-analysis. The criticism and enthusiasm for network meta-analysis echo those that greeted the advent of simple meta-analysis. The main criticism is associated with the difficulty in evaluating the assumption underlying the statistical synthesis of direct and indirect evidence. In the present article, the assumption of the network meta-analysis are presented using various formulations, the statistical and nonstatistical methodological considerations are elucidated, and the progress achieved in this field is summarized. Throughout, focus is put on highlighting the analogy between the concerns and difficulties that the scientific community had some time ago when advancing from individual trials to their quantitative synthesis via meta-analysis and those currently expressed about the transition from head-to-head meta-analyses to network meta-analysis. Copyright \u00a9 2012 John Wiley &amp; Sons, Ltd.", "author" : [ { "dropping-particle" : "", "family" : "Salanti", "given" : "G.", "non-dropping-particle" : "", "parse-names" : false, "suffix" : "" } ], "container-title" : "Research Synthesis Methods", "id" : "ITEM-4", "issue" : "March", "issued" : { "date-parts" : [ [ "2012" ] ] }, "page" : "80-97", "title" : "Indirect and mixed-treatment comparison, network, or multiple-treatments meta-analysis: many names, many benefits, many concerns for the next generation evidence synthesis tool", "type" : "article-journal", "volume" : "3" }, "uris" : [ "http://www.mendeley.com/documents/?uuid=1590aa70-cb9a-4635-b3a3-06967448faae" ] } ], "mendeley" : { "formattedCitation" : "[45\u201348]", "plainTextFormattedCitation" : "[45\u201348]", "previouslyFormattedCitation" : "[42\u201345]" }, "properties" : { "noteIndex" : 0 }, "schema" : "https://github.com/citation-style-language/schema/raw/master/csl-citation.json" }</w:instrText>
      </w:r>
      <w:r>
        <w:fldChar w:fldCharType="separate"/>
      </w:r>
      <w:bookmarkStart w:id="130" w:name="__Fieldmark__1174_1374788089"/>
      <w:bookmarkStart w:id="131" w:name="__Fieldmark__1424_1114282649"/>
      <w:bookmarkStart w:id="132" w:name="__Fieldmark__862_931786406"/>
      <w:r w:rsidRPr="005356A1">
        <w:rPr>
          <w:noProof/>
        </w:rPr>
        <w:t>[45–48]</w:t>
      </w:r>
      <w:r>
        <w:fldChar w:fldCharType="end"/>
      </w:r>
      <w:bookmarkEnd w:id="130"/>
      <w:bookmarkEnd w:id="131"/>
      <w:bookmarkEnd w:id="132"/>
      <w:r>
        <w:t>.</w:t>
      </w:r>
    </w:p>
    <w:p w14:paraId="112D962C" w14:textId="77777777" w:rsidR="00342E07" w:rsidRDefault="00342E07">
      <w:pPr>
        <w:spacing w:after="0" w:line="240" w:lineRule="auto"/>
        <w:jc w:val="both"/>
      </w:pPr>
    </w:p>
    <w:p w14:paraId="1CE6DD18" w14:textId="77777777" w:rsidR="00342E07" w:rsidRDefault="00342E07">
      <w:pPr>
        <w:spacing w:after="0" w:line="240" w:lineRule="auto"/>
        <w:jc w:val="both"/>
      </w:pPr>
    </w:p>
    <w:p w14:paraId="5FBCA3A7" w14:textId="77777777" w:rsidR="00342E07" w:rsidRDefault="005356A1">
      <w:pPr>
        <w:spacing w:after="0" w:line="240" w:lineRule="auto"/>
        <w:jc w:val="both"/>
      </w:pPr>
      <w:r>
        <w:t>A requirement for the application of a network meta-analytic technique is “transitivity”, i.e., in the case of treatment effect comparison, “similarity” in the distributions of “effect modifiers”</w:t>
      </w:r>
      <w:r>
        <w:fldChar w:fldCharType="begin" w:fldLock="1"/>
      </w:r>
      <w:r>
        <w:instrText>ADDIN CSL_CITATION { "citationItems" : [ { "id" : "ITEM-1", "itemData" : { "DOI" : "10.1177/0272989X12455847", "ISBN" : "1552-681X (Electronic)\\r0272-989X (Linking)", "ISSN" : "1552-681X", "PMID" : "23804508", "abstract" : "Inconsistency can be thought of as a conflict between \"direct\" evidence on a comparison between treatments B and C and \"indirect\" evidence gained from AC and AB trials. Like heterogeneity, inconsistency is caused by effect modifiers and specifically by an imbalance in the distribution of effect modifiers in the direct and indirect evidence. Defining inconsistency as a property of loops of evidence, the relation between inconsistency and heterogeneity and the difficulties created by multiarm trials are described. We set out an approach to assessing consistency in 3-treatment triangular networks and in larger circuit structures, its extension to certain special structures in which independent tests for inconsistencies can be created, and describe methods suitable for more complex networks. Sample WinBUGS code is given in an appendix. Steps that can be taken to minimize the risk of drawing incorrect conclusions from indirect comparisons and network meta-analysis are the same steps that will minimize heterogeneity in pairwise meta-analysis. Empirical indicators that can provide reassurance and the question of how to respond to inconsistency are also discussed.", "author" : [ { "dropping-particle" : "", "family" : "Dias", "given" : "S.", "non-dropping-particle" : "", "parse-names" : false, "suffix" : "" }, { "dropping-particle" : "", "family" : "Welton", "given" : "Nicky J", "non-dropping-particle" : "", "parse-names" : false, "suffix" : "" }, { "dropping-particle" : "", "family" : "Sutton", "given" : "Alex J", "non-dropping-particle" : "", "parse-names" : false, "suffix" : "" }, { "dropping-particle" : "", "family" : "Caldwell", "given" : "Deborah M", "non-dropping-particle" : "", "parse-names" : false, "suffix" : "" }, { "dropping-particle" : "", "family" : "Lu", "given" : "G.", "non-dropping-particle" : "", "parse-names" : false, "suffix" : "" }, { "dropping-particle" : "", "family" : "Ades", "given" : "a E", "non-dropping-particle" : "", "parse-names" : false, "suffix" : "" } ], "container-title" : "Medical decision making : an international journal of the Society for Medical Decision Making", "id" : "ITEM-1", "issue" : "5", "issued" : { "date-parts" : [ [ "2013" ] ] }, "page" : "641-56", "title" : "Evidence synthesis for decision making 4: inconsistency in networks of evidence based on randomized controlled trials.", "type" : "article-journal", "volume" : "33" }, "uris" : [ "http://www.mendeley.com/documents/?uuid=9b37b222-b7dd-49c3-b1b1-f8b874da7907" ] } ], "mendeley" : { "formattedCitation" : "[49]", "plainTextFormattedCitation" : "[49]", "previouslyFormattedCitation" : "[46]" }, "properties" : { "noteIndex" : 0 }, "schema" : "https://github.com/citation-style-language/schema/raw/master/csl-citation.json" }</w:instrText>
      </w:r>
      <w:r>
        <w:fldChar w:fldCharType="separate"/>
      </w:r>
      <w:bookmarkStart w:id="133" w:name="__Fieldmark__1185_1374788089"/>
      <w:bookmarkStart w:id="134" w:name="__Fieldmark__1433_1114282649"/>
      <w:bookmarkStart w:id="135" w:name="__Fieldmark__871_931786406"/>
      <w:r w:rsidRPr="005356A1">
        <w:rPr>
          <w:noProof/>
        </w:rPr>
        <w:t>[49]</w:t>
      </w:r>
      <w:r>
        <w:fldChar w:fldCharType="end"/>
      </w:r>
      <w:bookmarkEnd w:id="133"/>
      <w:bookmarkEnd w:id="134"/>
      <w:bookmarkEnd w:id="135"/>
      <w:r>
        <w:t xml:space="preserve"> and </w:t>
      </w:r>
      <w:r>
        <w:rPr>
          <w:rFonts w:eastAsia="Times New Roman" w:cs="Times New Roman"/>
          <w:color w:val="000000"/>
        </w:rPr>
        <w:t>in study-level characteristics (such as inclusion and exclusion criteria, details on subject recruitment, or study design choices).</w:t>
      </w:r>
      <w:r>
        <w:fldChar w:fldCharType="begin" w:fldLock="1"/>
      </w:r>
      <w:r>
        <w:instrText>ADDIN CSL_CITATION { "citationItems" : [ { "id" : "ITEM-1", "itemData" : { "DOI" : "10.1016/j.jclinepi.2014.06.018", "ISBN" : "1878-5921 (Electronic)\\r0895-4356 (Linking)", "ISSN" : "18785921", "PMID" : "25179855", "abstract" : "Objectives It is widely acknowledged that the performance of diagnostic and prognostic prediction models should be assessed in external validation studies with independent data from \"different but related\" samples as compared with that of the development sample. We developed a framework of methodological steps and statistical methods for analyzing and enhancing the interpretation of results from external validation studies of prediction models. Study Design and Setting We propose to quantify the degree of relatedness between development and validation samples on a scale ranging from reproducibility to transportability by evaluating their corresponding case-mix differences. We subsequently assess the models' performance in the validation sample and interpret the performance in view of the case-mix differences. Finally, we may adjust the model to the validation setting. Results We illustrate this three-step framework with a prediction model for diagnosing deep venous thrombosis using three validation samples with varying case mix. While one external validation sample merely assessed the model's reproducibility, two other samples rather assessed model transportability. The performance in all validation samples was adequate, and the model did not require extensive updating to correct for miscalibration or poor fit to the validation settings. Conclusion The proposed framework enhances the interpretation of findings at external validation of prediction models.", "author" : [ { "dropping-particle" : "", "family" : "Debray", "given" : "Thomas P A", "non-dropping-particle" : "", "parse-names" : false, "suffix" : "" }, { "dropping-particle" : "", "family" : "Vergouwe", "given" : "Yvonne", "non-dropping-particle" : "", "parse-names" : false, "suffix" : "" }, { "dropping-particle" : "", "family" : "Koffijberg", "given" : "Hendrik", "non-dropping-particle" : "", "parse-names" : false, "suffix" : "" }, { "dropping-particle" : "", "family" : "Nieboer", "given" : "Daan", "non-dropping-particle" : "", "parse-names" : false, "suffix" : "" }, { "dropping-particle" : "", "family" : "Steyerberg", "given" : "Ewout W.", "non-dropping-particle" : "", "parse-names" : false, "suffix" : "" }, { "dropping-particle" : "", "family" : "Moons", "given" : "Karel G.M.", "non-dropping-particle" : "", "parse-names" : false, "suffix" : "" } ], "container-title" : "Journal of Clinical Epidemiology", "id" : "ITEM-1", "issue" : "3", "issued" : { "date-parts" : [ [ "2015" ] ] }, "note" : "Spread of the linear predictor as a measure of discrimination.", "page" : "279-289", "publisher" : "Elsevier Inc", "title" : "A new framework to enhance the interpretation of external validation studies of clinical prediction models", "type" : "article-journal", "volume" : "68" }, "uris" : [ "http://www.mendeley.com/documents/?uuid=f60f03a1-c1e8-432c-9962-1893ceefc073" ] } ], "mendeley" : { "formattedCitation" : "[50]", "plainTextFormattedCitation" : "[50]", "previouslyFormattedCitation" : "[47]" }, "properties" : { "noteIndex" : 0 }, "schema" : "https://github.com/citation-style-language/schema/raw/master/csl-citation.json" }</w:instrText>
      </w:r>
      <w:r>
        <w:fldChar w:fldCharType="separate"/>
      </w:r>
      <w:bookmarkStart w:id="136" w:name="__Fieldmark__1195_1374788089"/>
      <w:bookmarkStart w:id="137" w:name="__Fieldmark__1440_1114282649"/>
      <w:bookmarkStart w:id="138" w:name="__Fieldmark__879_931786406"/>
      <w:r w:rsidRPr="005356A1">
        <w:rPr>
          <w:rFonts w:eastAsia="Times New Roman" w:cs="Times New Roman"/>
          <w:noProof/>
          <w:color w:val="000000"/>
        </w:rPr>
        <w:t>[50]</w:t>
      </w:r>
      <w:r>
        <w:fldChar w:fldCharType="end"/>
      </w:r>
      <w:bookmarkEnd w:id="136"/>
      <w:bookmarkEnd w:id="137"/>
      <w:bookmarkEnd w:id="138"/>
      <w:r>
        <w:rPr>
          <w:rFonts w:eastAsia="Times New Roman" w:cs="Times New Roman"/>
          <w:color w:val="000000"/>
        </w:rPr>
        <w:t xml:space="preserve"> In MSC we do not refer to similarity </w:t>
      </w:r>
      <w:r>
        <w:t>in the distributions of “effect modifiers”</w:t>
      </w:r>
      <w:r>
        <w:rPr>
          <w:rFonts w:eastAsia="Times New Roman" w:cs="Times New Roman"/>
          <w:color w:val="000000"/>
        </w:rPr>
        <w:t xml:space="preserve"> but to “spectrum effect”</w:t>
      </w:r>
      <w:r>
        <w:fldChar w:fldCharType="begin" w:fldLock="1"/>
      </w:r>
      <w:r>
        <w:instrText>ADDIN CSL_CITATION { "citationItems" : [ { "id" : "ITEM-1", "itemData" : { "author" : [ { "dropping-particle" : "", "family" : "Evaluation", "given" : "Test", "non-dropping-particle" : "", "parse-names" : false, "suffix" : "" } ], "container-title" : "Annals of Internal Medicine", "id" : "ITEM-1", "issued" : { "date-parts" : [ [ "2002" ] ] }, "page" : "598-603", "title" : "Academia and Clinic Spectrum Bias or Spectrum Effect ? Subgroup Variation in Diagnostic", "type" : "article-journal" }, "uris" : [ "http://www.mendeley.com/documents/?uuid=37687c80-b0d7-44ae-a3a6-08297ec6fa74" ] }, { "id" : "ITEM-2", "itemData" : { "author" : [ { "dropping-particle" : "", "family" : "Ransohoff", "given" : "DF", "non-dropping-particle" : "", "parse-names" : false, "suffix" : "" }, { "dropping-particle" : "", "family" : "Feinstein", "given" : "AR", "non-dropping-particle" : "", "parse-names" : false, "suffix" : "" } ], "container-title" : "The New England Journal of Medicine", "id" : "ITEM-2", "issued" : { "date-parts" : [ [ "2010" ] ] }, "title" : "Problems of spectrum and bias in evaluating the efficacy of diagnostic tests", "type" : "article-journal" }, "uris" : [ "http://www.mendeley.com/documents/?uuid=5c5af353-6f59-4eb7-a009-556242dd99de" ] } ], "mendeley" : { "formattedCitation" : "[51, 52]", "plainTextFormattedCitation" : "[51, 52]", "previouslyFormattedCitation" : "[48, 49]" }, "properties" : { "noteIndex" : 0 }, "schema" : "https://github.com/citation-style-language/schema/raw/master/csl-citation.json" }</w:instrText>
      </w:r>
      <w:r>
        <w:fldChar w:fldCharType="separate"/>
      </w:r>
      <w:bookmarkStart w:id="139" w:name="__Fieldmark__1206_1374788089"/>
      <w:bookmarkStart w:id="140" w:name="__Fieldmark__1449_1114282649"/>
      <w:bookmarkStart w:id="141" w:name="__Fieldmark__888_931786406"/>
      <w:r w:rsidRPr="005356A1">
        <w:rPr>
          <w:rFonts w:eastAsia="Times New Roman" w:cs="Times New Roman"/>
          <w:noProof/>
          <w:color w:val="000000"/>
        </w:rPr>
        <w:t>[51, 52]</w:t>
      </w:r>
      <w:r>
        <w:fldChar w:fldCharType="end"/>
      </w:r>
      <w:bookmarkEnd w:id="139"/>
      <w:bookmarkEnd w:id="140"/>
      <w:bookmarkEnd w:id="141"/>
      <w:r>
        <w:rPr>
          <w:rFonts w:eastAsia="Times New Roman" w:cs="Times New Roman"/>
          <w:color w:val="000000"/>
        </w:rPr>
        <w:t xml:space="preserve"> or “case mix”,</w:t>
      </w:r>
      <w:r>
        <w:fldChar w:fldCharType="begin" w:fldLock="1"/>
      </w:r>
      <w:r>
        <w:instrText>ADDIN CSL_CITATION { "citationItems" : [ { "id" : "ITEM-1", "itemData" : { "DOI" : "10.1136/bmj.i3140", "ISSN" : "1756-1833", "PMID" : "27334381", "abstract" : "Access to big datasets from e-health records and individual participant data (IPD) meta-analysis is signalling a new advent of external validation studies for clinical prediction models. In this article, the authors illustrate novel opportunities for external validation in big, combined datasets, while drawing attention to methodological challenges and reporting issues. #### Summary points A popular type of clinical research is the development of statistical models that predict disease presence and outcome occurrence in individuals,1 2 3 thereby informing clinical diagnosis and prognosis. Such models are referred to here as diagnostic and prognostic prediction models, but they have many other names including risk models, risk scores, and clinical prediction rules. They are typically developed by use of a multivariable regression framework, which provides an equation to estimate an individual\u2019s risk based on values of multiple predictors (such as age and smoking, or biomarkers and genetic information). \u2026", "author" : [ { "dropping-particle" : "", "family" : "Riley", "given" : "Richard D", "non-dropping-particle" : "", "parse-names" : false, "suffix" : "" }, { "dropping-particle" : "", "family" : "Ensor", "given" : "Joie", "non-dropping-particle" : "", "parse-names" : false, "suffix" : "" }, { "dropping-particle" : "", "family" : "Snell", "given" : "Kym I E", "non-dropping-particle" : "", "parse-names" : false, "suffix" : "" }, { "dropping-particle" : "", "family" : "Debray", "given" : "Thomas P A", "non-dropping-particle" : "", "parse-names" : false, "suffix" : "" }, { "dropping-particle" : "", "family" : "Altman", "given" : "Doug G", "non-dropping-particle" : "", "parse-names" : false, "suffix" : "" }, { "dropping-particle" : "", "family" : "Moons", "given" : "Karel G.M.", "non-dropping-particle" : "", "parse-names" : false, "suffix" : "" }, { "dropping-particle" : "", "family" : "Collins", "given" : "Gary S.", "non-dropping-particle" : "", "parse-names" : false, "suffix" : "" } ], "container-title" : "Bmj", "id" : "ITEM-1", "issue" : "mar31_1", "issued" : { "date-parts" : [ [ "2016" ] ] }, "page" : "i3140", "title" : "External validation of clinical prediction models using big datasets from e-health records or IPD meta-analysis: opportunities and challenges", "type" : "article-journal", "volume" : "353" }, "uris" : [ "http://www.mendeley.com/documents/?uuid=0bb796c0-a9b9-488d-af9b-46dfddfb2e74" ] }, { "id" : "ITEM-2", "itemData" : { "DOI" : "10.1093/aje/kwq223", "ISBN" : "1476-6256 (Electronic)\\r0002-9262 (Linking)", "ISSN" : "14766256", "PMID" : "20807737", "abstract" : "Various performance measures related to calibration and discrimination are available for the assessment of risk models. When the validity of a risk model is assessed in a new population, estimates of the model's performance can be influenced in several ways. The regression coefficients can be incorrect, which indeed results in an invalid model. However, the distribution of patient characteristics (case mix) may also influence the performance of the model. Here the authors consider a number of typical situations that can be encountered in external validation studies. Theoretical relations between differences in development and validation samples and performance measures are studied by simulation. Benchmark values for the performance measures are proposed to disentangle a case-mix effect from incorrect regression coefficients, when interpreting the model's estimated performance in validation samples. The authors demonstrate the use of the benchmark values using data on traumatic brain injury obtained from the International Tirilazad Trial and the North American Tirilazad Trial (1991-1994).", "author" : [ { "dropping-particle" : "", "family" : "Vergouwe", "given" : "Yvonne", "non-dropping-particle" : "", "parse-names" : false, "suffix" : "" }, { "dropping-particle" : "", "family" : "Moons", "given" : "Karel G.M.", "non-dropping-particle" : "", "parse-names" : false, "suffix" : "" }, { "dropping-particle" : "", "family" : "Steyerberg", "given" : "Ewout W.", "non-dropping-particle" : "", "parse-names" : false, "suffix" : "" } ], "container-title" : "AJE (American Journal of Epidemiology)", "id" : "ITEM-2", "issue" : "8", "issued" : { "date-parts" : [ [ "2010" ] ] }, "page" : "971-980", "title" : "External validity of risk models: Use of benchmark values to disentangle a case-mix effect from incorrect coefficients", "type" : "article-journal", "volume" : "172" }, "uris" : [ "http://www.mendeley.com/documents/?uuid=8b2d3ef2-1b23-4506-b873-7cea0df5aa10" ] }, { "id" : "ITEM-3", "itemData" : { "DOI" : "10.1016/j.jclinepi.2014.06.018", "ISBN" : "1878-5921 (Electronic)\\r0895-4356 (Linking)", "ISSN" : "18785921", "PMID" : "25179855", "abstract" : "Objectives It is widely acknowledged that the performance of diagnostic and prognostic prediction models should be assessed in external validation studies with independent data from \"different but related\" samples as compared with that of the development sample. We developed a framework of methodological steps and statistical methods for analyzing and enhancing the interpretation of results from external validation studies of prediction models. Study Design and Setting We propose to quantify the degree of relatedness between development and validation samples on a scale ranging from reproducibility to transportability by evaluating their corresponding case-mix differences. We subsequently assess the models' performance in the validation sample and interpret the performance in view of the case-mix differences. Finally, we may adjust the model to the validation setting. Results We illustrate this three-step framework with a prediction model for diagnosing deep venous thrombosis using three validation samples with varying case mix. While one external validation sample merely assessed the model's reproducibility, two other samples rather assessed model transportability. The performance in all validation samples was adequate, and the model did not require extensive updating to correct for miscalibration or poor fit to the validation settings. Conclusion The proposed framework enhances the interpretation of findings at external validation of prediction models.", "author" : [ { "dropping-particle" : "", "family" : "Debray", "given" : "Thomas P A", "non-dropping-particle" : "", "parse-names" : false, "suffix" : "" }, { "dropping-particle" : "", "family" : "Vergouwe", "given" : "Yvonne", "non-dropping-particle" : "", "parse-names" : false, "suffix" : "" }, { "dropping-particle" : "", "family" : "Koffijberg", "given" : "Hendrik", "non-dropping-particle" : "", "parse-names" : false, "suffix" : "" }, { "dropping-particle" : "", "family" : "Nieboer", "given" : "Daan", "non-dropping-particle" : "", "parse-names" : false, "suffix" : "" }, { "dropping-particle" : "", "family" : "Steyerberg", "given" : "Ewout W.", "non-dropping-particle" : "", "parse-names" : false, "suffix" : "" }, { "dropping-particle" : "", "family" : "Moons", "given" : "Karel G.M.", "non-dropping-particle" : "", "parse-names" : false, "suffix" : "" } ], "container-title" : "Journal of Clinical Epidemiology", "id" : "ITEM-3", "issue" : "3", "issued" : { "date-parts" : [ [ "2015" ] ] }, "note" : "Spread of the linear predictor as a measure of discrimination.", "page" : "279-289", "publisher" : "Elsevier Inc", "title" : "A new framework to enhance the interpretation of external validation studies of clinical prediction models", "type" : "article-journal", "volume" : "68" }, "uris" : [ "http://www.mendeley.com/documents/?uuid=f60f03a1-c1e8-432c-9962-1893ceefc073" ] } ], "mendeley" : { "formattedCitation" : "[50, 53, 54]", "plainTextFormattedCitation" : "[50, 53, 54]", "previouslyFormattedCitation" : "[47, 50, 51]" }, "properties" : { "noteIndex" : 0 }, "schema" : "https://github.com/citation-style-language/schema/raw/master/csl-citation.json" }</w:instrText>
      </w:r>
      <w:r>
        <w:fldChar w:fldCharType="separate"/>
      </w:r>
      <w:bookmarkStart w:id="142" w:name="__Fieldmark__1215_1374788089"/>
      <w:bookmarkStart w:id="143" w:name="__Fieldmark__1456_1114282649"/>
      <w:bookmarkStart w:id="144" w:name="__Fieldmark__895_931786406"/>
      <w:r w:rsidRPr="005356A1">
        <w:rPr>
          <w:rFonts w:eastAsia="Times New Roman" w:cs="Times New Roman"/>
          <w:noProof/>
          <w:color w:val="000000"/>
        </w:rPr>
        <w:t>[50, 53, 54]</w:t>
      </w:r>
      <w:r>
        <w:fldChar w:fldCharType="end"/>
      </w:r>
      <w:bookmarkEnd w:id="142"/>
      <w:bookmarkEnd w:id="143"/>
      <w:bookmarkEnd w:id="144"/>
      <w:r>
        <w:rPr>
          <w:rFonts w:eastAsia="Times New Roman" w:cs="Times New Roman"/>
          <w:color w:val="000000"/>
        </w:rPr>
        <w:t xml:space="preserve"> defined as the distribution of predictor values, other relevant participant or setting characteristics (such as therapy in stable conditions) and the outcome incidence.</w:t>
      </w:r>
      <w:r>
        <w:fldChar w:fldCharType="begin" w:fldLock="1"/>
      </w:r>
      <w:r>
        <w:instrText>ADDIN CSL_CITATION { "citationItems" : [ { "id" : "ITEM-1", "itemData" : { "DOI" : "10.1136/bmj.i3140", "ISSN" : "1756-1833", "PMID" : "27334381", "abstract" : "Access to big datasets from e-health records and individual participant data (IPD) meta-analysis is signalling a new advent of external validation studies for clinical prediction models. In this article, the authors illustrate novel opportunities for external validation in big, combined datasets, while drawing attention to methodological challenges and reporting issues. #### Summary points A popular type of clinical research is the development of statistical models that predict disease presence and outcome occurrence in individuals,1 2 3 thereby informing clinical diagnosis and prognosis. Such models are referred to here as diagnostic and prognostic prediction models, but they have many other names including risk models, risk scores, and clinical prediction rules. They are typically developed by use of a multivariable regression framework, which provides an equation to estimate an individual\u2019s risk based on values of multiple predictors (such as age and smoking, or biomarkers and genetic information). \u2026", "author" : [ { "dropping-particle" : "", "family" : "Riley", "given" : "Richard D", "non-dropping-particle" : "", "parse-names" : false, "suffix" : "" }, { "dropping-particle" : "", "family" : "Ensor", "given" : "Joie", "non-dropping-particle" : "", "parse-names" : false, "suffix" : "" }, { "dropping-particle" : "", "family" : "Snell", "given" : "Kym I E", "non-dropping-particle" : "", "parse-names" : false, "suffix" : "" }, { "dropping-particle" : "", "family" : "Debray", "given" : "Thomas P A", "non-dropping-particle" : "", "parse-names" : false, "suffix" : "" }, { "dropping-particle" : "", "family" : "Altman", "given" : "Doug G", "non-dropping-particle" : "", "parse-names" : false, "suffix" : "" }, { "dropping-particle" : "", "family" : "Moons", "given" : "Karel G.M.", "non-dropping-particle" : "", "parse-names" : false, "suffix" : "" }, { "dropping-particle" : "", "family" : "Collins", "given" : "Gary S.", "non-dropping-particle" : "", "parse-names" : false, "suffix" : "" } ], "container-title" : "Bmj", "id" : "ITEM-1", "issue" : "mar31_1", "issued" : { "date-parts" : [ [ "2016" ] ] }, "page" : "i3140", "title" : "External validation of clinical prediction models using big datasets from e-health records or IPD meta-analysis: opportunities and challenges", "type" : "article-journal", "volume" : "353" }, "uris" : [ "http://www.mendeley.com/documents/?uuid=0bb796c0-a9b9-488d-af9b-46dfddfb2e74" ] } ], "mendeley" : { "formattedCitation" : "[53]", "plainTextFormattedCitation" : "[53]", "previouslyFormattedCitation" : "[50]" }, "properties" : { "noteIndex" : 0 }, "schema" : "https://github.com/citation-style-language/schema/raw/master/csl-citation.json" }</w:instrText>
      </w:r>
      <w:r>
        <w:fldChar w:fldCharType="separate"/>
      </w:r>
      <w:bookmarkStart w:id="145" w:name="__Fieldmark__1224_1374788089"/>
      <w:bookmarkStart w:id="146" w:name="__Fieldmark__1463_1114282649"/>
      <w:bookmarkStart w:id="147" w:name="__Fieldmark__902_931786406"/>
      <w:r w:rsidRPr="005356A1">
        <w:rPr>
          <w:rFonts w:eastAsia="Times New Roman" w:cs="Times New Roman"/>
          <w:noProof/>
          <w:color w:val="000000"/>
        </w:rPr>
        <w:t>[53]</w:t>
      </w:r>
      <w:r>
        <w:fldChar w:fldCharType="end"/>
      </w:r>
      <w:bookmarkEnd w:id="145"/>
      <w:bookmarkEnd w:id="146"/>
      <w:bookmarkEnd w:id="147"/>
      <w:r>
        <w:rPr>
          <w:rFonts w:eastAsia="Times New Roman" w:cs="Times New Roman"/>
          <w:color w:val="000000"/>
        </w:rPr>
        <w:t xml:space="preserve"> Indeed, it is well established in prediction model literature that as the case-mix heterogeneity increases, individuals have a larger variety of patient characteristics, and the model tends to discriminate better.</w:t>
      </w:r>
      <w:r>
        <w:fldChar w:fldCharType="begin" w:fldLock="1"/>
      </w:r>
      <w:r>
        <w:instrText>ADDIN CSL_CITATION { "citationItems" : [ { "id" : "ITEM-1", "itemData" : { "author" : [ { "dropping-particle" : "", "family" : "Cox", "given" : "D.R.", "non-dropping-particle" : "", "parse-names" : false, "suffix" : "" } ], "container-title" : "Biometrika", "id" : "ITEM-1", "issue" : "3/4", "issued" : { "date-parts" : [ [ "1958" ] ] }, "note" : "Cited by &amp;quot;A new framework to enhance the interpretation of external validation studies of clinical prediction models&amp;quot; Debray 2015\n\nas: \n\n&amp;quot;As the case-mix heterogeneity increases, individuals have a larger variety of patient characteristics, and the model tends to discriminate better [20,24]&amp;quot;", "page" : "562-565", "title" : "Two Further Applications of a Model for Binary Regression", "type" : "article-journal", "volume" : "45" }, "uris" : [ "http://www.mendeley.com/documents/?uuid=b9bb7c16-5365-48d1-a1a9-a31a3522dab9" ] }, { "id" : "ITEM-2", "itemData" : { "author" : [ { "dropping-particle" : "", "family" : "Hanley", "given" : "James A.", "non-dropping-particle" : "", "parse-names" : false, "suffix" : "" }, { "dropping-particle" : "", "family" : "McNeil", "given" : "Barbara J.", "non-dropping-particle" : "", "parse-names" : false, "suffix" : "" } ], "container-title" : "Radiology", "id" : "ITEM-2", "issued" : { "date-parts" : [ [ "1982" ] ] }, "note" : "Cited by &amp;quot;A new framework to enhance the interpretation of external validation studies of clinical prediction models&amp;quot; Debray 2015\n\nas: \n\n&amp;quot;As the case-mix heterogeneity increases, individuals have a larger variety of patient characteristics, and the model tends to discriminate better [20,24]&amp;quot;", "page" : "29-36", "title" : "The Meaning and Use of the Area under a Receiver Operating ( ROC ) Curvel Characteristic", "type" : "article-journal", "volume" : "143" }, "uris" : [ "http://www.mendeley.com/documents/?uuid=9295a939-abf7-48be-b659-11ef99784f68" ] } ], "mendeley" : { "formattedCitation" : "[55, 56]", "plainTextFormattedCitation" : "[55, 56]", "previouslyFormattedCitation" : "[52, 53]" }, "properties" : { "noteIndex" : 0 }, "schema" : "https://github.com/citation-style-language/schema/raw/master/csl-citation.json" }</w:instrText>
      </w:r>
      <w:r>
        <w:fldChar w:fldCharType="separate"/>
      </w:r>
      <w:bookmarkStart w:id="148" w:name="__Fieldmark__1233_1374788089"/>
      <w:bookmarkStart w:id="149" w:name="__Fieldmark__1470_1114282649"/>
      <w:bookmarkStart w:id="150" w:name="__Fieldmark__909_931786406"/>
      <w:r w:rsidRPr="005356A1">
        <w:rPr>
          <w:rFonts w:eastAsia="Times New Roman" w:cs="Times New Roman"/>
          <w:noProof/>
          <w:color w:val="000000"/>
        </w:rPr>
        <w:t>[55, 56]</w:t>
      </w:r>
      <w:r>
        <w:fldChar w:fldCharType="end"/>
      </w:r>
      <w:bookmarkEnd w:id="148"/>
      <w:bookmarkEnd w:id="149"/>
      <w:bookmarkEnd w:id="150"/>
      <w:r>
        <w:rPr>
          <w:rFonts w:eastAsia="Times New Roman" w:cs="Times New Roman"/>
          <w:color w:val="000000"/>
        </w:rPr>
        <w:t xml:space="preserve"> </w:t>
      </w:r>
    </w:p>
    <w:p w14:paraId="62DF37E0" w14:textId="77777777" w:rsidR="00342E07" w:rsidRDefault="005356A1">
      <w:pPr>
        <w:spacing w:after="0" w:line="240" w:lineRule="auto"/>
        <w:jc w:val="both"/>
      </w:pPr>
      <w:r>
        <w:rPr>
          <w:rFonts w:eastAsia="Times New Roman" w:cs="Times New Roman"/>
          <w:color w:val="000000"/>
        </w:rPr>
        <w:t xml:space="preserve">In practice, we used the definition number 4 of transitivity from </w:t>
      </w:r>
      <w:r>
        <w:fldChar w:fldCharType="begin" w:fldLock="1"/>
      </w:r>
      <w:r>
        <w:instrText>ADDIN CSL_CITATION { "citationItems" : [ { "id" : "ITEM-1", "itemData" : { "DOI" : "10.1002/jrsm.1037", "ISBN" : "1759-2887", "ISSN" : "17592879", "PMID" : "26062083", "abstract" : "The ever increasing number of alternative treatment options and the plethora of clinical trials have put systematic reviews and meta-analysis under a new perspective by emphasizing the need to make inferences about competing treatments for the same condition. The statistical component in reviews that compare multiple interventions, network meta-analysis, is the next generation evidence synthesis toolkit which, when properly applied, can serve decision-making better than the established pairwise meta-analysis. The criticism and enthusiasm for network meta-analysis echo those that greeted the advent of simple meta-analysis. The main criticism is associated with the difficulty in evaluating the assumption underlying the statistical synthesis of direct and indirect evidence. In the present article, the assumption of the network meta-analysis are presented using various formulations, the statistical and nonstatistical methodological considerations are elucidated, and the progress achieved in this field is summarized. Throughout, focus is put on highlighting the analogy between the concerns and difficulties that the scientific community had some time ago when advancing from individual trials to their quantitative synthesis via meta-analysis and those currently expressed about the transition from head-to-head meta-analyses to network meta-analysis. Copyright \u00a9 2012 John Wiley &amp; Sons, Ltd.", "author" : [ { "dropping-particle" : "", "family" : "Salanti", "given" : "G.", "non-dropping-particle" : "", "parse-names" : false, "suffix" : "" } ], "container-title" : "Research Synthesis Methods", "id" : "ITEM-1", "issue" : "March", "issued" : { "date-parts" : [ [ "2012" ] ] }, "page" : "80-97", "title" : "Indirect and mixed-treatment comparison, network, or multiple-treatments meta-analysis: many names, many benefits, many concerns for the next generation evidence synthesis tool", "type" : "article-journal", "volume" : "3" }, "uris" : [ "http://www.mendeley.com/documents/?uuid=1590aa70-cb9a-4635-b3a3-06967448faae" ] } ], "mendeley" : { "formattedCitation" : "[48]", "plainTextFormattedCitation" : "[48]", "previouslyFormattedCitation" : "[45]" }, "properties" : { "noteIndex" : 0 }, "schema" : "https://github.com/citation-style-language/schema/raw/master/csl-citation.json" }</w:instrText>
      </w:r>
      <w:r>
        <w:fldChar w:fldCharType="separate"/>
      </w:r>
      <w:bookmarkStart w:id="151" w:name="__Fieldmark__1244_1374788089"/>
      <w:bookmarkStart w:id="152" w:name="__Fieldmark__1481_1114282649"/>
      <w:bookmarkStart w:id="153" w:name="__Fieldmark__918_931786406"/>
      <w:r w:rsidRPr="005356A1">
        <w:rPr>
          <w:rFonts w:eastAsia="Times New Roman" w:cs="Times New Roman"/>
          <w:noProof/>
          <w:color w:val="000000"/>
        </w:rPr>
        <w:t>[48]</w:t>
      </w:r>
      <w:r>
        <w:fldChar w:fldCharType="end"/>
      </w:r>
      <w:bookmarkEnd w:id="151"/>
      <w:bookmarkEnd w:id="152"/>
      <w:bookmarkEnd w:id="153"/>
      <w:r>
        <w:rPr>
          <w:rFonts w:eastAsia="Times New Roman" w:cs="Times New Roman"/>
          <w:color w:val="000000"/>
        </w:rPr>
        <w:t>.</w:t>
      </w:r>
    </w:p>
    <w:p w14:paraId="286F7008" w14:textId="77777777" w:rsidR="00342E07" w:rsidRDefault="005356A1">
      <w:pPr>
        <w:spacing w:after="0" w:line="240" w:lineRule="auto"/>
        <w:jc w:val="both"/>
      </w:pPr>
      <w:r>
        <w:rPr>
          <w:rFonts w:eastAsia="Times New Roman" w:cs="Times New Roman"/>
          <w:color w:val="000000"/>
        </w:rPr>
        <w:t>Thus, we evaluated by meta-regression analysis</w:t>
      </w:r>
      <w:r>
        <w:fldChar w:fldCharType="begin" w:fldLock="1"/>
      </w:r>
      <w:r>
        <w:instrText>ADDIN CSL_CITATION { "citationItems" : [ { "id" : "ITEM-1", "itemData" : { "DOI" : "10.1002/sim.1187", "ISSN" : "0277-6715", "author" : [ { "dropping-particle" : "", "family" : "Thompson", "given" : "Simon G.", "non-dropping-particle" : "", "parse-names" : false, "suffix" : "" }, { "dropping-particle" : "", "family" : "Higgins", "given" : "J", "non-dropping-particle" : "", "parse-names" : false, "suffix" : "" } ], "container-title" : "Statistics in Medicine", "id" : "ITEM-1", "issue" : "11", "issued" : { "date-parts" : [ [ "2002" ] ] }, "page" : "1559-1573", "title" : "How should meta-regression analyses be undertaken and interpreted?", "type" : "article-journal", "volume" : "21" }, "uris" : [ "http://www.mendeley.com/documents/?uuid=9cffd2f7-10be-4255-a8c6-0e3d5e770182" ] } ], "mendeley" : { "formattedCitation" : "[57]", "plainTextFormattedCitation" : "[57]", "previouslyFormattedCitation" : "[54]" }, "properties" : { "noteIndex" : 0 }, "schema" : "https://github.com/citation-style-language/schema/raw/master/csl-citation.json" }</w:instrText>
      </w:r>
      <w:r>
        <w:fldChar w:fldCharType="separate"/>
      </w:r>
      <w:bookmarkStart w:id="154" w:name="__Fieldmark__1255_1374788089"/>
      <w:bookmarkStart w:id="155" w:name="__Fieldmark__1492_1114282649"/>
      <w:bookmarkStart w:id="156" w:name="__Fieldmark__927_931786406"/>
      <w:r w:rsidRPr="005356A1">
        <w:rPr>
          <w:rFonts w:eastAsia="Times New Roman" w:cs="Times New Roman"/>
          <w:noProof/>
          <w:color w:val="000000"/>
        </w:rPr>
        <w:t>[57]</w:t>
      </w:r>
      <w:r>
        <w:fldChar w:fldCharType="end"/>
      </w:r>
      <w:bookmarkEnd w:id="154"/>
      <w:bookmarkEnd w:id="155"/>
      <w:bookmarkEnd w:id="156"/>
      <w:r>
        <w:rPr>
          <w:rFonts w:eastAsia="Times New Roman" w:cs="Times New Roman"/>
          <w:color w:val="000000"/>
        </w:rPr>
        <w:t xml:space="preserve"> the distribution of the variables that could generate case mix variation (like median and variability of age,</w:t>
      </w:r>
      <w:r>
        <w:fldChar w:fldCharType="begin" w:fldLock="1"/>
      </w:r>
      <w:r>
        <w:instrText>ADDIN CSL_CITATION { "citationItems" : [ { "id" : "ITEM-1", "itemData" : { "DOI" : "10.1136/bmj.i3140", "ISSN" : "1756-1833", "PMID" : "27334381", "abstract" : "Access to big datasets from e-health records and individual participant data (IPD) meta-analysis is signalling a new advent of external validation studies for clinical prediction models. In this article, the authors illustrate novel opportunities for external validation in big, combined datasets, while drawing attention to methodological challenges and reporting issues. #### Summary points A popular type of clinical research is the development of statistical models that predict disease presence and outcome occurrence in individuals,1 2 3 thereby informing clinical diagnosis and prognosis. Such models are referred to here as diagnostic and prognostic prediction models, but they have many other names including risk models, risk scores, and clinical prediction rules. They are typically developed by use of a multivariable regression framework, which provides an equation to estimate an individual\u2019s risk based on values of multiple predictors (such as age and smoking, or biomarkers and genetic information). \u2026", "author" : [ { "dropping-particle" : "", "family" : "Riley", "given" : "Richard D", "non-dropping-particle" : "", "parse-names" : false, "suffix" : "" }, { "dropping-particle" : "", "family" : "Ensor", "given" : "Joie", "non-dropping-particle" : "", "parse-names" : false, "suffix" : "" }, { "dropping-particle" : "", "family" : "Snell", "given" : "Kym I E", "non-dropping-particle" : "", "parse-names" : false, "suffix" : "" }, { "dropping-particle" : "", "family" : "Debray", "given" : "Thomas P A", "non-dropping-particle" : "", "parse-names" : false, "suffix" : "" }, { "dropping-particle" : "", "family" : "Altman", "given" : "Doug G", "non-dropping-particle" : "", "parse-names" : false, "suffix" : "" }, { "dropping-particle" : "", "family" : "Moons", "given" : "Karel G.M.", "non-dropping-particle" : "", "parse-names" : false, "suffix" : "" }, { "dropping-particle" : "", "family" : "Collins", "given" : "Gary S.", "non-dropping-particle" : "", "parse-names" : false, "suffix" : "" } ], "container-title" : "Bmj", "id" : "ITEM-1", "issue" : "mar31_1", "issued" : { "date-parts" : [ [ "2016" ] ] }, "page" : "i3140", "title" : "External validation of clinical prediction models using big datasets from e-health records or IPD meta-analysis: opportunities and challenges", "type" : "article-journal", "volume" : "353" }, "uris" : [ "http://www.mendeley.com/documents/?uuid=0bb796c0-a9b9-488d-af9b-46dfddfb2e74" ] } ], "mendeley" : { "formattedCitation" : "[53]", "plainTextFormattedCitation" : "[53]", "previouslyFormattedCitation" : "[50]" }, "properties" : { "noteIndex" : 0 }, "schema" : "https://github.com/citation-style-language/schema/raw/master/csl-citation.json" }</w:instrText>
      </w:r>
      <w:r>
        <w:fldChar w:fldCharType="separate"/>
      </w:r>
      <w:bookmarkStart w:id="157" w:name="__Fieldmark__1264_1374788089"/>
      <w:bookmarkStart w:id="158" w:name="__Fieldmark__1499_1114282649"/>
      <w:bookmarkStart w:id="159" w:name="__Fieldmark__934_931786406"/>
      <w:r w:rsidRPr="005356A1">
        <w:rPr>
          <w:rFonts w:eastAsia="Times New Roman" w:cs="Times New Roman"/>
          <w:noProof/>
          <w:color w:val="000000"/>
        </w:rPr>
        <w:t>[53]</w:t>
      </w:r>
      <w:r>
        <w:fldChar w:fldCharType="end"/>
      </w:r>
      <w:bookmarkEnd w:id="157"/>
      <w:bookmarkEnd w:id="158"/>
      <w:bookmarkEnd w:id="159"/>
      <w:r>
        <w:rPr>
          <w:rFonts w:eastAsia="Times New Roman" w:cs="Times New Roman"/>
          <w:color w:val="000000"/>
        </w:rPr>
        <w:t xml:space="preserve"> range and variance of obstruction severity (i.e., FEV1% pred.), exercise capacity, size, mortality rate). Then, we </w:t>
      </w:r>
      <w:r>
        <w:t xml:space="preserve">used analysis of variance (ANOVA) to see whether the distribution of the identified variables was imbalanced in the groups and could consequently generate imbalance in the performance group by group. </w:t>
      </w:r>
    </w:p>
    <w:p w14:paraId="5629ACB6" w14:textId="77777777" w:rsidR="00342E07" w:rsidRDefault="00342E07">
      <w:pPr>
        <w:spacing w:after="0" w:line="240" w:lineRule="auto"/>
        <w:jc w:val="both"/>
      </w:pPr>
    </w:p>
    <w:p w14:paraId="17D398BD" w14:textId="77777777" w:rsidR="00342E07" w:rsidRDefault="005356A1">
      <w:pPr>
        <w:spacing w:after="0"/>
        <w:jc w:val="both"/>
      </w:pPr>
      <w:r>
        <w:t>We tested if case-mix heterogeneity of the following variables can affect the discriminative power of the models, namely the AUC):</w:t>
      </w:r>
    </w:p>
    <w:p w14:paraId="2B973D3D" w14:textId="77777777" w:rsidR="00342E07" w:rsidRDefault="00342E07">
      <w:pPr>
        <w:spacing w:after="0" w:line="240" w:lineRule="auto"/>
        <w:jc w:val="both"/>
      </w:pPr>
    </w:p>
    <w:p w14:paraId="641517F0" w14:textId="77777777" w:rsidR="00342E07" w:rsidRDefault="00342E07">
      <w:pPr>
        <w:pStyle w:val="ListParagraph"/>
        <w:spacing w:after="0"/>
        <w:ind w:left="360"/>
        <w:jc w:val="both"/>
      </w:pPr>
    </w:p>
    <w:p w14:paraId="184436AB" w14:textId="77777777" w:rsidR="00342E07" w:rsidRDefault="005356A1">
      <w:pPr>
        <w:pStyle w:val="ListParagraph"/>
        <w:numPr>
          <w:ilvl w:val="0"/>
          <w:numId w:val="1"/>
        </w:numPr>
        <w:spacing w:after="0"/>
        <w:jc w:val="both"/>
        <w:rPr>
          <w:rFonts w:eastAsia="Times New Roman" w:cs="Times New Roman"/>
          <w:color w:val="000000"/>
        </w:rPr>
      </w:pPr>
      <w:r>
        <w:rPr>
          <w:rFonts w:eastAsia="Times New Roman" w:cs="Times New Roman"/>
          <w:color w:val="000000"/>
        </w:rPr>
        <w:t xml:space="preserve">Range of obstruction severity (i.e., FEV1% pred.)  </w:t>
      </w:r>
    </w:p>
    <w:p w14:paraId="0BF207DB" w14:textId="77777777" w:rsidR="00342E07" w:rsidRDefault="005356A1">
      <w:pPr>
        <w:pStyle w:val="ListParagraph"/>
        <w:numPr>
          <w:ilvl w:val="0"/>
          <w:numId w:val="1"/>
        </w:numPr>
        <w:spacing w:after="0"/>
        <w:jc w:val="both"/>
        <w:rPr>
          <w:rFonts w:eastAsia="Times New Roman" w:cs="Times New Roman"/>
          <w:color w:val="000000"/>
        </w:rPr>
      </w:pPr>
      <w:r>
        <w:rPr>
          <w:rFonts w:eastAsia="Times New Roman" w:cs="Times New Roman"/>
          <w:color w:val="000000"/>
        </w:rPr>
        <w:t xml:space="preserve">Variance of obstruction severity (i.e., FEV1% pred.) </w:t>
      </w:r>
    </w:p>
    <w:p w14:paraId="5F2405D8" w14:textId="77777777" w:rsidR="00342E07" w:rsidRDefault="005356A1">
      <w:pPr>
        <w:pStyle w:val="ListParagraph"/>
        <w:numPr>
          <w:ilvl w:val="0"/>
          <w:numId w:val="1"/>
        </w:numPr>
        <w:spacing w:after="0"/>
        <w:jc w:val="both"/>
        <w:rPr>
          <w:rFonts w:eastAsia="Times New Roman" w:cs="Times New Roman"/>
          <w:color w:val="000000"/>
        </w:rPr>
      </w:pPr>
      <w:r>
        <w:rPr>
          <w:rFonts w:eastAsia="Times New Roman" w:cs="Times New Roman"/>
          <w:color w:val="000000"/>
        </w:rPr>
        <w:t>Mortality percentage</w:t>
      </w:r>
    </w:p>
    <w:p w14:paraId="04010C89" w14:textId="77777777" w:rsidR="00342E07" w:rsidRDefault="005356A1">
      <w:pPr>
        <w:pStyle w:val="ListParagraph"/>
        <w:numPr>
          <w:ilvl w:val="0"/>
          <w:numId w:val="1"/>
        </w:numPr>
        <w:spacing w:after="0"/>
        <w:jc w:val="both"/>
        <w:rPr>
          <w:rFonts w:eastAsia="Times New Roman" w:cs="Times New Roman"/>
          <w:color w:val="000000"/>
        </w:rPr>
      </w:pPr>
      <w:r>
        <w:rPr>
          <w:rFonts w:eastAsia="Times New Roman" w:cs="Times New Roman"/>
          <w:color w:val="000000"/>
        </w:rPr>
        <w:t>Exercise capacity range</w:t>
      </w:r>
    </w:p>
    <w:p w14:paraId="374A87D0" w14:textId="77777777" w:rsidR="00342E07" w:rsidRDefault="005356A1">
      <w:pPr>
        <w:pStyle w:val="ListParagraph"/>
        <w:numPr>
          <w:ilvl w:val="0"/>
          <w:numId w:val="1"/>
        </w:numPr>
        <w:spacing w:after="0"/>
        <w:jc w:val="both"/>
      </w:pPr>
      <w:r>
        <w:t xml:space="preserve">Median of age </w:t>
      </w:r>
    </w:p>
    <w:p w14:paraId="4148F833" w14:textId="77777777" w:rsidR="00342E07" w:rsidRDefault="005356A1">
      <w:pPr>
        <w:pStyle w:val="ListParagraph"/>
        <w:numPr>
          <w:ilvl w:val="0"/>
          <w:numId w:val="1"/>
        </w:numPr>
        <w:spacing w:after="0"/>
        <w:jc w:val="both"/>
      </w:pPr>
      <w:r>
        <w:rPr>
          <w:rFonts w:eastAsia="Times New Roman" w:cs="Times New Roman"/>
          <w:color w:val="000000"/>
        </w:rPr>
        <w:t>Variability of age</w:t>
      </w:r>
      <w:r>
        <w:fldChar w:fldCharType="begin" w:fldLock="1"/>
      </w:r>
      <w:r>
        <w:instrText>ADDIN CSL_CITATION { "citationItems" : [ { "id" : "ITEM-1", "itemData" : { "DOI" : "10.1136/bmj.i3140", "ISSN" : "1756-1833", "PMID" : "27334381", "abstract" : "Access to big datasets from e-health records and individual participant data (IPD) meta-analysis is signalling a new advent of external validation studies for clinical prediction models. In this article, the authors illustrate novel opportunities for external validation in big, combined datasets, while drawing attention to methodological challenges and reporting issues. #### Summary points A popular type of clinical research is the development of statistical models that predict disease presence and outcome occurrence in individuals,1 2 3 thereby informing clinical diagnosis and prognosis. Such models are referred to here as diagnostic and prognostic prediction models, but they have many other names including risk models, risk scores, and clinical prediction rules. They are typically developed by use of a multivariable regression framework, which provides an equation to estimate an individual\u2019s risk based on values of multiple predictors (such as age and smoking, or biomarkers and genetic information). \u2026", "author" : [ { "dropping-particle" : "", "family" : "Riley", "given" : "Richard D", "non-dropping-particle" : "", "parse-names" : false, "suffix" : "" }, { "dropping-particle" : "", "family" : "Ensor", "given" : "Joie", "non-dropping-particle" : "", "parse-names" : false, "suffix" : "" }, { "dropping-particle" : "", "family" : "Snell", "given" : "Kym I E", "non-dropping-particle" : "", "parse-names" : false, "suffix" : "" }, { "dropping-particle" : "", "family" : "Debray", "given" : "Thomas P A", "non-dropping-particle" : "", "parse-names" : false, "suffix" : "" }, { "dropping-particle" : "", "family" : "Altman", "given" : "Doug G", "non-dropping-particle" : "", "parse-names" : false, "suffix" : "" }, { "dropping-particle" : "", "family" : "Moons", "given" : "Karel G.M.", "non-dropping-particle" : "", "parse-names" : false, "suffix" : "" }, { "dropping-particle" : "", "family" : "Collins", "given" : "Gary S.", "non-dropping-particle" : "", "parse-names" : false, "suffix" : "" } ], "container-title" : "Bmj", "id" : "ITEM-1", "issue" : "mar31_1", "issued" : { "date-parts" : [ [ "2016" ] ] }, "page" : "i3140", "title" : "External validation of clinical prediction models using big datasets from e-health records or IPD meta-analysis: opportunities and challenges", "type" : "article-journal", "volume" : "353" }, "uris" : [ "http://www.mendeley.com/documents/?uuid=0bb796c0-a9b9-488d-af9b-46dfddfb2e74" ] } ], "mendeley" : { "formattedCitation" : "[53]", "plainTextFormattedCitation" : "[53]", "previouslyFormattedCitation" : "[50]" }, "properties" : { "noteIndex" : 0 }, "schema" : "https://github.com/citation-style-language/schema/raw/master/csl-citation.json" }</w:instrText>
      </w:r>
      <w:r>
        <w:fldChar w:fldCharType="separate"/>
      </w:r>
      <w:r w:rsidRPr="005356A1">
        <w:rPr>
          <w:rFonts w:eastAsia="Times New Roman" w:cs="Times New Roman"/>
          <w:noProof/>
          <w:color w:val="000000"/>
        </w:rPr>
        <w:t>[53]</w:t>
      </w:r>
      <w:r>
        <w:fldChar w:fldCharType="end"/>
      </w:r>
    </w:p>
    <w:p w14:paraId="27669ADD" w14:textId="77777777" w:rsidR="00342E07" w:rsidRDefault="005356A1">
      <w:pPr>
        <w:pStyle w:val="ListParagraph"/>
        <w:numPr>
          <w:ilvl w:val="0"/>
          <w:numId w:val="1"/>
        </w:numPr>
        <w:spacing w:after="0"/>
        <w:jc w:val="both"/>
        <w:rPr>
          <w:rFonts w:eastAsia="Times New Roman" w:cs="Times New Roman"/>
          <w:color w:val="000000"/>
        </w:rPr>
      </w:pPr>
      <w:r>
        <w:rPr>
          <w:rFonts w:eastAsia="Times New Roman" w:cs="Times New Roman"/>
          <w:color w:val="000000"/>
        </w:rPr>
        <w:t>Size (i.e., number of events)</w:t>
      </w:r>
    </w:p>
    <w:p w14:paraId="264FDE10" w14:textId="77777777" w:rsidR="00342E07" w:rsidRDefault="00342E07">
      <w:pPr>
        <w:pStyle w:val="ListParagraph"/>
        <w:spacing w:after="0"/>
        <w:ind w:left="360"/>
        <w:jc w:val="both"/>
      </w:pPr>
    </w:p>
    <w:p w14:paraId="6106D41E" w14:textId="77777777" w:rsidR="00342E07" w:rsidRDefault="00342E07">
      <w:pPr>
        <w:pStyle w:val="ListParagraph"/>
        <w:spacing w:after="0"/>
        <w:ind w:left="774"/>
        <w:jc w:val="both"/>
      </w:pPr>
    </w:p>
    <w:p w14:paraId="5E04679A" w14:textId="77777777" w:rsidR="00342E07" w:rsidRDefault="00342E07">
      <w:pPr>
        <w:pStyle w:val="ListParagraph"/>
        <w:spacing w:after="0"/>
        <w:ind w:left="774"/>
        <w:jc w:val="both"/>
      </w:pPr>
    </w:p>
    <w:p w14:paraId="6A075D94" w14:textId="77777777" w:rsidR="00342E07" w:rsidRDefault="005356A1">
      <w:pPr>
        <w:spacing w:after="0"/>
        <w:jc w:val="both"/>
      </w:pPr>
      <w:r>
        <w:t xml:space="preserve">In case </w:t>
      </w:r>
      <w:proofErr w:type="gramStart"/>
      <w:r>
        <w:t>of a variables</w:t>
      </w:r>
      <w:proofErr w:type="gramEnd"/>
      <w:r>
        <w:t xml:space="preserve"> directly affecting the performance, </w:t>
      </w:r>
      <w:r>
        <w:rPr>
          <w:rFonts w:eastAsia="Times New Roman" w:cs="Times New Roman"/>
        </w:rPr>
        <w:t xml:space="preserve">we </w:t>
      </w:r>
      <w:r>
        <w:t xml:space="preserve">used analysis of variance (ANOVA) to see whether the distribution of the identified variables was imbalanced in the groups and could consequently generate imbalance in the performance group by group. In case of homogenous groups, we cannot reject the null hypothesis of transitivity. </w:t>
      </w:r>
    </w:p>
    <w:p w14:paraId="379DE06A" w14:textId="77777777" w:rsidR="00342E07" w:rsidRDefault="00342E07">
      <w:pPr>
        <w:spacing w:after="0"/>
        <w:jc w:val="both"/>
      </w:pPr>
    </w:p>
    <w:p w14:paraId="3EB720B1" w14:textId="77777777" w:rsidR="00342E07" w:rsidRDefault="005356A1">
      <w:pPr>
        <w:spacing w:after="0"/>
        <w:jc w:val="both"/>
      </w:pPr>
      <w:r>
        <w:t>For the following 2 variables the meta-regression analysis informed us that they were not generating case-mix when looking at the differences in AUC.</w:t>
      </w:r>
    </w:p>
    <w:p w14:paraId="126E0C82" w14:textId="77777777" w:rsidR="00342E07" w:rsidRDefault="00342E07">
      <w:pPr>
        <w:spacing w:after="0"/>
        <w:jc w:val="both"/>
      </w:pPr>
    </w:p>
    <w:p w14:paraId="22E2816A" w14:textId="77777777" w:rsidR="00342E07" w:rsidRDefault="005356A1">
      <w:pPr>
        <w:pStyle w:val="ListParagraph"/>
        <w:numPr>
          <w:ilvl w:val="0"/>
          <w:numId w:val="1"/>
        </w:numPr>
        <w:spacing w:after="0"/>
        <w:jc w:val="both"/>
      </w:pPr>
      <w:r>
        <w:rPr>
          <w:rFonts w:eastAsia="Times New Roman" w:cs="Times New Roman"/>
          <w:color w:val="000000"/>
        </w:rPr>
        <w:t>Variability of age</w:t>
      </w:r>
      <w:r>
        <w:fldChar w:fldCharType="begin" w:fldLock="1"/>
      </w:r>
      <w:r>
        <w:instrText>ADDIN CSL_CITATION { "citationItems" : [ { "id" : "ITEM-1", "itemData" : { "DOI" : "10.1136/bmj.i3140", "ISSN" : "1756-1833", "PMID" : "27334381", "abstract" : "Access to big datasets from e-health records and individual participant data (IPD) meta-analysis is signalling a new advent of external validation studies for clinical prediction models. In this article, the authors illustrate novel opportunities for external validation in big, combined datasets, while drawing attention to methodological challenges and reporting issues. #### Summary points A popular type of clinical research is the development of statistical models that predict disease presence and outcome occurrence in individuals,1 2 3 thereby informing clinical diagnosis and prognosis. Such models are referred to here as diagnostic and prognostic prediction models, but they have many other names including risk models, risk scores, and clinical prediction rules. They are typically developed by use of a multivariable regression framework, which provides an equation to estimate an individual\u2019s risk based on values of multiple predictors (such as age and smoking, or biomarkers and genetic information). \u2026", "author" : [ { "dropping-particle" : "", "family" : "Riley", "given" : "Richard D", "non-dropping-particle" : "", "parse-names" : false, "suffix" : "" }, { "dropping-particle" : "", "family" : "Ensor", "given" : "Joie", "non-dropping-particle" : "", "parse-names" : false, "suffix" : "" }, { "dropping-particle" : "", "family" : "Snell", "given" : "Kym I E", "non-dropping-particle" : "", "parse-names" : false, "suffix" : "" }, { "dropping-particle" : "", "family" : "Debray", "given" : "Thomas P A", "non-dropping-particle" : "", "parse-names" : false, "suffix" : "" }, { "dropping-particle" : "", "family" : "Altman", "given" : "Doug G", "non-dropping-particle" : "", "parse-names" : false, "suffix" : "" }, { "dropping-particle" : "", "family" : "Moons", "given" : "Karel G.M.", "non-dropping-particle" : "", "parse-names" : false, "suffix" : "" }, { "dropping-particle" : "", "family" : "Collins", "given" : "Gary S.", "non-dropping-particle" : "", "parse-names" : false, "suffix" : "" } ], "container-title" : "Bmj", "id" : "ITEM-1", "issue" : "mar31_1", "issued" : { "date-parts" : [ [ "2016" ] ] }, "page" : "i3140", "title" : "External validation of clinical prediction models using big datasets from e-health records or IPD meta-analysis: opportunities and challenges", "type" : "article-journal", "volume" : "353" }, "uris" : [ "http://www.mendeley.com/documents/?uuid=0bb796c0-a9b9-488d-af9b-46dfddfb2e74" ] } ], "mendeley" : { "formattedCitation" : "[53]", "plainTextFormattedCitation" : "[53]", "previouslyFormattedCitation" : "[50]" }, "properties" : { "noteIndex" : 0 }, "schema" : "https://github.com/citation-style-language/schema/raw/master/csl-citation.json" }</w:instrText>
      </w:r>
      <w:r>
        <w:fldChar w:fldCharType="separate"/>
      </w:r>
      <w:r w:rsidRPr="005356A1">
        <w:rPr>
          <w:rFonts w:eastAsia="Times New Roman" w:cs="Times New Roman"/>
          <w:noProof/>
          <w:color w:val="000000"/>
        </w:rPr>
        <w:t>[53]</w:t>
      </w:r>
      <w:r>
        <w:fldChar w:fldCharType="end"/>
      </w:r>
    </w:p>
    <w:p w14:paraId="668B7D19" w14:textId="77777777" w:rsidR="00342E07" w:rsidRDefault="005356A1">
      <w:pPr>
        <w:pStyle w:val="ListParagraph"/>
        <w:numPr>
          <w:ilvl w:val="0"/>
          <w:numId w:val="1"/>
        </w:numPr>
        <w:spacing w:after="0"/>
        <w:jc w:val="both"/>
        <w:rPr>
          <w:rFonts w:eastAsia="Times New Roman" w:cs="Times New Roman"/>
          <w:color w:val="000000"/>
        </w:rPr>
      </w:pPr>
      <w:r>
        <w:rPr>
          <w:rFonts w:eastAsia="Times New Roman" w:cs="Times New Roman"/>
          <w:color w:val="000000"/>
        </w:rPr>
        <w:t>Size (i.e., number of events)</w:t>
      </w:r>
    </w:p>
    <w:p w14:paraId="104B0DC3" w14:textId="77777777" w:rsidR="00342E07" w:rsidRDefault="00342E07">
      <w:pPr>
        <w:spacing w:after="0"/>
        <w:jc w:val="both"/>
      </w:pPr>
    </w:p>
    <w:p w14:paraId="2A5BB7F9" w14:textId="77777777" w:rsidR="00342E07" w:rsidRDefault="005356A1">
      <w:pPr>
        <w:spacing w:after="0"/>
        <w:jc w:val="both"/>
      </w:pPr>
      <w:r>
        <w:t xml:space="preserve">Instead, the following 5 variables were significantly affecting the differences in AUC. Then, they generate case-mix. </w:t>
      </w:r>
    </w:p>
    <w:p w14:paraId="1BADA5E6" w14:textId="77777777" w:rsidR="00342E07" w:rsidRDefault="00342E07">
      <w:pPr>
        <w:spacing w:after="0"/>
        <w:jc w:val="both"/>
      </w:pPr>
    </w:p>
    <w:p w14:paraId="6FC2253E" w14:textId="77777777" w:rsidR="00342E07" w:rsidRDefault="005356A1">
      <w:pPr>
        <w:pStyle w:val="ListParagraph"/>
        <w:numPr>
          <w:ilvl w:val="0"/>
          <w:numId w:val="1"/>
        </w:numPr>
        <w:spacing w:after="0"/>
        <w:jc w:val="both"/>
        <w:rPr>
          <w:rFonts w:eastAsia="Times New Roman" w:cs="Times New Roman"/>
          <w:color w:val="000000"/>
        </w:rPr>
      </w:pPr>
      <w:r>
        <w:rPr>
          <w:rFonts w:eastAsia="Times New Roman" w:cs="Times New Roman"/>
          <w:color w:val="000000"/>
        </w:rPr>
        <w:t xml:space="preserve">Range of obstruction severity (i.e., FEV1% pred.)  </w:t>
      </w:r>
    </w:p>
    <w:p w14:paraId="061BC0AD" w14:textId="77777777" w:rsidR="00342E07" w:rsidRDefault="005356A1">
      <w:pPr>
        <w:pStyle w:val="ListParagraph"/>
        <w:numPr>
          <w:ilvl w:val="0"/>
          <w:numId w:val="1"/>
        </w:numPr>
        <w:spacing w:after="0"/>
        <w:jc w:val="both"/>
        <w:rPr>
          <w:rFonts w:eastAsia="Times New Roman" w:cs="Times New Roman"/>
          <w:color w:val="000000"/>
        </w:rPr>
      </w:pPr>
      <w:r>
        <w:rPr>
          <w:rFonts w:eastAsia="Times New Roman" w:cs="Times New Roman"/>
          <w:color w:val="000000"/>
        </w:rPr>
        <w:t xml:space="preserve">Variance of obstruction severity (i.e., FEV1% pred.) </w:t>
      </w:r>
    </w:p>
    <w:p w14:paraId="71BB57C7" w14:textId="77777777" w:rsidR="00342E07" w:rsidRDefault="005356A1">
      <w:pPr>
        <w:pStyle w:val="ListParagraph"/>
        <w:numPr>
          <w:ilvl w:val="0"/>
          <w:numId w:val="1"/>
        </w:numPr>
        <w:spacing w:after="0"/>
        <w:jc w:val="both"/>
        <w:rPr>
          <w:rFonts w:eastAsia="Times New Roman" w:cs="Times New Roman"/>
          <w:color w:val="000000"/>
        </w:rPr>
      </w:pPr>
      <w:r>
        <w:rPr>
          <w:rFonts w:eastAsia="Times New Roman" w:cs="Times New Roman"/>
          <w:color w:val="000000"/>
        </w:rPr>
        <w:t>Mortality percentage</w:t>
      </w:r>
    </w:p>
    <w:p w14:paraId="3B237091" w14:textId="77777777" w:rsidR="00342E07" w:rsidRDefault="005356A1">
      <w:pPr>
        <w:pStyle w:val="ListParagraph"/>
        <w:numPr>
          <w:ilvl w:val="0"/>
          <w:numId w:val="1"/>
        </w:numPr>
        <w:spacing w:after="0"/>
        <w:jc w:val="both"/>
        <w:rPr>
          <w:rFonts w:eastAsia="Times New Roman" w:cs="Times New Roman"/>
          <w:color w:val="000000"/>
        </w:rPr>
      </w:pPr>
      <w:r>
        <w:rPr>
          <w:rFonts w:eastAsia="Times New Roman" w:cs="Times New Roman"/>
          <w:color w:val="000000"/>
        </w:rPr>
        <w:t>Exercise capacity range</w:t>
      </w:r>
    </w:p>
    <w:p w14:paraId="59A24D81" w14:textId="77777777" w:rsidR="00342E07" w:rsidRDefault="005356A1">
      <w:pPr>
        <w:pStyle w:val="ListParagraph"/>
        <w:numPr>
          <w:ilvl w:val="0"/>
          <w:numId w:val="1"/>
        </w:numPr>
        <w:spacing w:after="0"/>
        <w:jc w:val="both"/>
      </w:pPr>
      <w:r>
        <w:t xml:space="preserve">Median of age </w:t>
      </w:r>
    </w:p>
    <w:p w14:paraId="42843E1B" w14:textId="77777777" w:rsidR="00342E07" w:rsidRDefault="00342E07">
      <w:pPr>
        <w:spacing w:after="0"/>
        <w:jc w:val="both"/>
      </w:pPr>
    </w:p>
    <w:p w14:paraId="664F6F64" w14:textId="77777777" w:rsidR="00342E07" w:rsidRDefault="005356A1">
      <w:pPr>
        <w:spacing w:after="0"/>
        <w:jc w:val="both"/>
      </w:pPr>
      <w:r>
        <w:t>Thus, for these variables, we had to check if they are balanced across groups to verify that transitivity holds. The ANOVA tests ensured the balance of these variables in our groups of the MSC meta-analysis.</w:t>
      </w:r>
    </w:p>
    <w:p w14:paraId="10714A83" w14:textId="77777777" w:rsidR="00342E07" w:rsidRDefault="00342E07">
      <w:pPr>
        <w:spacing w:after="0"/>
        <w:jc w:val="both"/>
      </w:pPr>
    </w:p>
    <w:p w14:paraId="65444EBE" w14:textId="77777777" w:rsidR="00342E07" w:rsidRDefault="00342E07">
      <w:pPr>
        <w:spacing w:after="0"/>
        <w:jc w:val="both"/>
      </w:pPr>
    </w:p>
    <w:p w14:paraId="088DAFFC" w14:textId="77777777" w:rsidR="00342E07" w:rsidRDefault="005356A1">
      <w:pPr>
        <w:spacing w:after="0"/>
        <w:jc w:val="both"/>
      </w:pPr>
      <w:r>
        <w:t>In conclusion, we can assume that the transitivity assumption holds for our network.</w:t>
      </w:r>
    </w:p>
    <w:p w14:paraId="3EA50BAC" w14:textId="77777777" w:rsidR="00342E07" w:rsidRDefault="00342E07">
      <w:pPr>
        <w:spacing w:after="0"/>
        <w:jc w:val="both"/>
      </w:pPr>
    </w:p>
    <w:p w14:paraId="5CBD9701" w14:textId="77777777" w:rsidR="00342E07" w:rsidRDefault="00342E07">
      <w:pPr>
        <w:spacing w:after="0"/>
        <w:jc w:val="both"/>
      </w:pPr>
    </w:p>
    <w:p w14:paraId="7056F32D" w14:textId="77777777" w:rsidR="00342E07" w:rsidRDefault="00342E07">
      <w:pPr>
        <w:spacing w:after="0"/>
        <w:jc w:val="both"/>
      </w:pPr>
    </w:p>
    <w:p w14:paraId="52BC022D" w14:textId="77777777" w:rsidR="00342E07" w:rsidRDefault="00342E07">
      <w:pPr>
        <w:spacing w:after="0"/>
        <w:jc w:val="both"/>
      </w:pPr>
    </w:p>
    <w:p w14:paraId="11AC69DE" w14:textId="77777777" w:rsidR="00342E07" w:rsidRDefault="00342E07">
      <w:pPr>
        <w:pStyle w:val="ListParagraph"/>
        <w:spacing w:after="0"/>
        <w:ind w:left="774"/>
        <w:jc w:val="both"/>
      </w:pPr>
    </w:p>
    <w:p w14:paraId="1E66243F" w14:textId="77777777" w:rsidR="00342E07" w:rsidRDefault="00342E07">
      <w:pPr>
        <w:pStyle w:val="ListParagraph"/>
        <w:spacing w:after="0"/>
        <w:ind w:left="774"/>
        <w:jc w:val="both"/>
      </w:pPr>
    </w:p>
    <w:p w14:paraId="4F893A03" w14:textId="77777777" w:rsidR="00342E07" w:rsidRDefault="00342E07">
      <w:pPr>
        <w:pStyle w:val="ListParagraph"/>
        <w:spacing w:after="0"/>
        <w:ind w:left="774"/>
        <w:jc w:val="both"/>
      </w:pPr>
    </w:p>
    <w:p w14:paraId="5E83569C" w14:textId="77777777" w:rsidR="00342E07" w:rsidRDefault="005356A1">
      <w:pPr>
        <w:pStyle w:val="Heading2"/>
      </w:pPr>
      <w:bookmarkStart w:id="160" w:name="_Toc488490632"/>
      <w:bookmarkStart w:id="161" w:name="_Toc373597611"/>
      <w:bookmarkEnd w:id="160"/>
      <w:r>
        <w:t>AUC vs FEV1 %pred. range</w:t>
      </w:r>
      <w:bookmarkEnd w:id="161"/>
    </w:p>
    <w:p w14:paraId="6F9E907C" w14:textId="77777777" w:rsidR="00342E07" w:rsidRDefault="00342E07">
      <w:pPr>
        <w:pStyle w:val="ListParagraph"/>
        <w:spacing w:after="0"/>
        <w:ind w:left="774"/>
        <w:jc w:val="both"/>
      </w:pPr>
    </w:p>
    <w:p w14:paraId="3119E1E1" w14:textId="77777777" w:rsidR="00342E07" w:rsidRDefault="005356A1">
      <w:pPr>
        <w:spacing w:after="0"/>
        <w:jc w:val="both"/>
      </w:pPr>
      <w:r>
        <w:rPr>
          <w:noProof/>
        </w:rPr>
        <w:drawing>
          <wp:inline distT="0" distB="0" distL="0" distR="0" wp14:anchorId="02DCB678" wp14:editId="6850D323">
            <wp:extent cx="5972810" cy="4479290"/>
            <wp:effectExtent l="0" t="0" r="0" b="0"/>
            <wp:docPr id="10"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fik 15"/>
                    <pic:cNvPicPr>
                      <a:picLocks noChangeAspect="1" noChangeArrowheads="1"/>
                    </pic:cNvPicPr>
                  </pic:nvPicPr>
                  <pic:blipFill>
                    <a:blip r:embed="rId12"/>
                    <a:stretch>
                      <a:fillRect/>
                    </a:stretch>
                  </pic:blipFill>
                  <pic:spPr bwMode="auto">
                    <a:xfrm>
                      <a:off x="0" y="0"/>
                      <a:ext cx="5972810" cy="4479290"/>
                    </a:xfrm>
                    <a:prstGeom prst="rect">
                      <a:avLst/>
                    </a:prstGeom>
                  </pic:spPr>
                </pic:pic>
              </a:graphicData>
            </a:graphic>
          </wp:inline>
        </w:drawing>
      </w:r>
    </w:p>
    <w:p w14:paraId="48FB3FE4" w14:textId="77777777" w:rsidR="00342E07" w:rsidRDefault="00342E07">
      <w:pPr>
        <w:pStyle w:val="ListParagraph"/>
        <w:spacing w:after="0"/>
        <w:ind w:left="774"/>
        <w:jc w:val="both"/>
      </w:pPr>
    </w:p>
    <w:p w14:paraId="69CEEEC8" w14:textId="77777777" w:rsidR="00342E07" w:rsidRDefault="005356A1">
      <w:pPr>
        <w:spacing w:after="0"/>
        <w:jc w:val="both"/>
      </w:pPr>
      <w:r>
        <w:t>Interesting to see that the slope has a negative coefficient for the ΔAUC (while we were expecting a positive coefficient for the meta-regression of AUC vs FEV1pp range)</w:t>
      </w:r>
    </w:p>
    <w:p w14:paraId="42AB7082" w14:textId="77777777" w:rsidR="00342E07" w:rsidRDefault="005356A1">
      <w:pPr>
        <w:pStyle w:val="ListParagraph"/>
        <w:spacing w:after="0"/>
        <w:ind w:left="774"/>
        <w:jc w:val="both"/>
      </w:pPr>
      <w:r>
        <w:t xml:space="preserve"> </w:t>
      </w:r>
    </w:p>
    <w:p w14:paraId="4607FCC0"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8959A8"/>
          <w:sz w:val="20"/>
          <w:szCs w:val="20"/>
        </w:rPr>
      </w:pPr>
      <w:r>
        <w:rPr>
          <w:rFonts w:ascii="Lucida Console" w:eastAsia="Times New Roman" w:hAnsi="Lucida Console" w:cs="Courier New"/>
          <w:color w:val="8959A8"/>
          <w:sz w:val="20"/>
          <w:szCs w:val="20"/>
        </w:rPr>
        <w:t xml:space="preserve">&gt; </w:t>
      </w:r>
      <w:proofErr w:type="gramStart"/>
      <w:r>
        <w:rPr>
          <w:rFonts w:ascii="Lucida Console" w:eastAsia="Times New Roman" w:hAnsi="Lucida Console" w:cs="Courier New"/>
          <w:color w:val="8959A8"/>
          <w:sz w:val="20"/>
          <w:szCs w:val="20"/>
        </w:rPr>
        <w:t>summary(</w:t>
      </w:r>
      <w:proofErr w:type="gramEnd"/>
      <w:r>
        <w:rPr>
          <w:rFonts w:ascii="Lucida Console" w:eastAsia="Times New Roman" w:hAnsi="Lucida Console" w:cs="Courier New"/>
          <w:color w:val="8959A8"/>
          <w:sz w:val="20"/>
          <w:szCs w:val="20"/>
        </w:rPr>
        <w:t>regression.DELTA.AUC.vs.FEV1pp.range)</w:t>
      </w:r>
    </w:p>
    <w:p w14:paraId="3B781D34" w14:textId="77777777" w:rsidR="00342E07" w:rsidRDefault="00342E0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p>
    <w:p w14:paraId="0A052A5D"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r>
        <w:rPr>
          <w:rFonts w:ascii="Lucida Console" w:eastAsia="Times New Roman" w:hAnsi="Lucida Console" w:cs="Courier New"/>
          <w:color w:val="4D4D4C"/>
          <w:sz w:val="20"/>
          <w:szCs w:val="20"/>
        </w:rPr>
        <w:t>Call:</w:t>
      </w:r>
    </w:p>
    <w:p w14:paraId="0336D66E"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proofErr w:type="gramStart"/>
      <w:r>
        <w:rPr>
          <w:rFonts w:ascii="Lucida Console" w:eastAsia="Times New Roman" w:hAnsi="Lucida Console" w:cs="Courier New"/>
          <w:color w:val="4D4D4C"/>
          <w:sz w:val="20"/>
          <w:szCs w:val="20"/>
        </w:rPr>
        <w:t>lm(</w:t>
      </w:r>
      <w:proofErr w:type="gramEnd"/>
      <w:r>
        <w:rPr>
          <w:rFonts w:ascii="Lucida Console" w:eastAsia="Times New Roman" w:hAnsi="Lucida Console" w:cs="Courier New"/>
          <w:color w:val="4D4D4C"/>
          <w:sz w:val="20"/>
          <w:szCs w:val="20"/>
        </w:rPr>
        <w:t xml:space="preserve">formula = </w:t>
      </w:r>
      <w:proofErr w:type="spellStart"/>
      <w:r>
        <w:rPr>
          <w:rFonts w:ascii="Lucida Console" w:eastAsia="Times New Roman" w:hAnsi="Lucida Console" w:cs="Courier New"/>
          <w:color w:val="4D4D4C"/>
          <w:sz w:val="20"/>
          <w:szCs w:val="20"/>
        </w:rPr>
        <w:t>matrix_model_cohort.DELTA.AUC.not.NA.DELTA.AUC</w:t>
      </w:r>
      <w:proofErr w:type="spellEnd"/>
      <w:r>
        <w:rPr>
          <w:rFonts w:ascii="Lucida Console" w:eastAsia="Times New Roman" w:hAnsi="Lucida Console" w:cs="Courier New"/>
          <w:color w:val="4D4D4C"/>
          <w:sz w:val="20"/>
          <w:szCs w:val="20"/>
        </w:rPr>
        <w:t xml:space="preserve"> ~ </w:t>
      </w:r>
    </w:p>
    <w:p w14:paraId="69CCE69E"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r>
        <w:rPr>
          <w:rFonts w:ascii="Lucida Console" w:eastAsia="Times New Roman" w:hAnsi="Lucida Console" w:cs="Courier New"/>
          <w:color w:val="4D4D4C"/>
          <w:sz w:val="20"/>
          <w:szCs w:val="20"/>
        </w:rPr>
        <w:t xml:space="preserve">    matrix.FEV1pp.range.not.NA.DELTA.AUC)</w:t>
      </w:r>
    </w:p>
    <w:p w14:paraId="74B81F21" w14:textId="77777777" w:rsidR="00342E07" w:rsidRDefault="00342E0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p>
    <w:p w14:paraId="568F1CC3"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r>
        <w:rPr>
          <w:rFonts w:ascii="Lucida Console" w:eastAsia="Times New Roman" w:hAnsi="Lucida Console" w:cs="Courier New"/>
          <w:color w:val="4D4D4C"/>
          <w:sz w:val="20"/>
          <w:szCs w:val="20"/>
        </w:rPr>
        <w:t>Residuals:</w:t>
      </w:r>
    </w:p>
    <w:p w14:paraId="4B4F54B5"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r>
        <w:rPr>
          <w:rFonts w:ascii="Lucida Console" w:eastAsia="Times New Roman" w:hAnsi="Lucida Console" w:cs="Courier New"/>
          <w:color w:val="4D4D4C"/>
          <w:sz w:val="20"/>
          <w:szCs w:val="20"/>
        </w:rPr>
        <w:t xml:space="preserve">     Min       1Q   Median       3Q      Max </w:t>
      </w:r>
    </w:p>
    <w:p w14:paraId="3D7184DD"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r>
        <w:rPr>
          <w:rFonts w:ascii="Lucida Console" w:eastAsia="Times New Roman" w:hAnsi="Lucida Console" w:cs="Courier New"/>
          <w:color w:val="4D4D4C"/>
          <w:sz w:val="20"/>
          <w:szCs w:val="20"/>
        </w:rPr>
        <w:t>-0.13266 -</w:t>
      </w:r>
      <w:proofErr w:type="gramStart"/>
      <w:r>
        <w:rPr>
          <w:rFonts w:ascii="Lucida Console" w:eastAsia="Times New Roman" w:hAnsi="Lucida Console" w:cs="Courier New"/>
          <w:color w:val="4D4D4C"/>
          <w:sz w:val="20"/>
          <w:szCs w:val="20"/>
        </w:rPr>
        <w:t>0.04717  0.00697</w:t>
      </w:r>
      <w:proofErr w:type="gramEnd"/>
      <w:r>
        <w:rPr>
          <w:rFonts w:ascii="Lucida Console" w:eastAsia="Times New Roman" w:hAnsi="Lucida Console" w:cs="Courier New"/>
          <w:color w:val="4D4D4C"/>
          <w:sz w:val="20"/>
          <w:szCs w:val="20"/>
        </w:rPr>
        <w:t xml:space="preserve">  0.04323  0.15552 </w:t>
      </w:r>
    </w:p>
    <w:p w14:paraId="4702D559" w14:textId="77777777" w:rsidR="00342E07" w:rsidRDefault="00342E0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p>
    <w:p w14:paraId="52BF809C"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r>
        <w:rPr>
          <w:rFonts w:ascii="Lucida Console" w:eastAsia="Times New Roman" w:hAnsi="Lucida Console" w:cs="Courier New"/>
          <w:color w:val="4D4D4C"/>
          <w:sz w:val="20"/>
          <w:szCs w:val="20"/>
        </w:rPr>
        <w:t>Coefficients:</w:t>
      </w:r>
    </w:p>
    <w:p w14:paraId="17B5D33D"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r>
        <w:rPr>
          <w:rFonts w:ascii="Lucida Console" w:eastAsia="Times New Roman" w:hAnsi="Lucida Console" w:cs="Courier New"/>
          <w:color w:val="4D4D4C"/>
          <w:sz w:val="20"/>
          <w:szCs w:val="20"/>
        </w:rPr>
        <w:t xml:space="preserve">                                       Estimate Std. Error t value</w:t>
      </w:r>
    </w:p>
    <w:p w14:paraId="35759A96"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r>
        <w:rPr>
          <w:rFonts w:ascii="Lucida Console" w:eastAsia="Times New Roman" w:hAnsi="Lucida Console" w:cs="Courier New"/>
          <w:color w:val="4D4D4C"/>
          <w:sz w:val="20"/>
          <w:szCs w:val="20"/>
        </w:rPr>
        <w:t xml:space="preserve">(Intercept)                           </w:t>
      </w:r>
      <w:proofErr w:type="gramStart"/>
      <w:r>
        <w:rPr>
          <w:rFonts w:ascii="Lucida Console" w:eastAsia="Times New Roman" w:hAnsi="Lucida Console" w:cs="Courier New"/>
          <w:color w:val="4D4D4C"/>
          <w:sz w:val="20"/>
          <w:szCs w:val="20"/>
        </w:rPr>
        <w:t>0.1923504  0.0302376</w:t>
      </w:r>
      <w:proofErr w:type="gramEnd"/>
      <w:r>
        <w:rPr>
          <w:rFonts w:ascii="Lucida Console" w:eastAsia="Times New Roman" w:hAnsi="Lucida Console" w:cs="Courier New"/>
          <w:color w:val="4D4D4C"/>
          <w:sz w:val="20"/>
          <w:szCs w:val="20"/>
        </w:rPr>
        <w:t xml:space="preserve">   6.361</w:t>
      </w:r>
    </w:p>
    <w:p w14:paraId="7BB834A5"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r>
        <w:rPr>
          <w:rFonts w:ascii="Lucida Console" w:eastAsia="Times New Roman" w:hAnsi="Lucida Console" w:cs="Courier New"/>
          <w:color w:val="4D4D4C"/>
          <w:sz w:val="20"/>
          <w:szCs w:val="20"/>
        </w:rPr>
        <w:t>matrix.FEV1pp.range.not.NA.DELTA.AUC -</w:t>
      </w:r>
      <w:proofErr w:type="gramStart"/>
      <w:r>
        <w:rPr>
          <w:rFonts w:ascii="Lucida Console" w:eastAsia="Times New Roman" w:hAnsi="Lucida Console" w:cs="Courier New"/>
          <w:color w:val="4D4D4C"/>
          <w:sz w:val="20"/>
          <w:szCs w:val="20"/>
        </w:rPr>
        <w:t>0.0014112  0.0003343</w:t>
      </w:r>
      <w:proofErr w:type="gramEnd"/>
      <w:r>
        <w:rPr>
          <w:rFonts w:ascii="Lucida Console" w:eastAsia="Times New Roman" w:hAnsi="Lucida Console" w:cs="Courier New"/>
          <w:color w:val="4D4D4C"/>
          <w:sz w:val="20"/>
          <w:szCs w:val="20"/>
        </w:rPr>
        <w:t xml:space="preserve">  -4.221</w:t>
      </w:r>
    </w:p>
    <w:p w14:paraId="64C89B12"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r>
        <w:rPr>
          <w:rFonts w:ascii="Lucida Console" w:eastAsia="Times New Roman" w:hAnsi="Lucida Console" w:cs="Courier New"/>
          <w:color w:val="4D4D4C"/>
          <w:sz w:val="20"/>
          <w:szCs w:val="20"/>
        </w:rPr>
        <w:t xml:space="preserve">                                         </w:t>
      </w:r>
      <w:proofErr w:type="spellStart"/>
      <w:proofErr w:type="gramStart"/>
      <w:r>
        <w:rPr>
          <w:rFonts w:ascii="Lucida Console" w:eastAsia="Times New Roman" w:hAnsi="Lucida Console" w:cs="Courier New"/>
          <w:color w:val="4D4D4C"/>
          <w:sz w:val="20"/>
          <w:szCs w:val="20"/>
        </w:rPr>
        <w:t>Pr</w:t>
      </w:r>
      <w:proofErr w:type="spellEnd"/>
      <w:r>
        <w:rPr>
          <w:rFonts w:ascii="Lucida Console" w:eastAsia="Times New Roman" w:hAnsi="Lucida Console" w:cs="Courier New"/>
          <w:color w:val="4D4D4C"/>
          <w:sz w:val="20"/>
          <w:szCs w:val="20"/>
        </w:rPr>
        <w:t>(</w:t>
      </w:r>
      <w:proofErr w:type="gramEnd"/>
      <w:r>
        <w:rPr>
          <w:rFonts w:ascii="Lucida Console" w:eastAsia="Times New Roman" w:hAnsi="Lucida Console" w:cs="Courier New"/>
          <w:color w:val="4D4D4C"/>
          <w:sz w:val="20"/>
          <w:szCs w:val="20"/>
        </w:rPr>
        <w:t xml:space="preserve">&gt;|t|)    </w:t>
      </w:r>
    </w:p>
    <w:p w14:paraId="7EF1E890"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r>
        <w:rPr>
          <w:rFonts w:ascii="Lucida Console" w:eastAsia="Times New Roman" w:hAnsi="Lucida Console" w:cs="Courier New"/>
          <w:color w:val="4D4D4C"/>
          <w:sz w:val="20"/>
          <w:szCs w:val="20"/>
        </w:rPr>
        <w:t>(Intercept)                          0.0000000059 ***</w:t>
      </w:r>
    </w:p>
    <w:p w14:paraId="2173D327"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r>
        <w:rPr>
          <w:rFonts w:ascii="Lucida Console" w:eastAsia="Times New Roman" w:hAnsi="Lucida Console" w:cs="Courier New"/>
          <w:color w:val="4D4D4C"/>
          <w:sz w:val="20"/>
          <w:szCs w:val="20"/>
        </w:rPr>
        <w:t>matrix.FEV1pp.range.not.NA.DELTA.AUC 0.0000532750 ***</w:t>
      </w:r>
    </w:p>
    <w:p w14:paraId="737835F0"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r>
        <w:rPr>
          <w:rFonts w:ascii="Lucida Console" w:eastAsia="Times New Roman" w:hAnsi="Lucida Console" w:cs="Courier New"/>
          <w:color w:val="4D4D4C"/>
          <w:sz w:val="20"/>
          <w:szCs w:val="20"/>
        </w:rPr>
        <w:t>---</w:t>
      </w:r>
    </w:p>
    <w:p w14:paraId="65BA2FEC"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proofErr w:type="spellStart"/>
      <w:r>
        <w:rPr>
          <w:rFonts w:ascii="Lucida Console" w:eastAsia="Times New Roman" w:hAnsi="Lucida Console" w:cs="Courier New"/>
          <w:color w:val="4D4D4C"/>
          <w:sz w:val="20"/>
          <w:szCs w:val="20"/>
        </w:rPr>
        <w:t>Signif</w:t>
      </w:r>
      <w:proofErr w:type="spellEnd"/>
      <w:r>
        <w:rPr>
          <w:rFonts w:ascii="Lucida Console" w:eastAsia="Times New Roman" w:hAnsi="Lucida Console" w:cs="Courier New"/>
          <w:color w:val="4D4D4C"/>
          <w:sz w:val="20"/>
          <w:szCs w:val="20"/>
        </w:rPr>
        <w:t xml:space="preserve">. </w:t>
      </w:r>
      <w:proofErr w:type="gramStart"/>
      <w:r>
        <w:rPr>
          <w:rFonts w:ascii="Lucida Console" w:eastAsia="Times New Roman" w:hAnsi="Lucida Console" w:cs="Courier New"/>
          <w:color w:val="4D4D4C"/>
          <w:sz w:val="20"/>
          <w:szCs w:val="20"/>
        </w:rPr>
        <w:t>codes</w:t>
      </w:r>
      <w:proofErr w:type="gramEnd"/>
      <w:r>
        <w:rPr>
          <w:rFonts w:ascii="Lucida Console" w:eastAsia="Times New Roman" w:hAnsi="Lucida Console" w:cs="Courier New"/>
          <w:color w:val="4D4D4C"/>
          <w:sz w:val="20"/>
          <w:szCs w:val="20"/>
        </w:rPr>
        <w:t xml:space="preserve">:  0 ‘***’ 0.001 ‘**’ 0.01 ‘*’ 0.05 ‘.’ 0.1 </w:t>
      </w:r>
      <w:proofErr w:type="gramStart"/>
      <w:r>
        <w:rPr>
          <w:rFonts w:ascii="Lucida Console" w:eastAsia="Times New Roman" w:hAnsi="Lucida Console" w:cs="Courier New"/>
          <w:color w:val="4D4D4C"/>
          <w:sz w:val="20"/>
          <w:szCs w:val="20"/>
        </w:rPr>
        <w:t>‘ ’</w:t>
      </w:r>
      <w:proofErr w:type="gramEnd"/>
      <w:r>
        <w:rPr>
          <w:rFonts w:ascii="Lucida Console" w:eastAsia="Times New Roman" w:hAnsi="Lucida Console" w:cs="Courier New"/>
          <w:color w:val="4D4D4C"/>
          <w:sz w:val="20"/>
          <w:szCs w:val="20"/>
        </w:rPr>
        <w:t xml:space="preserve"> 1</w:t>
      </w:r>
    </w:p>
    <w:p w14:paraId="32CD54C4" w14:textId="77777777" w:rsidR="00342E07" w:rsidRDefault="00342E0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p>
    <w:p w14:paraId="0A39A97D"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r>
        <w:rPr>
          <w:rFonts w:ascii="Lucida Console" w:eastAsia="Times New Roman" w:hAnsi="Lucida Console" w:cs="Courier New"/>
          <w:color w:val="4D4D4C"/>
          <w:sz w:val="20"/>
          <w:szCs w:val="20"/>
        </w:rPr>
        <w:t>Residual standard error: 0.06326 on 101 degrees of freedom</w:t>
      </w:r>
    </w:p>
    <w:p w14:paraId="6127E26C"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r>
        <w:rPr>
          <w:rFonts w:ascii="Lucida Console" w:eastAsia="Times New Roman" w:hAnsi="Lucida Console" w:cs="Courier New"/>
          <w:color w:val="4D4D4C"/>
          <w:sz w:val="20"/>
          <w:szCs w:val="20"/>
        </w:rPr>
        <w:t>Multiple R-squared:  0.1499,</w:t>
      </w:r>
      <w:r>
        <w:rPr>
          <w:rFonts w:ascii="Lucida Console" w:eastAsia="Times New Roman" w:hAnsi="Lucida Console" w:cs="Courier New"/>
          <w:color w:val="4D4D4C"/>
          <w:sz w:val="20"/>
          <w:szCs w:val="20"/>
        </w:rPr>
        <w:tab/>
        <w:t xml:space="preserve">Adjusted R-squared:  0.1415 </w:t>
      </w:r>
    </w:p>
    <w:p w14:paraId="5226240C"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
        <w:rPr>
          <w:rFonts w:ascii="Lucida Console" w:eastAsia="Times New Roman" w:hAnsi="Lucida Console" w:cs="Courier New"/>
          <w:color w:val="4D4D4C"/>
          <w:sz w:val="20"/>
          <w:szCs w:val="20"/>
        </w:rPr>
        <w:t>F-statistic: 17.82 on 1 and 101 DF</w:t>
      </w:r>
      <w:proofErr w:type="gramStart"/>
      <w:r>
        <w:rPr>
          <w:rFonts w:ascii="Lucida Console" w:eastAsia="Times New Roman" w:hAnsi="Lucida Console" w:cs="Courier New"/>
          <w:color w:val="4D4D4C"/>
          <w:sz w:val="20"/>
          <w:szCs w:val="20"/>
        </w:rPr>
        <w:t>,  p</w:t>
      </w:r>
      <w:proofErr w:type="gramEnd"/>
      <w:r>
        <w:rPr>
          <w:rFonts w:ascii="Lucida Console" w:eastAsia="Times New Roman" w:hAnsi="Lucida Console" w:cs="Courier New"/>
          <w:color w:val="4D4D4C"/>
          <w:sz w:val="20"/>
          <w:szCs w:val="20"/>
        </w:rPr>
        <w:t xml:space="preserve">-value: </w:t>
      </w:r>
      <w:r>
        <w:rPr>
          <w:rFonts w:ascii="Lucida Console" w:eastAsia="Times New Roman" w:hAnsi="Lucida Console" w:cs="Courier New"/>
          <w:b/>
          <w:color w:val="4D4D4C"/>
          <w:sz w:val="20"/>
          <w:szCs w:val="20"/>
        </w:rPr>
        <w:t>0.00005328</w:t>
      </w:r>
    </w:p>
    <w:p w14:paraId="1C41BFE5" w14:textId="77777777" w:rsidR="00342E07" w:rsidRDefault="005356A1">
      <w:pPr>
        <w:spacing w:after="0"/>
        <w:jc w:val="both"/>
      </w:pPr>
      <w:r>
        <w:rPr>
          <w:noProof/>
        </w:rPr>
        <w:drawing>
          <wp:inline distT="0" distB="0" distL="0" distR="0" wp14:anchorId="7FC0D2BC" wp14:editId="23617228">
            <wp:extent cx="5972810" cy="4479290"/>
            <wp:effectExtent l="0" t="0" r="0" b="0"/>
            <wp:docPr id="11"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fik 9"/>
                    <pic:cNvPicPr>
                      <a:picLocks noChangeAspect="1" noChangeArrowheads="1"/>
                    </pic:cNvPicPr>
                  </pic:nvPicPr>
                  <pic:blipFill>
                    <a:blip r:embed="rId13"/>
                    <a:stretch>
                      <a:fillRect/>
                    </a:stretch>
                  </pic:blipFill>
                  <pic:spPr bwMode="auto">
                    <a:xfrm>
                      <a:off x="0" y="0"/>
                      <a:ext cx="5972810" cy="4479290"/>
                    </a:xfrm>
                    <a:prstGeom prst="rect">
                      <a:avLst/>
                    </a:prstGeom>
                  </pic:spPr>
                </pic:pic>
              </a:graphicData>
            </a:graphic>
          </wp:inline>
        </w:drawing>
      </w:r>
    </w:p>
    <w:p w14:paraId="216B7E5F" w14:textId="77777777" w:rsidR="00342E07" w:rsidRDefault="00342E07">
      <w:pPr>
        <w:pStyle w:val="ListParagraph"/>
        <w:spacing w:after="0"/>
        <w:ind w:left="774"/>
        <w:jc w:val="both"/>
      </w:pPr>
    </w:p>
    <w:p w14:paraId="33DBD59C" w14:textId="77777777" w:rsidR="00342E07" w:rsidRDefault="00342E07">
      <w:pPr>
        <w:pStyle w:val="ListParagraph"/>
        <w:spacing w:after="0"/>
        <w:ind w:left="774"/>
        <w:jc w:val="both"/>
      </w:pPr>
    </w:p>
    <w:p w14:paraId="139E8602"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8959A8"/>
          <w:sz w:val="20"/>
          <w:szCs w:val="20"/>
        </w:rPr>
      </w:pPr>
      <w:r>
        <w:rPr>
          <w:rFonts w:ascii="Lucida Console" w:eastAsia="Times New Roman" w:hAnsi="Lucida Console" w:cs="Courier New"/>
          <w:color w:val="8959A8"/>
          <w:sz w:val="20"/>
          <w:szCs w:val="20"/>
        </w:rPr>
        <w:t xml:space="preserve">&gt; </w:t>
      </w:r>
      <w:proofErr w:type="spellStart"/>
      <w:proofErr w:type="gramStart"/>
      <w:r>
        <w:rPr>
          <w:rFonts w:ascii="Lucida Console" w:eastAsia="Times New Roman" w:hAnsi="Lucida Console" w:cs="Courier New"/>
          <w:color w:val="8959A8"/>
          <w:sz w:val="20"/>
          <w:szCs w:val="20"/>
        </w:rPr>
        <w:t>anova</w:t>
      </w:r>
      <w:proofErr w:type="spellEnd"/>
      <w:r>
        <w:rPr>
          <w:rFonts w:ascii="Lucida Console" w:eastAsia="Times New Roman" w:hAnsi="Lucida Console" w:cs="Courier New"/>
          <w:color w:val="8959A8"/>
          <w:sz w:val="20"/>
          <w:szCs w:val="20"/>
        </w:rPr>
        <w:t>(</w:t>
      </w:r>
      <w:proofErr w:type="gramEnd"/>
      <w:r>
        <w:rPr>
          <w:rFonts w:ascii="Lucida Console" w:eastAsia="Times New Roman" w:hAnsi="Lucida Console" w:cs="Courier New"/>
          <w:color w:val="8959A8"/>
          <w:sz w:val="20"/>
          <w:szCs w:val="20"/>
        </w:rPr>
        <w:t xml:space="preserve">lm(FEV1pp.range ~ </w:t>
      </w:r>
      <w:proofErr w:type="spellStart"/>
      <w:r>
        <w:rPr>
          <w:rFonts w:ascii="Lucida Console" w:eastAsia="Times New Roman" w:hAnsi="Lucida Console" w:cs="Courier New"/>
          <w:color w:val="8959A8"/>
          <w:sz w:val="20"/>
          <w:szCs w:val="20"/>
        </w:rPr>
        <w:t>group.cohort</w:t>
      </w:r>
      <w:proofErr w:type="spellEnd"/>
      <w:r>
        <w:rPr>
          <w:rFonts w:ascii="Lucida Console" w:eastAsia="Times New Roman" w:hAnsi="Lucida Console" w:cs="Courier New"/>
          <w:color w:val="8959A8"/>
          <w:sz w:val="20"/>
          <w:szCs w:val="20"/>
        </w:rPr>
        <w:t>))</w:t>
      </w:r>
    </w:p>
    <w:p w14:paraId="4387C761"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r>
        <w:rPr>
          <w:rFonts w:ascii="Lucida Console" w:eastAsia="Times New Roman" w:hAnsi="Lucida Console" w:cs="Courier New"/>
          <w:color w:val="4D4D4C"/>
          <w:sz w:val="20"/>
          <w:szCs w:val="20"/>
        </w:rPr>
        <w:t>Analysis of Variance Table</w:t>
      </w:r>
    </w:p>
    <w:p w14:paraId="4AF8A71C" w14:textId="77777777" w:rsidR="00342E07" w:rsidRDefault="00342E0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p>
    <w:p w14:paraId="402FB2F7"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r>
        <w:rPr>
          <w:rFonts w:ascii="Lucida Console" w:eastAsia="Times New Roman" w:hAnsi="Lucida Console" w:cs="Courier New"/>
          <w:color w:val="4D4D4C"/>
          <w:sz w:val="20"/>
          <w:szCs w:val="20"/>
        </w:rPr>
        <w:t>Response: FEV1pp.range</w:t>
      </w:r>
    </w:p>
    <w:p w14:paraId="00F186C0"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r>
        <w:rPr>
          <w:rFonts w:ascii="Lucida Console" w:eastAsia="Times New Roman" w:hAnsi="Lucida Console" w:cs="Courier New"/>
          <w:color w:val="4D4D4C"/>
          <w:sz w:val="20"/>
          <w:szCs w:val="20"/>
        </w:rPr>
        <w:t xml:space="preserve">             </w:t>
      </w:r>
      <w:proofErr w:type="spellStart"/>
      <w:proofErr w:type="gramStart"/>
      <w:r>
        <w:rPr>
          <w:rFonts w:ascii="Lucida Console" w:eastAsia="Times New Roman" w:hAnsi="Lucida Console" w:cs="Courier New"/>
          <w:color w:val="4D4D4C"/>
          <w:sz w:val="20"/>
          <w:szCs w:val="20"/>
        </w:rPr>
        <w:t>Df</w:t>
      </w:r>
      <w:proofErr w:type="spellEnd"/>
      <w:r>
        <w:rPr>
          <w:rFonts w:ascii="Lucida Console" w:eastAsia="Times New Roman" w:hAnsi="Lucida Console" w:cs="Courier New"/>
          <w:color w:val="4D4D4C"/>
          <w:sz w:val="20"/>
          <w:szCs w:val="20"/>
        </w:rPr>
        <w:t xml:space="preserve">  Sum</w:t>
      </w:r>
      <w:proofErr w:type="gramEnd"/>
      <w:r>
        <w:rPr>
          <w:rFonts w:ascii="Lucida Console" w:eastAsia="Times New Roman" w:hAnsi="Lucida Console" w:cs="Courier New"/>
          <w:color w:val="4D4D4C"/>
          <w:sz w:val="20"/>
          <w:szCs w:val="20"/>
        </w:rPr>
        <w:t xml:space="preserve"> </w:t>
      </w:r>
      <w:proofErr w:type="spellStart"/>
      <w:r>
        <w:rPr>
          <w:rFonts w:ascii="Lucida Console" w:eastAsia="Times New Roman" w:hAnsi="Lucida Console" w:cs="Courier New"/>
          <w:color w:val="4D4D4C"/>
          <w:sz w:val="20"/>
          <w:szCs w:val="20"/>
        </w:rPr>
        <w:t>Sq</w:t>
      </w:r>
      <w:proofErr w:type="spellEnd"/>
      <w:r>
        <w:rPr>
          <w:rFonts w:ascii="Lucida Console" w:eastAsia="Times New Roman" w:hAnsi="Lucida Console" w:cs="Courier New"/>
          <w:color w:val="4D4D4C"/>
          <w:sz w:val="20"/>
          <w:szCs w:val="20"/>
        </w:rPr>
        <w:t xml:space="preserve"> Mean </w:t>
      </w:r>
      <w:proofErr w:type="spellStart"/>
      <w:r>
        <w:rPr>
          <w:rFonts w:ascii="Lucida Console" w:eastAsia="Times New Roman" w:hAnsi="Lucida Console" w:cs="Courier New"/>
          <w:color w:val="4D4D4C"/>
          <w:sz w:val="20"/>
          <w:szCs w:val="20"/>
        </w:rPr>
        <w:t>Sq</w:t>
      </w:r>
      <w:proofErr w:type="spellEnd"/>
      <w:r>
        <w:rPr>
          <w:rFonts w:ascii="Lucida Console" w:eastAsia="Times New Roman" w:hAnsi="Lucida Console" w:cs="Courier New"/>
          <w:color w:val="4D4D4C"/>
          <w:sz w:val="20"/>
          <w:szCs w:val="20"/>
        </w:rPr>
        <w:t xml:space="preserve"> F value </w:t>
      </w:r>
      <w:proofErr w:type="spellStart"/>
      <w:r>
        <w:rPr>
          <w:rFonts w:ascii="Lucida Console" w:eastAsia="Times New Roman" w:hAnsi="Lucida Console" w:cs="Courier New"/>
          <w:color w:val="4D4D4C"/>
          <w:sz w:val="20"/>
          <w:szCs w:val="20"/>
        </w:rPr>
        <w:t>Pr</w:t>
      </w:r>
      <w:proofErr w:type="spellEnd"/>
      <w:r>
        <w:rPr>
          <w:rFonts w:ascii="Lucida Console" w:eastAsia="Times New Roman" w:hAnsi="Lucida Console" w:cs="Courier New"/>
          <w:color w:val="4D4D4C"/>
          <w:sz w:val="20"/>
          <w:szCs w:val="20"/>
        </w:rPr>
        <w:t>(&gt;F)</w:t>
      </w:r>
    </w:p>
    <w:p w14:paraId="4CCB1F22"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proofErr w:type="spellStart"/>
      <w:proofErr w:type="gramStart"/>
      <w:r>
        <w:rPr>
          <w:rFonts w:ascii="Lucida Console" w:eastAsia="Times New Roman" w:hAnsi="Lucida Console" w:cs="Courier New"/>
          <w:color w:val="4D4D4C"/>
          <w:sz w:val="20"/>
          <w:szCs w:val="20"/>
        </w:rPr>
        <w:t>group.cohort</w:t>
      </w:r>
      <w:proofErr w:type="spellEnd"/>
      <w:r>
        <w:rPr>
          <w:rFonts w:ascii="Lucida Console" w:eastAsia="Times New Roman" w:hAnsi="Lucida Console" w:cs="Courier New"/>
          <w:color w:val="4D4D4C"/>
          <w:sz w:val="20"/>
          <w:szCs w:val="20"/>
        </w:rPr>
        <w:t xml:space="preserve">  1</w:t>
      </w:r>
      <w:proofErr w:type="gramEnd"/>
      <w:r>
        <w:rPr>
          <w:rFonts w:ascii="Lucida Console" w:eastAsia="Times New Roman" w:hAnsi="Lucida Console" w:cs="Courier New"/>
          <w:color w:val="4D4D4C"/>
          <w:sz w:val="20"/>
          <w:szCs w:val="20"/>
        </w:rPr>
        <w:t xml:space="preserve">   261.9  261.92  0.4777 </w:t>
      </w:r>
      <w:r>
        <w:rPr>
          <w:rFonts w:ascii="Lucida Console" w:eastAsia="Times New Roman" w:hAnsi="Lucida Console" w:cs="Courier New"/>
          <w:b/>
          <w:color w:val="4D4D4C"/>
          <w:sz w:val="20"/>
          <w:szCs w:val="20"/>
        </w:rPr>
        <w:t>0.4967</w:t>
      </w:r>
    </w:p>
    <w:p w14:paraId="27763BB6"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r>
        <w:rPr>
          <w:rFonts w:ascii="Lucida Console" w:eastAsia="Times New Roman" w:hAnsi="Lucida Console" w:cs="Courier New"/>
          <w:color w:val="4D4D4C"/>
          <w:sz w:val="20"/>
          <w:szCs w:val="20"/>
        </w:rPr>
        <w:t xml:space="preserve">Residuals    22 </w:t>
      </w:r>
      <w:proofErr w:type="gramStart"/>
      <w:r>
        <w:rPr>
          <w:rFonts w:ascii="Lucida Console" w:eastAsia="Times New Roman" w:hAnsi="Lucida Console" w:cs="Courier New"/>
          <w:color w:val="4D4D4C"/>
          <w:sz w:val="20"/>
          <w:szCs w:val="20"/>
        </w:rPr>
        <w:t>12061.6  548.25</w:t>
      </w:r>
      <w:proofErr w:type="gramEnd"/>
      <w:r>
        <w:rPr>
          <w:rFonts w:ascii="Lucida Console" w:eastAsia="Times New Roman" w:hAnsi="Lucida Console" w:cs="Courier New"/>
          <w:color w:val="4D4D4C"/>
          <w:sz w:val="20"/>
          <w:szCs w:val="20"/>
        </w:rPr>
        <w:t xml:space="preserve"> </w:t>
      </w:r>
    </w:p>
    <w:p w14:paraId="7DDD8AAF" w14:textId="77777777" w:rsidR="00342E07" w:rsidRDefault="00342E07">
      <w:pPr>
        <w:pStyle w:val="ListParagraph"/>
        <w:spacing w:after="0"/>
        <w:ind w:left="774"/>
        <w:jc w:val="both"/>
      </w:pPr>
    </w:p>
    <w:p w14:paraId="371E460C" w14:textId="77777777" w:rsidR="00342E07" w:rsidRDefault="00342E07">
      <w:pPr>
        <w:pStyle w:val="ListParagraph"/>
        <w:spacing w:after="0"/>
        <w:ind w:left="774"/>
        <w:jc w:val="both"/>
      </w:pPr>
    </w:p>
    <w:p w14:paraId="1F72188C" w14:textId="77777777" w:rsidR="00342E07" w:rsidRDefault="00342E07">
      <w:pPr>
        <w:pStyle w:val="ListParagraph"/>
        <w:spacing w:after="0"/>
        <w:ind w:left="774"/>
        <w:jc w:val="both"/>
      </w:pPr>
    </w:p>
    <w:p w14:paraId="772472B2" w14:textId="77777777" w:rsidR="00342E07" w:rsidRDefault="00342E07">
      <w:pPr>
        <w:pStyle w:val="ListParagraph"/>
        <w:spacing w:after="0"/>
        <w:ind w:left="774"/>
        <w:jc w:val="both"/>
      </w:pPr>
    </w:p>
    <w:p w14:paraId="4C510D93" w14:textId="77777777" w:rsidR="00342E07" w:rsidRDefault="00342E07">
      <w:pPr>
        <w:pStyle w:val="ListParagraph"/>
        <w:spacing w:after="0"/>
        <w:ind w:left="774"/>
        <w:jc w:val="both"/>
      </w:pPr>
    </w:p>
    <w:p w14:paraId="5C82A46E" w14:textId="77777777" w:rsidR="00342E07" w:rsidRDefault="00342E07">
      <w:pPr>
        <w:pStyle w:val="ListParagraph"/>
        <w:spacing w:after="0"/>
        <w:ind w:left="774"/>
        <w:jc w:val="both"/>
      </w:pPr>
    </w:p>
    <w:p w14:paraId="1AEAFC9C" w14:textId="77777777" w:rsidR="00342E07" w:rsidRDefault="00342E07">
      <w:pPr>
        <w:pStyle w:val="ListParagraph"/>
        <w:spacing w:after="0"/>
        <w:ind w:left="774"/>
        <w:jc w:val="both"/>
      </w:pPr>
    </w:p>
    <w:p w14:paraId="43E9AEAF" w14:textId="77777777" w:rsidR="00342E07" w:rsidRDefault="005356A1">
      <w:pPr>
        <w:pStyle w:val="Heading2"/>
      </w:pPr>
      <w:bookmarkStart w:id="162" w:name="_Toc488490633"/>
      <w:bookmarkStart w:id="163" w:name="_Toc373597612"/>
      <w:bookmarkEnd w:id="162"/>
      <w:r>
        <w:t>AUC vs FEV1% pred. variance</w:t>
      </w:r>
      <w:bookmarkEnd w:id="163"/>
    </w:p>
    <w:p w14:paraId="76DF4A62" w14:textId="77777777" w:rsidR="00342E07" w:rsidRDefault="00342E07">
      <w:pPr>
        <w:pStyle w:val="ListParagraph"/>
        <w:spacing w:after="0"/>
        <w:ind w:left="774"/>
        <w:jc w:val="both"/>
      </w:pPr>
    </w:p>
    <w:p w14:paraId="6F35977F" w14:textId="77777777" w:rsidR="00342E07" w:rsidRDefault="005356A1">
      <w:pPr>
        <w:spacing w:after="0"/>
      </w:pPr>
      <w:r>
        <w:rPr>
          <w:noProof/>
        </w:rPr>
        <w:drawing>
          <wp:inline distT="0" distB="0" distL="0" distR="0" wp14:anchorId="6C6525BF" wp14:editId="7F65F995">
            <wp:extent cx="5972810" cy="4479290"/>
            <wp:effectExtent l="0" t="0" r="0" b="0"/>
            <wp:docPr id="12"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fik 16"/>
                    <pic:cNvPicPr>
                      <a:picLocks noChangeAspect="1" noChangeArrowheads="1"/>
                    </pic:cNvPicPr>
                  </pic:nvPicPr>
                  <pic:blipFill>
                    <a:blip r:embed="rId14"/>
                    <a:stretch>
                      <a:fillRect/>
                    </a:stretch>
                  </pic:blipFill>
                  <pic:spPr bwMode="auto">
                    <a:xfrm>
                      <a:off x="0" y="0"/>
                      <a:ext cx="5972810" cy="4479290"/>
                    </a:xfrm>
                    <a:prstGeom prst="rect">
                      <a:avLst/>
                    </a:prstGeom>
                  </pic:spPr>
                </pic:pic>
              </a:graphicData>
            </a:graphic>
          </wp:inline>
        </w:drawing>
      </w:r>
    </w:p>
    <w:p w14:paraId="7601D3C0" w14:textId="77777777" w:rsidR="00342E07" w:rsidRDefault="00342E07">
      <w:pPr>
        <w:pStyle w:val="ListParagraph"/>
        <w:spacing w:after="0"/>
        <w:ind w:left="774"/>
        <w:jc w:val="both"/>
      </w:pPr>
    </w:p>
    <w:p w14:paraId="3F256D41"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8959A8"/>
          <w:sz w:val="20"/>
          <w:szCs w:val="20"/>
        </w:rPr>
      </w:pPr>
      <w:r>
        <w:rPr>
          <w:rFonts w:ascii="Lucida Console" w:eastAsia="Times New Roman" w:hAnsi="Lucida Console" w:cs="Courier New"/>
          <w:color w:val="8959A8"/>
          <w:sz w:val="20"/>
          <w:szCs w:val="20"/>
        </w:rPr>
        <w:t xml:space="preserve">&gt; </w:t>
      </w:r>
      <w:proofErr w:type="gramStart"/>
      <w:r>
        <w:rPr>
          <w:rFonts w:ascii="Lucida Console" w:eastAsia="Times New Roman" w:hAnsi="Lucida Console" w:cs="Courier New"/>
          <w:color w:val="8959A8"/>
          <w:sz w:val="20"/>
          <w:szCs w:val="20"/>
        </w:rPr>
        <w:t>summary(</w:t>
      </w:r>
      <w:proofErr w:type="gramEnd"/>
      <w:r>
        <w:rPr>
          <w:rFonts w:ascii="Lucida Console" w:eastAsia="Times New Roman" w:hAnsi="Lucida Console" w:cs="Courier New"/>
          <w:color w:val="8959A8"/>
          <w:sz w:val="20"/>
          <w:szCs w:val="20"/>
        </w:rPr>
        <w:t>regression.DELTA.AUC.vs.FEV1pp.variance)</w:t>
      </w:r>
    </w:p>
    <w:p w14:paraId="19DD1DDF" w14:textId="77777777" w:rsidR="00342E07" w:rsidRDefault="00342E0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p>
    <w:p w14:paraId="52CFC3E2"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r>
        <w:rPr>
          <w:rFonts w:ascii="Lucida Console" w:eastAsia="Times New Roman" w:hAnsi="Lucida Console" w:cs="Courier New"/>
          <w:color w:val="4D4D4C"/>
          <w:sz w:val="20"/>
          <w:szCs w:val="20"/>
        </w:rPr>
        <w:t>Call:</w:t>
      </w:r>
    </w:p>
    <w:p w14:paraId="079AA712"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proofErr w:type="gramStart"/>
      <w:r>
        <w:rPr>
          <w:rFonts w:ascii="Lucida Console" w:eastAsia="Times New Roman" w:hAnsi="Lucida Console" w:cs="Courier New"/>
          <w:color w:val="4D4D4C"/>
          <w:sz w:val="20"/>
          <w:szCs w:val="20"/>
        </w:rPr>
        <w:t>lm(</w:t>
      </w:r>
      <w:proofErr w:type="gramEnd"/>
      <w:r>
        <w:rPr>
          <w:rFonts w:ascii="Lucida Console" w:eastAsia="Times New Roman" w:hAnsi="Lucida Console" w:cs="Courier New"/>
          <w:color w:val="4D4D4C"/>
          <w:sz w:val="20"/>
          <w:szCs w:val="20"/>
        </w:rPr>
        <w:t xml:space="preserve">formula = </w:t>
      </w:r>
      <w:proofErr w:type="spellStart"/>
      <w:r>
        <w:rPr>
          <w:rFonts w:ascii="Lucida Console" w:eastAsia="Times New Roman" w:hAnsi="Lucida Console" w:cs="Courier New"/>
          <w:color w:val="4D4D4C"/>
          <w:sz w:val="20"/>
          <w:szCs w:val="20"/>
        </w:rPr>
        <w:t>matrix_model_cohort.DELTA.AUC.not.NA.DELTA.AUC</w:t>
      </w:r>
      <w:proofErr w:type="spellEnd"/>
      <w:r>
        <w:rPr>
          <w:rFonts w:ascii="Lucida Console" w:eastAsia="Times New Roman" w:hAnsi="Lucida Console" w:cs="Courier New"/>
          <w:color w:val="4D4D4C"/>
          <w:sz w:val="20"/>
          <w:szCs w:val="20"/>
        </w:rPr>
        <w:t xml:space="preserve"> ~ </w:t>
      </w:r>
    </w:p>
    <w:p w14:paraId="53081B94"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r>
        <w:rPr>
          <w:rFonts w:ascii="Lucida Console" w:eastAsia="Times New Roman" w:hAnsi="Lucida Console" w:cs="Courier New"/>
          <w:color w:val="4D4D4C"/>
          <w:sz w:val="20"/>
          <w:szCs w:val="20"/>
        </w:rPr>
        <w:t xml:space="preserve">    matrix.FEV1pp.variance.not.NA.DELTA.AUC)</w:t>
      </w:r>
    </w:p>
    <w:p w14:paraId="7916E5E3" w14:textId="77777777" w:rsidR="00342E07" w:rsidRDefault="00342E0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p>
    <w:p w14:paraId="7E7E2F98"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r>
        <w:rPr>
          <w:rFonts w:ascii="Lucida Console" w:eastAsia="Times New Roman" w:hAnsi="Lucida Console" w:cs="Courier New"/>
          <w:color w:val="4D4D4C"/>
          <w:sz w:val="20"/>
          <w:szCs w:val="20"/>
        </w:rPr>
        <w:t>Residuals:</w:t>
      </w:r>
    </w:p>
    <w:p w14:paraId="49F4DD6B"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r>
        <w:rPr>
          <w:rFonts w:ascii="Lucida Console" w:eastAsia="Times New Roman" w:hAnsi="Lucida Console" w:cs="Courier New"/>
          <w:color w:val="4D4D4C"/>
          <w:sz w:val="20"/>
          <w:szCs w:val="20"/>
        </w:rPr>
        <w:t xml:space="preserve">      Min        1Q    Median        3Q       Max </w:t>
      </w:r>
    </w:p>
    <w:p w14:paraId="51DF2DCF"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r>
        <w:rPr>
          <w:rFonts w:ascii="Lucida Console" w:eastAsia="Times New Roman" w:hAnsi="Lucida Console" w:cs="Courier New"/>
          <w:color w:val="4D4D4C"/>
          <w:sz w:val="20"/>
          <w:szCs w:val="20"/>
        </w:rPr>
        <w:t>-0.130903 -</w:t>
      </w:r>
      <w:proofErr w:type="gramStart"/>
      <w:r>
        <w:rPr>
          <w:rFonts w:ascii="Lucida Console" w:eastAsia="Times New Roman" w:hAnsi="Lucida Console" w:cs="Courier New"/>
          <w:color w:val="4D4D4C"/>
          <w:sz w:val="20"/>
          <w:szCs w:val="20"/>
        </w:rPr>
        <w:t>0.034511  0.002037</w:t>
      </w:r>
      <w:proofErr w:type="gramEnd"/>
      <w:r>
        <w:rPr>
          <w:rFonts w:ascii="Lucida Console" w:eastAsia="Times New Roman" w:hAnsi="Lucida Console" w:cs="Courier New"/>
          <w:color w:val="4D4D4C"/>
          <w:sz w:val="20"/>
          <w:szCs w:val="20"/>
        </w:rPr>
        <w:t xml:space="preserve">  0.040787  0.157578 </w:t>
      </w:r>
    </w:p>
    <w:p w14:paraId="79ED332A" w14:textId="77777777" w:rsidR="00342E07" w:rsidRDefault="00342E0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p>
    <w:p w14:paraId="1BD0D1B7"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r>
        <w:rPr>
          <w:rFonts w:ascii="Lucida Console" w:eastAsia="Times New Roman" w:hAnsi="Lucida Console" w:cs="Courier New"/>
          <w:color w:val="4D4D4C"/>
          <w:sz w:val="20"/>
          <w:szCs w:val="20"/>
        </w:rPr>
        <w:t>Coefficients:</w:t>
      </w:r>
    </w:p>
    <w:p w14:paraId="350A0BE9"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r>
        <w:rPr>
          <w:rFonts w:ascii="Lucida Console" w:eastAsia="Times New Roman" w:hAnsi="Lucida Console" w:cs="Courier New"/>
          <w:color w:val="4D4D4C"/>
          <w:sz w:val="20"/>
          <w:szCs w:val="20"/>
        </w:rPr>
        <w:t xml:space="preserve">                                           </w:t>
      </w:r>
      <w:proofErr w:type="gramStart"/>
      <w:r>
        <w:rPr>
          <w:rFonts w:ascii="Lucida Console" w:eastAsia="Times New Roman" w:hAnsi="Lucida Console" w:cs="Courier New"/>
          <w:color w:val="4D4D4C"/>
          <w:sz w:val="20"/>
          <w:szCs w:val="20"/>
        </w:rPr>
        <w:t>Estimate  Std</w:t>
      </w:r>
      <w:proofErr w:type="gramEnd"/>
      <w:r>
        <w:rPr>
          <w:rFonts w:ascii="Lucida Console" w:eastAsia="Times New Roman" w:hAnsi="Lucida Console" w:cs="Courier New"/>
          <w:color w:val="4D4D4C"/>
          <w:sz w:val="20"/>
          <w:szCs w:val="20"/>
        </w:rPr>
        <w:t xml:space="preserve">. Error t value </w:t>
      </w:r>
      <w:proofErr w:type="spellStart"/>
      <w:r>
        <w:rPr>
          <w:rFonts w:ascii="Lucida Console" w:eastAsia="Times New Roman" w:hAnsi="Lucida Console" w:cs="Courier New"/>
          <w:color w:val="4D4D4C"/>
          <w:sz w:val="20"/>
          <w:szCs w:val="20"/>
        </w:rPr>
        <w:t>Pr</w:t>
      </w:r>
      <w:proofErr w:type="spellEnd"/>
      <w:r>
        <w:rPr>
          <w:rFonts w:ascii="Lucida Console" w:eastAsia="Times New Roman" w:hAnsi="Lucida Console" w:cs="Courier New"/>
          <w:color w:val="4D4D4C"/>
          <w:sz w:val="20"/>
          <w:szCs w:val="20"/>
        </w:rPr>
        <w:t xml:space="preserve">(&gt;|t|)    </w:t>
      </w:r>
    </w:p>
    <w:p w14:paraId="5D77A67C"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r>
        <w:rPr>
          <w:rFonts w:ascii="Lucida Console" w:eastAsia="Times New Roman" w:hAnsi="Lucida Console" w:cs="Courier New"/>
          <w:color w:val="4D4D4C"/>
          <w:sz w:val="20"/>
          <w:szCs w:val="20"/>
        </w:rPr>
        <w:t xml:space="preserve">(Intercept)                              </w:t>
      </w:r>
      <w:proofErr w:type="gramStart"/>
      <w:r>
        <w:rPr>
          <w:rFonts w:ascii="Lucida Console" w:eastAsia="Times New Roman" w:hAnsi="Lucida Console" w:cs="Courier New"/>
          <w:color w:val="4D4D4C"/>
          <w:sz w:val="20"/>
          <w:szCs w:val="20"/>
        </w:rPr>
        <w:t>0.15606493  0.01707820</w:t>
      </w:r>
      <w:proofErr w:type="gramEnd"/>
      <w:r>
        <w:rPr>
          <w:rFonts w:ascii="Lucida Console" w:eastAsia="Times New Roman" w:hAnsi="Lucida Console" w:cs="Courier New"/>
          <w:color w:val="4D4D4C"/>
          <w:sz w:val="20"/>
          <w:szCs w:val="20"/>
        </w:rPr>
        <w:t xml:space="preserve">   9.138 7.09e-15 ***</w:t>
      </w:r>
    </w:p>
    <w:p w14:paraId="523ACFC4"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r>
        <w:rPr>
          <w:rFonts w:ascii="Lucida Console" w:eastAsia="Times New Roman" w:hAnsi="Lucida Console" w:cs="Courier New"/>
          <w:color w:val="4D4D4C"/>
          <w:sz w:val="20"/>
          <w:szCs w:val="20"/>
        </w:rPr>
        <w:t>matrix.FEV1pp.variance.not.NA.DELTA.AUC -</w:t>
      </w:r>
      <w:proofErr w:type="gramStart"/>
      <w:r>
        <w:rPr>
          <w:rFonts w:ascii="Lucida Console" w:eastAsia="Times New Roman" w:hAnsi="Lucida Console" w:cs="Courier New"/>
          <w:color w:val="4D4D4C"/>
          <w:sz w:val="20"/>
          <w:szCs w:val="20"/>
        </w:rPr>
        <w:t>0.00029364  0.00005309</w:t>
      </w:r>
      <w:proofErr w:type="gramEnd"/>
      <w:r>
        <w:rPr>
          <w:rFonts w:ascii="Lucida Console" w:eastAsia="Times New Roman" w:hAnsi="Lucida Console" w:cs="Courier New"/>
          <w:color w:val="4D4D4C"/>
          <w:sz w:val="20"/>
          <w:szCs w:val="20"/>
        </w:rPr>
        <w:t xml:space="preserve">  -5.531 2.51e-07 ***</w:t>
      </w:r>
    </w:p>
    <w:p w14:paraId="3541818C"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r>
        <w:rPr>
          <w:rFonts w:ascii="Lucida Console" w:eastAsia="Times New Roman" w:hAnsi="Lucida Console" w:cs="Courier New"/>
          <w:color w:val="4D4D4C"/>
          <w:sz w:val="20"/>
          <w:szCs w:val="20"/>
        </w:rPr>
        <w:t>---</w:t>
      </w:r>
    </w:p>
    <w:p w14:paraId="2D13AE8E"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proofErr w:type="spellStart"/>
      <w:r>
        <w:rPr>
          <w:rFonts w:ascii="Lucida Console" w:eastAsia="Times New Roman" w:hAnsi="Lucida Console" w:cs="Courier New"/>
          <w:color w:val="4D4D4C"/>
          <w:sz w:val="20"/>
          <w:szCs w:val="20"/>
        </w:rPr>
        <w:t>Signif</w:t>
      </w:r>
      <w:proofErr w:type="spellEnd"/>
      <w:r>
        <w:rPr>
          <w:rFonts w:ascii="Lucida Console" w:eastAsia="Times New Roman" w:hAnsi="Lucida Console" w:cs="Courier New"/>
          <w:color w:val="4D4D4C"/>
          <w:sz w:val="20"/>
          <w:szCs w:val="20"/>
        </w:rPr>
        <w:t xml:space="preserve">. </w:t>
      </w:r>
      <w:proofErr w:type="gramStart"/>
      <w:r>
        <w:rPr>
          <w:rFonts w:ascii="Lucida Console" w:eastAsia="Times New Roman" w:hAnsi="Lucida Console" w:cs="Courier New"/>
          <w:color w:val="4D4D4C"/>
          <w:sz w:val="20"/>
          <w:szCs w:val="20"/>
        </w:rPr>
        <w:t>codes</w:t>
      </w:r>
      <w:proofErr w:type="gramEnd"/>
      <w:r>
        <w:rPr>
          <w:rFonts w:ascii="Lucida Console" w:eastAsia="Times New Roman" w:hAnsi="Lucida Console" w:cs="Courier New"/>
          <w:color w:val="4D4D4C"/>
          <w:sz w:val="20"/>
          <w:szCs w:val="20"/>
        </w:rPr>
        <w:t xml:space="preserve">:  0 ‘***’ 0.001 ‘**’ 0.01 ‘*’ 0.05 ‘.’ 0.1 </w:t>
      </w:r>
      <w:proofErr w:type="gramStart"/>
      <w:r>
        <w:rPr>
          <w:rFonts w:ascii="Lucida Console" w:eastAsia="Times New Roman" w:hAnsi="Lucida Console" w:cs="Courier New"/>
          <w:color w:val="4D4D4C"/>
          <w:sz w:val="20"/>
          <w:szCs w:val="20"/>
        </w:rPr>
        <w:t>‘ ’</w:t>
      </w:r>
      <w:proofErr w:type="gramEnd"/>
      <w:r>
        <w:rPr>
          <w:rFonts w:ascii="Lucida Console" w:eastAsia="Times New Roman" w:hAnsi="Lucida Console" w:cs="Courier New"/>
          <w:color w:val="4D4D4C"/>
          <w:sz w:val="20"/>
          <w:szCs w:val="20"/>
        </w:rPr>
        <w:t xml:space="preserve"> 1</w:t>
      </w:r>
    </w:p>
    <w:p w14:paraId="671C3721" w14:textId="77777777" w:rsidR="00342E07" w:rsidRDefault="00342E0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p>
    <w:p w14:paraId="407BDA02"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r>
        <w:rPr>
          <w:rFonts w:ascii="Lucida Console" w:eastAsia="Times New Roman" w:hAnsi="Lucida Console" w:cs="Courier New"/>
          <w:color w:val="4D4D4C"/>
          <w:sz w:val="20"/>
          <w:szCs w:val="20"/>
        </w:rPr>
        <w:t>Residual standard error: 0.06011 on 101 degrees of freedom</w:t>
      </w:r>
    </w:p>
    <w:p w14:paraId="6A676394"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r>
        <w:rPr>
          <w:rFonts w:ascii="Lucida Console" w:eastAsia="Times New Roman" w:hAnsi="Lucida Console" w:cs="Courier New"/>
          <w:color w:val="4D4D4C"/>
          <w:sz w:val="20"/>
          <w:szCs w:val="20"/>
        </w:rPr>
        <w:t>Multiple R-squared:  0.2325,</w:t>
      </w:r>
      <w:r>
        <w:rPr>
          <w:rFonts w:ascii="Lucida Console" w:eastAsia="Times New Roman" w:hAnsi="Lucida Console" w:cs="Courier New"/>
          <w:color w:val="4D4D4C"/>
          <w:sz w:val="20"/>
          <w:szCs w:val="20"/>
        </w:rPr>
        <w:tab/>
        <w:t xml:space="preserve">Adjusted R-squared:  0.2249 </w:t>
      </w:r>
    </w:p>
    <w:p w14:paraId="1B641157"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
        <w:rPr>
          <w:rFonts w:ascii="Lucida Console" w:eastAsia="Times New Roman" w:hAnsi="Lucida Console" w:cs="Courier New"/>
          <w:color w:val="4D4D4C"/>
          <w:sz w:val="20"/>
          <w:szCs w:val="20"/>
        </w:rPr>
        <w:t>F-statistic:  30.6 on 1 and 101 DF</w:t>
      </w:r>
      <w:proofErr w:type="gramStart"/>
      <w:r>
        <w:rPr>
          <w:rFonts w:ascii="Lucida Console" w:eastAsia="Times New Roman" w:hAnsi="Lucida Console" w:cs="Courier New"/>
          <w:color w:val="4D4D4C"/>
          <w:sz w:val="20"/>
          <w:szCs w:val="20"/>
        </w:rPr>
        <w:t>,  p</w:t>
      </w:r>
      <w:proofErr w:type="gramEnd"/>
      <w:r>
        <w:rPr>
          <w:rFonts w:ascii="Lucida Console" w:eastAsia="Times New Roman" w:hAnsi="Lucida Console" w:cs="Courier New"/>
          <w:color w:val="4D4D4C"/>
          <w:sz w:val="20"/>
          <w:szCs w:val="20"/>
        </w:rPr>
        <w:t xml:space="preserve">-value: </w:t>
      </w:r>
      <w:r>
        <w:rPr>
          <w:rFonts w:ascii="Lucida Console" w:eastAsia="Times New Roman" w:hAnsi="Lucida Console" w:cs="Courier New"/>
          <w:b/>
          <w:color w:val="4D4D4C"/>
          <w:sz w:val="20"/>
          <w:szCs w:val="20"/>
        </w:rPr>
        <w:t>0.0000002507</w:t>
      </w:r>
    </w:p>
    <w:p w14:paraId="68F9F1A6" w14:textId="77777777" w:rsidR="00342E07" w:rsidRDefault="00342E07">
      <w:pPr>
        <w:spacing w:after="0"/>
        <w:jc w:val="both"/>
      </w:pPr>
    </w:p>
    <w:p w14:paraId="57B84C3D" w14:textId="77777777" w:rsidR="00342E07" w:rsidRDefault="00342E07">
      <w:pPr>
        <w:spacing w:after="0"/>
        <w:jc w:val="both"/>
      </w:pPr>
    </w:p>
    <w:p w14:paraId="54519F51" w14:textId="77777777" w:rsidR="00342E07" w:rsidRDefault="005356A1">
      <w:pPr>
        <w:spacing w:after="0"/>
        <w:jc w:val="both"/>
      </w:pPr>
      <w:r>
        <w:rPr>
          <w:noProof/>
        </w:rPr>
        <w:drawing>
          <wp:inline distT="0" distB="0" distL="0" distR="0" wp14:anchorId="0624CA3C" wp14:editId="4C6F1213">
            <wp:extent cx="5972810" cy="4479290"/>
            <wp:effectExtent l="0" t="0" r="0" b="0"/>
            <wp:docPr id="13"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Grafik 12"/>
                    <pic:cNvPicPr>
                      <a:picLocks noChangeAspect="1" noChangeArrowheads="1"/>
                    </pic:cNvPicPr>
                  </pic:nvPicPr>
                  <pic:blipFill>
                    <a:blip r:embed="rId15"/>
                    <a:stretch>
                      <a:fillRect/>
                    </a:stretch>
                  </pic:blipFill>
                  <pic:spPr bwMode="auto">
                    <a:xfrm>
                      <a:off x="0" y="0"/>
                      <a:ext cx="5972810" cy="4479290"/>
                    </a:xfrm>
                    <a:prstGeom prst="rect">
                      <a:avLst/>
                    </a:prstGeom>
                  </pic:spPr>
                </pic:pic>
              </a:graphicData>
            </a:graphic>
          </wp:inline>
        </w:drawing>
      </w:r>
    </w:p>
    <w:p w14:paraId="5A59DA7D" w14:textId="77777777" w:rsidR="00342E07" w:rsidRDefault="00342E07">
      <w:pPr>
        <w:pStyle w:val="ListParagraph"/>
        <w:spacing w:after="0"/>
        <w:ind w:left="774"/>
        <w:jc w:val="both"/>
      </w:pPr>
    </w:p>
    <w:p w14:paraId="441FD51C" w14:textId="77777777" w:rsidR="00342E07" w:rsidRDefault="00342E07">
      <w:pPr>
        <w:pStyle w:val="ListParagraph"/>
        <w:spacing w:after="0"/>
        <w:ind w:left="774"/>
        <w:jc w:val="both"/>
      </w:pPr>
    </w:p>
    <w:p w14:paraId="143F7C00"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8959A8"/>
          <w:sz w:val="20"/>
          <w:szCs w:val="20"/>
        </w:rPr>
      </w:pPr>
      <w:r>
        <w:rPr>
          <w:rFonts w:ascii="Lucida Console" w:eastAsia="Times New Roman" w:hAnsi="Lucida Console" w:cs="Courier New"/>
          <w:color w:val="8959A8"/>
          <w:sz w:val="20"/>
          <w:szCs w:val="20"/>
        </w:rPr>
        <w:t xml:space="preserve">&gt; </w:t>
      </w:r>
      <w:proofErr w:type="spellStart"/>
      <w:proofErr w:type="gramStart"/>
      <w:r>
        <w:rPr>
          <w:rFonts w:ascii="Lucida Console" w:eastAsia="Times New Roman" w:hAnsi="Lucida Console" w:cs="Courier New"/>
          <w:color w:val="8959A8"/>
          <w:sz w:val="20"/>
          <w:szCs w:val="20"/>
        </w:rPr>
        <w:t>anova</w:t>
      </w:r>
      <w:proofErr w:type="spellEnd"/>
      <w:r>
        <w:rPr>
          <w:rFonts w:ascii="Lucida Console" w:eastAsia="Times New Roman" w:hAnsi="Lucida Console" w:cs="Courier New"/>
          <w:color w:val="8959A8"/>
          <w:sz w:val="20"/>
          <w:szCs w:val="20"/>
        </w:rPr>
        <w:t>(</w:t>
      </w:r>
      <w:proofErr w:type="gramEnd"/>
      <w:r>
        <w:rPr>
          <w:rFonts w:ascii="Lucida Console" w:eastAsia="Times New Roman" w:hAnsi="Lucida Console" w:cs="Courier New"/>
          <w:color w:val="8959A8"/>
          <w:sz w:val="20"/>
          <w:szCs w:val="20"/>
        </w:rPr>
        <w:t xml:space="preserve">lm(FEV1pp.variance ~ </w:t>
      </w:r>
      <w:proofErr w:type="spellStart"/>
      <w:r>
        <w:rPr>
          <w:rFonts w:ascii="Lucida Console" w:eastAsia="Times New Roman" w:hAnsi="Lucida Console" w:cs="Courier New"/>
          <w:color w:val="8959A8"/>
          <w:sz w:val="20"/>
          <w:szCs w:val="20"/>
        </w:rPr>
        <w:t>group.cohort</w:t>
      </w:r>
      <w:proofErr w:type="spellEnd"/>
      <w:r>
        <w:rPr>
          <w:rFonts w:ascii="Lucida Console" w:eastAsia="Times New Roman" w:hAnsi="Lucida Console" w:cs="Courier New"/>
          <w:color w:val="8959A8"/>
          <w:sz w:val="20"/>
          <w:szCs w:val="20"/>
        </w:rPr>
        <w:t>))</w:t>
      </w:r>
    </w:p>
    <w:p w14:paraId="6284C3E5"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r>
        <w:rPr>
          <w:rFonts w:ascii="Lucida Console" w:eastAsia="Times New Roman" w:hAnsi="Lucida Console" w:cs="Courier New"/>
          <w:color w:val="4D4D4C"/>
          <w:sz w:val="20"/>
          <w:szCs w:val="20"/>
        </w:rPr>
        <w:t>Analysis of Variance Table</w:t>
      </w:r>
    </w:p>
    <w:p w14:paraId="1A5C155D" w14:textId="77777777" w:rsidR="00342E07" w:rsidRDefault="00342E0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p>
    <w:p w14:paraId="59AC5D36"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r>
        <w:rPr>
          <w:rFonts w:ascii="Lucida Console" w:eastAsia="Times New Roman" w:hAnsi="Lucida Console" w:cs="Courier New"/>
          <w:color w:val="4D4D4C"/>
          <w:sz w:val="20"/>
          <w:szCs w:val="20"/>
        </w:rPr>
        <w:t>Response: FEV1pp.variance</w:t>
      </w:r>
    </w:p>
    <w:p w14:paraId="4480C4F2"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r>
        <w:rPr>
          <w:rFonts w:ascii="Lucida Console" w:eastAsia="Times New Roman" w:hAnsi="Lucida Console" w:cs="Courier New"/>
          <w:color w:val="4D4D4C"/>
          <w:sz w:val="20"/>
          <w:szCs w:val="20"/>
        </w:rPr>
        <w:t xml:space="preserve">             </w:t>
      </w:r>
      <w:proofErr w:type="spellStart"/>
      <w:r>
        <w:rPr>
          <w:rFonts w:ascii="Lucida Console" w:eastAsia="Times New Roman" w:hAnsi="Lucida Console" w:cs="Courier New"/>
          <w:color w:val="4D4D4C"/>
          <w:sz w:val="20"/>
          <w:szCs w:val="20"/>
        </w:rPr>
        <w:t>Df</w:t>
      </w:r>
      <w:proofErr w:type="spellEnd"/>
      <w:r>
        <w:rPr>
          <w:rFonts w:ascii="Lucida Console" w:eastAsia="Times New Roman" w:hAnsi="Lucida Console" w:cs="Courier New"/>
          <w:color w:val="4D4D4C"/>
          <w:sz w:val="20"/>
          <w:szCs w:val="20"/>
        </w:rPr>
        <w:t xml:space="preserve"> Sum </w:t>
      </w:r>
      <w:proofErr w:type="spellStart"/>
      <w:r>
        <w:rPr>
          <w:rFonts w:ascii="Lucida Console" w:eastAsia="Times New Roman" w:hAnsi="Lucida Console" w:cs="Courier New"/>
          <w:color w:val="4D4D4C"/>
          <w:sz w:val="20"/>
          <w:szCs w:val="20"/>
        </w:rPr>
        <w:t>Sq</w:t>
      </w:r>
      <w:proofErr w:type="spellEnd"/>
      <w:r>
        <w:rPr>
          <w:rFonts w:ascii="Lucida Console" w:eastAsia="Times New Roman" w:hAnsi="Lucida Console" w:cs="Courier New"/>
          <w:color w:val="4D4D4C"/>
          <w:sz w:val="20"/>
          <w:szCs w:val="20"/>
        </w:rPr>
        <w:t xml:space="preserve"> Mean </w:t>
      </w:r>
      <w:proofErr w:type="spellStart"/>
      <w:r>
        <w:rPr>
          <w:rFonts w:ascii="Lucida Console" w:eastAsia="Times New Roman" w:hAnsi="Lucida Console" w:cs="Courier New"/>
          <w:color w:val="4D4D4C"/>
          <w:sz w:val="20"/>
          <w:szCs w:val="20"/>
        </w:rPr>
        <w:t>Sq</w:t>
      </w:r>
      <w:proofErr w:type="spellEnd"/>
      <w:r>
        <w:rPr>
          <w:rFonts w:ascii="Lucida Console" w:eastAsia="Times New Roman" w:hAnsi="Lucida Console" w:cs="Courier New"/>
          <w:color w:val="4D4D4C"/>
          <w:sz w:val="20"/>
          <w:szCs w:val="20"/>
        </w:rPr>
        <w:t xml:space="preserve"> F value </w:t>
      </w:r>
      <w:proofErr w:type="spellStart"/>
      <w:proofErr w:type="gramStart"/>
      <w:r>
        <w:rPr>
          <w:rFonts w:ascii="Lucida Console" w:eastAsia="Times New Roman" w:hAnsi="Lucida Console" w:cs="Courier New"/>
          <w:color w:val="4D4D4C"/>
          <w:sz w:val="20"/>
          <w:szCs w:val="20"/>
        </w:rPr>
        <w:t>Pr</w:t>
      </w:r>
      <w:proofErr w:type="spellEnd"/>
      <w:r>
        <w:rPr>
          <w:rFonts w:ascii="Lucida Console" w:eastAsia="Times New Roman" w:hAnsi="Lucida Console" w:cs="Courier New"/>
          <w:color w:val="4D4D4C"/>
          <w:sz w:val="20"/>
          <w:szCs w:val="20"/>
        </w:rPr>
        <w:t>(</w:t>
      </w:r>
      <w:proofErr w:type="gramEnd"/>
      <w:r>
        <w:rPr>
          <w:rFonts w:ascii="Lucida Console" w:eastAsia="Times New Roman" w:hAnsi="Lucida Console" w:cs="Courier New"/>
          <w:color w:val="4D4D4C"/>
          <w:sz w:val="20"/>
          <w:szCs w:val="20"/>
        </w:rPr>
        <w:t>&gt;F)</w:t>
      </w:r>
    </w:p>
    <w:p w14:paraId="1B105A13"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proofErr w:type="spellStart"/>
      <w:proofErr w:type="gramStart"/>
      <w:r>
        <w:rPr>
          <w:rFonts w:ascii="Lucida Console" w:eastAsia="Times New Roman" w:hAnsi="Lucida Console" w:cs="Courier New"/>
          <w:color w:val="4D4D4C"/>
          <w:sz w:val="20"/>
          <w:szCs w:val="20"/>
        </w:rPr>
        <w:t>group.cohort</w:t>
      </w:r>
      <w:proofErr w:type="spellEnd"/>
      <w:r>
        <w:rPr>
          <w:rFonts w:ascii="Lucida Console" w:eastAsia="Times New Roman" w:hAnsi="Lucida Console" w:cs="Courier New"/>
          <w:color w:val="4D4D4C"/>
          <w:sz w:val="20"/>
          <w:szCs w:val="20"/>
        </w:rPr>
        <w:t xml:space="preserve">  1</w:t>
      </w:r>
      <w:proofErr w:type="gramEnd"/>
      <w:r>
        <w:rPr>
          <w:rFonts w:ascii="Lucida Console" w:eastAsia="Times New Roman" w:hAnsi="Lucida Console" w:cs="Courier New"/>
          <w:color w:val="4D4D4C"/>
          <w:sz w:val="20"/>
          <w:szCs w:val="20"/>
        </w:rPr>
        <w:t xml:space="preserve">   2276  2275.8  0.1635 </w:t>
      </w:r>
      <w:r>
        <w:rPr>
          <w:rFonts w:ascii="Lucida Console" w:eastAsia="Times New Roman" w:hAnsi="Lucida Console" w:cs="Courier New"/>
          <w:b/>
          <w:color w:val="4D4D4C"/>
          <w:sz w:val="20"/>
          <w:szCs w:val="20"/>
        </w:rPr>
        <w:t>0.6898</w:t>
      </w:r>
    </w:p>
    <w:p w14:paraId="5D5C3C6E"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r>
        <w:rPr>
          <w:rFonts w:ascii="Lucida Console" w:eastAsia="Times New Roman" w:hAnsi="Lucida Console" w:cs="Courier New"/>
          <w:color w:val="4D4D4C"/>
          <w:sz w:val="20"/>
          <w:szCs w:val="20"/>
        </w:rPr>
        <w:t xml:space="preserve">Residuals    22 306162 13916.5 </w:t>
      </w:r>
    </w:p>
    <w:p w14:paraId="36872446" w14:textId="77777777" w:rsidR="00342E07" w:rsidRDefault="00342E07">
      <w:pPr>
        <w:pStyle w:val="ListParagraph"/>
        <w:spacing w:after="0"/>
        <w:ind w:left="774"/>
        <w:jc w:val="both"/>
      </w:pPr>
    </w:p>
    <w:p w14:paraId="798762E0" w14:textId="77777777" w:rsidR="00342E07" w:rsidRDefault="00342E07">
      <w:pPr>
        <w:pStyle w:val="ListParagraph"/>
        <w:spacing w:after="0"/>
        <w:ind w:left="774"/>
        <w:jc w:val="both"/>
      </w:pPr>
    </w:p>
    <w:p w14:paraId="59E91639" w14:textId="77777777" w:rsidR="00342E07" w:rsidRDefault="00342E07">
      <w:pPr>
        <w:pStyle w:val="ListParagraph"/>
        <w:spacing w:after="0"/>
        <w:ind w:left="774"/>
        <w:jc w:val="both"/>
      </w:pPr>
    </w:p>
    <w:p w14:paraId="5E066372" w14:textId="77777777" w:rsidR="00342E07" w:rsidRDefault="00342E07">
      <w:pPr>
        <w:pStyle w:val="ListParagraph"/>
        <w:spacing w:after="0"/>
        <w:ind w:left="774"/>
        <w:jc w:val="both"/>
      </w:pPr>
    </w:p>
    <w:p w14:paraId="3621E4FB" w14:textId="77777777" w:rsidR="00342E07" w:rsidRDefault="00342E07">
      <w:pPr>
        <w:pStyle w:val="ListParagraph"/>
        <w:spacing w:after="0"/>
        <w:ind w:left="774"/>
        <w:jc w:val="both"/>
      </w:pPr>
    </w:p>
    <w:p w14:paraId="4D5A3F7C" w14:textId="77777777" w:rsidR="00342E07" w:rsidRDefault="00342E07">
      <w:pPr>
        <w:pStyle w:val="ListParagraph"/>
        <w:spacing w:after="0"/>
        <w:ind w:left="774"/>
        <w:jc w:val="both"/>
      </w:pPr>
    </w:p>
    <w:p w14:paraId="1A424AC5" w14:textId="77777777" w:rsidR="00342E07" w:rsidRDefault="005356A1">
      <w:pPr>
        <w:pStyle w:val="Heading2"/>
      </w:pPr>
      <w:bookmarkStart w:id="164" w:name="_Toc488490634"/>
      <w:bookmarkStart w:id="165" w:name="_Toc373597613"/>
      <w:bookmarkEnd w:id="164"/>
      <w:r>
        <w:t>AUC vs mortality percentage</w:t>
      </w:r>
      <w:bookmarkEnd w:id="165"/>
    </w:p>
    <w:p w14:paraId="7C3B2F6B" w14:textId="77777777" w:rsidR="00342E07" w:rsidRDefault="00342E07">
      <w:pPr>
        <w:pStyle w:val="ListParagraph"/>
        <w:spacing w:after="0"/>
        <w:ind w:left="774"/>
        <w:jc w:val="both"/>
      </w:pPr>
    </w:p>
    <w:p w14:paraId="0597237F" w14:textId="77777777" w:rsidR="00342E07" w:rsidRDefault="005356A1">
      <w:pPr>
        <w:spacing w:after="0"/>
        <w:jc w:val="both"/>
      </w:pPr>
      <w:r>
        <w:rPr>
          <w:noProof/>
        </w:rPr>
        <w:drawing>
          <wp:inline distT="0" distB="0" distL="0" distR="0" wp14:anchorId="5C15382B" wp14:editId="3518BE96">
            <wp:extent cx="5972810" cy="4479290"/>
            <wp:effectExtent l="0" t="0" r="0" b="0"/>
            <wp:docPr id="14"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fik 17"/>
                    <pic:cNvPicPr>
                      <a:picLocks noChangeAspect="1" noChangeArrowheads="1"/>
                    </pic:cNvPicPr>
                  </pic:nvPicPr>
                  <pic:blipFill>
                    <a:blip r:embed="rId16"/>
                    <a:stretch>
                      <a:fillRect/>
                    </a:stretch>
                  </pic:blipFill>
                  <pic:spPr bwMode="auto">
                    <a:xfrm>
                      <a:off x="0" y="0"/>
                      <a:ext cx="5972810" cy="4479290"/>
                    </a:xfrm>
                    <a:prstGeom prst="rect">
                      <a:avLst/>
                    </a:prstGeom>
                  </pic:spPr>
                </pic:pic>
              </a:graphicData>
            </a:graphic>
          </wp:inline>
        </w:drawing>
      </w:r>
    </w:p>
    <w:p w14:paraId="123969ED" w14:textId="77777777" w:rsidR="00342E07" w:rsidRDefault="00342E07">
      <w:pPr>
        <w:pStyle w:val="ListParagraph"/>
        <w:spacing w:after="0"/>
        <w:ind w:left="774"/>
        <w:jc w:val="both"/>
      </w:pPr>
    </w:p>
    <w:p w14:paraId="3FA151B6"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8959A8"/>
          <w:sz w:val="20"/>
          <w:szCs w:val="20"/>
        </w:rPr>
      </w:pPr>
      <w:r>
        <w:rPr>
          <w:rFonts w:ascii="Lucida Console" w:eastAsia="Times New Roman" w:hAnsi="Lucida Console" w:cs="Courier New"/>
          <w:color w:val="8959A8"/>
          <w:sz w:val="20"/>
          <w:szCs w:val="20"/>
        </w:rPr>
        <w:t xml:space="preserve">&gt; </w:t>
      </w:r>
      <w:proofErr w:type="gramStart"/>
      <w:r>
        <w:rPr>
          <w:rFonts w:ascii="Lucida Console" w:eastAsia="Times New Roman" w:hAnsi="Lucida Console" w:cs="Courier New"/>
          <w:color w:val="8959A8"/>
          <w:sz w:val="20"/>
          <w:szCs w:val="20"/>
        </w:rPr>
        <w:t>summary(</w:t>
      </w:r>
      <w:proofErr w:type="spellStart"/>
      <w:proofErr w:type="gramEnd"/>
      <w:r>
        <w:rPr>
          <w:rFonts w:ascii="Lucida Console" w:eastAsia="Times New Roman" w:hAnsi="Lucida Console" w:cs="Courier New"/>
          <w:color w:val="8959A8"/>
          <w:sz w:val="20"/>
          <w:szCs w:val="20"/>
        </w:rPr>
        <w:t>regression.DELTA.AUC.vs.mortality.percentage</w:t>
      </w:r>
      <w:proofErr w:type="spellEnd"/>
      <w:r>
        <w:rPr>
          <w:rFonts w:ascii="Lucida Console" w:eastAsia="Times New Roman" w:hAnsi="Lucida Console" w:cs="Courier New"/>
          <w:color w:val="8959A8"/>
          <w:sz w:val="20"/>
          <w:szCs w:val="20"/>
        </w:rPr>
        <w:t>)</w:t>
      </w:r>
    </w:p>
    <w:p w14:paraId="2AC877D4" w14:textId="77777777" w:rsidR="00342E07" w:rsidRDefault="00342E0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p>
    <w:p w14:paraId="67A9C925"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r>
        <w:rPr>
          <w:rFonts w:ascii="Lucida Console" w:eastAsia="Times New Roman" w:hAnsi="Lucida Console" w:cs="Courier New"/>
          <w:color w:val="4D4D4C"/>
          <w:sz w:val="20"/>
          <w:szCs w:val="20"/>
        </w:rPr>
        <w:t>Call:</w:t>
      </w:r>
    </w:p>
    <w:p w14:paraId="77967511"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proofErr w:type="gramStart"/>
      <w:r>
        <w:rPr>
          <w:rFonts w:ascii="Lucida Console" w:eastAsia="Times New Roman" w:hAnsi="Lucida Console" w:cs="Courier New"/>
          <w:color w:val="4D4D4C"/>
          <w:sz w:val="20"/>
          <w:szCs w:val="20"/>
        </w:rPr>
        <w:t>lm(</w:t>
      </w:r>
      <w:proofErr w:type="gramEnd"/>
      <w:r>
        <w:rPr>
          <w:rFonts w:ascii="Lucida Console" w:eastAsia="Times New Roman" w:hAnsi="Lucida Console" w:cs="Courier New"/>
          <w:color w:val="4D4D4C"/>
          <w:sz w:val="20"/>
          <w:szCs w:val="20"/>
        </w:rPr>
        <w:t xml:space="preserve">formula = </w:t>
      </w:r>
      <w:proofErr w:type="spellStart"/>
      <w:r>
        <w:rPr>
          <w:rFonts w:ascii="Lucida Console" w:eastAsia="Times New Roman" w:hAnsi="Lucida Console" w:cs="Courier New"/>
          <w:color w:val="4D4D4C"/>
          <w:sz w:val="20"/>
          <w:szCs w:val="20"/>
        </w:rPr>
        <w:t>matrix_model_cohort.DELTA.AUC.not.NA.DELTA.AUC</w:t>
      </w:r>
      <w:proofErr w:type="spellEnd"/>
      <w:r>
        <w:rPr>
          <w:rFonts w:ascii="Lucida Console" w:eastAsia="Times New Roman" w:hAnsi="Lucida Console" w:cs="Courier New"/>
          <w:color w:val="4D4D4C"/>
          <w:sz w:val="20"/>
          <w:szCs w:val="20"/>
        </w:rPr>
        <w:t xml:space="preserve"> ~ </w:t>
      </w:r>
    </w:p>
    <w:p w14:paraId="62160B34"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r>
        <w:rPr>
          <w:rFonts w:ascii="Lucida Console" w:eastAsia="Times New Roman" w:hAnsi="Lucida Console" w:cs="Courier New"/>
          <w:color w:val="4D4D4C"/>
          <w:sz w:val="20"/>
          <w:szCs w:val="20"/>
        </w:rPr>
        <w:t xml:space="preserve">    </w:t>
      </w:r>
      <w:proofErr w:type="spellStart"/>
      <w:r>
        <w:rPr>
          <w:rFonts w:ascii="Lucida Console" w:eastAsia="Times New Roman" w:hAnsi="Lucida Console" w:cs="Courier New"/>
          <w:color w:val="4D4D4C"/>
          <w:sz w:val="20"/>
          <w:szCs w:val="20"/>
        </w:rPr>
        <w:t>matrix.mortality.percentage.not.NA.DELTA.AUC</w:t>
      </w:r>
      <w:proofErr w:type="spellEnd"/>
      <w:r>
        <w:rPr>
          <w:rFonts w:ascii="Lucida Console" w:eastAsia="Times New Roman" w:hAnsi="Lucida Console" w:cs="Courier New"/>
          <w:color w:val="4D4D4C"/>
          <w:sz w:val="20"/>
          <w:szCs w:val="20"/>
        </w:rPr>
        <w:t>)</w:t>
      </w:r>
    </w:p>
    <w:p w14:paraId="02B8B7D1" w14:textId="77777777" w:rsidR="00342E07" w:rsidRDefault="00342E0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p>
    <w:p w14:paraId="03706BF3"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r>
        <w:rPr>
          <w:rFonts w:ascii="Lucida Console" w:eastAsia="Times New Roman" w:hAnsi="Lucida Console" w:cs="Courier New"/>
          <w:color w:val="4D4D4C"/>
          <w:sz w:val="20"/>
          <w:szCs w:val="20"/>
        </w:rPr>
        <w:t>Residuals:</w:t>
      </w:r>
    </w:p>
    <w:p w14:paraId="0AEA0467"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r>
        <w:rPr>
          <w:rFonts w:ascii="Lucida Console" w:eastAsia="Times New Roman" w:hAnsi="Lucida Console" w:cs="Courier New"/>
          <w:color w:val="4D4D4C"/>
          <w:sz w:val="20"/>
          <w:szCs w:val="20"/>
        </w:rPr>
        <w:t xml:space="preserve">      Min        1Q    Median        3Q       Max </w:t>
      </w:r>
    </w:p>
    <w:p w14:paraId="4EB79396"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r>
        <w:rPr>
          <w:rFonts w:ascii="Lucida Console" w:eastAsia="Times New Roman" w:hAnsi="Lucida Console" w:cs="Courier New"/>
          <w:color w:val="4D4D4C"/>
          <w:sz w:val="20"/>
          <w:szCs w:val="20"/>
        </w:rPr>
        <w:t>-0.131970 -</w:t>
      </w:r>
      <w:proofErr w:type="gramStart"/>
      <w:r>
        <w:rPr>
          <w:rFonts w:ascii="Lucida Console" w:eastAsia="Times New Roman" w:hAnsi="Lucida Console" w:cs="Courier New"/>
          <w:color w:val="4D4D4C"/>
          <w:sz w:val="20"/>
          <w:szCs w:val="20"/>
        </w:rPr>
        <w:t>0.043406  0.005876</w:t>
      </w:r>
      <w:proofErr w:type="gramEnd"/>
      <w:r>
        <w:rPr>
          <w:rFonts w:ascii="Lucida Console" w:eastAsia="Times New Roman" w:hAnsi="Lucida Console" w:cs="Courier New"/>
          <w:color w:val="4D4D4C"/>
          <w:sz w:val="20"/>
          <w:szCs w:val="20"/>
        </w:rPr>
        <w:t xml:space="preserve">  0.039659  0.188264 </w:t>
      </w:r>
    </w:p>
    <w:p w14:paraId="73A5CA91" w14:textId="77777777" w:rsidR="00342E07" w:rsidRDefault="00342E0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p>
    <w:p w14:paraId="3A591742"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r>
        <w:rPr>
          <w:rFonts w:ascii="Lucida Console" w:eastAsia="Times New Roman" w:hAnsi="Lucida Console" w:cs="Courier New"/>
          <w:color w:val="4D4D4C"/>
          <w:sz w:val="20"/>
          <w:szCs w:val="20"/>
        </w:rPr>
        <w:t>Coefficients:</w:t>
      </w:r>
    </w:p>
    <w:p w14:paraId="06DE1F1D"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r>
        <w:rPr>
          <w:rFonts w:ascii="Lucida Console" w:eastAsia="Times New Roman" w:hAnsi="Lucida Console" w:cs="Courier New"/>
          <w:color w:val="4D4D4C"/>
          <w:sz w:val="20"/>
          <w:szCs w:val="20"/>
        </w:rPr>
        <w:t xml:space="preserve">                                             Estimate Std. Error t </w:t>
      </w:r>
      <w:proofErr w:type="gramStart"/>
      <w:r>
        <w:rPr>
          <w:rFonts w:ascii="Lucida Console" w:eastAsia="Times New Roman" w:hAnsi="Lucida Console" w:cs="Courier New"/>
          <w:color w:val="4D4D4C"/>
          <w:sz w:val="20"/>
          <w:szCs w:val="20"/>
        </w:rPr>
        <w:t xml:space="preserve">value  </w:t>
      </w:r>
      <w:proofErr w:type="spellStart"/>
      <w:r>
        <w:rPr>
          <w:rFonts w:ascii="Lucida Console" w:eastAsia="Times New Roman" w:hAnsi="Lucida Console" w:cs="Courier New"/>
          <w:color w:val="4D4D4C"/>
          <w:sz w:val="20"/>
          <w:szCs w:val="20"/>
        </w:rPr>
        <w:t>Pr</w:t>
      </w:r>
      <w:proofErr w:type="spellEnd"/>
      <w:proofErr w:type="gramEnd"/>
      <w:r>
        <w:rPr>
          <w:rFonts w:ascii="Lucida Console" w:eastAsia="Times New Roman" w:hAnsi="Lucida Console" w:cs="Courier New"/>
          <w:color w:val="4D4D4C"/>
          <w:sz w:val="20"/>
          <w:szCs w:val="20"/>
        </w:rPr>
        <w:t xml:space="preserve">(&gt;|t|)    </w:t>
      </w:r>
    </w:p>
    <w:p w14:paraId="125C50BD"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r>
        <w:rPr>
          <w:rFonts w:ascii="Lucida Console" w:eastAsia="Times New Roman" w:hAnsi="Lucida Console" w:cs="Courier New"/>
          <w:color w:val="4D4D4C"/>
          <w:sz w:val="20"/>
          <w:szCs w:val="20"/>
        </w:rPr>
        <w:t xml:space="preserve">(Intercept)                                   0.03239    0.01035   3.129    0.0023 ** </w:t>
      </w:r>
    </w:p>
    <w:p w14:paraId="7A9214C9"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proofErr w:type="spellStart"/>
      <w:proofErr w:type="gramStart"/>
      <w:r>
        <w:rPr>
          <w:rFonts w:ascii="Lucida Console" w:eastAsia="Times New Roman" w:hAnsi="Lucida Console" w:cs="Courier New"/>
          <w:color w:val="4D4D4C"/>
          <w:sz w:val="20"/>
          <w:szCs w:val="20"/>
        </w:rPr>
        <w:t>matrix.mortality.percentage.not.NA.DELTA.AUC</w:t>
      </w:r>
      <w:proofErr w:type="spellEnd"/>
      <w:r>
        <w:rPr>
          <w:rFonts w:ascii="Lucida Console" w:eastAsia="Times New Roman" w:hAnsi="Lucida Console" w:cs="Courier New"/>
          <w:color w:val="4D4D4C"/>
          <w:sz w:val="20"/>
          <w:szCs w:val="20"/>
        </w:rPr>
        <w:t xml:space="preserve">  0.17904</w:t>
      </w:r>
      <w:proofErr w:type="gramEnd"/>
      <w:r>
        <w:rPr>
          <w:rFonts w:ascii="Lucida Console" w:eastAsia="Times New Roman" w:hAnsi="Lucida Console" w:cs="Courier New"/>
          <w:color w:val="4D4D4C"/>
          <w:sz w:val="20"/>
          <w:szCs w:val="20"/>
        </w:rPr>
        <w:t xml:space="preserve">    0.04222   4.241 0.0000494 ***</w:t>
      </w:r>
    </w:p>
    <w:p w14:paraId="513450B7"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r>
        <w:rPr>
          <w:rFonts w:ascii="Lucida Console" w:eastAsia="Times New Roman" w:hAnsi="Lucida Console" w:cs="Courier New"/>
          <w:color w:val="4D4D4C"/>
          <w:sz w:val="20"/>
          <w:szCs w:val="20"/>
        </w:rPr>
        <w:t>---</w:t>
      </w:r>
    </w:p>
    <w:p w14:paraId="5F095352"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proofErr w:type="spellStart"/>
      <w:r>
        <w:rPr>
          <w:rFonts w:ascii="Lucida Console" w:eastAsia="Times New Roman" w:hAnsi="Lucida Console" w:cs="Courier New"/>
          <w:color w:val="4D4D4C"/>
          <w:sz w:val="20"/>
          <w:szCs w:val="20"/>
        </w:rPr>
        <w:t>Signif</w:t>
      </w:r>
      <w:proofErr w:type="spellEnd"/>
      <w:r>
        <w:rPr>
          <w:rFonts w:ascii="Lucida Console" w:eastAsia="Times New Roman" w:hAnsi="Lucida Console" w:cs="Courier New"/>
          <w:color w:val="4D4D4C"/>
          <w:sz w:val="20"/>
          <w:szCs w:val="20"/>
        </w:rPr>
        <w:t xml:space="preserve">. </w:t>
      </w:r>
      <w:proofErr w:type="gramStart"/>
      <w:r>
        <w:rPr>
          <w:rFonts w:ascii="Lucida Console" w:eastAsia="Times New Roman" w:hAnsi="Lucida Console" w:cs="Courier New"/>
          <w:color w:val="4D4D4C"/>
          <w:sz w:val="20"/>
          <w:szCs w:val="20"/>
        </w:rPr>
        <w:t>codes</w:t>
      </w:r>
      <w:proofErr w:type="gramEnd"/>
      <w:r>
        <w:rPr>
          <w:rFonts w:ascii="Lucida Console" w:eastAsia="Times New Roman" w:hAnsi="Lucida Console" w:cs="Courier New"/>
          <w:color w:val="4D4D4C"/>
          <w:sz w:val="20"/>
          <w:szCs w:val="20"/>
        </w:rPr>
        <w:t xml:space="preserve">:  0 ‘***’ 0.001 ‘**’ 0.01 ‘*’ 0.05 ‘.’ 0.1 </w:t>
      </w:r>
      <w:proofErr w:type="gramStart"/>
      <w:r>
        <w:rPr>
          <w:rFonts w:ascii="Lucida Console" w:eastAsia="Times New Roman" w:hAnsi="Lucida Console" w:cs="Courier New"/>
          <w:color w:val="4D4D4C"/>
          <w:sz w:val="20"/>
          <w:szCs w:val="20"/>
        </w:rPr>
        <w:t>‘ ’</w:t>
      </w:r>
      <w:proofErr w:type="gramEnd"/>
      <w:r>
        <w:rPr>
          <w:rFonts w:ascii="Lucida Console" w:eastAsia="Times New Roman" w:hAnsi="Lucida Console" w:cs="Courier New"/>
          <w:color w:val="4D4D4C"/>
          <w:sz w:val="20"/>
          <w:szCs w:val="20"/>
        </w:rPr>
        <w:t xml:space="preserve"> 1</w:t>
      </w:r>
    </w:p>
    <w:p w14:paraId="03CE5EA3" w14:textId="77777777" w:rsidR="00342E07" w:rsidRDefault="00342E0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p>
    <w:p w14:paraId="1F1151A2"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r>
        <w:rPr>
          <w:rFonts w:ascii="Lucida Console" w:eastAsia="Times New Roman" w:hAnsi="Lucida Console" w:cs="Courier New"/>
          <w:color w:val="4D4D4C"/>
          <w:sz w:val="20"/>
          <w:szCs w:val="20"/>
        </w:rPr>
        <w:t>Residual standard error: 0.06321 on 101 degrees of freedom</w:t>
      </w:r>
    </w:p>
    <w:p w14:paraId="76757317"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r>
        <w:rPr>
          <w:rFonts w:ascii="Lucida Console" w:eastAsia="Times New Roman" w:hAnsi="Lucida Console" w:cs="Courier New"/>
          <w:color w:val="4D4D4C"/>
          <w:sz w:val="20"/>
          <w:szCs w:val="20"/>
        </w:rPr>
        <w:t>Multiple R-squared:  0.1512,</w:t>
      </w:r>
      <w:r>
        <w:rPr>
          <w:rFonts w:ascii="Lucida Console" w:eastAsia="Times New Roman" w:hAnsi="Lucida Console" w:cs="Courier New"/>
          <w:color w:val="4D4D4C"/>
          <w:sz w:val="20"/>
          <w:szCs w:val="20"/>
        </w:rPr>
        <w:tab/>
        <w:t xml:space="preserve">Adjusted R-squared:  0.1428 </w:t>
      </w:r>
    </w:p>
    <w:p w14:paraId="12CD1EE3"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
        <w:rPr>
          <w:rFonts w:ascii="Lucida Console" w:eastAsia="Times New Roman" w:hAnsi="Lucida Console" w:cs="Courier New"/>
          <w:color w:val="4D4D4C"/>
          <w:sz w:val="20"/>
          <w:szCs w:val="20"/>
        </w:rPr>
        <w:t>F-statistic: 17.99 on 1 and 101 DF</w:t>
      </w:r>
      <w:proofErr w:type="gramStart"/>
      <w:r>
        <w:rPr>
          <w:rFonts w:ascii="Lucida Console" w:eastAsia="Times New Roman" w:hAnsi="Lucida Console" w:cs="Courier New"/>
          <w:color w:val="4D4D4C"/>
          <w:sz w:val="20"/>
          <w:szCs w:val="20"/>
        </w:rPr>
        <w:t>,  p</w:t>
      </w:r>
      <w:proofErr w:type="gramEnd"/>
      <w:r>
        <w:rPr>
          <w:rFonts w:ascii="Lucida Console" w:eastAsia="Times New Roman" w:hAnsi="Lucida Console" w:cs="Courier New"/>
          <w:color w:val="4D4D4C"/>
          <w:sz w:val="20"/>
          <w:szCs w:val="20"/>
        </w:rPr>
        <w:t xml:space="preserve">-value: </w:t>
      </w:r>
      <w:r>
        <w:rPr>
          <w:rFonts w:ascii="Lucida Console" w:eastAsia="Times New Roman" w:hAnsi="Lucida Console" w:cs="Courier New"/>
          <w:b/>
          <w:color w:val="4D4D4C"/>
          <w:sz w:val="20"/>
          <w:szCs w:val="20"/>
        </w:rPr>
        <w:t>0.00004936</w:t>
      </w:r>
    </w:p>
    <w:p w14:paraId="6226A2BC" w14:textId="77777777" w:rsidR="00342E07" w:rsidRDefault="00342E07">
      <w:pPr>
        <w:pStyle w:val="ListParagraph"/>
        <w:spacing w:after="0"/>
        <w:ind w:left="774"/>
        <w:jc w:val="both"/>
      </w:pPr>
    </w:p>
    <w:p w14:paraId="7F3DEFF1" w14:textId="77777777" w:rsidR="00342E07" w:rsidRDefault="005356A1">
      <w:pPr>
        <w:spacing w:after="0"/>
        <w:jc w:val="both"/>
      </w:pPr>
      <w:r>
        <w:rPr>
          <w:noProof/>
        </w:rPr>
        <w:drawing>
          <wp:inline distT="0" distB="0" distL="0" distR="0" wp14:anchorId="115448BA" wp14:editId="6976BEF1">
            <wp:extent cx="5105400" cy="3828415"/>
            <wp:effectExtent l="0" t="0" r="0" b="0"/>
            <wp:docPr id="15"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Grafik 14"/>
                    <pic:cNvPicPr>
                      <a:picLocks noChangeAspect="1" noChangeArrowheads="1"/>
                    </pic:cNvPicPr>
                  </pic:nvPicPr>
                  <pic:blipFill>
                    <a:blip r:embed="rId17"/>
                    <a:stretch>
                      <a:fillRect/>
                    </a:stretch>
                  </pic:blipFill>
                  <pic:spPr bwMode="auto">
                    <a:xfrm>
                      <a:off x="0" y="0"/>
                      <a:ext cx="5105400" cy="3828415"/>
                    </a:xfrm>
                    <a:prstGeom prst="rect">
                      <a:avLst/>
                    </a:prstGeom>
                  </pic:spPr>
                </pic:pic>
              </a:graphicData>
            </a:graphic>
          </wp:inline>
        </w:drawing>
      </w:r>
    </w:p>
    <w:p w14:paraId="062AF51A" w14:textId="77777777" w:rsidR="00342E07" w:rsidRDefault="00342E07">
      <w:pPr>
        <w:pStyle w:val="ListParagraph"/>
        <w:spacing w:after="0"/>
        <w:ind w:left="774"/>
        <w:jc w:val="both"/>
      </w:pPr>
    </w:p>
    <w:p w14:paraId="3909A65C" w14:textId="77777777" w:rsidR="00342E07" w:rsidRDefault="00342E07">
      <w:pPr>
        <w:pStyle w:val="ListParagraph"/>
        <w:spacing w:after="0"/>
        <w:ind w:left="774"/>
        <w:jc w:val="both"/>
      </w:pPr>
    </w:p>
    <w:p w14:paraId="423FEEF0"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8959A8"/>
          <w:sz w:val="20"/>
          <w:szCs w:val="20"/>
        </w:rPr>
      </w:pPr>
      <w:r>
        <w:rPr>
          <w:rFonts w:ascii="Lucida Console" w:eastAsia="Times New Roman" w:hAnsi="Lucida Console" w:cs="Courier New"/>
          <w:color w:val="8959A8"/>
          <w:sz w:val="20"/>
          <w:szCs w:val="20"/>
        </w:rPr>
        <w:t xml:space="preserve">&gt; </w:t>
      </w:r>
      <w:proofErr w:type="spellStart"/>
      <w:proofErr w:type="gramStart"/>
      <w:r>
        <w:rPr>
          <w:rFonts w:ascii="Lucida Console" w:eastAsia="Times New Roman" w:hAnsi="Lucida Console" w:cs="Courier New"/>
          <w:color w:val="8959A8"/>
          <w:sz w:val="20"/>
          <w:szCs w:val="20"/>
        </w:rPr>
        <w:t>anova</w:t>
      </w:r>
      <w:proofErr w:type="spellEnd"/>
      <w:r>
        <w:rPr>
          <w:rFonts w:ascii="Lucida Console" w:eastAsia="Times New Roman" w:hAnsi="Lucida Console" w:cs="Courier New"/>
          <w:color w:val="8959A8"/>
          <w:sz w:val="20"/>
          <w:szCs w:val="20"/>
        </w:rPr>
        <w:t>(</w:t>
      </w:r>
      <w:proofErr w:type="gramEnd"/>
      <w:r>
        <w:rPr>
          <w:rFonts w:ascii="Lucida Console" w:eastAsia="Times New Roman" w:hAnsi="Lucida Console" w:cs="Courier New"/>
          <w:color w:val="8959A8"/>
          <w:sz w:val="20"/>
          <w:szCs w:val="20"/>
        </w:rPr>
        <w:t xml:space="preserve">lm(FEV1pp.variance ~ </w:t>
      </w:r>
      <w:proofErr w:type="spellStart"/>
      <w:r>
        <w:rPr>
          <w:rFonts w:ascii="Lucida Console" w:eastAsia="Times New Roman" w:hAnsi="Lucida Console" w:cs="Courier New"/>
          <w:color w:val="8959A8"/>
          <w:sz w:val="20"/>
          <w:szCs w:val="20"/>
        </w:rPr>
        <w:t>group.cohort</w:t>
      </w:r>
      <w:proofErr w:type="spellEnd"/>
      <w:r>
        <w:rPr>
          <w:rFonts w:ascii="Lucida Console" w:eastAsia="Times New Roman" w:hAnsi="Lucida Console" w:cs="Courier New"/>
          <w:color w:val="8959A8"/>
          <w:sz w:val="20"/>
          <w:szCs w:val="20"/>
        </w:rPr>
        <w:t>))</w:t>
      </w:r>
    </w:p>
    <w:p w14:paraId="29BE4D06"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r>
        <w:rPr>
          <w:rFonts w:ascii="Lucida Console" w:eastAsia="Times New Roman" w:hAnsi="Lucida Console" w:cs="Courier New"/>
          <w:color w:val="4D4D4C"/>
          <w:sz w:val="20"/>
          <w:szCs w:val="20"/>
        </w:rPr>
        <w:t>Analysis of Variance Table</w:t>
      </w:r>
    </w:p>
    <w:p w14:paraId="049D9EDF" w14:textId="77777777" w:rsidR="00342E07" w:rsidRDefault="00342E0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p>
    <w:p w14:paraId="2DE493A0"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r>
        <w:rPr>
          <w:rFonts w:ascii="Lucida Console" w:eastAsia="Times New Roman" w:hAnsi="Lucida Console" w:cs="Courier New"/>
          <w:color w:val="4D4D4C"/>
          <w:sz w:val="20"/>
          <w:szCs w:val="20"/>
        </w:rPr>
        <w:t>Response: FEV1pp.variance</w:t>
      </w:r>
    </w:p>
    <w:p w14:paraId="350026F6"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r>
        <w:rPr>
          <w:rFonts w:ascii="Lucida Console" w:eastAsia="Times New Roman" w:hAnsi="Lucida Console" w:cs="Courier New"/>
          <w:color w:val="4D4D4C"/>
          <w:sz w:val="20"/>
          <w:szCs w:val="20"/>
        </w:rPr>
        <w:t xml:space="preserve">             </w:t>
      </w:r>
      <w:proofErr w:type="spellStart"/>
      <w:r>
        <w:rPr>
          <w:rFonts w:ascii="Lucida Console" w:eastAsia="Times New Roman" w:hAnsi="Lucida Console" w:cs="Courier New"/>
          <w:color w:val="4D4D4C"/>
          <w:sz w:val="20"/>
          <w:szCs w:val="20"/>
        </w:rPr>
        <w:t>Df</w:t>
      </w:r>
      <w:proofErr w:type="spellEnd"/>
      <w:r>
        <w:rPr>
          <w:rFonts w:ascii="Lucida Console" w:eastAsia="Times New Roman" w:hAnsi="Lucida Console" w:cs="Courier New"/>
          <w:color w:val="4D4D4C"/>
          <w:sz w:val="20"/>
          <w:szCs w:val="20"/>
        </w:rPr>
        <w:t xml:space="preserve"> Sum </w:t>
      </w:r>
      <w:proofErr w:type="spellStart"/>
      <w:r>
        <w:rPr>
          <w:rFonts w:ascii="Lucida Console" w:eastAsia="Times New Roman" w:hAnsi="Lucida Console" w:cs="Courier New"/>
          <w:color w:val="4D4D4C"/>
          <w:sz w:val="20"/>
          <w:szCs w:val="20"/>
        </w:rPr>
        <w:t>Sq</w:t>
      </w:r>
      <w:proofErr w:type="spellEnd"/>
      <w:r>
        <w:rPr>
          <w:rFonts w:ascii="Lucida Console" w:eastAsia="Times New Roman" w:hAnsi="Lucida Console" w:cs="Courier New"/>
          <w:color w:val="4D4D4C"/>
          <w:sz w:val="20"/>
          <w:szCs w:val="20"/>
        </w:rPr>
        <w:t xml:space="preserve"> Mean </w:t>
      </w:r>
      <w:proofErr w:type="spellStart"/>
      <w:r>
        <w:rPr>
          <w:rFonts w:ascii="Lucida Console" w:eastAsia="Times New Roman" w:hAnsi="Lucida Console" w:cs="Courier New"/>
          <w:color w:val="4D4D4C"/>
          <w:sz w:val="20"/>
          <w:szCs w:val="20"/>
        </w:rPr>
        <w:t>Sq</w:t>
      </w:r>
      <w:proofErr w:type="spellEnd"/>
      <w:r>
        <w:rPr>
          <w:rFonts w:ascii="Lucida Console" w:eastAsia="Times New Roman" w:hAnsi="Lucida Console" w:cs="Courier New"/>
          <w:color w:val="4D4D4C"/>
          <w:sz w:val="20"/>
          <w:szCs w:val="20"/>
        </w:rPr>
        <w:t xml:space="preserve"> F value </w:t>
      </w:r>
      <w:proofErr w:type="spellStart"/>
      <w:proofErr w:type="gramStart"/>
      <w:r>
        <w:rPr>
          <w:rFonts w:ascii="Lucida Console" w:eastAsia="Times New Roman" w:hAnsi="Lucida Console" w:cs="Courier New"/>
          <w:color w:val="4D4D4C"/>
          <w:sz w:val="20"/>
          <w:szCs w:val="20"/>
        </w:rPr>
        <w:t>Pr</w:t>
      </w:r>
      <w:proofErr w:type="spellEnd"/>
      <w:r>
        <w:rPr>
          <w:rFonts w:ascii="Lucida Console" w:eastAsia="Times New Roman" w:hAnsi="Lucida Console" w:cs="Courier New"/>
          <w:color w:val="4D4D4C"/>
          <w:sz w:val="20"/>
          <w:szCs w:val="20"/>
        </w:rPr>
        <w:t>(</w:t>
      </w:r>
      <w:proofErr w:type="gramEnd"/>
      <w:r>
        <w:rPr>
          <w:rFonts w:ascii="Lucida Console" w:eastAsia="Times New Roman" w:hAnsi="Lucida Console" w:cs="Courier New"/>
          <w:color w:val="4D4D4C"/>
          <w:sz w:val="20"/>
          <w:szCs w:val="20"/>
        </w:rPr>
        <w:t>&gt;F)</w:t>
      </w:r>
    </w:p>
    <w:p w14:paraId="61E369EE"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proofErr w:type="spellStart"/>
      <w:proofErr w:type="gramStart"/>
      <w:r>
        <w:rPr>
          <w:rFonts w:ascii="Lucida Console" w:eastAsia="Times New Roman" w:hAnsi="Lucida Console" w:cs="Courier New"/>
          <w:color w:val="4D4D4C"/>
          <w:sz w:val="20"/>
          <w:szCs w:val="20"/>
        </w:rPr>
        <w:t>group.cohort</w:t>
      </w:r>
      <w:proofErr w:type="spellEnd"/>
      <w:r>
        <w:rPr>
          <w:rFonts w:ascii="Lucida Console" w:eastAsia="Times New Roman" w:hAnsi="Lucida Console" w:cs="Courier New"/>
          <w:color w:val="4D4D4C"/>
          <w:sz w:val="20"/>
          <w:szCs w:val="20"/>
        </w:rPr>
        <w:t xml:space="preserve">  1</w:t>
      </w:r>
      <w:proofErr w:type="gramEnd"/>
      <w:r>
        <w:rPr>
          <w:rFonts w:ascii="Lucida Console" w:eastAsia="Times New Roman" w:hAnsi="Lucida Console" w:cs="Courier New"/>
          <w:color w:val="4D4D4C"/>
          <w:sz w:val="20"/>
          <w:szCs w:val="20"/>
        </w:rPr>
        <w:t xml:space="preserve">   2276  2275.8  0.1635 </w:t>
      </w:r>
      <w:r>
        <w:rPr>
          <w:rFonts w:ascii="Lucida Console" w:eastAsia="Times New Roman" w:hAnsi="Lucida Console" w:cs="Courier New"/>
          <w:b/>
          <w:color w:val="4D4D4C"/>
          <w:sz w:val="20"/>
          <w:szCs w:val="20"/>
        </w:rPr>
        <w:t>0.6898</w:t>
      </w:r>
    </w:p>
    <w:p w14:paraId="6C63C2FF"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r>
        <w:rPr>
          <w:rFonts w:ascii="Lucida Console" w:eastAsia="Times New Roman" w:hAnsi="Lucida Console" w:cs="Courier New"/>
          <w:color w:val="4D4D4C"/>
          <w:sz w:val="20"/>
          <w:szCs w:val="20"/>
        </w:rPr>
        <w:t xml:space="preserve">Residuals    22 306162 13916.5    </w:t>
      </w:r>
    </w:p>
    <w:p w14:paraId="4A3CB449" w14:textId="77777777" w:rsidR="00342E07" w:rsidRDefault="00342E07">
      <w:pPr>
        <w:spacing w:after="0"/>
        <w:jc w:val="both"/>
      </w:pPr>
    </w:p>
    <w:p w14:paraId="15DD33E8" w14:textId="77777777" w:rsidR="00342E07" w:rsidRDefault="00342E07">
      <w:pPr>
        <w:spacing w:after="0"/>
        <w:jc w:val="both"/>
      </w:pPr>
    </w:p>
    <w:p w14:paraId="621D0786" w14:textId="77777777" w:rsidR="00342E07" w:rsidRDefault="00342E07">
      <w:pPr>
        <w:pStyle w:val="ListParagraph"/>
        <w:spacing w:after="0"/>
        <w:ind w:left="774"/>
        <w:jc w:val="both"/>
      </w:pPr>
    </w:p>
    <w:p w14:paraId="0EB67B05" w14:textId="77777777" w:rsidR="00342E07" w:rsidRDefault="00342E07">
      <w:pPr>
        <w:pStyle w:val="ListParagraph"/>
        <w:spacing w:after="0"/>
        <w:ind w:left="774"/>
        <w:jc w:val="both"/>
      </w:pPr>
    </w:p>
    <w:p w14:paraId="099A3268" w14:textId="77777777" w:rsidR="00342E07" w:rsidRDefault="00342E07">
      <w:pPr>
        <w:pStyle w:val="ListParagraph"/>
        <w:spacing w:after="0"/>
        <w:ind w:left="774"/>
        <w:jc w:val="both"/>
      </w:pPr>
    </w:p>
    <w:p w14:paraId="7B8C6D1C" w14:textId="77777777" w:rsidR="00342E07" w:rsidRDefault="00342E07">
      <w:pPr>
        <w:pStyle w:val="ListParagraph"/>
        <w:spacing w:after="0"/>
        <w:ind w:left="774"/>
        <w:jc w:val="both"/>
      </w:pPr>
    </w:p>
    <w:p w14:paraId="5542C741" w14:textId="77777777" w:rsidR="00342E07" w:rsidRDefault="00342E07">
      <w:pPr>
        <w:pStyle w:val="ListParagraph"/>
        <w:spacing w:after="0"/>
        <w:ind w:left="774"/>
        <w:jc w:val="both"/>
      </w:pPr>
    </w:p>
    <w:p w14:paraId="7DE2DAA8" w14:textId="77777777" w:rsidR="00342E07" w:rsidRDefault="00342E07">
      <w:pPr>
        <w:pStyle w:val="ListParagraph"/>
        <w:spacing w:after="0"/>
        <w:ind w:left="774"/>
        <w:jc w:val="both"/>
      </w:pPr>
    </w:p>
    <w:p w14:paraId="02EB5B44" w14:textId="77777777" w:rsidR="00342E07" w:rsidRDefault="00342E07">
      <w:pPr>
        <w:pStyle w:val="ListParagraph"/>
        <w:spacing w:after="0"/>
        <w:ind w:left="774"/>
        <w:jc w:val="both"/>
      </w:pPr>
    </w:p>
    <w:p w14:paraId="1A18F97A" w14:textId="77777777" w:rsidR="00342E07" w:rsidRDefault="00342E07">
      <w:pPr>
        <w:pStyle w:val="ListParagraph"/>
        <w:spacing w:after="0"/>
        <w:ind w:left="774"/>
        <w:jc w:val="both"/>
      </w:pPr>
    </w:p>
    <w:p w14:paraId="4B277285" w14:textId="77777777" w:rsidR="00342E07" w:rsidRDefault="00342E07">
      <w:pPr>
        <w:pStyle w:val="ListParagraph"/>
        <w:spacing w:after="0"/>
        <w:ind w:left="774"/>
        <w:jc w:val="both"/>
      </w:pPr>
    </w:p>
    <w:p w14:paraId="436147CF" w14:textId="77777777" w:rsidR="00342E07" w:rsidRDefault="00342E07">
      <w:pPr>
        <w:pStyle w:val="ListParagraph"/>
        <w:spacing w:after="0"/>
        <w:ind w:left="774"/>
        <w:jc w:val="both"/>
      </w:pPr>
    </w:p>
    <w:p w14:paraId="060CB4D5" w14:textId="77777777" w:rsidR="00342E07" w:rsidRDefault="005356A1">
      <w:pPr>
        <w:pStyle w:val="Heading2"/>
      </w:pPr>
      <w:bookmarkStart w:id="166" w:name="_Toc488490635"/>
      <w:bookmarkStart w:id="167" w:name="_Toc373597614"/>
      <w:bookmarkEnd w:id="166"/>
      <w:r>
        <w:t>AUC vs exercise capacity range</w:t>
      </w:r>
      <w:bookmarkEnd w:id="167"/>
    </w:p>
    <w:p w14:paraId="308200AF" w14:textId="77777777" w:rsidR="00342E07" w:rsidRDefault="005356A1">
      <w:r>
        <w:rPr>
          <w:noProof/>
        </w:rPr>
        <w:drawing>
          <wp:inline distT="0" distB="0" distL="0" distR="0" wp14:anchorId="0B88064F" wp14:editId="7C66C79B">
            <wp:extent cx="4867275" cy="3649980"/>
            <wp:effectExtent l="0" t="0" r="0" b="0"/>
            <wp:docPr id="16"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Grafik 18"/>
                    <pic:cNvPicPr>
                      <a:picLocks noChangeAspect="1" noChangeArrowheads="1"/>
                    </pic:cNvPicPr>
                  </pic:nvPicPr>
                  <pic:blipFill>
                    <a:blip r:embed="rId18"/>
                    <a:stretch>
                      <a:fillRect/>
                    </a:stretch>
                  </pic:blipFill>
                  <pic:spPr bwMode="auto">
                    <a:xfrm>
                      <a:off x="0" y="0"/>
                      <a:ext cx="4867275" cy="3649980"/>
                    </a:xfrm>
                    <a:prstGeom prst="rect">
                      <a:avLst/>
                    </a:prstGeom>
                  </pic:spPr>
                </pic:pic>
              </a:graphicData>
            </a:graphic>
          </wp:inline>
        </w:drawing>
      </w:r>
    </w:p>
    <w:p w14:paraId="066100FC"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8959A8"/>
          <w:sz w:val="20"/>
          <w:szCs w:val="20"/>
        </w:rPr>
      </w:pPr>
      <w:r>
        <w:rPr>
          <w:rFonts w:ascii="Lucida Console" w:eastAsia="Times New Roman" w:hAnsi="Lucida Console" w:cs="Courier New"/>
          <w:color w:val="8959A8"/>
          <w:sz w:val="20"/>
          <w:szCs w:val="20"/>
        </w:rPr>
        <w:t xml:space="preserve">&gt; </w:t>
      </w:r>
      <w:proofErr w:type="gramStart"/>
      <w:r>
        <w:rPr>
          <w:rFonts w:ascii="Lucida Console" w:eastAsia="Times New Roman" w:hAnsi="Lucida Console" w:cs="Courier New"/>
          <w:color w:val="8959A8"/>
          <w:sz w:val="20"/>
          <w:szCs w:val="20"/>
        </w:rPr>
        <w:t>summary(</w:t>
      </w:r>
      <w:proofErr w:type="spellStart"/>
      <w:proofErr w:type="gramEnd"/>
      <w:r>
        <w:rPr>
          <w:rFonts w:ascii="Lucida Console" w:eastAsia="Times New Roman" w:hAnsi="Lucida Console" w:cs="Courier New"/>
          <w:color w:val="8959A8"/>
          <w:sz w:val="20"/>
          <w:szCs w:val="20"/>
        </w:rPr>
        <w:t>regression.DELTA.AUC.vs.exercise.capacity.range</w:t>
      </w:r>
      <w:proofErr w:type="spellEnd"/>
      <w:r>
        <w:rPr>
          <w:rFonts w:ascii="Lucida Console" w:eastAsia="Times New Roman" w:hAnsi="Lucida Console" w:cs="Courier New"/>
          <w:color w:val="8959A8"/>
          <w:sz w:val="20"/>
          <w:szCs w:val="20"/>
        </w:rPr>
        <w:t>)</w:t>
      </w:r>
    </w:p>
    <w:p w14:paraId="526F7AFE" w14:textId="77777777" w:rsidR="00342E07" w:rsidRDefault="00342E0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p>
    <w:p w14:paraId="19CE4C00"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r>
        <w:rPr>
          <w:rFonts w:ascii="Lucida Console" w:eastAsia="Times New Roman" w:hAnsi="Lucida Console" w:cs="Courier New"/>
          <w:color w:val="4D4D4C"/>
          <w:sz w:val="20"/>
          <w:szCs w:val="20"/>
        </w:rPr>
        <w:t>Call:</w:t>
      </w:r>
    </w:p>
    <w:p w14:paraId="1A465ACB"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proofErr w:type="gramStart"/>
      <w:r>
        <w:rPr>
          <w:rFonts w:ascii="Lucida Console" w:eastAsia="Times New Roman" w:hAnsi="Lucida Console" w:cs="Courier New"/>
          <w:color w:val="4D4D4C"/>
          <w:sz w:val="20"/>
          <w:szCs w:val="20"/>
        </w:rPr>
        <w:t>lm(</w:t>
      </w:r>
      <w:proofErr w:type="gramEnd"/>
      <w:r>
        <w:rPr>
          <w:rFonts w:ascii="Lucida Console" w:eastAsia="Times New Roman" w:hAnsi="Lucida Console" w:cs="Courier New"/>
          <w:color w:val="4D4D4C"/>
          <w:sz w:val="20"/>
          <w:szCs w:val="20"/>
        </w:rPr>
        <w:t xml:space="preserve">formula = </w:t>
      </w:r>
      <w:proofErr w:type="spellStart"/>
      <w:r>
        <w:rPr>
          <w:rFonts w:ascii="Lucida Console" w:eastAsia="Times New Roman" w:hAnsi="Lucida Console" w:cs="Courier New"/>
          <w:color w:val="4D4D4C"/>
          <w:sz w:val="20"/>
          <w:szCs w:val="20"/>
        </w:rPr>
        <w:t>matrix_model_cohort.DELTA.AUC.not.NA.DELTA.AUC</w:t>
      </w:r>
      <w:proofErr w:type="spellEnd"/>
      <w:r>
        <w:rPr>
          <w:rFonts w:ascii="Lucida Console" w:eastAsia="Times New Roman" w:hAnsi="Lucida Console" w:cs="Courier New"/>
          <w:color w:val="4D4D4C"/>
          <w:sz w:val="20"/>
          <w:szCs w:val="20"/>
        </w:rPr>
        <w:t xml:space="preserve"> ~ </w:t>
      </w:r>
    </w:p>
    <w:p w14:paraId="1815D977"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r>
        <w:rPr>
          <w:rFonts w:ascii="Lucida Console" w:eastAsia="Times New Roman" w:hAnsi="Lucida Console" w:cs="Courier New"/>
          <w:color w:val="4D4D4C"/>
          <w:sz w:val="20"/>
          <w:szCs w:val="20"/>
        </w:rPr>
        <w:t xml:space="preserve">    </w:t>
      </w:r>
      <w:proofErr w:type="spellStart"/>
      <w:r>
        <w:rPr>
          <w:rFonts w:ascii="Lucida Console" w:eastAsia="Times New Roman" w:hAnsi="Lucida Console" w:cs="Courier New"/>
          <w:color w:val="4D4D4C"/>
          <w:sz w:val="20"/>
          <w:szCs w:val="20"/>
        </w:rPr>
        <w:t>matrix.exercise.capacity.range.not.NA.DELTA.AUC</w:t>
      </w:r>
      <w:proofErr w:type="spellEnd"/>
      <w:r>
        <w:rPr>
          <w:rFonts w:ascii="Lucida Console" w:eastAsia="Times New Roman" w:hAnsi="Lucida Console" w:cs="Courier New"/>
          <w:color w:val="4D4D4C"/>
          <w:sz w:val="20"/>
          <w:szCs w:val="20"/>
        </w:rPr>
        <w:t>)</w:t>
      </w:r>
    </w:p>
    <w:p w14:paraId="19447B28" w14:textId="77777777" w:rsidR="00342E07" w:rsidRDefault="00342E0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p>
    <w:p w14:paraId="73356799"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r>
        <w:rPr>
          <w:rFonts w:ascii="Lucida Console" w:eastAsia="Times New Roman" w:hAnsi="Lucida Console" w:cs="Courier New"/>
          <w:color w:val="4D4D4C"/>
          <w:sz w:val="20"/>
          <w:szCs w:val="20"/>
        </w:rPr>
        <w:t>Residuals:</w:t>
      </w:r>
    </w:p>
    <w:p w14:paraId="62D45004"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r>
        <w:rPr>
          <w:rFonts w:ascii="Lucida Console" w:eastAsia="Times New Roman" w:hAnsi="Lucida Console" w:cs="Courier New"/>
          <w:color w:val="4D4D4C"/>
          <w:sz w:val="20"/>
          <w:szCs w:val="20"/>
        </w:rPr>
        <w:t xml:space="preserve">     Min       1Q   Median       3Q      Max </w:t>
      </w:r>
    </w:p>
    <w:p w14:paraId="060E97FA"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r>
        <w:rPr>
          <w:rFonts w:ascii="Lucida Console" w:eastAsia="Times New Roman" w:hAnsi="Lucida Console" w:cs="Courier New"/>
          <w:color w:val="4D4D4C"/>
          <w:sz w:val="20"/>
          <w:szCs w:val="20"/>
        </w:rPr>
        <w:t>-0.12926 -</w:t>
      </w:r>
      <w:proofErr w:type="gramStart"/>
      <w:r>
        <w:rPr>
          <w:rFonts w:ascii="Lucida Console" w:eastAsia="Times New Roman" w:hAnsi="Lucida Console" w:cs="Courier New"/>
          <w:color w:val="4D4D4C"/>
          <w:sz w:val="20"/>
          <w:szCs w:val="20"/>
        </w:rPr>
        <w:t>0.05526  0.01200</w:t>
      </w:r>
      <w:proofErr w:type="gramEnd"/>
      <w:r>
        <w:rPr>
          <w:rFonts w:ascii="Lucida Console" w:eastAsia="Times New Roman" w:hAnsi="Lucida Console" w:cs="Courier New"/>
          <w:color w:val="4D4D4C"/>
          <w:sz w:val="20"/>
          <w:szCs w:val="20"/>
        </w:rPr>
        <w:t xml:space="preserve">  0.04527  0.19236 </w:t>
      </w:r>
    </w:p>
    <w:p w14:paraId="78E90239" w14:textId="77777777" w:rsidR="00342E07" w:rsidRDefault="00342E0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p>
    <w:p w14:paraId="1E072B96"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r>
        <w:rPr>
          <w:rFonts w:ascii="Lucida Console" w:eastAsia="Times New Roman" w:hAnsi="Lucida Console" w:cs="Courier New"/>
          <w:color w:val="4D4D4C"/>
          <w:sz w:val="20"/>
          <w:szCs w:val="20"/>
        </w:rPr>
        <w:t>Coefficients:</w:t>
      </w:r>
    </w:p>
    <w:p w14:paraId="141FDC1B"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r>
        <w:rPr>
          <w:rFonts w:ascii="Lucida Console" w:eastAsia="Times New Roman" w:hAnsi="Lucida Console" w:cs="Courier New"/>
          <w:color w:val="4D4D4C"/>
          <w:sz w:val="20"/>
          <w:szCs w:val="20"/>
        </w:rPr>
        <w:t xml:space="preserve">                                                  Estimate Std. Error</w:t>
      </w:r>
    </w:p>
    <w:p w14:paraId="254BBDA5"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r>
        <w:rPr>
          <w:rFonts w:ascii="Lucida Console" w:eastAsia="Times New Roman" w:hAnsi="Lucida Console" w:cs="Courier New"/>
          <w:color w:val="4D4D4C"/>
          <w:sz w:val="20"/>
          <w:szCs w:val="20"/>
        </w:rPr>
        <w:t xml:space="preserve">(Intercept)                                      </w:t>
      </w:r>
      <w:proofErr w:type="gramStart"/>
      <w:r>
        <w:rPr>
          <w:rFonts w:ascii="Lucida Console" w:eastAsia="Times New Roman" w:hAnsi="Lucida Console" w:cs="Courier New"/>
          <w:color w:val="4D4D4C"/>
          <w:sz w:val="20"/>
          <w:szCs w:val="20"/>
        </w:rPr>
        <w:t>0.0843041  0.0131377</w:t>
      </w:r>
      <w:proofErr w:type="gramEnd"/>
    </w:p>
    <w:p w14:paraId="65B72181"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proofErr w:type="spellStart"/>
      <w:r>
        <w:rPr>
          <w:rFonts w:ascii="Lucida Console" w:eastAsia="Times New Roman" w:hAnsi="Lucida Console" w:cs="Courier New"/>
          <w:color w:val="4D4D4C"/>
          <w:sz w:val="20"/>
          <w:szCs w:val="20"/>
        </w:rPr>
        <w:t>matrix.exercise.capacity.range.not.NA.DELTA.AUC</w:t>
      </w:r>
      <w:proofErr w:type="spellEnd"/>
      <w:r>
        <w:rPr>
          <w:rFonts w:ascii="Lucida Console" w:eastAsia="Times New Roman" w:hAnsi="Lucida Console" w:cs="Courier New"/>
          <w:color w:val="4D4D4C"/>
          <w:sz w:val="20"/>
          <w:szCs w:val="20"/>
        </w:rPr>
        <w:t xml:space="preserve"> -</w:t>
      </w:r>
      <w:proofErr w:type="gramStart"/>
      <w:r>
        <w:rPr>
          <w:rFonts w:ascii="Lucida Console" w:eastAsia="Times New Roman" w:hAnsi="Lucida Console" w:cs="Courier New"/>
          <w:color w:val="4D4D4C"/>
          <w:sz w:val="20"/>
          <w:szCs w:val="20"/>
        </w:rPr>
        <w:t>0.0002356  0.0001093</w:t>
      </w:r>
      <w:proofErr w:type="gramEnd"/>
    </w:p>
    <w:p w14:paraId="3D8D4567"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r>
        <w:rPr>
          <w:rFonts w:ascii="Lucida Console" w:eastAsia="Times New Roman" w:hAnsi="Lucida Console" w:cs="Courier New"/>
          <w:color w:val="4D4D4C"/>
          <w:sz w:val="20"/>
          <w:szCs w:val="20"/>
        </w:rPr>
        <w:t xml:space="preserve">                                                </w:t>
      </w:r>
      <w:proofErr w:type="gramStart"/>
      <w:r>
        <w:rPr>
          <w:rFonts w:ascii="Lucida Console" w:eastAsia="Times New Roman" w:hAnsi="Lucida Console" w:cs="Courier New"/>
          <w:color w:val="4D4D4C"/>
          <w:sz w:val="20"/>
          <w:szCs w:val="20"/>
        </w:rPr>
        <w:t>t</w:t>
      </w:r>
      <w:proofErr w:type="gramEnd"/>
      <w:r>
        <w:rPr>
          <w:rFonts w:ascii="Lucida Console" w:eastAsia="Times New Roman" w:hAnsi="Lucida Console" w:cs="Courier New"/>
          <w:color w:val="4D4D4C"/>
          <w:sz w:val="20"/>
          <w:szCs w:val="20"/>
        </w:rPr>
        <w:t xml:space="preserve"> value     </w:t>
      </w:r>
      <w:proofErr w:type="spellStart"/>
      <w:r>
        <w:rPr>
          <w:rFonts w:ascii="Lucida Console" w:eastAsia="Times New Roman" w:hAnsi="Lucida Console" w:cs="Courier New"/>
          <w:color w:val="4D4D4C"/>
          <w:sz w:val="20"/>
          <w:szCs w:val="20"/>
        </w:rPr>
        <w:t>Pr</w:t>
      </w:r>
      <w:proofErr w:type="spellEnd"/>
      <w:r>
        <w:rPr>
          <w:rFonts w:ascii="Lucida Console" w:eastAsia="Times New Roman" w:hAnsi="Lucida Console" w:cs="Courier New"/>
          <w:color w:val="4D4D4C"/>
          <w:sz w:val="20"/>
          <w:szCs w:val="20"/>
        </w:rPr>
        <w:t>(&gt;|t|)</w:t>
      </w:r>
    </w:p>
    <w:p w14:paraId="6FAC5DB3"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r>
        <w:rPr>
          <w:rFonts w:ascii="Lucida Console" w:eastAsia="Times New Roman" w:hAnsi="Lucida Console" w:cs="Courier New"/>
          <w:color w:val="4D4D4C"/>
          <w:sz w:val="20"/>
          <w:szCs w:val="20"/>
        </w:rPr>
        <w:t>(Intercept)                                       6.417 0.0000000217</w:t>
      </w:r>
    </w:p>
    <w:p w14:paraId="4293A1B3"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proofErr w:type="spellStart"/>
      <w:proofErr w:type="gramStart"/>
      <w:r>
        <w:rPr>
          <w:rFonts w:ascii="Lucida Console" w:eastAsia="Times New Roman" w:hAnsi="Lucida Console" w:cs="Courier New"/>
          <w:color w:val="4D4D4C"/>
          <w:sz w:val="20"/>
          <w:szCs w:val="20"/>
        </w:rPr>
        <w:t>matrix.exercise.capacity.range.not.NA.DELTA.AUC</w:t>
      </w:r>
      <w:proofErr w:type="spellEnd"/>
      <w:r>
        <w:rPr>
          <w:rFonts w:ascii="Lucida Console" w:eastAsia="Times New Roman" w:hAnsi="Lucida Console" w:cs="Courier New"/>
          <w:color w:val="4D4D4C"/>
          <w:sz w:val="20"/>
          <w:szCs w:val="20"/>
        </w:rPr>
        <w:t xml:space="preserve">  -</w:t>
      </w:r>
      <w:proofErr w:type="gramEnd"/>
      <w:r>
        <w:rPr>
          <w:rFonts w:ascii="Lucida Console" w:eastAsia="Times New Roman" w:hAnsi="Lucida Console" w:cs="Courier New"/>
          <w:color w:val="4D4D4C"/>
          <w:sz w:val="20"/>
          <w:szCs w:val="20"/>
        </w:rPr>
        <w:t>2.156       0.0349</w:t>
      </w:r>
    </w:p>
    <w:p w14:paraId="34AF2BAA"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r>
        <w:rPr>
          <w:rFonts w:ascii="Lucida Console" w:eastAsia="Times New Roman" w:hAnsi="Lucida Console" w:cs="Courier New"/>
          <w:color w:val="4D4D4C"/>
          <w:sz w:val="20"/>
          <w:szCs w:val="20"/>
        </w:rPr>
        <w:t xml:space="preserve">                                                   </w:t>
      </w:r>
    </w:p>
    <w:p w14:paraId="3F2AF838"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r>
        <w:rPr>
          <w:rFonts w:ascii="Lucida Console" w:eastAsia="Times New Roman" w:hAnsi="Lucida Console" w:cs="Courier New"/>
          <w:color w:val="4D4D4C"/>
          <w:sz w:val="20"/>
          <w:szCs w:val="20"/>
        </w:rPr>
        <w:t>(Intercept)                                     ***</w:t>
      </w:r>
    </w:p>
    <w:p w14:paraId="6E813F8D"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proofErr w:type="spellStart"/>
      <w:r>
        <w:rPr>
          <w:rFonts w:ascii="Lucida Console" w:eastAsia="Times New Roman" w:hAnsi="Lucida Console" w:cs="Courier New"/>
          <w:color w:val="4D4D4C"/>
          <w:sz w:val="20"/>
          <w:szCs w:val="20"/>
        </w:rPr>
        <w:t>matrix.exercise.capacity.range.not.NA.DELTA.AUC</w:t>
      </w:r>
      <w:proofErr w:type="spellEnd"/>
      <w:r>
        <w:rPr>
          <w:rFonts w:ascii="Lucida Console" w:eastAsia="Times New Roman" w:hAnsi="Lucida Console" w:cs="Courier New"/>
          <w:color w:val="4D4D4C"/>
          <w:sz w:val="20"/>
          <w:szCs w:val="20"/>
        </w:rPr>
        <w:t xml:space="preserve"> *  </w:t>
      </w:r>
    </w:p>
    <w:p w14:paraId="6F7001CD"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r>
        <w:rPr>
          <w:rFonts w:ascii="Lucida Console" w:eastAsia="Times New Roman" w:hAnsi="Lucida Console" w:cs="Courier New"/>
          <w:color w:val="4D4D4C"/>
          <w:sz w:val="20"/>
          <w:szCs w:val="20"/>
        </w:rPr>
        <w:t>---</w:t>
      </w:r>
    </w:p>
    <w:p w14:paraId="3701FFCC"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proofErr w:type="spellStart"/>
      <w:r>
        <w:rPr>
          <w:rFonts w:ascii="Lucida Console" w:eastAsia="Times New Roman" w:hAnsi="Lucida Console" w:cs="Courier New"/>
          <w:color w:val="4D4D4C"/>
          <w:sz w:val="20"/>
          <w:szCs w:val="20"/>
        </w:rPr>
        <w:t>Signif</w:t>
      </w:r>
      <w:proofErr w:type="spellEnd"/>
      <w:r>
        <w:rPr>
          <w:rFonts w:ascii="Lucida Console" w:eastAsia="Times New Roman" w:hAnsi="Lucida Console" w:cs="Courier New"/>
          <w:color w:val="4D4D4C"/>
          <w:sz w:val="20"/>
          <w:szCs w:val="20"/>
        </w:rPr>
        <w:t xml:space="preserve">. </w:t>
      </w:r>
      <w:proofErr w:type="gramStart"/>
      <w:r>
        <w:rPr>
          <w:rFonts w:ascii="Lucida Console" w:eastAsia="Times New Roman" w:hAnsi="Lucida Console" w:cs="Courier New"/>
          <w:color w:val="4D4D4C"/>
          <w:sz w:val="20"/>
          <w:szCs w:val="20"/>
        </w:rPr>
        <w:t>codes</w:t>
      </w:r>
      <w:proofErr w:type="gramEnd"/>
      <w:r>
        <w:rPr>
          <w:rFonts w:ascii="Lucida Console" w:eastAsia="Times New Roman" w:hAnsi="Lucida Console" w:cs="Courier New"/>
          <w:color w:val="4D4D4C"/>
          <w:sz w:val="20"/>
          <w:szCs w:val="20"/>
        </w:rPr>
        <w:t xml:space="preserve">:  0 ‘***’ 0.001 ‘**’ 0.01 ‘*’ 0.05 ‘.’ 0.1 </w:t>
      </w:r>
      <w:proofErr w:type="gramStart"/>
      <w:r>
        <w:rPr>
          <w:rFonts w:ascii="Lucida Console" w:eastAsia="Times New Roman" w:hAnsi="Lucida Console" w:cs="Courier New"/>
          <w:color w:val="4D4D4C"/>
          <w:sz w:val="20"/>
          <w:szCs w:val="20"/>
        </w:rPr>
        <w:t>‘ ’</w:t>
      </w:r>
      <w:proofErr w:type="gramEnd"/>
      <w:r>
        <w:rPr>
          <w:rFonts w:ascii="Lucida Console" w:eastAsia="Times New Roman" w:hAnsi="Lucida Console" w:cs="Courier New"/>
          <w:color w:val="4D4D4C"/>
          <w:sz w:val="20"/>
          <w:szCs w:val="20"/>
        </w:rPr>
        <w:t xml:space="preserve"> 1</w:t>
      </w:r>
    </w:p>
    <w:p w14:paraId="62BF055B" w14:textId="77777777" w:rsidR="00342E07" w:rsidRDefault="00342E0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p>
    <w:p w14:paraId="553D6280"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r>
        <w:rPr>
          <w:rFonts w:ascii="Lucida Console" w:eastAsia="Times New Roman" w:hAnsi="Lucida Console" w:cs="Courier New"/>
          <w:color w:val="4D4D4C"/>
          <w:sz w:val="20"/>
          <w:szCs w:val="20"/>
        </w:rPr>
        <w:t>Residual standard error: 0.07243 on 62 degrees of freedom</w:t>
      </w:r>
    </w:p>
    <w:p w14:paraId="2EF8BEAA"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r>
        <w:rPr>
          <w:rFonts w:ascii="Lucida Console" w:eastAsia="Times New Roman" w:hAnsi="Lucida Console" w:cs="Courier New"/>
          <w:color w:val="4D4D4C"/>
          <w:sz w:val="20"/>
          <w:szCs w:val="20"/>
        </w:rPr>
        <w:t xml:space="preserve">  (39 observations deleted due to </w:t>
      </w:r>
      <w:proofErr w:type="spellStart"/>
      <w:r>
        <w:rPr>
          <w:rFonts w:ascii="Lucida Console" w:eastAsia="Times New Roman" w:hAnsi="Lucida Console" w:cs="Courier New"/>
          <w:color w:val="4D4D4C"/>
          <w:sz w:val="20"/>
          <w:szCs w:val="20"/>
        </w:rPr>
        <w:t>missingness</w:t>
      </w:r>
      <w:proofErr w:type="spellEnd"/>
      <w:r>
        <w:rPr>
          <w:rFonts w:ascii="Lucida Console" w:eastAsia="Times New Roman" w:hAnsi="Lucida Console" w:cs="Courier New"/>
          <w:color w:val="4D4D4C"/>
          <w:sz w:val="20"/>
          <w:szCs w:val="20"/>
        </w:rPr>
        <w:t>)</w:t>
      </w:r>
    </w:p>
    <w:p w14:paraId="17B74465"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r>
        <w:rPr>
          <w:rFonts w:ascii="Lucida Console" w:eastAsia="Times New Roman" w:hAnsi="Lucida Console" w:cs="Courier New"/>
          <w:color w:val="4D4D4C"/>
          <w:sz w:val="20"/>
          <w:szCs w:val="20"/>
        </w:rPr>
        <w:t>Multiple R-squared:  0.06977,</w:t>
      </w:r>
      <w:r>
        <w:rPr>
          <w:rFonts w:ascii="Lucida Console" w:eastAsia="Times New Roman" w:hAnsi="Lucida Console" w:cs="Courier New"/>
          <w:color w:val="4D4D4C"/>
          <w:sz w:val="20"/>
          <w:szCs w:val="20"/>
        </w:rPr>
        <w:tab/>
        <w:t xml:space="preserve">Adjusted R-squared:  0.05476 </w:t>
      </w:r>
    </w:p>
    <w:p w14:paraId="6CC798DA"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r>
        <w:rPr>
          <w:rFonts w:ascii="Lucida Console" w:eastAsia="Times New Roman" w:hAnsi="Lucida Console" w:cs="Courier New"/>
          <w:color w:val="4D4D4C"/>
          <w:sz w:val="20"/>
          <w:szCs w:val="20"/>
        </w:rPr>
        <w:t>F-statistic:  4.65 on 1 and 62 DF</w:t>
      </w:r>
      <w:proofErr w:type="gramStart"/>
      <w:r>
        <w:rPr>
          <w:rFonts w:ascii="Lucida Console" w:eastAsia="Times New Roman" w:hAnsi="Lucida Console" w:cs="Courier New"/>
          <w:color w:val="4D4D4C"/>
          <w:sz w:val="20"/>
          <w:szCs w:val="20"/>
        </w:rPr>
        <w:t>,  p</w:t>
      </w:r>
      <w:proofErr w:type="gramEnd"/>
      <w:r>
        <w:rPr>
          <w:rFonts w:ascii="Lucida Console" w:eastAsia="Times New Roman" w:hAnsi="Lucida Console" w:cs="Courier New"/>
          <w:color w:val="4D4D4C"/>
          <w:sz w:val="20"/>
          <w:szCs w:val="20"/>
        </w:rPr>
        <w:t>-value: 0.03494</w:t>
      </w:r>
    </w:p>
    <w:p w14:paraId="403FCBF2" w14:textId="77777777" w:rsidR="00342E07" w:rsidRDefault="00342E07"/>
    <w:p w14:paraId="6A7FDA5A" w14:textId="77777777" w:rsidR="00342E07" w:rsidRDefault="005356A1">
      <w:pPr>
        <w:spacing w:after="0"/>
        <w:jc w:val="both"/>
      </w:pPr>
      <w:r>
        <w:rPr>
          <w:noProof/>
        </w:rPr>
        <w:drawing>
          <wp:inline distT="0" distB="0" distL="0" distR="0" wp14:anchorId="0E048D62" wp14:editId="5FB096AE">
            <wp:extent cx="4381500" cy="3285490"/>
            <wp:effectExtent l="0" t="0" r="0" b="0"/>
            <wp:docPr id="17"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Grafik 21"/>
                    <pic:cNvPicPr>
                      <a:picLocks noChangeAspect="1" noChangeArrowheads="1"/>
                    </pic:cNvPicPr>
                  </pic:nvPicPr>
                  <pic:blipFill>
                    <a:blip r:embed="rId19"/>
                    <a:stretch>
                      <a:fillRect/>
                    </a:stretch>
                  </pic:blipFill>
                  <pic:spPr bwMode="auto">
                    <a:xfrm>
                      <a:off x="0" y="0"/>
                      <a:ext cx="4381500" cy="3285490"/>
                    </a:xfrm>
                    <a:prstGeom prst="rect">
                      <a:avLst/>
                    </a:prstGeom>
                  </pic:spPr>
                </pic:pic>
              </a:graphicData>
            </a:graphic>
          </wp:inline>
        </w:drawing>
      </w:r>
    </w:p>
    <w:p w14:paraId="45E8ADEC" w14:textId="77777777" w:rsidR="00342E07" w:rsidRDefault="00342E07">
      <w:pPr>
        <w:pStyle w:val="ListParagraph"/>
        <w:spacing w:after="0"/>
        <w:ind w:left="774"/>
        <w:jc w:val="both"/>
      </w:pPr>
    </w:p>
    <w:p w14:paraId="0A6520E9"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8959A8"/>
          <w:sz w:val="20"/>
          <w:szCs w:val="20"/>
        </w:rPr>
      </w:pPr>
      <w:r>
        <w:rPr>
          <w:rFonts w:ascii="Lucida Console" w:eastAsia="Times New Roman" w:hAnsi="Lucida Console" w:cs="Courier New"/>
          <w:color w:val="8959A8"/>
          <w:sz w:val="20"/>
          <w:szCs w:val="20"/>
        </w:rPr>
        <w:t xml:space="preserve">&gt; </w:t>
      </w:r>
      <w:proofErr w:type="spellStart"/>
      <w:proofErr w:type="gramStart"/>
      <w:r>
        <w:rPr>
          <w:rFonts w:ascii="Lucida Console" w:eastAsia="Times New Roman" w:hAnsi="Lucida Console" w:cs="Courier New"/>
          <w:color w:val="8959A8"/>
          <w:sz w:val="20"/>
          <w:szCs w:val="20"/>
        </w:rPr>
        <w:t>anova</w:t>
      </w:r>
      <w:proofErr w:type="spellEnd"/>
      <w:r>
        <w:rPr>
          <w:rFonts w:ascii="Lucida Console" w:eastAsia="Times New Roman" w:hAnsi="Lucida Console" w:cs="Courier New"/>
          <w:color w:val="8959A8"/>
          <w:sz w:val="20"/>
          <w:szCs w:val="20"/>
        </w:rPr>
        <w:t>(</w:t>
      </w:r>
      <w:proofErr w:type="gramEnd"/>
      <w:r>
        <w:rPr>
          <w:rFonts w:ascii="Lucida Console" w:eastAsia="Times New Roman" w:hAnsi="Lucida Console" w:cs="Courier New"/>
          <w:color w:val="8959A8"/>
          <w:sz w:val="20"/>
          <w:szCs w:val="20"/>
        </w:rPr>
        <w:t>lm(</w:t>
      </w:r>
      <w:proofErr w:type="spellStart"/>
      <w:r>
        <w:rPr>
          <w:rFonts w:ascii="Lucida Console" w:eastAsia="Times New Roman" w:hAnsi="Lucida Console" w:cs="Courier New"/>
          <w:color w:val="8959A8"/>
          <w:sz w:val="20"/>
          <w:szCs w:val="20"/>
        </w:rPr>
        <w:t>exercise.capacity.range</w:t>
      </w:r>
      <w:proofErr w:type="spellEnd"/>
      <w:r>
        <w:rPr>
          <w:rFonts w:ascii="Lucida Console" w:eastAsia="Times New Roman" w:hAnsi="Lucida Console" w:cs="Courier New"/>
          <w:color w:val="8959A8"/>
          <w:sz w:val="20"/>
          <w:szCs w:val="20"/>
        </w:rPr>
        <w:t xml:space="preserve"> ~ </w:t>
      </w:r>
      <w:proofErr w:type="spellStart"/>
      <w:r>
        <w:rPr>
          <w:rFonts w:ascii="Lucida Console" w:eastAsia="Times New Roman" w:hAnsi="Lucida Console" w:cs="Courier New"/>
          <w:color w:val="8959A8"/>
          <w:sz w:val="20"/>
          <w:szCs w:val="20"/>
        </w:rPr>
        <w:t>group.cohort</w:t>
      </w:r>
      <w:proofErr w:type="spellEnd"/>
      <w:r>
        <w:rPr>
          <w:rFonts w:ascii="Lucida Console" w:eastAsia="Times New Roman" w:hAnsi="Lucida Console" w:cs="Courier New"/>
          <w:color w:val="8959A8"/>
          <w:sz w:val="20"/>
          <w:szCs w:val="20"/>
        </w:rPr>
        <w:t>))</w:t>
      </w:r>
    </w:p>
    <w:p w14:paraId="64AC4CE1"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r>
        <w:rPr>
          <w:rFonts w:ascii="Lucida Console" w:eastAsia="Times New Roman" w:hAnsi="Lucida Console" w:cs="Courier New"/>
          <w:color w:val="4D4D4C"/>
          <w:sz w:val="20"/>
          <w:szCs w:val="20"/>
        </w:rPr>
        <w:t>Analysis of Variance Table</w:t>
      </w:r>
    </w:p>
    <w:p w14:paraId="410E4375" w14:textId="77777777" w:rsidR="00342E07" w:rsidRDefault="00342E0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p>
    <w:p w14:paraId="5B3EB2AC"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r>
        <w:rPr>
          <w:rFonts w:ascii="Lucida Console" w:eastAsia="Times New Roman" w:hAnsi="Lucida Console" w:cs="Courier New"/>
          <w:color w:val="4D4D4C"/>
          <w:sz w:val="20"/>
          <w:szCs w:val="20"/>
        </w:rPr>
        <w:t xml:space="preserve">Response: </w:t>
      </w:r>
      <w:proofErr w:type="spellStart"/>
      <w:r>
        <w:rPr>
          <w:rFonts w:ascii="Lucida Console" w:eastAsia="Times New Roman" w:hAnsi="Lucida Console" w:cs="Courier New"/>
          <w:color w:val="4D4D4C"/>
          <w:sz w:val="20"/>
          <w:szCs w:val="20"/>
        </w:rPr>
        <w:t>exercise.capacity.range</w:t>
      </w:r>
      <w:proofErr w:type="spellEnd"/>
    </w:p>
    <w:p w14:paraId="0F596227"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r>
        <w:rPr>
          <w:rFonts w:ascii="Lucida Console" w:eastAsia="Times New Roman" w:hAnsi="Lucida Console" w:cs="Courier New"/>
          <w:color w:val="4D4D4C"/>
          <w:sz w:val="20"/>
          <w:szCs w:val="20"/>
        </w:rPr>
        <w:t xml:space="preserve">             </w:t>
      </w:r>
      <w:proofErr w:type="spellStart"/>
      <w:r>
        <w:rPr>
          <w:rFonts w:ascii="Lucida Console" w:eastAsia="Times New Roman" w:hAnsi="Lucida Console" w:cs="Courier New"/>
          <w:color w:val="4D4D4C"/>
          <w:sz w:val="20"/>
          <w:szCs w:val="20"/>
        </w:rPr>
        <w:t>Df</w:t>
      </w:r>
      <w:proofErr w:type="spellEnd"/>
      <w:r>
        <w:rPr>
          <w:rFonts w:ascii="Lucida Console" w:eastAsia="Times New Roman" w:hAnsi="Lucida Console" w:cs="Courier New"/>
          <w:color w:val="4D4D4C"/>
          <w:sz w:val="20"/>
          <w:szCs w:val="20"/>
        </w:rPr>
        <w:t xml:space="preserve"> Sum </w:t>
      </w:r>
      <w:proofErr w:type="spellStart"/>
      <w:r>
        <w:rPr>
          <w:rFonts w:ascii="Lucida Console" w:eastAsia="Times New Roman" w:hAnsi="Lucida Console" w:cs="Courier New"/>
          <w:color w:val="4D4D4C"/>
          <w:sz w:val="20"/>
          <w:szCs w:val="20"/>
        </w:rPr>
        <w:t>Sq</w:t>
      </w:r>
      <w:proofErr w:type="spellEnd"/>
      <w:r>
        <w:rPr>
          <w:rFonts w:ascii="Lucida Console" w:eastAsia="Times New Roman" w:hAnsi="Lucida Console" w:cs="Courier New"/>
          <w:color w:val="4D4D4C"/>
          <w:sz w:val="20"/>
          <w:szCs w:val="20"/>
        </w:rPr>
        <w:t xml:space="preserve"> Mean </w:t>
      </w:r>
      <w:proofErr w:type="spellStart"/>
      <w:r>
        <w:rPr>
          <w:rFonts w:ascii="Lucida Console" w:eastAsia="Times New Roman" w:hAnsi="Lucida Console" w:cs="Courier New"/>
          <w:color w:val="4D4D4C"/>
          <w:sz w:val="20"/>
          <w:szCs w:val="20"/>
        </w:rPr>
        <w:t>Sq</w:t>
      </w:r>
      <w:proofErr w:type="spellEnd"/>
      <w:r>
        <w:rPr>
          <w:rFonts w:ascii="Lucida Console" w:eastAsia="Times New Roman" w:hAnsi="Lucida Console" w:cs="Courier New"/>
          <w:color w:val="4D4D4C"/>
          <w:sz w:val="20"/>
          <w:szCs w:val="20"/>
        </w:rPr>
        <w:t xml:space="preserve"> F value </w:t>
      </w:r>
      <w:proofErr w:type="spellStart"/>
      <w:proofErr w:type="gramStart"/>
      <w:r>
        <w:rPr>
          <w:rFonts w:ascii="Lucida Console" w:eastAsia="Times New Roman" w:hAnsi="Lucida Console" w:cs="Courier New"/>
          <w:color w:val="4D4D4C"/>
          <w:sz w:val="20"/>
          <w:szCs w:val="20"/>
        </w:rPr>
        <w:t>Pr</w:t>
      </w:r>
      <w:proofErr w:type="spellEnd"/>
      <w:r>
        <w:rPr>
          <w:rFonts w:ascii="Lucida Console" w:eastAsia="Times New Roman" w:hAnsi="Lucida Console" w:cs="Courier New"/>
          <w:color w:val="4D4D4C"/>
          <w:sz w:val="20"/>
          <w:szCs w:val="20"/>
        </w:rPr>
        <w:t>(</w:t>
      </w:r>
      <w:proofErr w:type="gramEnd"/>
      <w:r>
        <w:rPr>
          <w:rFonts w:ascii="Lucida Console" w:eastAsia="Times New Roman" w:hAnsi="Lucida Console" w:cs="Courier New"/>
          <w:color w:val="4D4D4C"/>
          <w:sz w:val="20"/>
          <w:szCs w:val="20"/>
        </w:rPr>
        <w:t>&gt;F)</w:t>
      </w:r>
    </w:p>
    <w:p w14:paraId="73173AB2"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proofErr w:type="spellStart"/>
      <w:proofErr w:type="gramStart"/>
      <w:r>
        <w:rPr>
          <w:rFonts w:ascii="Lucida Console" w:eastAsia="Times New Roman" w:hAnsi="Lucida Console" w:cs="Courier New"/>
          <w:color w:val="4D4D4C"/>
          <w:sz w:val="20"/>
          <w:szCs w:val="20"/>
        </w:rPr>
        <w:t>group.cohort</w:t>
      </w:r>
      <w:proofErr w:type="spellEnd"/>
      <w:r>
        <w:rPr>
          <w:rFonts w:ascii="Lucida Console" w:eastAsia="Times New Roman" w:hAnsi="Lucida Console" w:cs="Courier New"/>
          <w:color w:val="4D4D4C"/>
          <w:sz w:val="20"/>
          <w:szCs w:val="20"/>
        </w:rPr>
        <w:t xml:space="preserve">  1</w:t>
      </w:r>
      <w:proofErr w:type="gramEnd"/>
      <w:r>
        <w:rPr>
          <w:rFonts w:ascii="Lucida Console" w:eastAsia="Times New Roman" w:hAnsi="Lucida Console" w:cs="Courier New"/>
          <w:color w:val="4D4D4C"/>
          <w:sz w:val="20"/>
          <w:szCs w:val="20"/>
        </w:rPr>
        <w:t xml:space="preserve">    287   287.4  0.0491 0.8287</w:t>
      </w:r>
    </w:p>
    <w:p w14:paraId="5D33B845"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r>
        <w:rPr>
          <w:rFonts w:ascii="Lucida Console" w:eastAsia="Times New Roman" w:hAnsi="Lucida Console" w:cs="Courier New"/>
          <w:color w:val="4D4D4C"/>
          <w:sz w:val="20"/>
          <w:szCs w:val="20"/>
        </w:rPr>
        <w:t xml:space="preserve">Residuals    </w:t>
      </w:r>
      <w:proofErr w:type="gramStart"/>
      <w:r>
        <w:rPr>
          <w:rFonts w:ascii="Lucida Console" w:eastAsia="Times New Roman" w:hAnsi="Lucida Console" w:cs="Courier New"/>
          <w:color w:val="4D4D4C"/>
          <w:sz w:val="20"/>
          <w:szCs w:val="20"/>
        </w:rPr>
        <w:t>11  64349</w:t>
      </w:r>
      <w:proofErr w:type="gramEnd"/>
      <w:r>
        <w:rPr>
          <w:rFonts w:ascii="Lucida Console" w:eastAsia="Times New Roman" w:hAnsi="Lucida Console" w:cs="Courier New"/>
          <w:color w:val="4D4D4C"/>
          <w:sz w:val="20"/>
          <w:szCs w:val="20"/>
        </w:rPr>
        <w:t xml:space="preserve">  5849.9   </w:t>
      </w:r>
    </w:p>
    <w:p w14:paraId="243127C7" w14:textId="77777777" w:rsidR="00342E07" w:rsidRDefault="00342E07">
      <w:pPr>
        <w:spacing w:after="0"/>
        <w:jc w:val="both"/>
      </w:pPr>
    </w:p>
    <w:p w14:paraId="0CCFC8AD" w14:textId="77777777" w:rsidR="00342E07" w:rsidRDefault="00342E07">
      <w:pPr>
        <w:pStyle w:val="ListParagraph"/>
        <w:spacing w:after="0"/>
        <w:ind w:left="774"/>
        <w:jc w:val="both"/>
      </w:pPr>
    </w:p>
    <w:p w14:paraId="1A523DFC" w14:textId="77777777" w:rsidR="00342E07" w:rsidRDefault="00342E07">
      <w:pPr>
        <w:pStyle w:val="ListParagraph"/>
        <w:spacing w:after="0"/>
        <w:ind w:left="774"/>
        <w:jc w:val="both"/>
      </w:pPr>
    </w:p>
    <w:p w14:paraId="6020BBAB" w14:textId="77777777" w:rsidR="00342E07" w:rsidRDefault="00342E07">
      <w:pPr>
        <w:pStyle w:val="ListParagraph"/>
        <w:spacing w:after="0"/>
        <w:ind w:left="774"/>
        <w:jc w:val="both"/>
      </w:pPr>
    </w:p>
    <w:p w14:paraId="62CC8821" w14:textId="77777777" w:rsidR="00342E07" w:rsidRDefault="00342E07">
      <w:pPr>
        <w:pStyle w:val="ListParagraph"/>
        <w:spacing w:after="0"/>
        <w:ind w:left="774"/>
        <w:jc w:val="both"/>
      </w:pPr>
    </w:p>
    <w:p w14:paraId="5B8F413D" w14:textId="77777777" w:rsidR="00342E07" w:rsidRDefault="00342E07">
      <w:pPr>
        <w:pStyle w:val="ListParagraph"/>
        <w:spacing w:after="0"/>
        <w:ind w:left="774"/>
        <w:jc w:val="both"/>
      </w:pPr>
    </w:p>
    <w:p w14:paraId="21C6A68A" w14:textId="77777777" w:rsidR="00342E07" w:rsidRDefault="00342E07">
      <w:pPr>
        <w:pStyle w:val="ListParagraph"/>
        <w:spacing w:after="0"/>
        <w:ind w:left="774"/>
        <w:jc w:val="both"/>
      </w:pPr>
    </w:p>
    <w:p w14:paraId="5CEFCCC1" w14:textId="77777777" w:rsidR="00342E07" w:rsidRDefault="00342E07">
      <w:pPr>
        <w:pStyle w:val="ListParagraph"/>
        <w:spacing w:after="0"/>
        <w:ind w:left="774"/>
        <w:jc w:val="both"/>
      </w:pPr>
    </w:p>
    <w:p w14:paraId="768EF308" w14:textId="77777777" w:rsidR="00342E07" w:rsidRDefault="00342E07">
      <w:pPr>
        <w:pStyle w:val="ListParagraph"/>
        <w:spacing w:after="0"/>
        <w:ind w:left="774"/>
        <w:jc w:val="both"/>
      </w:pPr>
    </w:p>
    <w:p w14:paraId="650E81D3" w14:textId="77777777" w:rsidR="00342E07" w:rsidRDefault="00342E07">
      <w:pPr>
        <w:pStyle w:val="ListParagraph"/>
        <w:spacing w:after="0"/>
        <w:ind w:left="774"/>
        <w:jc w:val="both"/>
      </w:pPr>
    </w:p>
    <w:p w14:paraId="789768AB" w14:textId="77777777" w:rsidR="00342E07" w:rsidRDefault="00342E07">
      <w:pPr>
        <w:pStyle w:val="ListParagraph"/>
        <w:spacing w:after="0"/>
        <w:ind w:left="774"/>
        <w:jc w:val="both"/>
      </w:pPr>
    </w:p>
    <w:p w14:paraId="63977356" w14:textId="77777777" w:rsidR="00342E07" w:rsidRDefault="00342E07">
      <w:pPr>
        <w:pStyle w:val="ListParagraph"/>
        <w:spacing w:after="0"/>
        <w:ind w:left="774"/>
        <w:jc w:val="both"/>
      </w:pPr>
    </w:p>
    <w:p w14:paraId="443096F7" w14:textId="77777777" w:rsidR="00342E07" w:rsidRDefault="00342E07">
      <w:pPr>
        <w:pStyle w:val="ListParagraph"/>
        <w:spacing w:after="0"/>
        <w:ind w:left="774"/>
        <w:jc w:val="both"/>
      </w:pPr>
    </w:p>
    <w:p w14:paraId="171C4AB7" w14:textId="77777777" w:rsidR="00342E07" w:rsidRDefault="00342E07">
      <w:pPr>
        <w:pStyle w:val="ListParagraph"/>
        <w:spacing w:after="0"/>
        <w:ind w:left="774"/>
        <w:jc w:val="both"/>
      </w:pPr>
    </w:p>
    <w:p w14:paraId="336AFECF" w14:textId="77777777" w:rsidR="00342E07" w:rsidRDefault="00342E07">
      <w:pPr>
        <w:pStyle w:val="ListParagraph"/>
        <w:spacing w:after="0"/>
        <w:ind w:left="774"/>
        <w:jc w:val="both"/>
      </w:pPr>
    </w:p>
    <w:p w14:paraId="2ABE2B1C" w14:textId="77777777" w:rsidR="00342E07" w:rsidRDefault="00342E07">
      <w:pPr>
        <w:pStyle w:val="ListParagraph"/>
        <w:spacing w:after="0"/>
        <w:ind w:left="774"/>
        <w:jc w:val="both"/>
      </w:pPr>
    </w:p>
    <w:p w14:paraId="5C8897D4" w14:textId="77777777" w:rsidR="00342E07" w:rsidRDefault="00342E07">
      <w:pPr>
        <w:pStyle w:val="ListParagraph"/>
        <w:spacing w:after="0"/>
        <w:ind w:left="774"/>
        <w:jc w:val="both"/>
      </w:pPr>
    </w:p>
    <w:p w14:paraId="7F3584DE" w14:textId="77777777" w:rsidR="00342E07" w:rsidRDefault="005356A1">
      <w:pPr>
        <w:pStyle w:val="Heading2"/>
      </w:pPr>
      <w:bookmarkStart w:id="168" w:name="_Toc488490636"/>
      <w:bookmarkStart w:id="169" w:name="_Toc373597615"/>
      <w:bookmarkEnd w:id="168"/>
      <w:r>
        <w:t>AUC vs median age</w:t>
      </w:r>
      <w:bookmarkEnd w:id="169"/>
    </w:p>
    <w:p w14:paraId="43372538" w14:textId="77777777" w:rsidR="00342E07" w:rsidRDefault="00342E07"/>
    <w:p w14:paraId="359BB6D4" w14:textId="77777777" w:rsidR="00342E07" w:rsidRDefault="005356A1">
      <w:r>
        <w:rPr>
          <w:noProof/>
        </w:rPr>
        <w:drawing>
          <wp:inline distT="0" distB="0" distL="0" distR="0" wp14:anchorId="14918640" wp14:editId="2DD81473">
            <wp:extent cx="4810125" cy="3607435"/>
            <wp:effectExtent l="0" t="0" r="0" b="0"/>
            <wp:docPr id="18"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Grafik 20"/>
                    <pic:cNvPicPr>
                      <a:picLocks noChangeAspect="1" noChangeArrowheads="1"/>
                    </pic:cNvPicPr>
                  </pic:nvPicPr>
                  <pic:blipFill>
                    <a:blip r:embed="rId20"/>
                    <a:stretch>
                      <a:fillRect/>
                    </a:stretch>
                  </pic:blipFill>
                  <pic:spPr bwMode="auto">
                    <a:xfrm>
                      <a:off x="0" y="0"/>
                      <a:ext cx="4810125" cy="3607435"/>
                    </a:xfrm>
                    <a:prstGeom prst="rect">
                      <a:avLst/>
                    </a:prstGeom>
                  </pic:spPr>
                </pic:pic>
              </a:graphicData>
            </a:graphic>
          </wp:inline>
        </w:drawing>
      </w:r>
    </w:p>
    <w:p w14:paraId="31C1A28E" w14:textId="77777777" w:rsidR="00342E07" w:rsidRDefault="00342E07">
      <w:pPr>
        <w:spacing w:after="0"/>
        <w:jc w:val="both"/>
      </w:pPr>
    </w:p>
    <w:p w14:paraId="6C85FC9F"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8959A8"/>
          <w:sz w:val="20"/>
          <w:szCs w:val="20"/>
        </w:rPr>
      </w:pPr>
      <w:r>
        <w:rPr>
          <w:rFonts w:ascii="Lucida Console" w:eastAsia="Times New Roman" w:hAnsi="Lucida Console" w:cs="Courier New"/>
          <w:color w:val="8959A8"/>
          <w:sz w:val="20"/>
          <w:szCs w:val="20"/>
        </w:rPr>
        <w:t xml:space="preserve">&gt; </w:t>
      </w:r>
      <w:proofErr w:type="gramStart"/>
      <w:r>
        <w:rPr>
          <w:rFonts w:ascii="Lucida Console" w:eastAsia="Times New Roman" w:hAnsi="Lucida Console" w:cs="Courier New"/>
          <w:color w:val="8959A8"/>
          <w:sz w:val="20"/>
          <w:szCs w:val="20"/>
        </w:rPr>
        <w:t>summary(</w:t>
      </w:r>
      <w:proofErr w:type="spellStart"/>
      <w:proofErr w:type="gramEnd"/>
      <w:r>
        <w:rPr>
          <w:rFonts w:ascii="Lucida Console" w:eastAsia="Times New Roman" w:hAnsi="Lucida Console" w:cs="Courier New"/>
          <w:color w:val="8959A8"/>
          <w:sz w:val="20"/>
          <w:szCs w:val="20"/>
        </w:rPr>
        <w:t>regression.DELTA.AUC.vs.median.age</w:t>
      </w:r>
      <w:proofErr w:type="spellEnd"/>
      <w:r>
        <w:rPr>
          <w:rFonts w:ascii="Lucida Console" w:eastAsia="Times New Roman" w:hAnsi="Lucida Console" w:cs="Courier New"/>
          <w:color w:val="8959A8"/>
          <w:sz w:val="20"/>
          <w:szCs w:val="20"/>
        </w:rPr>
        <w:t>)</w:t>
      </w:r>
    </w:p>
    <w:p w14:paraId="6B395433" w14:textId="77777777" w:rsidR="00342E07" w:rsidRDefault="00342E0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p>
    <w:p w14:paraId="11600CDC"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r>
        <w:rPr>
          <w:rFonts w:ascii="Lucida Console" w:eastAsia="Times New Roman" w:hAnsi="Lucida Console" w:cs="Courier New"/>
          <w:color w:val="4D4D4C"/>
          <w:sz w:val="20"/>
          <w:szCs w:val="20"/>
        </w:rPr>
        <w:t>Call:</w:t>
      </w:r>
    </w:p>
    <w:p w14:paraId="2CDA0FCB"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proofErr w:type="gramStart"/>
      <w:r>
        <w:rPr>
          <w:rFonts w:ascii="Lucida Console" w:eastAsia="Times New Roman" w:hAnsi="Lucida Console" w:cs="Courier New"/>
          <w:color w:val="4D4D4C"/>
          <w:sz w:val="20"/>
          <w:szCs w:val="20"/>
        </w:rPr>
        <w:t>lm(</w:t>
      </w:r>
      <w:proofErr w:type="gramEnd"/>
      <w:r>
        <w:rPr>
          <w:rFonts w:ascii="Lucida Console" w:eastAsia="Times New Roman" w:hAnsi="Lucida Console" w:cs="Courier New"/>
          <w:color w:val="4D4D4C"/>
          <w:sz w:val="20"/>
          <w:szCs w:val="20"/>
        </w:rPr>
        <w:t xml:space="preserve">formula = </w:t>
      </w:r>
      <w:proofErr w:type="spellStart"/>
      <w:r>
        <w:rPr>
          <w:rFonts w:ascii="Lucida Console" w:eastAsia="Times New Roman" w:hAnsi="Lucida Console" w:cs="Courier New"/>
          <w:color w:val="4D4D4C"/>
          <w:sz w:val="20"/>
          <w:szCs w:val="20"/>
        </w:rPr>
        <w:t>matrix_model_cohort.DELTA.AUC.not.NA.AUC</w:t>
      </w:r>
      <w:proofErr w:type="spellEnd"/>
      <w:r>
        <w:rPr>
          <w:rFonts w:ascii="Lucida Console" w:eastAsia="Times New Roman" w:hAnsi="Lucida Console" w:cs="Courier New"/>
          <w:color w:val="4D4D4C"/>
          <w:sz w:val="20"/>
          <w:szCs w:val="20"/>
        </w:rPr>
        <w:t xml:space="preserve"> ~ </w:t>
      </w:r>
      <w:proofErr w:type="spellStart"/>
      <w:r>
        <w:rPr>
          <w:rFonts w:ascii="Lucida Console" w:eastAsia="Times New Roman" w:hAnsi="Lucida Console" w:cs="Courier New"/>
          <w:color w:val="4D4D4C"/>
          <w:sz w:val="20"/>
          <w:szCs w:val="20"/>
        </w:rPr>
        <w:t>matrix.median.age.not.NA.DELTA.AUC</w:t>
      </w:r>
      <w:proofErr w:type="spellEnd"/>
      <w:r>
        <w:rPr>
          <w:rFonts w:ascii="Lucida Console" w:eastAsia="Times New Roman" w:hAnsi="Lucida Console" w:cs="Courier New"/>
          <w:color w:val="4D4D4C"/>
          <w:sz w:val="20"/>
          <w:szCs w:val="20"/>
        </w:rPr>
        <w:t>)</w:t>
      </w:r>
    </w:p>
    <w:p w14:paraId="449C973E" w14:textId="77777777" w:rsidR="00342E07" w:rsidRDefault="00342E0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p>
    <w:p w14:paraId="4662FDB7"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r>
        <w:rPr>
          <w:rFonts w:ascii="Lucida Console" w:eastAsia="Times New Roman" w:hAnsi="Lucida Console" w:cs="Courier New"/>
          <w:color w:val="4D4D4C"/>
          <w:sz w:val="20"/>
          <w:szCs w:val="20"/>
        </w:rPr>
        <w:t>Residuals:</w:t>
      </w:r>
    </w:p>
    <w:p w14:paraId="5EAC274D"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r>
        <w:rPr>
          <w:rFonts w:ascii="Lucida Console" w:eastAsia="Times New Roman" w:hAnsi="Lucida Console" w:cs="Courier New"/>
          <w:color w:val="4D4D4C"/>
          <w:sz w:val="20"/>
          <w:szCs w:val="20"/>
        </w:rPr>
        <w:t xml:space="preserve">     Min       1Q   Median       3Q      Max </w:t>
      </w:r>
    </w:p>
    <w:p w14:paraId="0D6C9C4D"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r>
        <w:rPr>
          <w:rFonts w:ascii="Lucida Console" w:eastAsia="Times New Roman" w:hAnsi="Lucida Console" w:cs="Courier New"/>
          <w:color w:val="4D4D4C"/>
          <w:sz w:val="20"/>
          <w:szCs w:val="20"/>
        </w:rPr>
        <w:t>-0.14534 -</w:t>
      </w:r>
      <w:proofErr w:type="gramStart"/>
      <w:r>
        <w:rPr>
          <w:rFonts w:ascii="Lucida Console" w:eastAsia="Times New Roman" w:hAnsi="Lucida Console" w:cs="Courier New"/>
          <w:color w:val="4D4D4C"/>
          <w:sz w:val="20"/>
          <w:szCs w:val="20"/>
        </w:rPr>
        <w:t>0.03859  0.00828</w:t>
      </w:r>
      <w:proofErr w:type="gramEnd"/>
      <w:r>
        <w:rPr>
          <w:rFonts w:ascii="Lucida Console" w:eastAsia="Times New Roman" w:hAnsi="Lucida Console" w:cs="Courier New"/>
          <w:color w:val="4D4D4C"/>
          <w:sz w:val="20"/>
          <w:szCs w:val="20"/>
        </w:rPr>
        <w:t xml:space="preserve">  0.04039  0.18044 </w:t>
      </w:r>
    </w:p>
    <w:p w14:paraId="1AB4FBF5" w14:textId="77777777" w:rsidR="00342E07" w:rsidRDefault="00342E0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p>
    <w:p w14:paraId="2C32B282"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r>
        <w:rPr>
          <w:rFonts w:ascii="Lucida Console" w:eastAsia="Times New Roman" w:hAnsi="Lucida Console" w:cs="Courier New"/>
          <w:color w:val="4D4D4C"/>
          <w:sz w:val="20"/>
          <w:szCs w:val="20"/>
        </w:rPr>
        <w:t>Coefficients:</w:t>
      </w:r>
    </w:p>
    <w:p w14:paraId="2FF6EA29"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r>
        <w:rPr>
          <w:rFonts w:ascii="Lucida Console" w:eastAsia="Times New Roman" w:hAnsi="Lucida Console" w:cs="Courier New"/>
          <w:color w:val="4D4D4C"/>
          <w:sz w:val="20"/>
          <w:szCs w:val="20"/>
        </w:rPr>
        <w:t xml:space="preserve">                                    Estimate Std. Error</w:t>
      </w:r>
    </w:p>
    <w:p w14:paraId="2E8204EE"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r>
        <w:rPr>
          <w:rFonts w:ascii="Lucida Console" w:eastAsia="Times New Roman" w:hAnsi="Lucida Console" w:cs="Courier New"/>
          <w:color w:val="4D4D4C"/>
          <w:sz w:val="20"/>
          <w:szCs w:val="20"/>
        </w:rPr>
        <w:t>(Intercept)                        -0.404036   0.108947</w:t>
      </w:r>
    </w:p>
    <w:p w14:paraId="4D03F6BA"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proofErr w:type="spellStart"/>
      <w:proofErr w:type="gramStart"/>
      <w:r>
        <w:rPr>
          <w:rFonts w:ascii="Lucida Console" w:eastAsia="Times New Roman" w:hAnsi="Lucida Console" w:cs="Courier New"/>
          <w:color w:val="4D4D4C"/>
          <w:sz w:val="20"/>
          <w:szCs w:val="20"/>
        </w:rPr>
        <w:t>matrix.median.age.not.NA.DELTA.AUC</w:t>
      </w:r>
      <w:proofErr w:type="spellEnd"/>
      <w:r>
        <w:rPr>
          <w:rFonts w:ascii="Lucida Console" w:eastAsia="Times New Roman" w:hAnsi="Lucida Console" w:cs="Courier New"/>
          <w:color w:val="4D4D4C"/>
          <w:sz w:val="20"/>
          <w:szCs w:val="20"/>
        </w:rPr>
        <w:t xml:space="preserve">  0.006908</w:t>
      </w:r>
      <w:proofErr w:type="gramEnd"/>
      <w:r>
        <w:rPr>
          <w:rFonts w:ascii="Lucida Console" w:eastAsia="Times New Roman" w:hAnsi="Lucida Console" w:cs="Courier New"/>
          <w:color w:val="4D4D4C"/>
          <w:sz w:val="20"/>
          <w:szCs w:val="20"/>
        </w:rPr>
        <w:t xml:space="preserve">   0.001594</w:t>
      </w:r>
    </w:p>
    <w:p w14:paraId="2C1D165D"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r>
        <w:rPr>
          <w:rFonts w:ascii="Lucida Console" w:eastAsia="Times New Roman" w:hAnsi="Lucida Console" w:cs="Courier New"/>
          <w:color w:val="4D4D4C"/>
          <w:sz w:val="20"/>
          <w:szCs w:val="20"/>
        </w:rPr>
        <w:t xml:space="preserve">                                   </w:t>
      </w:r>
      <w:proofErr w:type="gramStart"/>
      <w:r>
        <w:rPr>
          <w:rFonts w:ascii="Lucida Console" w:eastAsia="Times New Roman" w:hAnsi="Lucida Console" w:cs="Courier New"/>
          <w:color w:val="4D4D4C"/>
          <w:sz w:val="20"/>
          <w:szCs w:val="20"/>
        </w:rPr>
        <w:t>t</w:t>
      </w:r>
      <w:proofErr w:type="gramEnd"/>
      <w:r>
        <w:rPr>
          <w:rFonts w:ascii="Lucida Console" w:eastAsia="Times New Roman" w:hAnsi="Lucida Console" w:cs="Courier New"/>
          <w:color w:val="4D4D4C"/>
          <w:sz w:val="20"/>
          <w:szCs w:val="20"/>
        </w:rPr>
        <w:t xml:space="preserve"> value  </w:t>
      </w:r>
      <w:proofErr w:type="spellStart"/>
      <w:r>
        <w:rPr>
          <w:rFonts w:ascii="Lucida Console" w:eastAsia="Times New Roman" w:hAnsi="Lucida Console" w:cs="Courier New"/>
          <w:color w:val="4D4D4C"/>
          <w:sz w:val="20"/>
          <w:szCs w:val="20"/>
        </w:rPr>
        <w:t>Pr</w:t>
      </w:r>
      <w:proofErr w:type="spellEnd"/>
      <w:r>
        <w:rPr>
          <w:rFonts w:ascii="Lucida Console" w:eastAsia="Times New Roman" w:hAnsi="Lucida Console" w:cs="Courier New"/>
          <w:color w:val="4D4D4C"/>
          <w:sz w:val="20"/>
          <w:szCs w:val="20"/>
        </w:rPr>
        <w:t xml:space="preserve">(&gt;|t|)    </w:t>
      </w:r>
    </w:p>
    <w:p w14:paraId="72EFAAA0"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r>
        <w:rPr>
          <w:rFonts w:ascii="Lucida Console" w:eastAsia="Times New Roman" w:hAnsi="Lucida Console" w:cs="Courier New"/>
          <w:color w:val="4D4D4C"/>
          <w:sz w:val="20"/>
          <w:szCs w:val="20"/>
        </w:rPr>
        <w:t>(Intercept)                         -</w:t>
      </w:r>
      <w:proofErr w:type="gramStart"/>
      <w:r>
        <w:rPr>
          <w:rFonts w:ascii="Lucida Console" w:eastAsia="Times New Roman" w:hAnsi="Lucida Console" w:cs="Courier New"/>
          <w:color w:val="4D4D4C"/>
          <w:sz w:val="20"/>
          <w:szCs w:val="20"/>
        </w:rPr>
        <w:t>3.709  0.000341</w:t>
      </w:r>
      <w:proofErr w:type="gramEnd"/>
      <w:r>
        <w:rPr>
          <w:rFonts w:ascii="Lucida Console" w:eastAsia="Times New Roman" w:hAnsi="Lucida Console" w:cs="Courier New"/>
          <w:color w:val="4D4D4C"/>
          <w:sz w:val="20"/>
          <w:szCs w:val="20"/>
        </w:rPr>
        <w:t xml:space="preserve"> ***</w:t>
      </w:r>
    </w:p>
    <w:p w14:paraId="6F71A8D8"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proofErr w:type="spellStart"/>
      <w:r>
        <w:rPr>
          <w:rFonts w:ascii="Lucida Console" w:eastAsia="Times New Roman" w:hAnsi="Lucida Console" w:cs="Courier New"/>
          <w:color w:val="4D4D4C"/>
          <w:sz w:val="20"/>
          <w:szCs w:val="20"/>
        </w:rPr>
        <w:t>matrix.median.age.not.NA.DELTA.AUC</w:t>
      </w:r>
      <w:proofErr w:type="spellEnd"/>
      <w:r>
        <w:rPr>
          <w:rFonts w:ascii="Lucida Console" w:eastAsia="Times New Roman" w:hAnsi="Lucida Console" w:cs="Courier New"/>
          <w:color w:val="4D4D4C"/>
          <w:sz w:val="20"/>
          <w:szCs w:val="20"/>
        </w:rPr>
        <w:t xml:space="preserve">   4.335 0.0000346 ***</w:t>
      </w:r>
    </w:p>
    <w:p w14:paraId="766755E2"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r>
        <w:rPr>
          <w:rFonts w:ascii="Lucida Console" w:eastAsia="Times New Roman" w:hAnsi="Lucida Console" w:cs="Courier New"/>
          <w:color w:val="4D4D4C"/>
          <w:sz w:val="20"/>
          <w:szCs w:val="20"/>
        </w:rPr>
        <w:t>---</w:t>
      </w:r>
    </w:p>
    <w:p w14:paraId="7556C332"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proofErr w:type="spellStart"/>
      <w:r>
        <w:rPr>
          <w:rFonts w:ascii="Lucida Console" w:eastAsia="Times New Roman" w:hAnsi="Lucida Console" w:cs="Courier New"/>
          <w:color w:val="4D4D4C"/>
          <w:sz w:val="20"/>
          <w:szCs w:val="20"/>
        </w:rPr>
        <w:t>Signif</w:t>
      </w:r>
      <w:proofErr w:type="spellEnd"/>
      <w:r>
        <w:rPr>
          <w:rFonts w:ascii="Lucida Console" w:eastAsia="Times New Roman" w:hAnsi="Lucida Console" w:cs="Courier New"/>
          <w:color w:val="4D4D4C"/>
          <w:sz w:val="20"/>
          <w:szCs w:val="20"/>
        </w:rPr>
        <w:t xml:space="preserve">. </w:t>
      </w:r>
      <w:proofErr w:type="gramStart"/>
      <w:r>
        <w:rPr>
          <w:rFonts w:ascii="Lucida Console" w:eastAsia="Times New Roman" w:hAnsi="Lucida Console" w:cs="Courier New"/>
          <w:color w:val="4D4D4C"/>
          <w:sz w:val="20"/>
          <w:szCs w:val="20"/>
        </w:rPr>
        <w:t>codes</w:t>
      </w:r>
      <w:proofErr w:type="gramEnd"/>
      <w:r>
        <w:rPr>
          <w:rFonts w:ascii="Lucida Console" w:eastAsia="Times New Roman" w:hAnsi="Lucida Console" w:cs="Courier New"/>
          <w:color w:val="4D4D4C"/>
          <w:sz w:val="20"/>
          <w:szCs w:val="20"/>
        </w:rPr>
        <w:t xml:space="preserve">:  0 ‘***’ 0.001 ‘**’ 0.01 ‘*’ 0.05 ‘.’ 0.1 </w:t>
      </w:r>
      <w:proofErr w:type="gramStart"/>
      <w:r>
        <w:rPr>
          <w:rFonts w:ascii="Lucida Console" w:eastAsia="Times New Roman" w:hAnsi="Lucida Console" w:cs="Courier New"/>
          <w:color w:val="4D4D4C"/>
          <w:sz w:val="20"/>
          <w:szCs w:val="20"/>
        </w:rPr>
        <w:t>‘ ’</w:t>
      </w:r>
      <w:proofErr w:type="gramEnd"/>
      <w:r>
        <w:rPr>
          <w:rFonts w:ascii="Lucida Console" w:eastAsia="Times New Roman" w:hAnsi="Lucida Console" w:cs="Courier New"/>
          <w:color w:val="4D4D4C"/>
          <w:sz w:val="20"/>
          <w:szCs w:val="20"/>
        </w:rPr>
        <w:t xml:space="preserve"> 1</w:t>
      </w:r>
    </w:p>
    <w:p w14:paraId="1C8B5E5C" w14:textId="77777777" w:rsidR="00342E07" w:rsidRDefault="00342E0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p>
    <w:p w14:paraId="29AFB961"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r>
        <w:rPr>
          <w:rFonts w:ascii="Lucida Console" w:eastAsia="Times New Roman" w:hAnsi="Lucida Console" w:cs="Courier New"/>
          <w:color w:val="4D4D4C"/>
          <w:sz w:val="20"/>
          <w:szCs w:val="20"/>
        </w:rPr>
        <w:t>Residual standard error: 0.063 on 101 degrees of freedom</w:t>
      </w:r>
    </w:p>
    <w:p w14:paraId="55677C6E"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r>
        <w:rPr>
          <w:rFonts w:ascii="Lucida Console" w:eastAsia="Times New Roman" w:hAnsi="Lucida Console" w:cs="Courier New"/>
          <w:color w:val="4D4D4C"/>
          <w:sz w:val="20"/>
          <w:szCs w:val="20"/>
        </w:rPr>
        <w:t>Multiple R-squared:  0.1569,</w:t>
      </w:r>
      <w:r>
        <w:rPr>
          <w:rFonts w:ascii="Lucida Console" w:eastAsia="Times New Roman" w:hAnsi="Lucida Console" w:cs="Courier New"/>
          <w:color w:val="4D4D4C"/>
          <w:sz w:val="20"/>
          <w:szCs w:val="20"/>
        </w:rPr>
        <w:tab/>
        <w:t xml:space="preserve">Adjusted R-squared:  0.1485 </w:t>
      </w:r>
    </w:p>
    <w:p w14:paraId="7E1D58A8"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r>
        <w:rPr>
          <w:rFonts w:ascii="Lucida Console" w:eastAsia="Times New Roman" w:hAnsi="Lucida Console" w:cs="Courier New"/>
          <w:color w:val="4D4D4C"/>
          <w:sz w:val="20"/>
          <w:szCs w:val="20"/>
        </w:rPr>
        <w:t>F-statistic: 18.79 on 1 and 101 DF</w:t>
      </w:r>
      <w:proofErr w:type="gramStart"/>
      <w:r>
        <w:rPr>
          <w:rFonts w:ascii="Lucida Console" w:eastAsia="Times New Roman" w:hAnsi="Lucida Console" w:cs="Courier New"/>
          <w:color w:val="4D4D4C"/>
          <w:sz w:val="20"/>
          <w:szCs w:val="20"/>
        </w:rPr>
        <w:t>,  p</w:t>
      </w:r>
      <w:proofErr w:type="gramEnd"/>
      <w:r>
        <w:rPr>
          <w:rFonts w:ascii="Lucida Console" w:eastAsia="Times New Roman" w:hAnsi="Lucida Console" w:cs="Courier New"/>
          <w:color w:val="4D4D4C"/>
          <w:sz w:val="20"/>
          <w:szCs w:val="20"/>
        </w:rPr>
        <w:t>-value: 0.00003455</w:t>
      </w:r>
    </w:p>
    <w:p w14:paraId="46DF16EC" w14:textId="77777777" w:rsidR="00342E07" w:rsidRDefault="00342E07">
      <w:pPr>
        <w:spacing w:after="0"/>
        <w:jc w:val="both"/>
      </w:pPr>
    </w:p>
    <w:p w14:paraId="777F392B" w14:textId="77777777" w:rsidR="00342E07" w:rsidRDefault="005356A1">
      <w:pPr>
        <w:spacing w:after="0"/>
        <w:jc w:val="both"/>
      </w:pPr>
      <w:r>
        <w:rPr>
          <w:noProof/>
        </w:rPr>
        <w:drawing>
          <wp:inline distT="0" distB="0" distL="0" distR="0" wp14:anchorId="55955964" wp14:editId="5D933475">
            <wp:extent cx="4867275" cy="3649980"/>
            <wp:effectExtent l="0" t="0" r="0" b="0"/>
            <wp:docPr id="19"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Grafik 22"/>
                    <pic:cNvPicPr>
                      <a:picLocks noChangeAspect="1" noChangeArrowheads="1"/>
                    </pic:cNvPicPr>
                  </pic:nvPicPr>
                  <pic:blipFill>
                    <a:blip r:embed="rId21"/>
                    <a:stretch>
                      <a:fillRect/>
                    </a:stretch>
                  </pic:blipFill>
                  <pic:spPr bwMode="auto">
                    <a:xfrm>
                      <a:off x="0" y="0"/>
                      <a:ext cx="4867275" cy="3649980"/>
                    </a:xfrm>
                    <a:prstGeom prst="rect">
                      <a:avLst/>
                    </a:prstGeom>
                  </pic:spPr>
                </pic:pic>
              </a:graphicData>
            </a:graphic>
          </wp:inline>
        </w:drawing>
      </w:r>
    </w:p>
    <w:p w14:paraId="66C113DD" w14:textId="77777777" w:rsidR="00342E07" w:rsidRDefault="00342E07">
      <w:pPr>
        <w:pStyle w:val="ListParagraph"/>
        <w:spacing w:after="0"/>
        <w:ind w:left="774"/>
        <w:jc w:val="both"/>
      </w:pPr>
    </w:p>
    <w:p w14:paraId="1823FF32" w14:textId="77777777" w:rsidR="00342E07" w:rsidRDefault="00342E07">
      <w:pPr>
        <w:pStyle w:val="ListParagraph"/>
        <w:spacing w:after="0"/>
        <w:ind w:left="774"/>
        <w:jc w:val="both"/>
      </w:pPr>
    </w:p>
    <w:p w14:paraId="3801E8F2"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8959A8"/>
          <w:sz w:val="20"/>
          <w:szCs w:val="20"/>
        </w:rPr>
      </w:pPr>
      <w:r>
        <w:rPr>
          <w:rFonts w:ascii="Lucida Console" w:eastAsia="Times New Roman" w:hAnsi="Lucida Console" w:cs="Courier New"/>
          <w:color w:val="8959A8"/>
          <w:sz w:val="20"/>
          <w:szCs w:val="20"/>
        </w:rPr>
        <w:t xml:space="preserve">&gt; </w:t>
      </w:r>
      <w:proofErr w:type="spellStart"/>
      <w:proofErr w:type="gramStart"/>
      <w:r>
        <w:rPr>
          <w:rFonts w:ascii="Lucida Console" w:eastAsia="Times New Roman" w:hAnsi="Lucida Console" w:cs="Courier New"/>
          <w:color w:val="8959A8"/>
          <w:sz w:val="20"/>
          <w:szCs w:val="20"/>
        </w:rPr>
        <w:t>anova</w:t>
      </w:r>
      <w:proofErr w:type="spellEnd"/>
      <w:r>
        <w:rPr>
          <w:rFonts w:ascii="Lucida Console" w:eastAsia="Times New Roman" w:hAnsi="Lucida Console" w:cs="Courier New"/>
          <w:color w:val="8959A8"/>
          <w:sz w:val="20"/>
          <w:szCs w:val="20"/>
        </w:rPr>
        <w:t>(</w:t>
      </w:r>
      <w:proofErr w:type="gramEnd"/>
      <w:r>
        <w:rPr>
          <w:rFonts w:ascii="Lucida Console" w:eastAsia="Times New Roman" w:hAnsi="Lucida Console" w:cs="Courier New"/>
          <w:color w:val="8959A8"/>
          <w:sz w:val="20"/>
          <w:szCs w:val="20"/>
        </w:rPr>
        <w:t>lm(</w:t>
      </w:r>
      <w:proofErr w:type="spellStart"/>
      <w:r>
        <w:rPr>
          <w:rFonts w:ascii="Lucida Console" w:eastAsia="Times New Roman" w:hAnsi="Lucida Console" w:cs="Courier New"/>
          <w:color w:val="8959A8"/>
          <w:sz w:val="20"/>
          <w:szCs w:val="20"/>
        </w:rPr>
        <w:t>median.age</w:t>
      </w:r>
      <w:proofErr w:type="spellEnd"/>
      <w:r>
        <w:rPr>
          <w:rFonts w:ascii="Lucida Console" w:eastAsia="Times New Roman" w:hAnsi="Lucida Console" w:cs="Courier New"/>
          <w:color w:val="8959A8"/>
          <w:sz w:val="20"/>
          <w:szCs w:val="20"/>
        </w:rPr>
        <w:t xml:space="preserve"> ~ </w:t>
      </w:r>
      <w:proofErr w:type="spellStart"/>
      <w:r>
        <w:rPr>
          <w:rFonts w:ascii="Lucida Console" w:eastAsia="Times New Roman" w:hAnsi="Lucida Console" w:cs="Courier New"/>
          <w:color w:val="8959A8"/>
          <w:sz w:val="20"/>
          <w:szCs w:val="20"/>
        </w:rPr>
        <w:t>group.cohort</w:t>
      </w:r>
      <w:proofErr w:type="spellEnd"/>
      <w:r>
        <w:rPr>
          <w:rFonts w:ascii="Lucida Console" w:eastAsia="Times New Roman" w:hAnsi="Lucida Console" w:cs="Courier New"/>
          <w:color w:val="8959A8"/>
          <w:sz w:val="20"/>
          <w:szCs w:val="20"/>
        </w:rPr>
        <w:t>))</w:t>
      </w:r>
    </w:p>
    <w:p w14:paraId="3C526634"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r>
        <w:rPr>
          <w:rFonts w:ascii="Lucida Console" w:eastAsia="Times New Roman" w:hAnsi="Lucida Console" w:cs="Courier New"/>
          <w:color w:val="4D4D4C"/>
          <w:sz w:val="20"/>
          <w:szCs w:val="20"/>
        </w:rPr>
        <w:t>Analysis of Variance Table</w:t>
      </w:r>
    </w:p>
    <w:p w14:paraId="4027AE02" w14:textId="77777777" w:rsidR="00342E07" w:rsidRDefault="00342E0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p>
    <w:p w14:paraId="4D4B69C1"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r>
        <w:rPr>
          <w:rFonts w:ascii="Lucida Console" w:eastAsia="Times New Roman" w:hAnsi="Lucida Console" w:cs="Courier New"/>
          <w:color w:val="4D4D4C"/>
          <w:sz w:val="20"/>
          <w:szCs w:val="20"/>
        </w:rPr>
        <w:t xml:space="preserve">Response: </w:t>
      </w:r>
      <w:proofErr w:type="spellStart"/>
      <w:r>
        <w:rPr>
          <w:rFonts w:ascii="Lucida Console" w:eastAsia="Times New Roman" w:hAnsi="Lucida Console" w:cs="Courier New"/>
          <w:color w:val="4D4D4C"/>
          <w:sz w:val="20"/>
          <w:szCs w:val="20"/>
        </w:rPr>
        <w:t>median.age</w:t>
      </w:r>
      <w:proofErr w:type="spellEnd"/>
    </w:p>
    <w:p w14:paraId="6124E196"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r>
        <w:rPr>
          <w:rFonts w:ascii="Lucida Console" w:eastAsia="Times New Roman" w:hAnsi="Lucida Console" w:cs="Courier New"/>
          <w:color w:val="4D4D4C"/>
          <w:sz w:val="20"/>
          <w:szCs w:val="20"/>
        </w:rPr>
        <w:t xml:space="preserve">             </w:t>
      </w:r>
      <w:proofErr w:type="spellStart"/>
      <w:r>
        <w:rPr>
          <w:rFonts w:ascii="Lucida Console" w:eastAsia="Times New Roman" w:hAnsi="Lucida Console" w:cs="Courier New"/>
          <w:color w:val="4D4D4C"/>
          <w:sz w:val="20"/>
          <w:szCs w:val="20"/>
        </w:rPr>
        <w:t>Df</w:t>
      </w:r>
      <w:proofErr w:type="spellEnd"/>
      <w:r>
        <w:rPr>
          <w:rFonts w:ascii="Lucida Console" w:eastAsia="Times New Roman" w:hAnsi="Lucida Console" w:cs="Courier New"/>
          <w:color w:val="4D4D4C"/>
          <w:sz w:val="20"/>
          <w:szCs w:val="20"/>
        </w:rPr>
        <w:t xml:space="preserve"> Sum </w:t>
      </w:r>
      <w:proofErr w:type="spellStart"/>
      <w:r>
        <w:rPr>
          <w:rFonts w:ascii="Lucida Console" w:eastAsia="Times New Roman" w:hAnsi="Lucida Console" w:cs="Courier New"/>
          <w:color w:val="4D4D4C"/>
          <w:sz w:val="20"/>
          <w:szCs w:val="20"/>
        </w:rPr>
        <w:t>Sq</w:t>
      </w:r>
      <w:proofErr w:type="spellEnd"/>
      <w:r>
        <w:rPr>
          <w:rFonts w:ascii="Lucida Console" w:eastAsia="Times New Roman" w:hAnsi="Lucida Console" w:cs="Courier New"/>
          <w:color w:val="4D4D4C"/>
          <w:sz w:val="20"/>
          <w:szCs w:val="20"/>
        </w:rPr>
        <w:t xml:space="preserve"> Mean </w:t>
      </w:r>
      <w:proofErr w:type="spellStart"/>
      <w:r>
        <w:rPr>
          <w:rFonts w:ascii="Lucida Console" w:eastAsia="Times New Roman" w:hAnsi="Lucida Console" w:cs="Courier New"/>
          <w:color w:val="4D4D4C"/>
          <w:sz w:val="20"/>
          <w:szCs w:val="20"/>
        </w:rPr>
        <w:t>Sq</w:t>
      </w:r>
      <w:proofErr w:type="spellEnd"/>
      <w:r>
        <w:rPr>
          <w:rFonts w:ascii="Lucida Console" w:eastAsia="Times New Roman" w:hAnsi="Lucida Console" w:cs="Courier New"/>
          <w:color w:val="4D4D4C"/>
          <w:sz w:val="20"/>
          <w:szCs w:val="20"/>
        </w:rPr>
        <w:t xml:space="preserve"> F value </w:t>
      </w:r>
      <w:proofErr w:type="spellStart"/>
      <w:proofErr w:type="gramStart"/>
      <w:r>
        <w:rPr>
          <w:rFonts w:ascii="Lucida Console" w:eastAsia="Times New Roman" w:hAnsi="Lucida Console" w:cs="Courier New"/>
          <w:color w:val="4D4D4C"/>
          <w:sz w:val="20"/>
          <w:szCs w:val="20"/>
        </w:rPr>
        <w:t>Pr</w:t>
      </w:r>
      <w:proofErr w:type="spellEnd"/>
      <w:r>
        <w:rPr>
          <w:rFonts w:ascii="Lucida Console" w:eastAsia="Times New Roman" w:hAnsi="Lucida Console" w:cs="Courier New"/>
          <w:color w:val="4D4D4C"/>
          <w:sz w:val="20"/>
          <w:szCs w:val="20"/>
        </w:rPr>
        <w:t>(</w:t>
      </w:r>
      <w:proofErr w:type="gramEnd"/>
      <w:r>
        <w:rPr>
          <w:rFonts w:ascii="Lucida Console" w:eastAsia="Times New Roman" w:hAnsi="Lucida Console" w:cs="Courier New"/>
          <w:color w:val="4D4D4C"/>
          <w:sz w:val="20"/>
          <w:szCs w:val="20"/>
        </w:rPr>
        <w:t>&gt;F)</w:t>
      </w:r>
    </w:p>
    <w:p w14:paraId="5EEF147A"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proofErr w:type="spellStart"/>
      <w:proofErr w:type="gramStart"/>
      <w:r>
        <w:rPr>
          <w:rFonts w:ascii="Lucida Console" w:eastAsia="Times New Roman" w:hAnsi="Lucida Console" w:cs="Courier New"/>
          <w:color w:val="4D4D4C"/>
          <w:sz w:val="20"/>
          <w:szCs w:val="20"/>
        </w:rPr>
        <w:t>group.cohort</w:t>
      </w:r>
      <w:proofErr w:type="spellEnd"/>
      <w:r>
        <w:rPr>
          <w:rFonts w:ascii="Lucida Console" w:eastAsia="Times New Roman" w:hAnsi="Lucida Console" w:cs="Courier New"/>
          <w:color w:val="4D4D4C"/>
          <w:sz w:val="20"/>
          <w:szCs w:val="20"/>
        </w:rPr>
        <w:t xml:space="preserve">  1</w:t>
      </w:r>
      <w:proofErr w:type="gramEnd"/>
      <w:r>
        <w:rPr>
          <w:rFonts w:ascii="Lucida Console" w:eastAsia="Times New Roman" w:hAnsi="Lucida Console" w:cs="Courier New"/>
          <w:color w:val="4D4D4C"/>
          <w:sz w:val="20"/>
          <w:szCs w:val="20"/>
        </w:rPr>
        <w:t xml:space="preserve">  16.54  16.535  1.0912 0.3075</w:t>
      </w:r>
    </w:p>
    <w:p w14:paraId="14F1761F"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r>
        <w:rPr>
          <w:rFonts w:ascii="Lucida Console" w:eastAsia="Times New Roman" w:hAnsi="Lucida Console" w:cs="Courier New"/>
          <w:color w:val="4D4D4C"/>
          <w:sz w:val="20"/>
          <w:szCs w:val="20"/>
        </w:rPr>
        <w:t xml:space="preserve">Residuals    22 </w:t>
      </w:r>
      <w:proofErr w:type="gramStart"/>
      <w:r>
        <w:rPr>
          <w:rFonts w:ascii="Lucida Console" w:eastAsia="Times New Roman" w:hAnsi="Lucida Console" w:cs="Courier New"/>
          <w:color w:val="4D4D4C"/>
          <w:sz w:val="20"/>
          <w:szCs w:val="20"/>
        </w:rPr>
        <w:t>333.37  15.153</w:t>
      </w:r>
      <w:proofErr w:type="gramEnd"/>
      <w:r>
        <w:rPr>
          <w:rFonts w:ascii="Lucida Console" w:eastAsia="Times New Roman" w:hAnsi="Lucida Console" w:cs="Courier New"/>
          <w:color w:val="4D4D4C"/>
          <w:sz w:val="20"/>
          <w:szCs w:val="20"/>
        </w:rPr>
        <w:t xml:space="preserve"> </w:t>
      </w:r>
    </w:p>
    <w:p w14:paraId="0E4D4906" w14:textId="77777777" w:rsidR="00342E07" w:rsidRDefault="00342E07">
      <w:pPr>
        <w:spacing w:after="0"/>
        <w:jc w:val="both"/>
      </w:pPr>
    </w:p>
    <w:p w14:paraId="45F722C7" w14:textId="77777777" w:rsidR="00342E07" w:rsidRDefault="00342E07">
      <w:pPr>
        <w:pStyle w:val="ListParagraph"/>
        <w:spacing w:after="0"/>
        <w:ind w:left="774"/>
        <w:jc w:val="both"/>
      </w:pPr>
    </w:p>
    <w:p w14:paraId="34FDFD97" w14:textId="77777777" w:rsidR="00342E07" w:rsidRDefault="00342E07">
      <w:pPr>
        <w:pStyle w:val="ListParagraph"/>
        <w:spacing w:after="0"/>
        <w:ind w:left="774"/>
        <w:jc w:val="both"/>
      </w:pPr>
    </w:p>
    <w:p w14:paraId="0EF666C5" w14:textId="77777777" w:rsidR="00342E07" w:rsidRDefault="00342E07">
      <w:pPr>
        <w:pStyle w:val="ListParagraph"/>
        <w:spacing w:after="0"/>
        <w:ind w:left="774"/>
        <w:jc w:val="both"/>
      </w:pPr>
    </w:p>
    <w:p w14:paraId="1DD15009" w14:textId="77777777" w:rsidR="00342E07" w:rsidRDefault="00342E07">
      <w:pPr>
        <w:pStyle w:val="ListParagraph"/>
        <w:spacing w:after="0"/>
        <w:ind w:left="774"/>
        <w:jc w:val="both"/>
      </w:pPr>
    </w:p>
    <w:p w14:paraId="01F83327" w14:textId="77777777" w:rsidR="00342E07" w:rsidRDefault="00342E07">
      <w:pPr>
        <w:pStyle w:val="ListParagraph"/>
        <w:spacing w:after="0"/>
        <w:ind w:left="774"/>
        <w:jc w:val="both"/>
      </w:pPr>
    </w:p>
    <w:p w14:paraId="29CF1664" w14:textId="77777777" w:rsidR="00342E07" w:rsidRDefault="00342E07">
      <w:pPr>
        <w:pStyle w:val="ListParagraph"/>
        <w:spacing w:after="0"/>
        <w:ind w:left="774"/>
        <w:jc w:val="both"/>
      </w:pPr>
    </w:p>
    <w:p w14:paraId="089ACF27" w14:textId="77777777" w:rsidR="00342E07" w:rsidRDefault="00342E07">
      <w:pPr>
        <w:pStyle w:val="ListParagraph"/>
        <w:spacing w:after="0"/>
        <w:ind w:left="774"/>
        <w:jc w:val="both"/>
      </w:pPr>
    </w:p>
    <w:p w14:paraId="3609C6F6" w14:textId="77777777" w:rsidR="00342E07" w:rsidRDefault="00342E07">
      <w:pPr>
        <w:pStyle w:val="ListParagraph"/>
        <w:spacing w:after="0"/>
        <w:ind w:left="774"/>
        <w:jc w:val="both"/>
      </w:pPr>
    </w:p>
    <w:p w14:paraId="3022A342" w14:textId="77777777" w:rsidR="00342E07" w:rsidRDefault="00342E07">
      <w:pPr>
        <w:pStyle w:val="ListParagraph"/>
        <w:spacing w:after="0"/>
        <w:ind w:left="774"/>
        <w:jc w:val="both"/>
      </w:pPr>
    </w:p>
    <w:p w14:paraId="3BDDF74A" w14:textId="77777777" w:rsidR="00342E07" w:rsidRDefault="00342E07">
      <w:pPr>
        <w:pStyle w:val="ListParagraph"/>
        <w:spacing w:after="0"/>
        <w:ind w:left="774"/>
        <w:jc w:val="both"/>
      </w:pPr>
    </w:p>
    <w:p w14:paraId="4D64A354" w14:textId="77777777" w:rsidR="00342E07" w:rsidRDefault="00342E07">
      <w:pPr>
        <w:pStyle w:val="ListParagraph"/>
        <w:spacing w:after="0"/>
        <w:ind w:left="774"/>
        <w:jc w:val="both"/>
      </w:pPr>
    </w:p>
    <w:p w14:paraId="28DAB85D" w14:textId="77777777" w:rsidR="00342E07" w:rsidRDefault="00342E07">
      <w:pPr>
        <w:pStyle w:val="ListParagraph"/>
        <w:spacing w:after="0"/>
        <w:ind w:left="774"/>
        <w:jc w:val="both"/>
      </w:pPr>
    </w:p>
    <w:p w14:paraId="69DFA25F" w14:textId="77777777" w:rsidR="00342E07" w:rsidRDefault="00342E07">
      <w:pPr>
        <w:pStyle w:val="ListParagraph"/>
        <w:spacing w:after="0"/>
        <w:ind w:left="774"/>
        <w:jc w:val="both"/>
      </w:pPr>
    </w:p>
    <w:p w14:paraId="43650781" w14:textId="77777777" w:rsidR="00342E07" w:rsidRDefault="00342E07">
      <w:pPr>
        <w:pStyle w:val="ListParagraph"/>
        <w:spacing w:after="0"/>
        <w:ind w:left="774"/>
        <w:jc w:val="both"/>
      </w:pPr>
    </w:p>
    <w:p w14:paraId="15DDB669" w14:textId="77777777" w:rsidR="00342E07" w:rsidRDefault="005356A1">
      <w:pPr>
        <w:pStyle w:val="Heading2"/>
      </w:pPr>
      <w:bookmarkStart w:id="170" w:name="_Toc488490637"/>
      <w:bookmarkStart w:id="171" w:name="_Toc373597616"/>
      <w:bookmarkEnd w:id="170"/>
      <w:r>
        <w:t>AUC vs variance age</w:t>
      </w:r>
      <w:bookmarkEnd w:id="171"/>
    </w:p>
    <w:p w14:paraId="75AB85C0" w14:textId="77777777" w:rsidR="00342E07" w:rsidRDefault="00342E07">
      <w:pPr>
        <w:spacing w:after="0"/>
        <w:jc w:val="both"/>
      </w:pPr>
    </w:p>
    <w:p w14:paraId="50370C03" w14:textId="77777777" w:rsidR="00342E07" w:rsidRDefault="005356A1">
      <w:pPr>
        <w:spacing w:after="0"/>
        <w:jc w:val="both"/>
      </w:pPr>
      <w:r>
        <w:rPr>
          <w:noProof/>
        </w:rPr>
        <w:drawing>
          <wp:inline distT="0" distB="0" distL="0" distR="0" wp14:anchorId="73505241" wp14:editId="6B707B13">
            <wp:extent cx="5114925" cy="3836035"/>
            <wp:effectExtent l="0" t="0" r="0" b="0"/>
            <wp:docPr id="20" name="Grafi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Grafik 23"/>
                    <pic:cNvPicPr>
                      <a:picLocks noChangeAspect="1" noChangeArrowheads="1"/>
                    </pic:cNvPicPr>
                  </pic:nvPicPr>
                  <pic:blipFill>
                    <a:blip r:embed="rId22"/>
                    <a:stretch>
                      <a:fillRect/>
                    </a:stretch>
                  </pic:blipFill>
                  <pic:spPr bwMode="auto">
                    <a:xfrm>
                      <a:off x="0" y="0"/>
                      <a:ext cx="5114925" cy="3836035"/>
                    </a:xfrm>
                    <a:prstGeom prst="rect">
                      <a:avLst/>
                    </a:prstGeom>
                  </pic:spPr>
                </pic:pic>
              </a:graphicData>
            </a:graphic>
          </wp:inline>
        </w:drawing>
      </w:r>
    </w:p>
    <w:p w14:paraId="6AD4B344"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8959A8"/>
          <w:sz w:val="20"/>
          <w:szCs w:val="20"/>
        </w:rPr>
      </w:pPr>
      <w:r>
        <w:rPr>
          <w:rFonts w:ascii="Lucida Console" w:eastAsia="Times New Roman" w:hAnsi="Lucida Console" w:cs="Courier New"/>
          <w:color w:val="8959A8"/>
          <w:sz w:val="20"/>
          <w:szCs w:val="20"/>
        </w:rPr>
        <w:t xml:space="preserve">&gt; </w:t>
      </w:r>
      <w:proofErr w:type="gramStart"/>
      <w:r>
        <w:rPr>
          <w:rFonts w:ascii="Lucida Console" w:eastAsia="Times New Roman" w:hAnsi="Lucida Console" w:cs="Courier New"/>
          <w:color w:val="8959A8"/>
          <w:sz w:val="20"/>
          <w:szCs w:val="20"/>
        </w:rPr>
        <w:t>summary(</w:t>
      </w:r>
      <w:proofErr w:type="spellStart"/>
      <w:proofErr w:type="gramEnd"/>
      <w:r>
        <w:rPr>
          <w:rFonts w:ascii="Lucida Console" w:eastAsia="Times New Roman" w:hAnsi="Lucida Console" w:cs="Courier New"/>
          <w:color w:val="8959A8"/>
          <w:sz w:val="20"/>
          <w:szCs w:val="20"/>
        </w:rPr>
        <w:t>regression.DELTA.AUC.vs.variance.age</w:t>
      </w:r>
      <w:proofErr w:type="spellEnd"/>
      <w:r>
        <w:rPr>
          <w:rFonts w:ascii="Lucida Console" w:eastAsia="Times New Roman" w:hAnsi="Lucida Console" w:cs="Courier New"/>
          <w:color w:val="8959A8"/>
          <w:sz w:val="20"/>
          <w:szCs w:val="20"/>
        </w:rPr>
        <w:t>)</w:t>
      </w:r>
    </w:p>
    <w:p w14:paraId="7CEE3248" w14:textId="77777777" w:rsidR="00342E07" w:rsidRDefault="00342E0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p>
    <w:p w14:paraId="590BFAA7"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r>
        <w:rPr>
          <w:rFonts w:ascii="Lucida Console" w:eastAsia="Times New Roman" w:hAnsi="Lucida Console" w:cs="Courier New"/>
          <w:color w:val="4D4D4C"/>
          <w:sz w:val="20"/>
          <w:szCs w:val="20"/>
        </w:rPr>
        <w:t>Call:</w:t>
      </w:r>
    </w:p>
    <w:p w14:paraId="3B9BB44E"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proofErr w:type="gramStart"/>
      <w:r>
        <w:rPr>
          <w:rFonts w:ascii="Lucida Console" w:eastAsia="Times New Roman" w:hAnsi="Lucida Console" w:cs="Courier New"/>
          <w:color w:val="4D4D4C"/>
          <w:sz w:val="20"/>
          <w:szCs w:val="20"/>
        </w:rPr>
        <w:t>lm(</w:t>
      </w:r>
      <w:proofErr w:type="gramEnd"/>
      <w:r>
        <w:rPr>
          <w:rFonts w:ascii="Lucida Console" w:eastAsia="Times New Roman" w:hAnsi="Lucida Console" w:cs="Courier New"/>
          <w:color w:val="4D4D4C"/>
          <w:sz w:val="20"/>
          <w:szCs w:val="20"/>
        </w:rPr>
        <w:t xml:space="preserve">formula = </w:t>
      </w:r>
      <w:proofErr w:type="spellStart"/>
      <w:r>
        <w:rPr>
          <w:rFonts w:ascii="Lucida Console" w:eastAsia="Times New Roman" w:hAnsi="Lucida Console" w:cs="Courier New"/>
          <w:color w:val="4D4D4C"/>
          <w:sz w:val="20"/>
          <w:szCs w:val="20"/>
        </w:rPr>
        <w:t>matrix_model_cohort.DELTA.AUC.not.NA.DELTA.AUC</w:t>
      </w:r>
      <w:proofErr w:type="spellEnd"/>
      <w:r>
        <w:rPr>
          <w:rFonts w:ascii="Lucida Console" w:eastAsia="Times New Roman" w:hAnsi="Lucida Console" w:cs="Courier New"/>
          <w:color w:val="4D4D4C"/>
          <w:sz w:val="20"/>
          <w:szCs w:val="20"/>
        </w:rPr>
        <w:t xml:space="preserve"> ~ </w:t>
      </w:r>
    </w:p>
    <w:p w14:paraId="5F60F3CB"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r>
        <w:rPr>
          <w:rFonts w:ascii="Lucida Console" w:eastAsia="Times New Roman" w:hAnsi="Lucida Console" w:cs="Courier New"/>
          <w:color w:val="4D4D4C"/>
          <w:sz w:val="20"/>
          <w:szCs w:val="20"/>
        </w:rPr>
        <w:t xml:space="preserve">    </w:t>
      </w:r>
      <w:proofErr w:type="spellStart"/>
      <w:r>
        <w:rPr>
          <w:rFonts w:ascii="Lucida Console" w:eastAsia="Times New Roman" w:hAnsi="Lucida Console" w:cs="Courier New"/>
          <w:color w:val="4D4D4C"/>
          <w:sz w:val="20"/>
          <w:szCs w:val="20"/>
        </w:rPr>
        <w:t>matrix.variance.age.not.NA.DELTA.AUC</w:t>
      </w:r>
      <w:proofErr w:type="spellEnd"/>
      <w:r>
        <w:rPr>
          <w:rFonts w:ascii="Lucida Console" w:eastAsia="Times New Roman" w:hAnsi="Lucida Console" w:cs="Courier New"/>
          <w:color w:val="4D4D4C"/>
          <w:sz w:val="20"/>
          <w:szCs w:val="20"/>
        </w:rPr>
        <w:t>)</w:t>
      </w:r>
    </w:p>
    <w:p w14:paraId="25759C52" w14:textId="77777777" w:rsidR="00342E07" w:rsidRDefault="00342E0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p>
    <w:p w14:paraId="2BFACD02"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r>
        <w:rPr>
          <w:rFonts w:ascii="Lucida Console" w:eastAsia="Times New Roman" w:hAnsi="Lucida Console" w:cs="Courier New"/>
          <w:color w:val="4D4D4C"/>
          <w:sz w:val="20"/>
          <w:szCs w:val="20"/>
        </w:rPr>
        <w:t>Residuals:</w:t>
      </w:r>
    </w:p>
    <w:p w14:paraId="4F9789B0"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r>
        <w:rPr>
          <w:rFonts w:ascii="Lucida Console" w:eastAsia="Times New Roman" w:hAnsi="Lucida Console" w:cs="Courier New"/>
          <w:color w:val="4D4D4C"/>
          <w:sz w:val="20"/>
          <w:szCs w:val="20"/>
        </w:rPr>
        <w:t xml:space="preserve">      Min        1Q    Median        3Q       Max </w:t>
      </w:r>
    </w:p>
    <w:p w14:paraId="0389F51D"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r>
        <w:rPr>
          <w:rFonts w:ascii="Lucida Console" w:eastAsia="Times New Roman" w:hAnsi="Lucida Console" w:cs="Courier New"/>
          <w:color w:val="4D4D4C"/>
          <w:sz w:val="20"/>
          <w:szCs w:val="20"/>
        </w:rPr>
        <w:t>-0.139115 -</w:t>
      </w:r>
      <w:proofErr w:type="gramStart"/>
      <w:r>
        <w:rPr>
          <w:rFonts w:ascii="Lucida Console" w:eastAsia="Times New Roman" w:hAnsi="Lucida Console" w:cs="Courier New"/>
          <w:color w:val="4D4D4C"/>
          <w:sz w:val="20"/>
          <w:szCs w:val="20"/>
        </w:rPr>
        <w:t>0.055526  0.005361</w:t>
      </w:r>
      <w:proofErr w:type="gramEnd"/>
      <w:r>
        <w:rPr>
          <w:rFonts w:ascii="Lucida Console" w:eastAsia="Times New Roman" w:hAnsi="Lucida Console" w:cs="Courier New"/>
          <w:color w:val="4D4D4C"/>
          <w:sz w:val="20"/>
          <w:szCs w:val="20"/>
        </w:rPr>
        <w:t xml:space="preserve">  0.046485  0.174704 </w:t>
      </w:r>
    </w:p>
    <w:p w14:paraId="5E8D1AA5" w14:textId="77777777" w:rsidR="00342E07" w:rsidRDefault="00342E0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p>
    <w:p w14:paraId="66442639"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r>
        <w:rPr>
          <w:rFonts w:ascii="Lucida Console" w:eastAsia="Times New Roman" w:hAnsi="Lucida Console" w:cs="Courier New"/>
          <w:color w:val="4D4D4C"/>
          <w:sz w:val="20"/>
          <w:szCs w:val="20"/>
        </w:rPr>
        <w:t>Coefficients:</w:t>
      </w:r>
    </w:p>
    <w:p w14:paraId="5F7B4354"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r>
        <w:rPr>
          <w:rFonts w:ascii="Lucida Console" w:eastAsia="Times New Roman" w:hAnsi="Lucida Console" w:cs="Courier New"/>
          <w:color w:val="4D4D4C"/>
          <w:sz w:val="20"/>
          <w:szCs w:val="20"/>
        </w:rPr>
        <w:t xml:space="preserve">                                       Estimate Std. Error</w:t>
      </w:r>
    </w:p>
    <w:p w14:paraId="16D2D991"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r>
        <w:rPr>
          <w:rFonts w:ascii="Lucida Console" w:eastAsia="Times New Roman" w:hAnsi="Lucida Console" w:cs="Courier New"/>
          <w:color w:val="4D4D4C"/>
          <w:sz w:val="20"/>
          <w:szCs w:val="20"/>
        </w:rPr>
        <w:t xml:space="preserve">(Intercept)                           </w:t>
      </w:r>
      <w:proofErr w:type="gramStart"/>
      <w:r>
        <w:rPr>
          <w:rFonts w:ascii="Lucida Console" w:eastAsia="Times New Roman" w:hAnsi="Lucida Console" w:cs="Courier New"/>
          <w:color w:val="4D4D4C"/>
          <w:sz w:val="20"/>
          <w:szCs w:val="20"/>
        </w:rPr>
        <w:t>0.1340339  0.0370021</w:t>
      </w:r>
      <w:proofErr w:type="gramEnd"/>
    </w:p>
    <w:p w14:paraId="31F1404E"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proofErr w:type="spellStart"/>
      <w:r>
        <w:rPr>
          <w:rFonts w:ascii="Lucida Console" w:eastAsia="Times New Roman" w:hAnsi="Lucida Console" w:cs="Courier New"/>
          <w:color w:val="4D4D4C"/>
          <w:sz w:val="20"/>
          <w:szCs w:val="20"/>
        </w:rPr>
        <w:t>matrix.variance.age.not.NA.DELTA.AUC</w:t>
      </w:r>
      <w:proofErr w:type="spellEnd"/>
      <w:r>
        <w:rPr>
          <w:rFonts w:ascii="Lucida Console" w:eastAsia="Times New Roman" w:hAnsi="Lucida Console" w:cs="Courier New"/>
          <w:color w:val="4D4D4C"/>
          <w:sz w:val="20"/>
          <w:szCs w:val="20"/>
        </w:rPr>
        <w:t xml:space="preserve"> -</w:t>
      </w:r>
      <w:proofErr w:type="gramStart"/>
      <w:r>
        <w:rPr>
          <w:rFonts w:ascii="Lucida Console" w:eastAsia="Times New Roman" w:hAnsi="Lucida Console" w:cs="Courier New"/>
          <w:color w:val="4D4D4C"/>
          <w:sz w:val="20"/>
          <w:szCs w:val="20"/>
        </w:rPr>
        <w:t>0.0007652  0.0004184</w:t>
      </w:r>
      <w:proofErr w:type="gramEnd"/>
    </w:p>
    <w:p w14:paraId="0F3CC5C2"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r>
        <w:rPr>
          <w:rFonts w:ascii="Lucida Console" w:eastAsia="Times New Roman" w:hAnsi="Lucida Console" w:cs="Courier New"/>
          <w:color w:val="4D4D4C"/>
          <w:sz w:val="20"/>
          <w:szCs w:val="20"/>
        </w:rPr>
        <w:t xml:space="preserve">                                     </w:t>
      </w:r>
      <w:proofErr w:type="gramStart"/>
      <w:r>
        <w:rPr>
          <w:rFonts w:ascii="Lucida Console" w:eastAsia="Times New Roman" w:hAnsi="Lucida Console" w:cs="Courier New"/>
          <w:color w:val="4D4D4C"/>
          <w:sz w:val="20"/>
          <w:szCs w:val="20"/>
        </w:rPr>
        <w:t>t</w:t>
      </w:r>
      <w:proofErr w:type="gramEnd"/>
      <w:r>
        <w:rPr>
          <w:rFonts w:ascii="Lucida Console" w:eastAsia="Times New Roman" w:hAnsi="Lucida Console" w:cs="Courier New"/>
          <w:color w:val="4D4D4C"/>
          <w:sz w:val="20"/>
          <w:szCs w:val="20"/>
        </w:rPr>
        <w:t xml:space="preserve"> value </w:t>
      </w:r>
      <w:proofErr w:type="spellStart"/>
      <w:r>
        <w:rPr>
          <w:rFonts w:ascii="Lucida Console" w:eastAsia="Times New Roman" w:hAnsi="Lucida Console" w:cs="Courier New"/>
          <w:color w:val="4D4D4C"/>
          <w:sz w:val="20"/>
          <w:szCs w:val="20"/>
        </w:rPr>
        <w:t>Pr</w:t>
      </w:r>
      <w:proofErr w:type="spellEnd"/>
      <w:r>
        <w:rPr>
          <w:rFonts w:ascii="Lucida Console" w:eastAsia="Times New Roman" w:hAnsi="Lucida Console" w:cs="Courier New"/>
          <w:color w:val="4D4D4C"/>
          <w:sz w:val="20"/>
          <w:szCs w:val="20"/>
        </w:rPr>
        <w:t xml:space="preserve">(&gt;|t|)    </w:t>
      </w:r>
    </w:p>
    <w:p w14:paraId="297B59A7"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r>
        <w:rPr>
          <w:rFonts w:ascii="Lucida Console" w:eastAsia="Times New Roman" w:hAnsi="Lucida Console" w:cs="Courier New"/>
          <w:color w:val="4D4D4C"/>
          <w:sz w:val="20"/>
          <w:szCs w:val="20"/>
        </w:rPr>
        <w:t>(Intercept)                            3.622 0.000459 ***</w:t>
      </w:r>
    </w:p>
    <w:p w14:paraId="7C2B1BA7"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proofErr w:type="spellStart"/>
      <w:proofErr w:type="gramStart"/>
      <w:r>
        <w:rPr>
          <w:rFonts w:ascii="Lucida Console" w:eastAsia="Times New Roman" w:hAnsi="Lucida Console" w:cs="Courier New"/>
          <w:color w:val="4D4D4C"/>
          <w:sz w:val="20"/>
          <w:szCs w:val="20"/>
        </w:rPr>
        <w:t>matrix.variance.age.not.NA.DELTA.AUC</w:t>
      </w:r>
      <w:proofErr w:type="spellEnd"/>
      <w:r>
        <w:rPr>
          <w:rFonts w:ascii="Lucida Console" w:eastAsia="Times New Roman" w:hAnsi="Lucida Console" w:cs="Courier New"/>
          <w:color w:val="4D4D4C"/>
          <w:sz w:val="20"/>
          <w:szCs w:val="20"/>
        </w:rPr>
        <w:t xml:space="preserve">  -</w:t>
      </w:r>
      <w:proofErr w:type="gramEnd"/>
      <w:r>
        <w:rPr>
          <w:rFonts w:ascii="Lucida Console" w:eastAsia="Times New Roman" w:hAnsi="Lucida Console" w:cs="Courier New"/>
          <w:color w:val="4D4D4C"/>
          <w:sz w:val="20"/>
          <w:szCs w:val="20"/>
        </w:rPr>
        <w:t xml:space="preserve">1.829 0.070362 .  </w:t>
      </w:r>
    </w:p>
    <w:p w14:paraId="1CD0DA85"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r>
        <w:rPr>
          <w:rFonts w:ascii="Lucida Console" w:eastAsia="Times New Roman" w:hAnsi="Lucida Console" w:cs="Courier New"/>
          <w:color w:val="4D4D4C"/>
          <w:sz w:val="20"/>
          <w:szCs w:val="20"/>
        </w:rPr>
        <w:t>---</w:t>
      </w:r>
    </w:p>
    <w:p w14:paraId="135BD5BE"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proofErr w:type="spellStart"/>
      <w:r>
        <w:rPr>
          <w:rFonts w:ascii="Lucida Console" w:eastAsia="Times New Roman" w:hAnsi="Lucida Console" w:cs="Courier New"/>
          <w:color w:val="4D4D4C"/>
          <w:sz w:val="20"/>
          <w:szCs w:val="20"/>
        </w:rPr>
        <w:t>Signif</w:t>
      </w:r>
      <w:proofErr w:type="spellEnd"/>
      <w:r>
        <w:rPr>
          <w:rFonts w:ascii="Lucida Console" w:eastAsia="Times New Roman" w:hAnsi="Lucida Console" w:cs="Courier New"/>
          <w:color w:val="4D4D4C"/>
          <w:sz w:val="20"/>
          <w:szCs w:val="20"/>
        </w:rPr>
        <w:t xml:space="preserve">. </w:t>
      </w:r>
      <w:proofErr w:type="gramStart"/>
      <w:r>
        <w:rPr>
          <w:rFonts w:ascii="Lucida Console" w:eastAsia="Times New Roman" w:hAnsi="Lucida Console" w:cs="Courier New"/>
          <w:color w:val="4D4D4C"/>
          <w:sz w:val="20"/>
          <w:szCs w:val="20"/>
        </w:rPr>
        <w:t>codes</w:t>
      </w:r>
      <w:proofErr w:type="gramEnd"/>
      <w:r>
        <w:rPr>
          <w:rFonts w:ascii="Lucida Console" w:eastAsia="Times New Roman" w:hAnsi="Lucida Console" w:cs="Courier New"/>
          <w:color w:val="4D4D4C"/>
          <w:sz w:val="20"/>
          <w:szCs w:val="20"/>
        </w:rPr>
        <w:t xml:space="preserve">:  0 ‘***’ 0.001 ‘**’ 0.01 ‘*’ 0.05 ‘.’ 0.1 </w:t>
      </w:r>
      <w:proofErr w:type="gramStart"/>
      <w:r>
        <w:rPr>
          <w:rFonts w:ascii="Lucida Console" w:eastAsia="Times New Roman" w:hAnsi="Lucida Console" w:cs="Courier New"/>
          <w:color w:val="4D4D4C"/>
          <w:sz w:val="20"/>
          <w:szCs w:val="20"/>
        </w:rPr>
        <w:t>‘ ’</w:t>
      </w:r>
      <w:proofErr w:type="gramEnd"/>
      <w:r>
        <w:rPr>
          <w:rFonts w:ascii="Lucida Console" w:eastAsia="Times New Roman" w:hAnsi="Lucida Console" w:cs="Courier New"/>
          <w:color w:val="4D4D4C"/>
          <w:sz w:val="20"/>
          <w:szCs w:val="20"/>
        </w:rPr>
        <w:t xml:space="preserve"> 1</w:t>
      </w:r>
    </w:p>
    <w:p w14:paraId="4523A10E" w14:textId="77777777" w:rsidR="00342E07" w:rsidRDefault="00342E0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p>
    <w:p w14:paraId="02E6776C"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r>
        <w:rPr>
          <w:rFonts w:ascii="Lucida Console" w:eastAsia="Times New Roman" w:hAnsi="Lucida Console" w:cs="Courier New"/>
          <w:color w:val="4D4D4C"/>
          <w:sz w:val="20"/>
          <w:szCs w:val="20"/>
        </w:rPr>
        <w:t>Residual standard error: 0.0675 on 101 degrees of freedom</w:t>
      </w:r>
    </w:p>
    <w:p w14:paraId="5E801BD6"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r>
        <w:rPr>
          <w:rFonts w:ascii="Lucida Console" w:eastAsia="Times New Roman" w:hAnsi="Lucida Console" w:cs="Courier New"/>
          <w:color w:val="4D4D4C"/>
          <w:sz w:val="20"/>
          <w:szCs w:val="20"/>
        </w:rPr>
        <w:t>Multiple R-squared:  0.03206,</w:t>
      </w:r>
      <w:r>
        <w:rPr>
          <w:rFonts w:ascii="Lucida Console" w:eastAsia="Times New Roman" w:hAnsi="Lucida Console" w:cs="Courier New"/>
          <w:color w:val="4D4D4C"/>
          <w:sz w:val="20"/>
          <w:szCs w:val="20"/>
        </w:rPr>
        <w:tab/>
        <w:t xml:space="preserve">Adjusted R-squared:  0.02247 </w:t>
      </w:r>
    </w:p>
    <w:p w14:paraId="73B8C406"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
        <w:rPr>
          <w:rFonts w:ascii="Lucida Console" w:eastAsia="Times New Roman" w:hAnsi="Lucida Console" w:cs="Courier New"/>
          <w:color w:val="4D4D4C"/>
          <w:sz w:val="20"/>
          <w:szCs w:val="20"/>
        </w:rPr>
        <w:t>F-statistic: 3.345 on 1 and 101 DF</w:t>
      </w:r>
      <w:proofErr w:type="gramStart"/>
      <w:r>
        <w:rPr>
          <w:rFonts w:ascii="Lucida Console" w:eastAsia="Times New Roman" w:hAnsi="Lucida Console" w:cs="Courier New"/>
          <w:color w:val="4D4D4C"/>
          <w:sz w:val="20"/>
          <w:szCs w:val="20"/>
        </w:rPr>
        <w:t>,  p</w:t>
      </w:r>
      <w:proofErr w:type="gramEnd"/>
      <w:r>
        <w:rPr>
          <w:rFonts w:ascii="Lucida Console" w:eastAsia="Times New Roman" w:hAnsi="Lucida Console" w:cs="Courier New"/>
          <w:color w:val="4D4D4C"/>
          <w:sz w:val="20"/>
          <w:szCs w:val="20"/>
        </w:rPr>
        <w:t xml:space="preserve">-value: </w:t>
      </w:r>
      <w:r>
        <w:rPr>
          <w:rFonts w:ascii="Lucida Console" w:eastAsia="Times New Roman" w:hAnsi="Lucida Console" w:cs="Courier New"/>
          <w:b/>
          <w:color w:val="4D4D4C"/>
          <w:sz w:val="20"/>
          <w:szCs w:val="20"/>
        </w:rPr>
        <w:t>0.07036</w:t>
      </w:r>
    </w:p>
    <w:p w14:paraId="1244FE83" w14:textId="77777777" w:rsidR="00342E07" w:rsidRDefault="00342E07">
      <w:pPr>
        <w:spacing w:after="0"/>
        <w:jc w:val="both"/>
      </w:pPr>
    </w:p>
    <w:p w14:paraId="7BE4A374" w14:textId="77777777" w:rsidR="00342E07" w:rsidRDefault="00342E07">
      <w:pPr>
        <w:pStyle w:val="ListParagraph"/>
        <w:spacing w:after="0"/>
        <w:ind w:left="774"/>
        <w:jc w:val="both"/>
      </w:pPr>
    </w:p>
    <w:p w14:paraId="0D5F9E5E" w14:textId="77777777" w:rsidR="00342E07" w:rsidRDefault="005356A1">
      <w:pPr>
        <w:pStyle w:val="Heading2"/>
      </w:pPr>
      <w:bookmarkStart w:id="172" w:name="_Toc488490638"/>
      <w:bookmarkStart w:id="173" w:name="_Toc373597617"/>
      <w:bookmarkEnd w:id="172"/>
      <w:r>
        <w:t>AUC vs size cohort (#cases)</w:t>
      </w:r>
      <w:bookmarkEnd w:id="173"/>
    </w:p>
    <w:p w14:paraId="284B2E21" w14:textId="77777777" w:rsidR="00342E07" w:rsidRDefault="00342E07">
      <w:pPr>
        <w:spacing w:after="0"/>
        <w:jc w:val="both"/>
      </w:pPr>
    </w:p>
    <w:p w14:paraId="67356162" w14:textId="77777777" w:rsidR="00342E07" w:rsidRDefault="005356A1">
      <w:pPr>
        <w:spacing w:after="0"/>
        <w:jc w:val="both"/>
      </w:pPr>
      <w:r>
        <w:rPr>
          <w:noProof/>
        </w:rPr>
        <w:drawing>
          <wp:inline distT="0" distB="0" distL="0" distR="0" wp14:anchorId="552E84A8" wp14:editId="74A40B80">
            <wp:extent cx="5029200" cy="3771900"/>
            <wp:effectExtent l="0" t="0" r="0" b="0"/>
            <wp:docPr id="21" name="Grafi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Grafik 24"/>
                    <pic:cNvPicPr>
                      <a:picLocks noChangeAspect="1" noChangeArrowheads="1"/>
                    </pic:cNvPicPr>
                  </pic:nvPicPr>
                  <pic:blipFill>
                    <a:blip r:embed="rId23"/>
                    <a:stretch>
                      <a:fillRect/>
                    </a:stretch>
                  </pic:blipFill>
                  <pic:spPr bwMode="auto">
                    <a:xfrm>
                      <a:off x="0" y="0"/>
                      <a:ext cx="5029200" cy="3771900"/>
                    </a:xfrm>
                    <a:prstGeom prst="rect">
                      <a:avLst/>
                    </a:prstGeom>
                  </pic:spPr>
                </pic:pic>
              </a:graphicData>
            </a:graphic>
          </wp:inline>
        </w:drawing>
      </w:r>
    </w:p>
    <w:p w14:paraId="05E5CBB0"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8959A8"/>
          <w:sz w:val="20"/>
          <w:szCs w:val="20"/>
        </w:rPr>
      </w:pPr>
      <w:r>
        <w:rPr>
          <w:rFonts w:ascii="Lucida Console" w:eastAsia="Times New Roman" w:hAnsi="Lucida Console" w:cs="Courier New"/>
          <w:color w:val="8959A8"/>
          <w:sz w:val="20"/>
          <w:szCs w:val="20"/>
        </w:rPr>
        <w:t xml:space="preserve">&gt; </w:t>
      </w:r>
      <w:proofErr w:type="gramStart"/>
      <w:r>
        <w:rPr>
          <w:rFonts w:ascii="Lucida Console" w:eastAsia="Times New Roman" w:hAnsi="Lucida Console" w:cs="Courier New"/>
          <w:color w:val="8959A8"/>
          <w:sz w:val="20"/>
          <w:szCs w:val="20"/>
        </w:rPr>
        <w:t>summary(</w:t>
      </w:r>
      <w:proofErr w:type="spellStart"/>
      <w:proofErr w:type="gramEnd"/>
      <w:r>
        <w:rPr>
          <w:rFonts w:ascii="Lucida Console" w:eastAsia="Times New Roman" w:hAnsi="Lucida Console" w:cs="Courier New"/>
          <w:color w:val="8959A8"/>
          <w:sz w:val="20"/>
          <w:szCs w:val="20"/>
        </w:rPr>
        <w:t>regression.DELTA.AUC.vs.size.cohort</w:t>
      </w:r>
      <w:proofErr w:type="spellEnd"/>
      <w:r>
        <w:rPr>
          <w:rFonts w:ascii="Lucida Console" w:eastAsia="Times New Roman" w:hAnsi="Lucida Console" w:cs="Courier New"/>
          <w:color w:val="8959A8"/>
          <w:sz w:val="20"/>
          <w:szCs w:val="20"/>
        </w:rPr>
        <w:t>)</w:t>
      </w:r>
    </w:p>
    <w:p w14:paraId="5BC3E5AB" w14:textId="77777777" w:rsidR="00342E07" w:rsidRDefault="00342E0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p>
    <w:p w14:paraId="054EBCF2"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r>
        <w:rPr>
          <w:rFonts w:ascii="Lucida Console" w:eastAsia="Times New Roman" w:hAnsi="Lucida Console" w:cs="Courier New"/>
          <w:color w:val="4D4D4C"/>
          <w:sz w:val="20"/>
          <w:szCs w:val="20"/>
        </w:rPr>
        <w:t>Call:</w:t>
      </w:r>
    </w:p>
    <w:p w14:paraId="38B35200"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proofErr w:type="gramStart"/>
      <w:r>
        <w:rPr>
          <w:rFonts w:ascii="Lucida Console" w:eastAsia="Times New Roman" w:hAnsi="Lucida Console" w:cs="Courier New"/>
          <w:color w:val="4D4D4C"/>
          <w:sz w:val="20"/>
          <w:szCs w:val="20"/>
        </w:rPr>
        <w:t>lm(</w:t>
      </w:r>
      <w:proofErr w:type="gramEnd"/>
      <w:r>
        <w:rPr>
          <w:rFonts w:ascii="Lucida Console" w:eastAsia="Times New Roman" w:hAnsi="Lucida Console" w:cs="Courier New"/>
          <w:color w:val="4D4D4C"/>
          <w:sz w:val="20"/>
          <w:szCs w:val="20"/>
        </w:rPr>
        <w:t xml:space="preserve">formula = </w:t>
      </w:r>
      <w:proofErr w:type="spellStart"/>
      <w:r>
        <w:rPr>
          <w:rFonts w:ascii="Lucida Console" w:eastAsia="Times New Roman" w:hAnsi="Lucida Console" w:cs="Courier New"/>
          <w:color w:val="4D4D4C"/>
          <w:sz w:val="20"/>
          <w:szCs w:val="20"/>
        </w:rPr>
        <w:t>matrix_model_cohort.DELTA.AUC.not.NA.DELTA.AUC</w:t>
      </w:r>
      <w:proofErr w:type="spellEnd"/>
      <w:r>
        <w:rPr>
          <w:rFonts w:ascii="Lucida Console" w:eastAsia="Times New Roman" w:hAnsi="Lucida Console" w:cs="Courier New"/>
          <w:color w:val="4D4D4C"/>
          <w:sz w:val="20"/>
          <w:szCs w:val="20"/>
        </w:rPr>
        <w:t xml:space="preserve"> ~ </w:t>
      </w:r>
    </w:p>
    <w:p w14:paraId="525DABC8"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r>
        <w:rPr>
          <w:rFonts w:ascii="Lucida Console" w:eastAsia="Times New Roman" w:hAnsi="Lucida Console" w:cs="Courier New"/>
          <w:color w:val="4D4D4C"/>
          <w:sz w:val="20"/>
          <w:szCs w:val="20"/>
        </w:rPr>
        <w:t xml:space="preserve">    </w:t>
      </w:r>
      <w:proofErr w:type="spellStart"/>
      <w:r>
        <w:rPr>
          <w:rFonts w:ascii="Lucida Console" w:eastAsia="Times New Roman" w:hAnsi="Lucida Console" w:cs="Courier New"/>
          <w:color w:val="4D4D4C"/>
          <w:sz w:val="20"/>
          <w:szCs w:val="20"/>
        </w:rPr>
        <w:t>matrix.size.cohort.not.NA.DELTA.AUC</w:t>
      </w:r>
      <w:proofErr w:type="spellEnd"/>
      <w:r>
        <w:rPr>
          <w:rFonts w:ascii="Lucida Console" w:eastAsia="Times New Roman" w:hAnsi="Lucida Console" w:cs="Courier New"/>
          <w:color w:val="4D4D4C"/>
          <w:sz w:val="20"/>
          <w:szCs w:val="20"/>
        </w:rPr>
        <w:t>)</w:t>
      </w:r>
    </w:p>
    <w:p w14:paraId="6E93F311" w14:textId="77777777" w:rsidR="00342E07" w:rsidRDefault="00342E0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p>
    <w:p w14:paraId="3CE0C418"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r>
        <w:rPr>
          <w:rFonts w:ascii="Lucida Console" w:eastAsia="Times New Roman" w:hAnsi="Lucida Console" w:cs="Courier New"/>
          <w:color w:val="4D4D4C"/>
          <w:sz w:val="20"/>
          <w:szCs w:val="20"/>
        </w:rPr>
        <w:t>Residuals:</w:t>
      </w:r>
    </w:p>
    <w:p w14:paraId="15CF9C5F"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r>
        <w:rPr>
          <w:rFonts w:ascii="Lucida Console" w:eastAsia="Times New Roman" w:hAnsi="Lucida Console" w:cs="Courier New"/>
          <w:color w:val="4D4D4C"/>
          <w:sz w:val="20"/>
          <w:szCs w:val="20"/>
        </w:rPr>
        <w:t xml:space="preserve">     Min       1Q   Median       3Q      Max </w:t>
      </w:r>
    </w:p>
    <w:p w14:paraId="58AE9F35"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r>
        <w:rPr>
          <w:rFonts w:ascii="Lucida Console" w:eastAsia="Times New Roman" w:hAnsi="Lucida Console" w:cs="Courier New"/>
          <w:color w:val="4D4D4C"/>
          <w:sz w:val="20"/>
          <w:szCs w:val="20"/>
        </w:rPr>
        <w:t>-0.14034 -</w:t>
      </w:r>
      <w:proofErr w:type="gramStart"/>
      <w:r>
        <w:rPr>
          <w:rFonts w:ascii="Lucida Console" w:eastAsia="Times New Roman" w:hAnsi="Lucida Console" w:cs="Courier New"/>
          <w:color w:val="4D4D4C"/>
          <w:sz w:val="20"/>
          <w:szCs w:val="20"/>
        </w:rPr>
        <w:t>0.04871  0.00290</w:t>
      </w:r>
      <w:proofErr w:type="gramEnd"/>
      <w:r>
        <w:rPr>
          <w:rFonts w:ascii="Lucida Console" w:eastAsia="Times New Roman" w:hAnsi="Lucida Console" w:cs="Courier New"/>
          <w:color w:val="4D4D4C"/>
          <w:sz w:val="20"/>
          <w:szCs w:val="20"/>
        </w:rPr>
        <w:t xml:space="preserve">  0.04680  0.17424 </w:t>
      </w:r>
    </w:p>
    <w:p w14:paraId="3E1EA505" w14:textId="77777777" w:rsidR="00342E07" w:rsidRDefault="00342E0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p>
    <w:p w14:paraId="38AD98D1"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r>
        <w:rPr>
          <w:rFonts w:ascii="Lucida Console" w:eastAsia="Times New Roman" w:hAnsi="Lucida Console" w:cs="Courier New"/>
          <w:color w:val="4D4D4C"/>
          <w:sz w:val="20"/>
          <w:szCs w:val="20"/>
        </w:rPr>
        <w:t>Coefficients:</w:t>
      </w:r>
    </w:p>
    <w:p w14:paraId="76CC6842"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r>
        <w:rPr>
          <w:rFonts w:ascii="Lucida Console" w:eastAsia="Times New Roman" w:hAnsi="Lucida Console" w:cs="Courier New"/>
          <w:color w:val="4D4D4C"/>
          <w:sz w:val="20"/>
          <w:szCs w:val="20"/>
        </w:rPr>
        <w:t xml:space="preserve">                                       </w:t>
      </w:r>
      <w:proofErr w:type="gramStart"/>
      <w:r>
        <w:rPr>
          <w:rFonts w:ascii="Lucida Console" w:eastAsia="Times New Roman" w:hAnsi="Lucida Console" w:cs="Courier New"/>
          <w:color w:val="4D4D4C"/>
          <w:sz w:val="20"/>
          <w:szCs w:val="20"/>
        </w:rPr>
        <w:t>Estimate  Std</w:t>
      </w:r>
      <w:proofErr w:type="gramEnd"/>
      <w:r>
        <w:rPr>
          <w:rFonts w:ascii="Lucida Console" w:eastAsia="Times New Roman" w:hAnsi="Lucida Console" w:cs="Courier New"/>
          <w:color w:val="4D4D4C"/>
          <w:sz w:val="20"/>
          <w:szCs w:val="20"/>
        </w:rPr>
        <w:t>. Error</w:t>
      </w:r>
    </w:p>
    <w:p w14:paraId="1AC8A01E"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r>
        <w:rPr>
          <w:rFonts w:ascii="Lucida Console" w:eastAsia="Times New Roman" w:hAnsi="Lucida Console" w:cs="Courier New"/>
          <w:color w:val="4D4D4C"/>
          <w:sz w:val="20"/>
          <w:szCs w:val="20"/>
        </w:rPr>
        <w:t xml:space="preserve">(Intercept)                          </w:t>
      </w:r>
      <w:proofErr w:type="gramStart"/>
      <w:r>
        <w:rPr>
          <w:rFonts w:ascii="Lucida Console" w:eastAsia="Times New Roman" w:hAnsi="Lucida Console" w:cs="Courier New"/>
          <w:color w:val="4D4D4C"/>
          <w:sz w:val="20"/>
          <w:szCs w:val="20"/>
        </w:rPr>
        <w:t>0.07510692  0.00926887</w:t>
      </w:r>
      <w:proofErr w:type="gramEnd"/>
    </w:p>
    <w:p w14:paraId="1DB3675B"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proofErr w:type="spellStart"/>
      <w:r>
        <w:rPr>
          <w:rFonts w:ascii="Lucida Console" w:eastAsia="Times New Roman" w:hAnsi="Lucida Console" w:cs="Courier New"/>
          <w:color w:val="4D4D4C"/>
          <w:sz w:val="20"/>
          <w:szCs w:val="20"/>
        </w:rPr>
        <w:t>matrix.size.cohort.not.NA.DELTA.AUC</w:t>
      </w:r>
      <w:proofErr w:type="spellEnd"/>
      <w:r>
        <w:rPr>
          <w:rFonts w:ascii="Lucida Console" w:eastAsia="Times New Roman" w:hAnsi="Lucida Console" w:cs="Courier New"/>
          <w:color w:val="4D4D4C"/>
          <w:sz w:val="20"/>
          <w:szCs w:val="20"/>
        </w:rPr>
        <w:t xml:space="preserve"> -</w:t>
      </w:r>
      <w:proofErr w:type="gramStart"/>
      <w:r>
        <w:rPr>
          <w:rFonts w:ascii="Lucida Console" w:eastAsia="Times New Roman" w:hAnsi="Lucida Console" w:cs="Courier New"/>
          <w:color w:val="4D4D4C"/>
          <w:sz w:val="20"/>
          <w:szCs w:val="20"/>
        </w:rPr>
        <w:t>0.00010413  0.00008706</w:t>
      </w:r>
      <w:proofErr w:type="gramEnd"/>
    </w:p>
    <w:p w14:paraId="0690DA57"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r>
        <w:rPr>
          <w:rFonts w:ascii="Lucida Console" w:eastAsia="Times New Roman" w:hAnsi="Lucida Console" w:cs="Courier New"/>
          <w:color w:val="4D4D4C"/>
          <w:sz w:val="20"/>
          <w:szCs w:val="20"/>
        </w:rPr>
        <w:t xml:space="preserve">                                    </w:t>
      </w:r>
      <w:proofErr w:type="gramStart"/>
      <w:r>
        <w:rPr>
          <w:rFonts w:ascii="Lucida Console" w:eastAsia="Times New Roman" w:hAnsi="Lucida Console" w:cs="Courier New"/>
          <w:color w:val="4D4D4C"/>
          <w:sz w:val="20"/>
          <w:szCs w:val="20"/>
        </w:rPr>
        <w:t>t</w:t>
      </w:r>
      <w:proofErr w:type="gramEnd"/>
      <w:r>
        <w:rPr>
          <w:rFonts w:ascii="Lucida Console" w:eastAsia="Times New Roman" w:hAnsi="Lucida Console" w:cs="Courier New"/>
          <w:color w:val="4D4D4C"/>
          <w:sz w:val="20"/>
          <w:szCs w:val="20"/>
        </w:rPr>
        <w:t xml:space="preserve"> value </w:t>
      </w:r>
      <w:proofErr w:type="spellStart"/>
      <w:r>
        <w:rPr>
          <w:rFonts w:ascii="Lucida Console" w:eastAsia="Times New Roman" w:hAnsi="Lucida Console" w:cs="Courier New"/>
          <w:color w:val="4D4D4C"/>
          <w:sz w:val="20"/>
          <w:szCs w:val="20"/>
        </w:rPr>
        <w:t>Pr</w:t>
      </w:r>
      <w:proofErr w:type="spellEnd"/>
      <w:r>
        <w:rPr>
          <w:rFonts w:ascii="Lucida Console" w:eastAsia="Times New Roman" w:hAnsi="Lucida Console" w:cs="Courier New"/>
          <w:color w:val="4D4D4C"/>
          <w:sz w:val="20"/>
          <w:szCs w:val="20"/>
        </w:rPr>
        <w:t xml:space="preserve">(&gt;|t|)    </w:t>
      </w:r>
    </w:p>
    <w:p w14:paraId="7E14EBA2"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r>
        <w:rPr>
          <w:rFonts w:ascii="Lucida Console" w:eastAsia="Times New Roman" w:hAnsi="Lucida Console" w:cs="Courier New"/>
          <w:color w:val="4D4D4C"/>
          <w:sz w:val="20"/>
          <w:szCs w:val="20"/>
        </w:rPr>
        <w:t>(Intercept)                           8.103 1.29e-12 ***</w:t>
      </w:r>
    </w:p>
    <w:p w14:paraId="03A09041"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proofErr w:type="spellStart"/>
      <w:proofErr w:type="gramStart"/>
      <w:r>
        <w:rPr>
          <w:rFonts w:ascii="Lucida Console" w:eastAsia="Times New Roman" w:hAnsi="Lucida Console" w:cs="Courier New"/>
          <w:color w:val="4D4D4C"/>
          <w:sz w:val="20"/>
          <w:szCs w:val="20"/>
        </w:rPr>
        <w:t>matrix.size.cohort.not.NA.DELTA.AUC</w:t>
      </w:r>
      <w:proofErr w:type="spellEnd"/>
      <w:r>
        <w:rPr>
          <w:rFonts w:ascii="Lucida Console" w:eastAsia="Times New Roman" w:hAnsi="Lucida Console" w:cs="Courier New"/>
          <w:color w:val="4D4D4C"/>
          <w:sz w:val="20"/>
          <w:szCs w:val="20"/>
        </w:rPr>
        <w:t xml:space="preserve">  -</w:t>
      </w:r>
      <w:proofErr w:type="gramEnd"/>
      <w:r>
        <w:rPr>
          <w:rFonts w:ascii="Lucida Console" w:eastAsia="Times New Roman" w:hAnsi="Lucida Console" w:cs="Courier New"/>
          <w:color w:val="4D4D4C"/>
          <w:sz w:val="20"/>
          <w:szCs w:val="20"/>
        </w:rPr>
        <w:t xml:space="preserve">1.196    0.234    </w:t>
      </w:r>
    </w:p>
    <w:p w14:paraId="41CABE64"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r>
        <w:rPr>
          <w:rFonts w:ascii="Lucida Console" w:eastAsia="Times New Roman" w:hAnsi="Lucida Console" w:cs="Courier New"/>
          <w:color w:val="4D4D4C"/>
          <w:sz w:val="20"/>
          <w:szCs w:val="20"/>
        </w:rPr>
        <w:t>---</w:t>
      </w:r>
    </w:p>
    <w:p w14:paraId="19F6E5B0"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proofErr w:type="spellStart"/>
      <w:r>
        <w:rPr>
          <w:rFonts w:ascii="Lucida Console" w:eastAsia="Times New Roman" w:hAnsi="Lucida Console" w:cs="Courier New"/>
          <w:color w:val="4D4D4C"/>
          <w:sz w:val="20"/>
          <w:szCs w:val="20"/>
        </w:rPr>
        <w:t>Signif</w:t>
      </w:r>
      <w:proofErr w:type="spellEnd"/>
      <w:r>
        <w:rPr>
          <w:rFonts w:ascii="Lucida Console" w:eastAsia="Times New Roman" w:hAnsi="Lucida Console" w:cs="Courier New"/>
          <w:color w:val="4D4D4C"/>
          <w:sz w:val="20"/>
          <w:szCs w:val="20"/>
        </w:rPr>
        <w:t xml:space="preserve">. </w:t>
      </w:r>
      <w:proofErr w:type="gramStart"/>
      <w:r>
        <w:rPr>
          <w:rFonts w:ascii="Lucida Console" w:eastAsia="Times New Roman" w:hAnsi="Lucida Console" w:cs="Courier New"/>
          <w:color w:val="4D4D4C"/>
          <w:sz w:val="20"/>
          <w:szCs w:val="20"/>
        </w:rPr>
        <w:t>codes</w:t>
      </w:r>
      <w:proofErr w:type="gramEnd"/>
      <w:r>
        <w:rPr>
          <w:rFonts w:ascii="Lucida Console" w:eastAsia="Times New Roman" w:hAnsi="Lucida Console" w:cs="Courier New"/>
          <w:color w:val="4D4D4C"/>
          <w:sz w:val="20"/>
          <w:szCs w:val="20"/>
        </w:rPr>
        <w:t xml:space="preserve">:  0 ‘***’ 0.001 ‘**’ 0.01 ‘*’ 0.05 ‘.’ 0.1 </w:t>
      </w:r>
      <w:proofErr w:type="gramStart"/>
      <w:r>
        <w:rPr>
          <w:rFonts w:ascii="Lucida Console" w:eastAsia="Times New Roman" w:hAnsi="Lucida Console" w:cs="Courier New"/>
          <w:color w:val="4D4D4C"/>
          <w:sz w:val="20"/>
          <w:szCs w:val="20"/>
        </w:rPr>
        <w:t>‘ ’</w:t>
      </w:r>
      <w:proofErr w:type="gramEnd"/>
      <w:r>
        <w:rPr>
          <w:rFonts w:ascii="Lucida Console" w:eastAsia="Times New Roman" w:hAnsi="Lucida Console" w:cs="Courier New"/>
          <w:color w:val="4D4D4C"/>
          <w:sz w:val="20"/>
          <w:szCs w:val="20"/>
        </w:rPr>
        <w:t xml:space="preserve"> 1</w:t>
      </w:r>
    </w:p>
    <w:p w14:paraId="2FD63EDF" w14:textId="77777777" w:rsidR="00342E07" w:rsidRDefault="00342E0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p>
    <w:p w14:paraId="4936B1C0"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r>
        <w:rPr>
          <w:rFonts w:ascii="Lucida Console" w:eastAsia="Times New Roman" w:hAnsi="Lucida Console" w:cs="Courier New"/>
          <w:color w:val="4D4D4C"/>
          <w:sz w:val="20"/>
          <w:szCs w:val="20"/>
        </w:rPr>
        <w:t>Residual standard error: 0.06813 on 101 degrees of freedom</w:t>
      </w:r>
    </w:p>
    <w:p w14:paraId="524DEA31"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Lucida Console" w:eastAsia="Times New Roman" w:hAnsi="Lucida Console" w:cs="Courier New"/>
          <w:color w:val="4D4D4C"/>
          <w:sz w:val="20"/>
          <w:szCs w:val="20"/>
        </w:rPr>
      </w:pPr>
      <w:r>
        <w:rPr>
          <w:rFonts w:ascii="Lucida Console" w:eastAsia="Times New Roman" w:hAnsi="Lucida Console" w:cs="Courier New"/>
          <w:color w:val="4D4D4C"/>
          <w:sz w:val="20"/>
          <w:szCs w:val="20"/>
        </w:rPr>
        <w:t>Multiple R-squared:  0.01397,</w:t>
      </w:r>
      <w:r>
        <w:rPr>
          <w:rFonts w:ascii="Lucida Console" w:eastAsia="Times New Roman" w:hAnsi="Lucida Console" w:cs="Courier New"/>
          <w:color w:val="4D4D4C"/>
          <w:sz w:val="20"/>
          <w:szCs w:val="20"/>
        </w:rPr>
        <w:tab/>
        <w:t xml:space="preserve">Adjusted R-squared:  0.004205 </w:t>
      </w:r>
    </w:p>
    <w:p w14:paraId="121E32AB" w14:textId="77777777" w:rsidR="00342E07" w:rsidRDefault="005356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
        <w:rPr>
          <w:rFonts w:ascii="Lucida Console" w:eastAsia="Times New Roman" w:hAnsi="Lucida Console" w:cs="Courier New"/>
          <w:color w:val="4D4D4C"/>
          <w:sz w:val="20"/>
          <w:szCs w:val="20"/>
        </w:rPr>
        <w:t>F-statistic: 1.431 on 1 and 101 DF</w:t>
      </w:r>
      <w:proofErr w:type="gramStart"/>
      <w:r>
        <w:rPr>
          <w:rFonts w:ascii="Lucida Console" w:eastAsia="Times New Roman" w:hAnsi="Lucida Console" w:cs="Courier New"/>
          <w:color w:val="4D4D4C"/>
          <w:sz w:val="20"/>
          <w:szCs w:val="20"/>
        </w:rPr>
        <w:t>,  p</w:t>
      </w:r>
      <w:proofErr w:type="gramEnd"/>
      <w:r>
        <w:rPr>
          <w:rFonts w:ascii="Lucida Console" w:eastAsia="Times New Roman" w:hAnsi="Lucida Console" w:cs="Courier New"/>
          <w:color w:val="4D4D4C"/>
          <w:sz w:val="20"/>
          <w:szCs w:val="20"/>
        </w:rPr>
        <w:t xml:space="preserve">-value: </w:t>
      </w:r>
      <w:r>
        <w:rPr>
          <w:rFonts w:ascii="Lucida Console" w:eastAsia="Times New Roman" w:hAnsi="Lucida Console" w:cs="Courier New"/>
          <w:b/>
          <w:color w:val="4D4D4C"/>
          <w:sz w:val="20"/>
          <w:szCs w:val="20"/>
        </w:rPr>
        <w:t>0.2345</w:t>
      </w:r>
    </w:p>
    <w:p w14:paraId="2B8A8DEF" w14:textId="77777777" w:rsidR="00342E07" w:rsidRDefault="00342E07">
      <w:pPr>
        <w:spacing w:after="0"/>
        <w:jc w:val="both"/>
      </w:pPr>
    </w:p>
    <w:p w14:paraId="7D73CC0F" w14:textId="77777777" w:rsidR="00342E07" w:rsidRDefault="00342E07">
      <w:pPr>
        <w:pStyle w:val="ListParagraph"/>
        <w:spacing w:after="0"/>
        <w:ind w:left="774"/>
        <w:jc w:val="both"/>
      </w:pPr>
    </w:p>
    <w:p w14:paraId="5E684B2A" w14:textId="77777777" w:rsidR="00342E07" w:rsidRDefault="005356A1">
      <w:pPr>
        <w:pStyle w:val="Heading1"/>
      </w:pPr>
      <w:bookmarkStart w:id="174" w:name="_Toc488490639"/>
      <w:bookmarkStart w:id="175" w:name="_Toc373597618"/>
      <w:bookmarkEnd w:id="174"/>
      <w:r>
        <w:t>INCOSISTENCY</w:t>
      </w:r>
      <w:bookmarkEnd w:id="175"/>
    </w:p>
    <w:p w14:paraId="621883DD" w14:textId="77777777" w:rsidR="00342E07" w:rsidRDefault="005356A1">
      <w:r>
        <w:t>Local and global inconsistency are evaluated by the following tests.</w:t>
      </w:r>
      <w:r>
        <w:fldChar w:fldCharType="begin" w:fldLock="1"/>
      </w:r>
      <w:r>
        <w:instrText>ADDIN CSL_CITATION { "citationItems" : [ { "id" : "ITEM-1", "itemData" : { "DOI" : "10.1002/jrsm.34", "ISBN" : "17592879", "ISSN" : "17592879", "PMID" : "26061599", "abstract" : "Mixed treatment comparisons (MTC) meta\u2010analysis synthesises comparative evidence on multiple treatments or other interventions from a collection of randomised controlled trials (RCT) available in a research area, while still respecting the randomisation structure in RCTs. This paper sets out to examine the properties of MTC estimates and elucidate the concept of consistency between direct and indirect evidence in MTC networks. We decompose MTC synthesis into two stages. At the first stage, ordinary meta\u2010analysis is performed in each group of trials that have the same treatment comparators\u2014this provides the \u2018direct\u2019 estimates of relative effect parameters. At the second stage, the optimal consistent estimates that minimise the distance between the direct estimates and the consistency hyper\u2010plane can be deduced as the weighted least squares solution to a linear regression model with a specific design matrix that represents the consistency conditions. The consistent MTC estimates can then be represented explicitly as linear combinations of direct estimates, and under normality assumptions the overall evidence consistency can be tested with a likelihood\u2010ratio statistic. This two\u2010stage framework further allows us to use the leverage statistics to diagnose influence of the first\u2010stage evidence and use the regression residuals to assess local inconsistency. The method is illustrated with two examples from medical research.", "author" : [ { "dropping-particle" : "", "family" : "Lu", "given" : "G.", "non-dropping-particle" : "", "parse-names" : false, "suffix" : "" }, { "dropping-particle" : "", "family" : "Welton", "given" : "Nicky J", "non-dropping-particle" : "", "parse-names" : false, "suffix" : "" }, { "dropping-particle" : "", "family" : "Higgins", "given" : "J", "non-dropping-particle" : "", "parse-names" : false, "suffix" : "" }, { "dropping-particle" : "", "family" : "White", "given" : "Ian R.", "non-dropping-particle" : "", "parse-names" : false, "suffix" : "" }, { "dropping-particle" : "", "family" : "Ades", "given" : "A E", "non-dropping-particle" : "", "parse-names" : false, "suffix" : "" } ], "container-title" : "Research Synthesis Methods", "id" : "ITEM-1", "issue" : "1", "issued" : { "date-parts" : [ [ "2011" ] ] }, "page" : "43-60", "title" : "Linear inference for mixed treatment comparison meta-analysis: A two-stage approach", "type" : "article-journal", "volume" : "2" }, "uris" : [ "http://www.mendeley.com/documents/?uuid=7997c6c8-1d36-4145-b4ea-24ba7087c79c" ] } ], "mendeley" : { "formattedCitation" : "[26]", "plainTextFormattedCitation" : "[26]", "previouslyFormattedCitation" : "[26]" }, "properties" : { "noteIndex" : 0 }, "schema" : "https://github.com/citation-style-language/schema/raw/master/csl-citation.json" }</w:instrText>
      </w:r>
      <w:r>
        <w:fldChar w:fldCharType="separate"/>
      </w:r>
      <w:bookmarkStart w:id="176" w:name="__Fieldmark__1805_1374788089"/>
      <w:r>
        <w:rPr>
          <w:noProof/>
        </w:rPr>
        <w:t>[</w:t>
      </w:r>
      <w:bookmarkStart w:id="177" w:name="__Fieldmark__2650_1114282649"/>
      <w:bookmarkStart w:id="178" w:name="__Fieldmark__1239_931786406"/>
      <w:r>
        <w:rPr>
          <w:noProof/>
        </w:rPr>
        <w:t>26]</w:t>
      </w:r>
      <w:r>
        <w:fldChar w:fldCharType="end"/>
      </w:r>
      <w:bookmarkEnd w:id="176"/>
      <w:bookmarkEnd w:id="177"/>
      <w:bookmarkEnd w:id="178"/>
      <w:r>
        <w:t xml:space="preserve"> </w:t>
      </w:r>
      <w:r>
        <w:rPr>
          <w:noProof/>
        </w:rPr>
        <w:drawing>
          <wp:inline distT="0" distB="0" distL="0" distR="0" wp14:anchorId="545A31F9" wp14:editId="233BFCB1">
            <wp:extent cx="5038725" cy="3637915"/>
            <wp:effectExtent l="0" t="0" r="0" b="0"/>
            <wp:docPr id="2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Grafik 1"/>
                    <pic:cNvPicPr>
                      <a:picLocks noChangeAspect="1" noChangeArrowheads="1"/>
                    </pic:cNvPicPr>
                  </pic:nvPicPr>
                  <pic:blipFill>
                    <a:blip r:embed="rId24"/>
                    <a:stretch>
                      <a:fillRect/>
                    </a:stretch>
                  </pic:blipFill>
                  <pic:spPr bwMode="auto">
                    <a:xfrm>
                      <a:off x="0" y="0"/>
                      <a:ext cx="5038725" cy="3637915"/>
                    </a:xfrm>
                    <a:prstGeom prst="rect">
                      <a:avLst/>
                    </a:prstGeom>
                  </pic:spPr>
                </pic:pic>
              </a:graphicData>
            </a:graphic>
          </wp:inline>
        </w:drawing>
      </w:r>
    </w:p>
    <w:p w14:paraId="6187ADEB" w14:textId="77777777" w:rsidR="00342E07" w:rsidRDefault="005356A1">
      <w:r>
        <w:rPr>
          <w:noProof/>
        </w:rPr>
        <w:drawing>
          <wp:inline distT="0" distB="0" distL="0" distR="0" wp14:anchorId="4F59E6F8" wp14:editId="46FE9BAC">
            <wp:extent cx="5457825" cy="3940810"/>
            <wp:effectExtent l="0" t="0" r="0" b="0"/>
            <wp:docPr id="23" name="Grafik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Grafik 47"/>
                    <pic:cNvPicPr>
                      <a:picLocks noChangeAspect="1" noChangeArrowheads="1"/>
                    </pic:cNvPicPr>
                  </pic:nvPicPr>
                  <pic:blipFill>
                    <a:blip r:embed="rId25"/>
                    <a:stretch>
                      <a:fillRect/>
                    </a:stretch>
                  </pic:blipFill>
                  <pic:spPr bwMode="auto">
                    <a:xfrm>
                      <a:off x="0" y="0"/>
                      <a:ext cx="5457825" cy="3940810"/>
                    </a:xfrm>
                    <a:prstGeom prst="rect">
                      <a:avLst/>
                    </a:prstGeom>
                  </pic:spPr>
                </pic:pic>
              </a:graphicData>
            </a:graphic>
          </wp:inline>
        </w:drawing>
      </w:r>
    </w:p>
    <w:p w14:paraId="2D27FB25" w14:textId="77777777" w:rsidR="00342E07" w:rsidRDefault="00342E07"/>
    <w:tbl>
      <w:tblPr>
        <w:tblW w:w="3495" w:type="dxa"/>
        <w:jc w:val="center"/>
        <w:tblBorders>
          <w:top w:val="single" w:sz="4" w:space="0" w:color="00000A"/>
        </w:tblBorders>
        <w:tblLook w:val="04A0" w:firstRow="1" w:lastRow="0" w:firstColumn="1" w:lastColumn="0" w:noHBand="0" w:noVBand="1"/>
      </w:tblPr>
      <w:tblGrid>
        <w:gridCol w:w="1437"/>
        <w:gridCol w:w="2058"/>
      </w:tblGrid>
      <w:tr w:rsidR="00342E07" w14:paraId="6888CA8F" w14:textId="77777777">
        <w:trPr>
          <w:trHeight w:val="300"/>
          <w:jc w:val="center"/>
        </w:trPr>
        <w:tc>
          <w:tcPr>
            <w:tcW w:w="3494" w:type="dxa"/>
            <w:gridSpan w:val="2"/>
            <w:tcBorders>
              <w:top w:val="single" w:sz="4" w:space="0" w:color="00000A"/>
            </w:tcBorders>
            <w:shd w:val="clear" w:color="auto" w:fill="FFFFFF"/>
            <w:vAlign w:val="center"/>
          </w:tcPr>
          <w:p w14:paraId="71DA8E0F" w14:textId="77777777" w:rsidR="00342E07" w:rsidRDefault="005356A1">
            <w:pPr>
              <w:pStyle w:val="Caption"/>
              <w:spacing w:after="0"/>
              <w:rPr>
                <w:color w:val="00000A"/>
                <w:sz w:val="22"/>
                <w:szCs w:val="22"/>
              </w:rPr>
            </w:pPr>
            <w:r>
              <w:rPr>
                <w:color w:val="00000A"/>
                <w:sz w:val="22"/>
                <w:szCs w:val="22"/>
              </w:rPr>
              <w:t>Overall inconsistency parameters</w:t>
            </w:r>
          </w:p>
        </w:tc>
      </w:tr>
      <w:tr w:rsidR="00342E07" w14:paraId="3A90EBBE" w14:textId="77777777">
        <w:trPr>
          <w:trHeight w:val="300"/>
          <w:jc w:val="center"/>
        </w:trPr>
        <w:tc>
          <w:tcPr>
            <w:tcW w:w="1437" w:type="dxa"/>
            <w:shd w:val="clear" w:color="auto" w:fill="A6A6A6"/>
            <w:vAlign w:val="bottom"/>
          </w:tcPr>
          <w:p w14:paraId="62CFCC8E" w14:textId="77777777" w:rsidR="00342E07" w:rsidRDefault="005356A1">
            <w:pPr>
              <w:spacing w:after="0" w:line="240" w:lineRule="auto"/>
              <w:jc w:val="center"/>
              <w:rPr>
                <w:rFonts w:eastAsia="Times New Roman" w:cs="Times New Roman"/>
                <w:b/>
                <w:color w:val="000000"/>
              </w:rPr>
            </w:pPr>
            <w:r>
              <w:rPr>
                <w:rFonts w:eastAsia="Times New Roman" w:cs="Times New Roman"/>
                <w:b/>
                <w:color w:val="000000"/>
              </w:rPr>
              <w:t>Parameters</w:t>
            </w:r>
          </w:p>
        </w:tc>
        <w:tc>
          <w:tcPr>
            <w:tcW w:w="2057" w:type="dxa"/>
            <w:shd w:val="clear" w:color="auto" w:fill="A6A6A6"/>
            <w:vAlign w:val="bottom"/>
          </w:tcPr>
          <w:p w14:paraId="58E7400C" w14:textId="77777777" w:rsidR="00342E07" w:rsidRDefault="005356A1">
            <w:pPr>
              <w:spacing w:after="0" w:line="240" w:lineRule="auto"/>
              <w:jc w:val="center"/>
              <w:rPr>
                <w:rFonts w:eastAsia="Times New Roman" w:cs="Times New Roman"/>
                <w:b/>
                <w:color w:val="000000"/>
              </w:rPr>
            </w:pPr>
            <w:r>
              <w:rPr>
                <w:rFonts w:eastAsia="Times New Roman" w:cs="Times New Roman"/>
                <w:b/>
                <w:color w:val="000000"/>
              </w:rPr>
              <w:t>Value</w:t>
            </w:r>
          </w:p>
        </w:tc>
      </w:tr>
      <w:tr w:rsidR="00342E07" w14:paraId="42F1C19A" w14:textId="77777777">
        <w:trPr>
          <w:trHeight w:val="300"/>
          <w:jc w:val="center"/>
        </w:trPr>
        <w:tc>
          <w:tcPr>
            <w:tcW w:w="1437" w:type="dxa"/>
            <w:tcBorders>
              <w:top w:val="single" w:sz="4" w:space="0" w:color="00000A"/>
              <w:bottom w:val="single" w:sz="4" w:space="0" w:color="00000A"/>
            </w:tcBorders>
            <w:shd w:val="clear" w:color="auto" w:fill="FFFFFF"/>
            <w:vAlign w:val="bottom"/>
          </w:tcPr>
          <w:p w14:paraId="64B0BAA1" w14:textId="77777777" w:rsidR="00342E07" w:rsidRDefault="005356A1">
            <w:pPr>
              <w:spacing w:after="0" w:line="240" w:lineRule="auto"/>
              <w:jc w:val="both"/>
              <w:rPr>
                <w:rFonts w:eastAsia="Times New Roman" w:cs="Times New Roman"/>
                <w:b/>
                <w:color w:val="000000"/>
              </w:rPr>
            </w:pPr>
            <w:r>
              <w:rPr>
                <w:rFonts w:eastAsia="Times New Roman" w:cs="Times New Roman"/>
                <w:b/>
                <w:color w:val="000000"/>
              </w:rPr>
              <w:t>α</w:t>
            </w:r>
          </w:p>
        </w:tc>
        <w:tc>
          <w:tcPr>
            <w:tcW w:w="2057" w:type="dxa"/>
            <w:tcBorders>
              <w:top w:val="single" w:sz="4" w:space="0" w:color="00000A"/>
              <w:bottom w:val="single" w:sz="4" w:space="0" w:color="00000A"/>
            </w:tcBorders>
            <w:shd w:val="clear" w:color="auto" w:fill="FFFFFF"/>
            <w:vAlign w:val="bottom"/>
          </w:tcPr>
          <w:p w14:paraId="6AF48DD3" w14:textId="77777777" w:rsidR="00342E07" w:rsidRDefault="005356A1">
            <w:pPr>
              <w:spacing w:after="0" w:line="240" w:lineRule="auto"/>
              <w:jc w:val="center"/>
              <w:rPr>
                <w:rFonts w:eastAsia="Times New Roman" w:cs="Times New Roman"/>
                <w:color w:val="000000"/>
              </w:rPr>
            </w:pPr>
            <w:r>
              <w:rPr>
                <w:rFonts w:eastAsia="Times New Roman" w:cs="Times New Roman"/>
                <w:color w:val="000000"/>
              </w:rPr>
              <w:t>0.05</w:t>
            </w:r>
          </w:p>
        </w:tc>
      </w:tr>
      <w:tr w:rsidR="00342E07" w14:paraId="4C0E5270" w14:textId="77777777">
        <w:trPr>
          <w:trHeight w:val="300"/>
          <w:jc w:val="center"/>
        </w:trPr>
        <w:tc>
          <w:tcPr>
            <w:tcW w:w="1437" w:type="dxa"/>
            <w:tcBorders>
              <w:top w:val="single" w:sz="4" w:space="0" w:color="00000A"/>
              <w:bottom w:val="single" w:sz="4" w:space="0" w:color="00000A"/>
            </w:tcBorders>
            <w:shd w:val="clear" w:color="auto" w:fill="FFFFFF"/>
            <w:vAlign w:val="bottom"/>
          </w:tcPr>
          <w:p w14:paraId="4F9D04CA" w14:textId="77777777" w:rsidR="00342E07" w:rsidRDefault="005356A1">
            <w:pPr>
              <w:spacing w:after="0" w:line="240" w:lineRule="auto"/>
              <w:jc w:val="both"/>
              <w:rPr>
                <w:rFonts w:eastAsia="Times New Roman" w:cs="Times New Roman"/>
                <w:b/>
                <w:color w:val="000000"/>
              </w:rPr>
            </w:pPr>
            <w:r>
              <w:rPr>
                <w:rFonts w:eastAsia="Times New Roman" w:cs="Times New Roman"/>
                <w:b/>
                <w:color w:val="000000"/>
              </w:rPr>
              <w:t>K</w:t>
            </w:r>
          </w:p>
        </w:tc>
        <w:tc>
          <w:tcPr>
            <w:tcW w:w="2057" w:type="dxa"/>
            <w:tcBorders>
              <w:top w:val="single" w:sz="4" w:space="0" w:color="00000A"/>
              <w:bottom w:val="single" w:sz="4" w:space="0" w:color="00000A"/>
            </w:tcBorders>
            <w:shd w:val="clear" w:color="auto" w:fill="FFFFFF"/>
            <w:vAlign w:val="bottom"/>
          </w:tcPr>
          <w:p w14:paraId="55CD9D09" w14:textId="77777777" w:rsidR="00342E07" w:rsidRDefault="005356A1">
            <w:pPr>
              <w:spacing w:after="0" w:line="240" w:lineRule="auto"/>
              <w:jc w:val="center"/>
              <w:rPr>
                <w:rFonts w:eastAsia="Times New Roman" w:cs="Times New Roman"/>
                <w:color w:val="000000"/>
              </w:rPr>
            </w:pPr>
            <w:r>
              <w:rPr>
                <w:rFonts w:eastAsia="Times New Roman" w:cs="Times New Roman"/>
                <w:color w:val="000000"/>
              </w:rPr>
              <w:t>9</w:t>
            </w:r>
          </w:p>
        </w:tc>
      </w:tr>
      <w:tr w:rsidR="00342E07" w14:paraId="2353A493" w14:textId="77777777">
        <w:trPr>
          <w:trHeight w:val="300"/>
          <w:jc w:val="center"/>
        </w:trPr>
        <w:tc>
          <w:tcPr>
            <w:tcW w:w="1437" w:type="dxa"/>
            <w:tcBorders>
              <w:top w:val="single" w:sz="4" w:space="0" w:color="00000A"/>
              <w:bottom w:val="single" w:sz="4" w:space="0" w:color="00000A"/>
            </w:tcBorders>
            <w:shd w:val="clear" w:color="auto" w:fill="FFFFFF"/>
            <w:vAlign w:val="bottom"/>
          </w:tcPr>
          <w:p w14:paraId="5C7D694E" w14:textId="77777777" w:rsidR="00342E07" w:rsidRDefault="005356A1">
            <w:pPr>
              <w:spacing w:after="0" w:line="240" w:lineRule="auto"/>
              <w:jc w:val="both"/>
              <w:rPr>
                <w:rFonts w:eastAsia="Times New Roman" w:cs="Times New Roman"/>
                <w:b/>
                <w:color w:val="000000"/>
              </w:rPr>
            </w:pPr>
            <w:proofErr w:type="spellStart"/>
            <w:r>
              <w:rPr>
                <w:rFonts w:eastAsia="Times New Roman" w:cs="Times New Roman"/>
                <w:b/>
                <w:color w:val="000000"/>
              </w:rPr>
              <w:t>df</w:t>
            </w:r>
            <w:proofErr w:type="spellEnd"/>
          </w:p>
        </w:tc>
        <w:tc>
          <w:tcPr>
            <w:tcW w:w="2057" w:type="dxa"/>
            <w:tcBorders>
              <w:top w:val="single" w:sz="4" w:space="0" w:color="00000A"/>
              <w:bottom w:val="single" w:sz="4" w:space="0" w:color="00000A"/>
            </w:tcBorders>
            <w:shd w:val="clear" w:color="auto" w:fill="FFFFFF"/>
            <w:vAlign w:val="bottom"/>
          </w:tcPr>
          <w:p w14:paraId="523DAE46" w14:textId="77777777" w:rsidR="00342E07" w:rsidRDefault="005356A1">
            <w:pPr>
              <w:spacing w:after="0" w:line="240" w:lineRule="auto"/>
              <w:jc w:val="center"/>
              <w:rPr>
                <w:rFonts w:eastAsia="Times New Roman" w:cs="Times New Roman"/>
                <w:color w:val="000000"/>
              </w:rPr>
            </w:pPr>
            <w:r>
              <w:rPr>
                <w:rFonts w:eastAsia="Times New Roman" w:cs="Times New Roman"/>
                <w:color w:val="000000"/>
              </w:rPr>
              <w:t>16</w:t>
            </w:r>
          </w:p>
        </w:tc>
      </w:tr>
      <w:tr w:rsidR="00342E07" w14:paraId="7AC15501" w14:textId="77777777">
        <w:trPr>
          <w:trHeight w:val="300"/>
          <w:jc w:val="center"/>
        </w:trPr>
        <w:tc>
          <w:tcPr>
            <w:tcW w:w="1437" w:type="dxa"/>
            <w:tcBorders>
              <w:top w:val="single" w:sz="4" w:space="0" w:color="00000A"/>
              <w:bottom w:val="single" w:sz="4" w:space="0" w:color="00000A"/>
            </w:tcBorders>
            <w:shd w:val="clear" w:color="auto" w:fill="FFFFFF"/>
            <w:vAlign w:val="bottom"/>
          </w:tcPr>
          <w:p w14:paraId="5ADD5984" w14:textId="77777777" w:rsidR="00342E07" w:rsidRDefault="005356A1">
            <w:pPr>
              <w:spacing w:after="0" w:line="240" w:lineRule="auto"/>
              <w:jc w:val="both"/>
              <w:rPr>
                <w:rFonts w:eastAsia="Times New Roman" w:cs="Times New Roman"/>
                <w:b/>
                <w:color w:val="000000"/>
              </w:rPr>
            </w:pPr>
            <w:r>
              <w:rPr>
                <w:rFonts w:eastAsia="Times New Roman" w:cs="Times New Roman"/>
                <w:b/>
                <w:color w:val="000000"/>
              </w:rPr>
              <w:t>Q</w:t>
            </w:r>
          </w:p>
        </w:tc>
        <w:tc>
          <w:tcPr>
            <w:tcW w:w="2057" w:type="dxa"/>
            <w:tcBorders>
              <w:top w:val="single" w:sz="4" w:space="0" w:color="00000A"/>
              <w:bottom w:val="single" w:sz="4" w:space="0" w:color="00000A"/>
            </w:tcBorders>
            <w:shd w:val="clear" w:color="auto" w:fill="FFFFFF"/>
            <w:vAlign w:val="bottom"/>
          </w:tcPr>
          <w:p w14:paraId="78C00D0B" w14:textId="77777777" w:rsidR="00342E07" w:rsidRDefault="005356A1">
            <w:pPr>
              <w:spacing w:after="0" w:line="240" w:lineRule="auto"/>
              <w:jc w:val="center"/>
              <w:rPr>
                <w:rFonts w:eastAsia="Times New Roman" w:cs="Times New Roman"/>
                <w:color w:val="000000"/>
              </w:rPr>
            </w:pPr>
            <w:r>
              <w:rPr>
                <w:rFonts w:eastAsia="Times New Roman" w:cs="Times New Roman"/>
                <w:color w:val="000000"/>
              </w:rPr>
              <w:t>22.1</w:t>
            </w:r>
          </w:p>
        </w:tc>
      </w:tr>
      <w:tr w:rsidR="00342E07" w14:paraId="571B9DC8" w14:textId="77777777">
        <w:trPr>
          <w:trHeight w:val="300"/>
          <w:jc w:val="center"/>
        </w:trPr>
        <w:tc>
          <w:tcPr>
            <w:tcW w:w="1437" w:type="dxa"/>
            <w:tcBorders>
              <w:top w:val="single" w:sz="4" w:space="0" w:color="00000A"/>
              <w:bottom w:val="single" w:sz="4" w:space="0" w:color="00000A"/>
            </w:tcBorders>
            <w:shd w:val="clear" w:color="auto" w:fill="FFFFFF"/>
            <w:vAlign w:val="bottom"/>
          </w:tcPr>
          <w:p w14:paraId="65E70ADC" w14:textId="77777777" w:rsidR="00342E07" w:rsidRDefault="005356A1">
            <w:pPr>
              <w:spacing w:after="0" w:line="240" w:lineRule="auto"/>
              <w:jc w:val="both"/>
            </w:pPr>
            <w:r>
              <w:rPr>
                <w:rFonts w:eastAsia="Times New Roman" w:cs="Times New Roman"/>
                <w:b/>
                <w:color w:val="000000"/>
              </w:rPr>
              <w:t>Χ</w:t>
            </w:r>
            <w:r>
              <w:rPr>
                <w:rFonts w:eastAsia="Times New Roman" w:cs="Times New Roman"/>
                <w:b/>
                <w:color w:val="000000"/>
                <w:vertAlign w:val="superscript"/>
              </w:rPr>
              <w:t>2</w:t>
            </w:r>
            <w:r>
              <w:rPr>
                <w:rFonts w:eastAsia="Times New Roman" w:cs="Times New Roman"/>
                <w:b/>
                <w:color w:val="000000"/>
                <w:vertAlign w:val="subscript"/>
              </w:rPr>
              <w:t>df</w:t>
            </w:r>
          </w:p>
        </w:tc>
        <w:tc>
          <w:tcPr>
            <w:tcW w:w="2057" w:type="dxa"/>
            <w:tcBorders>
              <w:top w:val="single" w:sz="4" w:space="0" w:color="00000A"/>
              <w:bottom w:val="single" w:sz="4" w:space="0" w:color="00000A"/>
            </w:tcBorders>
            <w:shd w:val="clear" w:color="auto" w:fill="FFFFFF"/>
            <w:vAlign w:val="bottom"/>
          </w:tcPr>
          <w:p w14:paraId="6B9891BB" w14:textId="77777777" w:rsidR="00342E07" w:rsidRDefault="005356A1">
            <w:pPr>
              <w:spacing w:after="0" w:line="240" w:lineRule="auto"/>
              <w:jc w:val="center"/>
              <w:rPr>
                <w:rFonts w:eastAsia="Times New Roman" w:cs="Times New Roman"/>
                <w:color w:val="000000"/>
              </w:rPr>
            </w:pPr>
            <w:r>
              <w:rPr>
                <w:rFonts w:eastAsia="Times New Roman" w:cs="Times New Roman"/>
                <w:color w:val="000000"/>
              </w:rPr>
              <w:t>26.3</w:t>
            </w:r>
          </w:p>
        </w:tc>
      </w:tr>
      <w:tr w:rsidR="00342E07" w14:paraId="281B9D47" w14:textId="77777777">
        <w:trPr>
          <w:trHeight w:val="300"/>
          <w:jc w:val="center"/>
        </w:trPr>
        <w:tc>
          <w:tcPr>
            <w:tcW w:w="1437" w:type="dxa"/>
            <w:tcBorders>
              <w:top w:val="single" w:sz="4" w:space="0" w:color="00000A"/>
              <w:bottom w:val="single" w:sz="4" w:space="0" w:color="00000A"/>
            </w:tcBorders>
            <w:shd w:val="clear" w:color="auto" w:fill="FFFFFF"/>
            <w:vAlign w:val="bottom"/>
          </w:tcPr>
          <w:p w14:paraId="5980DC65" w14:textId="77777777" w:rsidR="00342E07" w:rsidRDefault="005356A1">
            <w:pPr>
              <w:spacing w:after="0" w:line="240" w:lineRule="auto"/>
              <w:jc w:val="both"/>
              <w:rPr>
                <w:rFonts w:eastAsia="Times New Roman" w:cs="Times New Roman"/>
                <w:b/>
                <w:color w:val="000000"/>
              </w:rPr>
            </w:pPr>
            <w:r>
              <w:rPr>
                <w:rFonts w:eastAsia="Times New Roman" w:cs="Times New Roman"/>
                <w:b/>
                <w:color w:val="000000"/>
              </w:rPr>
              <w:t>p-value</w:t>
            </w:r>
          </w:p>
        </w:tc>
        <w:tc>
          <w:tcPr>
            <w:tcW w:w="2057" w:type="dxa"/>
            <w:tcBorders>
              <w:top w:val="single" w:sz="4" w:space="0" w:color="00000A"/>
              <w:bottom w:val="single" w:sz="4" w:space="0" w:color="00000A"/>
            </w:tcBorders>
            <w:shd w:val="clear" w:color="auto" w:fill="FFFFFF"/>
            <w:vAlign w:val="bottom"/>
          </w:tcPr>
          <w:p w14:paraId="3F93E742" w14:textId="77777777" w:rsidR="00342E07" w:rsidRDefault="005356A1">
            <w:pPr>
              <w:spacing w:after="0" w:line="240" w:lineRule="auto"/>
              <w:jc w:val="center"/>
              <w:rPr>
                <w:rFonts w:eastAsia="Times New Roman" w:cs="Times New Roman"/>
                <w:color w:val="000000"/>
              </w:rPr>
            </w:pPr>
            <w:r>
              <w:rPr>
                <w:rFonts w:eastAsia="Times New Roman" w:cs="Times New Roman"/>
                <w:color w:val="000000"/>
              </w:rPr>
              <w:t>0.14</w:t>
            </w:r>
          </w:p>
        </w:tc>
      </w:tr>
      <w:tr w:rsidR="00342E07" w14:paraId="71C1B2CF" w14:textId="77777777">
        <w:trPr>
          <w:trHeight w:val="300"/>
          <w:jc w:val="center"/>
        </w:trPr>
        <w:tc>
          <w:tcPr>
            <w:tcW w:w="3494" w:type="dxa"/>
            <w:gridSpan w:val="2"/>
            <w:tcBorders>
              <w:top w:val="single" w:sz="4" w:space="0" w:color="00000A"/>
            </w:tcBorders>
            <w:shd w:val="clear" w:color="auto" w:fill="FFFFFF"/>
            <w:vAlign w:val="bottom"/>
          </w:tcPr>
          <w:p w14:paraId="466D7F84" w14:textId="77777777" w:rsidR="00342E07" w:rsidRDefault="005356A1">
            <w:pPr>
              <w:spacing w:after="0" w:line="240" w:lineRule="auto"/>
              <w:jc w:val="both"/>
            </w:pPr>
            <w:r>
              <w:rPr>
                <w:rFonts w:eastAsia="Times New Roman" w:cs="Times New Roman"/>
                <w:color w:val="000000"/>
              </w:rPr>
              <w:t xml:space="preserve">1-α = level of significance, K = # of scores; </w:t>
            </w:r>
            <w:proofErr w:type="spellStart"/>
            <w:r>
              <w:rPr>
                <w:rFonts w:eastAsia="Times New Roman" w:cs="Times New Roman"/>
                <w:color w:val="000000"/>
              </w:rPr>
              <w:t>df</w:t>
            </w:r>
            <w:proofErr w:type="spellEnd"/>
            <w:r>
              <w:rPr>
                <w:rFonts w:eastAsia="Times New Roman" w:cs="Times New Roman"/>
                <w:color w:val="000000"/>
              </w:rPr>
              <w:t xml:space="preserve"> = degrees of freedom (N-K+1, where N is the sum of all the scores used in the groups (28); Q = likelihood-ratio test statistic; Χ</w:t>
            </w:r>
            <w:r>
              <w:rPr>
                <w:rFonts w:eastAsia="Times New Roman" w:cs="Times New Roman"/>
                <w:color w:val="000000"/>
                <w:vertAlign w:val="superscript"/>
              </w:rPr>
              <w:t>2</w:t>
            </w:r>
            <w:r>
              <w:rPr>
                <w:rFonts w:eastAsia="Times New Roman" w:cs="Times New Roman"/>
                <w:color w:val="000000"/>
                <w:vertAlign w:val="subscript"/>
              </w:rPr>
              <w:t xml:space="preserve">df </w:t>
            </w:r>
            <w:r>
              <w:rPr>
                <w:rFonts w:eastAsia="Times New Roman" w:cs="Times New Roman"/>
                <w:color w:val="000000"/>
              </w:rPr>
              <w:t>= Χ</w:t>
            </w:r>
            <w:r>
              <w:rPr>
                <w:rFonts w:eastAsia="Times New Roman" w:cs="Times New Roman"/>
                <w:color w:val="000000"/>
                <w:vertAlign w:val="superscript"/>
              </w:rPr>
              <w:t>2</w:t>
            </w:r>
            <w:r>
              <w:rPr>
                <w:rFonts w:eastAsia="Times New Roman" w:cs="Times New Roman"/>
                <w:color w:val="000000"/>
                <w:vertAlign w:val="subscript"/>
              </w:rPr>
              <w:t xml:space="preserve"> </w:t>
            </w:r>
            <w:r>
              <w:rPr>
                <w:rFonts w:eastAsia="Times New Roman" w:cs="Times New Roman"/>
                <w:color w:val="000000"/>
              </w:rPr>
              <w:t xml:space="preserve">statistic with </w:t>
            </w:r>
            <w:proofErr w:type="spellStart"/>
            <w:r>
              <w:rPr>
                <w:rFonts w:eastAsia="Times New Roman" w:cs="Times New Roman"/>
                <w:color w:val="000000"/>
              </w:rPr>
              <w:t>df</w:t>
            </w:r>
            <w:proofErr w:type="spellEnd"/>
            <w:r>
              <w:rPr>
                <w:rFonts w:eastAsia="Times New Roman" w:cs="Times New Roman"/>
                <w:color w:val="000000"/>
              </w:rPr>
              <w:t xml:space="preserve"> degrees of freedom </w:t>
            </w:r>
          </w:p>
        </w:tc>
      </w:tr>
    </w:tbl>
    <w:p w14:paraId="2EF59075" w14:textId="77777777" w:rsidR="00342E07" w:rsidRDefault="00342E07"/>
    <w:p w14:paraId="1DB3A9A7" w14:textId="77777777" w:rsidR="00342E07" w:rsidRDefault="00342E07"/>
    <w:p w14:paraId="10803AA5" w14:textId="77777777" w:rsidR="00342E07" w:rsidRDefault="00342E07"/>
    <w:p w14:paraId="225690A7" w14:textId="77777777" w:rsidR="00342E07" w:rsidRDefault="00342E07"/>
    <w:p w14:paraId="6DF81FCC" w14:textId="77777777" w:rsidR="00342E07" w:rsidRDefault="005356A1">
      <w:r>
        <w:t>Our tests show a reasonably good local and global inconsistency.</w:t>
      </w:r>
    </w:p>
    <w:p w14:paraId="62E8B9BC" w14:textId="77777777" w:rsidR="00342E07" w:rsidRDefault="00342E07"/>
    <w:p w14:paraId="152A5F67" w14:textId="77777777" w:rsidR="00342E07" w:rsidRDefault="00342E07"/>
    <w:p w14:paraId="159AC0CC" w14:textId="77777777" w:rsidR="00342E07" w:rsidRDefault="00342E07"/>
    <w:p w14:paraId="6CE3056F" w14:textId="77777777" w:rsidR="00342E07" w:rsidRDefault="00342E07"/>
    <w:p w14:paraId="5C545D6C" w14:textId="77777777" w:rsidR="00342E07" w:rsidRDefault="00342E07"/>
    <w:p w14:paraId="2B90D9DE" w14:textId="77777777" w:rsidR="00342E07" w:rsidRDefault="00342E07"/>
    <w:p w14:paraId="6F02E71F" w14:textId="77777777" w:rsidR="00342E07" w:rsidRDefault="00342E07"/>
    <w:p w14:paraId="5D69896B" w14:textId="77777777" w:rsidR="00342E07" w:rsidRDefault="00342E07"/>
    <w:p w14:paraId="34C9C323" w14:textId="77777777" w:rsidR="00342E07" w:rsidRDefault="00342E07"/>
    <w:p w14:paraId="3B4FD375" w14:textId="77777777" w:rsidR="00342E07" w:rsidRDefault="00342E07"/>
    <w:p w14:paraId="006FFCC2" w14:textId="77777777" w:rsidR="00342E07" w:rsidRDefault="00342E07"/>
    <w:p w14:paraId="63405C5E" w14:textId="77777777" w:rsidR="00342E07" w:rsidRDefault="005356A1">
      <w:pPr>
        <w:pStyle w:val="Heading1"/>
      </w:pPr>
      <w:bookmarkStart w:id="179" w:name="_Toc488490640"/>
      <w:bookmarkStart w:id="180" w:name="_Toc373597619"/>
      <w:bookmarkEnd w:id="179"/>
      <w:r>
        <w:t>INDIRECT EVIDENCE</w:t>
      </w:r>
      <w:bookmarkEnd w:id="180"/>
    </w:p>
    <w:p w14:paraId="37245D57" w14:textId="77777777" w:rsidR="00342E07" w:rsidRDefault="00342E07"/>
    <w:p w14:paraId="091D93B9" w14:textId="77777777" w:rsidR="00342E07" w:rsidRDefault="005356A1">
      <w:r>
        <w:t>The following league table provides us with evidence of a reasonable consistency between direct and indirect evidence.</w:t>
      </w:r>
    </w:p>
    <w:p w14:paraId="4EB8CDC3" w14:textId="77777777" w:rsidR="00342E07" w:rsidRDefault="00342E07"/>
    <w:tbl>
      <w:tblPr>
        <w:tblW w:w="11864" w:type="dxa"/>
        <w:tblInd w:w="-1056" w:type="dxa"/>
        <w:tblBorders>
          <w:top w:val="single" w:sz="4" w:space="0" w:color="00000A"/>
        </w:tblBorders>
        <w:tblLook w:val="04A0" w:firstRow="1" w:lastRow="0" w:firstColumn="1" w:lastColumn="0" w:noHBand="0" w:noVBand="1"/>
      </w:tblPr>
      <w:tblGrid>
        <w:gridCol w:w="1449"/>
        <w:gridCol w:w="782"/>
        <w:gridCol w:w="1070"/>
        <w:gridCol w:w="1071"/>
        <w:gridCol w:w="1072"/>
        <w:gridCol w:w="1073"/>
        <w:gridCol w:w="1070"/>
        <w:gridCol w:w="1072"/>
        <w:gridCol w:w="1072"/>
        <w:gridCol w:w="1073"/>
        <w:gridCol w:w="1060"/>
      </w:tblGrid>
      <w:tr w:rsidR="00342E07" w14:paraId="6C1146E9" w14:textId="77777777">
        <w:trPr>
          <w:trHeight w:val="279"/>
        </w:trPr>
        <w:tc>
          <w:tcPr>
            <w:tcW w:w="11862" w:type="dxa"/>
            <w:gridSpan w:val="11"/>
            <w:tcBorders>
              <w:top w:val="single" w:sz="4" w:space="0" w:color="00000A"/>
            </w:tcBorders>
            <w:shd w:val="clear" w:color="auto" w:fill="FFFFFF"/>
            <w:vAlign w:val="center"/>
          </w:tcPr>
          <w:p w14:paraId="22BA9C77" w14:textId="77777777" w:rsidR="00342E07" w:rsidRDefault="005356A1">
            <w:pPr>
              <w:spacing w:after="0" w:line="240" w:lineRule="auto"/>
              <w:rPr>
                <w:rFonts w:eastAsia="Times New Roman" w:cs="Times New Roman"/>
                <w:b/>
                <w:bCs/>
              </w:rPr>
            </w:pPr>
            <w:r>
              <w:rPr>
                <w:rFonts w:eastAsia="Times New Roman" w:cs="Times New Roman"/>
                <w:b/>
                <w:bCs/>
              </w:rPr>
              <w:t xml:space="preserve">League table showing direct and indirect evidence </w:t>
            </w:r>
          </w:p>
        </w:tc>
      </w:tr>
      <w:tr w:rsidR="00342E07" w14:paraId="10111BC6" w14:textId="77777777">
        <w:trPr>
          <w:trHeight w:val="576"/>
        </w:trPr>
        <w:tc>
          <w:tcPr>
            <w:tcW w:w="1448" w:type="dxa"/>
            <w:shd w:val="clear" w:color="auto" w:fill="BFBFBF"/>
            <w:vAlign w:val="center"/>
          </w:tcPr>
          <w:p w14:paraId="6DDA55FF" w14:textId="77777777" w:rsidR="00342E07" w:rsidRDefault="005356A1">
            <w:pPr>
              <w:spacing w:after="0" w:line="240" w:lineRule="auto"/>
              <w:rPr>
                <w:rFonts w:eastAsia="Times New Roman" w:cs="Times New Roman"/>
                <w:b/>
                <w:bCs/>
              </w:rPr>
            </w:pPr>
            <w:r>
              <w:rPr>
                <w:rFonts w:eastAsia="Times New Roman" w:cs="Times New Roman"/>
                <w:b/>
                <w:bCs/>
              </w:rPr>
              <w:t xml:space="preserve">            Direct           Indirect</w:t>
            </w:r>
          </w:p>
        </w:tc>
        <w:tc>
          <w:tcPr>
            <w:tcW w:w="781" w:type="dxa"/>
            <w:shd w:val="clear" w:color="auto" w:fill="BFBFBF"/>
            <w:vAlign w:val="center"/>
          </w:tcPr>
          <w:p w14:paraId="6C22137E" w14:textId="77777777" w:rsidR="00342E07" w:rsidRDefault="005356A1">
            <w:pPr>
              <w:spacing w:after="0" w:line="240" w:lineRule="auto"/>
              <w:jc w:val="center"/>
              <w:rPr>
                <w:rFonts w:eastAsia="Times New Roman" w:cs="Times New Roman"/>
                <w:b/>
                <w:bCs/>
              </w:rPr>
            </w:pPr>
            <w:r>
              <w:rPr>
                <w:rFonts w:eastAsia="Times New Roman" w:cs="Times New Roman"/>
                <w:b/>
                <w:bCs/>
              </w:rPr>
              <w:t>GOLD</w:t>
            </w:r>
          </w:p>
        </w:tc>
        <w:tc>
          <w:tcPr>
            <w:tcW w:w="1070" w:type="dxa"/>
            <w:shd w:val="clear" w:color="auto" w:fill="BFBFBF"/>
            <w:vAlign w:val="center"/>
          </w:tcPr>
          <w:p w14:paraId="7252AC5A" w14:textId="77777777" w:rsidR="00342E07" w:rsidRDefault="005356A1">
            <w:pPr>
              <w:spacing w:after="0" w:line="240" w:lineRule="auto"/>
              <w:jc w:val="center"/>
              <w:rPr>
                <w:rFonts w:eastAsia="Times New Roman" w:cs="Times New Roman"/>
                <w:b/>
                <w:bCs/>
              </w:rPr>
            </w:pPr>
            <w:r>
              <w:rPr>
                <w:rFonts w:eastAsia="Times New Roman" w:cs="Times New Roman"/>
                <w:b/>
                <w:bCs/>
              </w:rPr>
              <w:t>New</w:t>
            </w:r>
          </w:p>
          <w:p w14:paraId="68AAE1F8" w14:textId="77777777" w:rsidR="00342E07" w:rsidRDefault="005356A1">
            <w:pPr>
              <w:spacing w:after="0" w:line="240" w:lineRule="auto"/>
              <w:jc w:val="center"/>
              <w:rPr>
                <w:rFonts w:eastAsia="Times New Roman" w:cs="Times New Roman"/>
                <w:b/>
                <w:bCs/>
              </w:rPr>
            </w:pPr>
            <w:r>
              <w:rPr>
                <w:rFonts w:eastAsia="Times New Roman" w:cs="Times New Roman"/>
                <w:b/>
                <w:bCs/>
              </w:rPr>
              <w:t>GOLD</w:t>
            </w:r>
          </w:p>
        </w:tc>
        <w:tc>
          <w:tcPr>
            <w:tcW w:w="1071" w:type="dxa"/>
            <w:shd w:val="clear" w:color="auto" w:fill="BFBFBF"/>
            <w:vAlign w:val="center"/>
          </w:tcPr>
          <w:p w14:paraId="7EABC8DF" w14:textId="77777777" w:rsidR="00342E07" w:rsidRDefault="005356A1">
            <w:pPr>
              <w:spacing w:after="0" w:line="240" w:lineRule="auto"/>
              <w:jc w:val="center"/>
              <w:rPr>
                <w:rFonts w:eastAsia="Times New Roman" w:cs="Times New Roman"/>
                <w:b/>
                <w:bCs/>
              </w:rPr>
            </w:pPr>
            <w:r>
              <w:rPr>
                <w:rFonts w:eastAsia="Times New Roman" w:cs="Times New Roman"/>
                <w:b/>
                <w:bCs/>
              </w:rPr>
              <w:t>ADO</w:t>
            </w:r>
          </w:p>
        </w:tc>
        <w:tc>
          <w:tcPr>
            <w:tcW w:w="1072" w:type="dxa"/>
            <w:shd w:val="clear" w:color="auto" w:fill="BFBFBF"/>
            <w:vAlign w:val="center"/>
          </w:tcPr>
          <w:p w14:paraId="1F4614CA" w14:textId="77777777" w:rsidR="00342E07" w:rsidRDefault="005356A1">
            <w:pPr>
              <w:spacing w:after="0" w:line="240" w:lineRule="auto"/>
              <w:jc w:val="center"/>
              <w:rPr>
                <w:rFonts w:eastAsia="Times New Roman" w:cs="Times New Roman"/>
                <w:b/>
                <w:bCs/>
              </w:rPr>
            </w:pPr>
            <w:r>
              <w:rPr>
                <w:rFonts w:eastAsia="Times New Roman" w:cs="Times New Roman"/>
                <w:b/>
                <w:bCs/>
              </w:rPr>
              <w:t>BODE</w:t>
            </w:r>
          </w:p>
        </w:tc>
        <w:tc>
          <w:tcPr>
            <w:tcW w:w="1073" w:type="dxa"/>
            <w:shd w:val="clear" w:color="auto" w:fill="BFBFBF"/>
            <w:vAlign w:val="center"/>
          </w:tcPr>
          <w:p w14:paraId="5E9853EF" w14:textId="77777777" w:rsidR="00342E07" w:rsidRDefault="005356A1">
            <w:pPr>
              <w:spacing w:after="0" w:line="240" w:lineRule="auto"/>
              <w:jc w:val="center"/>
              <w:rPr>
                <w:rFonts w:eastAsia="Times New Roman" w:cs="Times New Roman"/>
                <w:b/>
                <w:bCs/>
              </w:rPr>
            </w:pPr>
            <w:r>
              <w:rPr>
                <w:rFonts w:eastAsia="Times New Roman" w:cs="Times New Roman"/>
                <w:b/>
                <w:bCs/>
              </w:rPr>
              <w:t>BODE</w:t>
            </w:r>
          </w:p>
          <w:p w14:paraId="14D8EDC4" w14:textId="77777777" w:rsidR="00342E07" w:rsidRDefault="005356A1">
            <w:pPr>
              <w:spacing w:after="0" w:line="240" w:lineRule="auto"/>
              <w:jc w:val="center"/>
              <w:rPr>
                <w:rFonts w:eastAsia="Times New Roman" w:cs="Times New Roman"/>
                <w:b/>
                <w:bCs/>
              </w:rPr>
            </w:pPr>
            <w:proofErr w:type="spellStart"/>
            <w:r>
              <w:rPr>
                <w:rFonts w:eastAsia="Times New Roman" w:cs="Times New Roman"/>
                <w:b/>
                <w:bCs/>
              </w:rPr>
              <w:t>upd</w:t>
            </w:r>
            <w:proofErr w:type="spellEnd"/>
          </w:p>
        </w:tc>
        <w:tc>
          <w:tcPr>
            <w:tcW w:w="1070" w:type="dxa"/>
            <w:shd w:val="clear" w:color="auto" w:fill="BFBFBF"/>
            <w:vAlign w:val="center"/>
          </w:tcPr>
          <w:p w14:paraId="612627EE" w14:textId="77777777" w:rsidR="00342E07" w:rsidRDefault="005356A1">
            <w:pPr>
              <w:spacing w:after="0" w:line="240" w:lineRule="auto"/>
              <w:jc w:val="center"/>
              <w:rPr>
                <w:rFonts w:eastAsia="Times New Roman" w:cs="Times New Roman"/>
                <w:b/>
                <w:bCs/>
              </w:rPr>
            </w:pPr>
            <w:proofErr w:type="spellStart"/>
            <w:r>
              <w:rPr>
                <w:rFonts w:eastAsia="Times New Roman" w:cs="Times New Roman"/>
                <w:b/>
                <w:bCs/>
              </w:rPr>
              <w:t>eBODE</w:t>
            </w:r>
            <w:proofErr w:type="spellEnd"/>
          </w:p>
        </w:tc>
        <w:tc>
          <w:tcPr>
            <w:tcW w:w="1072" w:type="dxa"/>
            <w:shd w:val="clear" w:color="auto" w:fill="BFBFBF"/>
            <w:vAlign w:val="center"/>
          </w:tcPr>
          <w:p w14:paraId="0FD6CA5A" w14:textId="77777777" w:rsidR="00342E07" w:rsidRDefault="005356A1">
            <w:pPr>
              <w:spacing w:after="0" w:line="240" w:lineRule="auto"/>
              <w:jc w:val="center"/>
              <w:rPr>
                <w:rFonts w:eastAsia="Times New Roman" w:cs="Times New Roman"/>
                <w:b/>
                <w:bCs/>
              </w:rPr>
            </w:pPr>
            <w:proofErr w:type="spellStart"/>
            <w:r>
              <w:rPr>
                <w:rFonts w:eastAsia="Times New Roman" w:cs="Times New Roman"/>
                <w:b/>
                <w:bCs/>
              </w:rPr>
              <w:t>BODEx</w:t>
            </w:r>
            <w:proofErr w:type="spellEnd"/>
          </w:p>
        </w:tc>
        <w:tc>
          <w:tcPr>
            <w:tcW w:w="1072" w:type="dxa"/>
            <w:shd w:val="clear" w:color="auto" w:fill="BFBFBF"/>
            <w:vAlign w:val="center"/>
          </w:tcPr>
          <w:p w14:paraId="3E1D9FF5" w14:textId="77777777" w:rsidR="00342E07" w:rsidRDefault="005356A1">
            <w:pPr>
              <w:spacing w:after="0" w:line="240" w:lineRule="auto"/>
              <w:jc w:val="center"/>
              <w:rPr>
                <w:rFonts w:eastAsia="Times New Roman" w:cs="Times New Roman"/>
                <w:b/>
                <w:bCs/>
              </w:rPr>
            </w:pPr>
            <w:r>
              <w:rPr>
                <w:rFonts w:eastAsia="Times New Roman" w:cs="Times New Roman"/>
                <w:b/>
                <w:bCs/>
              </w:rPr>
              <w:t>DOSE</w:t>
            </w:r>
          </w:p>
        </w:tc>
        <w:tc>
          <w:tcPr>
            <w:tcW w:w="1073" w:type="dxa"/>
            <w:shd w:val="clear" w:color="auto" w:fill="BFBFBF"/>
            <w:vAlign w:val="center"/>
          </w:tcPr>
          <w:p w14:paraId="118E5BDD" w14:textId="77777777" w:rsidR="00342E07" w:rsidRDefault="005356A1">
            <w:pPr>
              <w:spacing w:after="0" w:line="240" w:lineRule="auto"/>
              <w:jc w:val="center"/>
              <w:rPr>
                <w:rFonts w:eastAsia="Times New Roman" w:cs="Times New Roman"/>
                <w:b/>
                <w:bCs/>
              </w:rPr>
            </w:pPr>
            <w:r>
              <w:rPr>
                <w:rFonts w:eastAsia="Times New Roman" w:cs="Times New Roman"/>
                <w:b/>
                <w:bCs/>
              </w:rPr>
              <w:t>SAFE</w:t>
            </w:r>
          </w:p>
        </w:tc>
        <w:tc>
          <w:tcPr>
            <w:tcW w:w="1060" w:type="dxa"/>
            <w:shd w:val="clear" w:color="auto" w:fill="BFBFBF"/>
            <w:vAlign w:val="center"/>
          </w:tcPr>
          <w:p w14:paraId="1D66E94E" w14:textId="77777777" w:rsidR="00342E07" w:rsidRDefault="005356A1">
            <w:pPr>
              <w:spacing w:after="0" w:line="240" w:lineRule="auto"/>
              <w:jc w:val="center"/>
              <w:rPr>
                <w:rFonts w:eastAsia="Times New Roman" w:cs="Times New Roman"/>
                <w:b/>
                <w:bCs/>
              </w:rPr>
            </w:pPr>
            <w:r>
              <w:rPr>
                <w:rFonts w:eastAsia="Times New Roman" w:cs="Times New Roman"/>
                <w:b/>
                <w:bCs/>
              </w:rPr>
              <w:t>BAED</w:t>
            </w:r>
          </w:p>
        </w:tc>
      </w:tr>
      <w:tr w:rsidR="00342E07" w14:paraId="483B1D14" w14:textId="77777777">
        <w:trPr>
          <w:trHeight w:val="288"/>
        </w:trPr>
        <w:tc>
          <w:tcPr>
            <w:tcW w:w="1448" w:type="dxa"/>
            <w:tcBorders>
              <w:top w:val="single" w:sz="4" w:space="0" w:color="00000A"/>
              <w:bottom w:val="single" w:sz="4" w:space="0" w:color="00000A"/>
            </w:tcBorders>
            <w:shd w:val="clear" w:color="auto" w:fill="FFFFFF"/>
            <w:vAlign w:val="center"/>
          </w:tcPr>
          <w:p w14:paraId="7B632483" w14:textId="77777777" w:rsidR="00342E07" w:rsidRDefault="005356A1">
            <w:pPr>
              <w:spacing w:after="0" w:line="240" w:lineRule="auto"/>
              <w:rPr>
                <w:rFonts w:eastAsia="Times New Roman" w:cs="Times New Roman"/>
                <w:b/>
                <w:bCs/>
              </w:rPr>
            </w:pPr>
            <w:r>
              <w:rPr>
                <w:rFonts w:eastAsia="Times New Roman" w:cs="Times New Roman"/>
                <w:b/>
                <w:bCs/>
              </w:rPr>
              <w:t>GOLD</w:t>
            </w:r>
          </w:p>
        </w:tc>
        <w:tc>
          <w:tcPr>
            <w:tcW w:w="781" w:type="dxa"/>
            <w:tcBorders>
              <w:top w:val="single" w:sz="4" w:space="0" w:color="00000A"/>
              <w:bottom w:val="single" w:sz="4" w:space="0" w:color="00000A"/>
            </w:tcBorders>
            <w:shd w:val="clear" w:color="auto" w:fill="FFFFFF"/>
            <w:vAlign w:val="center"/>
          </w:tcPr>
          <w:p w14:paraId="257CAE87" w14:textId="77777777" w:rsidR="00342E07" w:rsidRDefault="005356A1">
            <w:pPr>
              <w:spacing w:after="0" w:line="240" w:lineRule="auto"/>
              <w:jc w:val="center"/>
              <w:rPr>
                <w:rFonts w:eastAsia="Times New Roman" w:cs="Times New Roman"/>
                <w:sz w:val="12"/>
                <w:szCs w:val="12"/>
              </w:rPr>
            </w:pPr>
            <w:r>
              <w:rPr>
                <w:rFonts w:eastAsia="Times New Roman" w:cs="Times New Roman"/>
                <w:sz w:val="12"/>
                <w:szCs w:val="12"/>
              </w:rPr>
              <w:t>-</w:t>
            </w:r>
          </w:p>
        </w:tc>
        <w:tc>
          <w:tcPr>
            <w:tcW w:w="1070" w:type="dxa"/>
            <w:tcBorders>
              <w:top w:val="single" w:sz="4" w:space="0" w:color="00000A"/>
              <w:bottom w:val="single" w:sz="4" w:space="0" w:color="00000A"/>
            </w:tcBorders>
            <w:shd w:val="clear" w:color="auto" w:fill="FFFFFF"/>
            <w:vAlign w:val="center"/>
          </w:tcPr>
          <w:p w14:paraId="3B402B1D" w14:textId="77777777" w:rsidR="00342E07" w:rsidRDefault="005356A1">
            <w:pPr>
              <w:spacing w:after="0" w:line="240" w:lineRule="auto"/>
              <w:jc w:val="center"/>
              <w:rPr>
                <w:rFonts w:eastAsia="Times New Roman" w:cs="Times New Roman"/>
                <w:b/>
                <w:sz w:val="12"/>
                <w:szCs w:val="12"/>
              </w:rPr>
            </w:pPr>
            <w:r>
              <w:rPr>
                <w:rFonts w:eastAsia="Times New Roman" w:cs="Times New Roman"/>
                <w:b/>
                <w:sz w:val="12"/>
                <w:szCs w:val="12"/>
              </w:rPr>
              <w:t xml:space="preserve">0.022          </w:t>
            </w:r>
          </w:p>
          <w:p w14:paraId="27C2C89C" w14:textId="77777777" w:rsidR="00342E07" w:rsidRDefault="005356A1">
            <w:pPr>
              <w:spacing w:after="0" w:line="240" w:lineRule="auto"/>
              <w:jc w:val="center"/>
              <w:rPr>
                <w:rFonts w:eastAsia="Times New Roman" w:cs="Times New Roman"/>
                <w:sz w:val="12"/>
                <w:szCs w:val="12"/>
              </w:rPr>
            </w:pPr>
            <w:r>
              <w:rPr>
                <w:rFonts w:eastAsia="Times New Roman" w:cs="Times New Roman"/>
                <w:sz w:val="12"/>
                <w:szCs w:val="12"/>
              </w:rPr>
              <w:t>[-0.002, 0.047]</w:t>
            </w:r>
          </w:p>
        </w:tc>
        <w:tc>
          <w:tcPr>
            <w:tcW w:w="1071" w:type="dxa"/>
            <w:tcBorders>
              <w:top w:val="single" w:sz="4" w:space="0" w:color="00000A"/>
              <w:bottom w:val="single" w:sz="4" w:space="0" w:color="00000A"/>
            </w:tcBorders>
            <w:shd w:val="clear" w:color="auto" w:fill="FFFFFF"/>
            <w:vAlign w:val="center"/>
          </w:tcPr>
          <w:p w14:paraId="7696D0AD" w14:textId="77777777" w:rsidR="00342E07" w:rsidRDefault="005356A1">
            <w:pPr>
              <w:spacing w:after="0" w:line="240" w:lineRule="auto"/>
              <w:jc w:val="center"/>
            </w:pPr>
            <w:r>
              <w:rPr>
                <w:rFonts w:eastAsia="Times New Roman" w:cs="Times New Roman"/>
                <w:b/>
                <w:sz w:val="12"/>
                <w:szCs w:val="12"/>
              </w:rPr>
              <w:t>0.090</w:t>
            </w:r>
            <w:r>
              <w:rPr>
                <w:rFonts w:eastAsia="Times New Roman" w:cs="Times New Roman"/>
                <w:sz w:val="12"/>
                <w:szCs w:val="12"/>
              </w:rPr>
              <w:t xml:space="preserve">                   [0.071, 0.109]</w:t>
            </w:r>
          </w:p>
        </w:tc>
        <w:tc>
          <w:tcPr>
            <w:tcW w:w="1072" w:type="dxa"/>
            <w:tcBorders>
              <w:top w:val="single" w:sz="4" w:space="0" w:color="00000A"/>
              <w:bottom w:val="single" w:sz="4" w:space="0" w:color="00000A"/>
            </w:tcBorders>
            <w:shd w:val="clear" w:color="auto" w:fill="FFFFFF"/>
            <w:vAlign w:val="center"/>
          </w:tcPr>
          <w:p w14:paraId="12D06C0B" w14:textId="77777777" w:rsidR="00342E07" w:rsidRDefault="005356A1">
            <w:pPr>
              <w:spacing w:after="0" w:line="240" w:lineRule="auto"/>
              <w:jc w:val="center"/>
            </w:pPr>
            <w:r>
              <w:rPr>
                <w:rFonts w:eastAsia="Times New Roman" w:cs="Times New Roman"/>
                <w:b/>
                <w:sz w:val="12"/>
                <w:szCs w:val="12"/>
              </w:rPr>
              <w:t>0.067</w:t>
            </w:r>
            <w:r>
              <w:rPr>
                <w:rFonts w:eastAsia="Times New Roman" w:cs="Times New Roman"/>
                <w:sz w:val="12"/>
                <w:szCs w:val="12"/>
              </w:rPr>
              <w:t xml:space="preserve">          [0.034, 0.099]</w:t>
            </w:r>
          </w:p>
        </w:tc>
        <w:tc>
          <w:tcPr>
            <w:tcW w:w="1073" w:type="dxa"/>
            <w:tcBorders>
              <w:top w:val="single" w:sz="4" w:space="0" w:color="00000A"/>
              <w:bottom w:val="single" w:sz="4" w:space="0" w:color="00000A"/>
            </w:tcBorders>
            <w:shd w:val="clear" w:color="auto" w:fill="FFFFFF"/>
            <w:vAlign w:val="center"/>
          </w:tcPr>
          <w:p w14:paraId="60CDAAC0" w14:textId="77777777" w:rsidR="00342E07" w:rsidRDefault="005356A1">
            <w:pPr>
              <w:spacing w:after="0" w:line="240" w:lineRule="auto"/>
              <w:jc w:val="center"/>
            </w:pPr>
            <w:r>
              <w:rPr>
                <w:rFonts w:eastAsia="Times New Roman" w:cs="Times New Roman"/>
                <w:b/>
                <w:sz w:val="12"/>
                <w:szCs w:val="12"/>
              </w:rPr>
              <w:t>0.075</w:t>
            </w:r>
            <w:r>
              <w:rPr>
                <w:rFonts w:eastAsia="Times New Roman" w:cs="Times New Roman"/>
                <w:sz w:val="12"/>
                <w:szCs w:val="12"/>
              </w:rPr>
              <w:t xml:space="preserve">                  [0.032, 0.117]</w:t>
            </w:r>
          </w:p>
        </w:tc>
        <w:tc>
          <w:tcPr>
            <w:tcW w:w="1070" w:type="dxa"/>
            <w:tcBorders>
              <w:top w:val="single" w:sz="4" w:space="0" w:color="00000A"/>
              <w:bottom w:val="single" w:sz="4" w:space="0" w:color="00000A"/>
            </w:tcBorders>
            <w:shd w:val="clear" w:color="auto" w:fill="FFFFFF"/>
            <w:vAlign w:val="center"/>
          </w:tcPr>
          <w:p w14:paraId="4D1C6FE6" w14:textId="77777777" w:rsidR="00342E07" w:rsidRDefault="005356A1">
            <w:pPr>
              <w:spacing w:after="0" w:line="240" w:lineRule="auto"/>
              <w:jc w:val="center"/>
            </w:pPr>
            <w:r>
              <w:rPr>
                <w:rFonts w:eastAsia="Times New Roman" w:cs="Times New Roman"/>
                <w:b/>
                <w:sz w:val="12"/>
                <w:szCs w:val="12"/>
              </w:rPr>
              <w:t>0.074</w:t>
            </w:r>
            <w:r>
              <w:rPr>
                <w:rFonts w:eastAsia="Times New Roman" w:cs="Times New Roman"/>
                <w:sz w:val="12"/>
                <w:szCs w:val="12"/>
              </w:rPr>
              <w:t xml:space="preserve">                            [-0.009, 0.157]</w:t>
            </w:r>
          </w:p>
        </w:tc>
        <w:tc>
          <w:tcPr>
            <w:tcW w:w="1072" w:type="dxa"/>
            <w:tcBorders>
              <w:top w:val="single" w:sz="4" w:space="0" w:color="00000A"/>
              <w:bottom w:val="single" w:sz="4" w:space="0" w:color="00000A"/>
            </w:tcBorders>
            <w:shd w:val="clear" w:color="auto" w:fill="FFFFFF"/>
            <w:vAlign w:val="center"/>
          </w:tcPr>
          <w:p w14:paraId="56FDB6D3" w14:textId="77777777" w:rsidR="00342E07" w:rsidRDefault="005356A1">
            <w:pPr>
              <w:spacing w:after="0" w:line="240" w:lineRule="auto"/>
              <w:jc w:val="center"/>
            </w:pPr>
            <w:r>
              <w:rPr>
                <w:rFonts w:eastAsia="Times New Roman" w:cs="Times New Roman"/>
                <w:b/>
                <w:sz w:val="12"/>
                <w:szCs w:val="12"/>
              </w:rPr>
              <w:t>0.064</w:t>
            </w:r>
            <w:r>
              <w:rPr>
                <w:rFonts w:eastAsia="Times New Roman" w:cs="Times New Roman"/>
                <w:sz w:val="12"/>
                <w:szCs w:val="12"/>
              </w:rPr>
              <w:t xml:space="preserve">                     [0.033, 0.096]</w:t>
            </w:r>
          </w:p>
        </w:tc>
        <w:tc>
          <w:tcPr>
            <w:tcW w:w="1072" w:type="dxa"/>
            <w:tcBorders>
              <w:top w:val="single" w:sz="4" w:space="0" w:color="00000A"/>
              <w:bottom w:val="single" w:sz="4" w:space="0" w:color="00000A"/>
            </w:tcBorders>
            <w:shd w:val="clear" w:color="auto" w:fill="FFFFFF"/>
            <w:vAlign w:val="center"/>
          </w:tcPr>
          <w:p w14:paraId="5E5BA88C" w14:textId="77777777" w:rsidR="00342E07" w:rsidRDefault="005356A1">
            <w:pPr>
              <w:spacing w:after="0" w:line="240" w:lineRule="auto"/>
              <w:jc w:val="center"/>
            </w:pPr>
            <w:r>
              <w:rPr>
                <w:rFonts w:eastAsia="Times New Roman" w:cs="Times New Roman"/>
                <w:b/>
                <w:sz w:val="12"/>
                <w:szCs w:val="12"/>
              </w:rPr>
              <w:t>0.046</w:t>
            </w:r>
            <w:r>
              <w:rPr>
                <w:rFonts w:eastAsia="Times New Roman" w:cs="Times New Roman"/>
                <w:sz w:val="12"/>
                <w:szCs w:val="12"/>
              </w:rPr>
              <w:t xml:space="preserve">                      [0.012, 0.080]</w:t>
            </w:r>
          </w:p>
        </w:tc>
        <w:tc>
          <w:tcPr>
            <w:tcW w:w="1073" w:type="dxa"/>
            <w:tcBorders>
              <w:top w:val="single" w:sz="4" w:space="0" w:color="00000A"/>
              <w:bottom w:val="single" w:sz="4" w:space="0" w:color="00000A"/>
            </w:tcBorders>
            <w:shd w:val="clear" w:color="auto" w:fill="FFFFFF"/>
            <w:vAlign w:val="center"/>
          </w:tcPr>
          <w:p w14:paraId="7D5DF246" w14:textId="77777777" w:rsidR="00342E07" w:rsidRDefault="005356A1">
            <w:pPr>
              <w:spacing w:after="0" w:line="240" w:lineRule="auto"/>
              <w:jc w:val="center"/>
            </w:pPr>
            <w:r>
              <w:rPr>
                <w:rFonts w:eastAsia="Times New Roman" w:cs="Times New Roman"/>
                <w:b/>
                <w:sz w:val="12"/>
                <w:szCs w:val="12"/>
              </w:rPr>
              <w:t>0.037</w:t>
            </w:r>
            <w:r>
              <w:rPr>
                <w:rFonts w:eastAsia="Times New Roman" w:cs="Times New Roman"/>
                <w:sz w:val="12"/>
                <w:szCs w:val="12"/>
              </w:rPr>
              <w:t xml:space="preserve">                      [0.015, 0.059]</w:t>
            </w:r>
          </w:p>
        </w:tc>
        <w:tc>
          <w:tcPr>
            <w:tcW w:w="1060" w:type="dxa"/>
            <w:tcBorders>
              <w:top w:val="single" w:sz="4" w:space="0" w:color="00000A"/>
              <w:bottom w:val="single" w:sz="4" w:space="0" w:color="00000A"/>
            </w:tcBorders>
            <w:shd w:val="clear" w:color="auto" w:fill="FFFFFF"/>
            <w:vAlign w:val="center"/>
          </w:tcPr>
          <w:p w14:paraId="18246B75" w14:textId="77777777" w:rsidR="00342E07" w:rsidRDefault="005356A1">
            <w:pPr>
              <w:spacing w:after="0" w:line="240" w:lineRule="auto"/>
              <w:jc w:val="center"/>
            </w:pPr>
            <w:r>
              <w:rPr>
                <w:rFonts w:eastAsia="Times New Roman" w:cs="Times New Roman"/>
                <w:b/>
                <w:sz w:val="12"/>
                <w:szCs w:val="12"/>
              </w:rPr>
              <w:t>0.039</w:t>
            </w:r>
            <w:r>
              <w:rPr>
                <w:rFonts w:eastAsia="Times New Roman" w:cs="Times New Roman"/>
                <w:sz w:val="12"/>
                <w:szCs w:val="12"/>
              </w:rPr>
              <w:t xml:space="preserve">                 [0.003, 0.076]</w:t>
            </w:r>
          </w:p>
        </w:tc>
      </w:tr>
      <w:tr w:rsidR="00342E07" w14:paraId="556FECF0" w14:textId="77777777">
        <w:trPr>
          <w:trHeight w:val="288"/>
        </w:trPr>
        <w:tc>
          <w:tcPr>
            <w:tcW w:w="1448" w:type="dxa"/>
            <w:tcBorders>
              <w:top w:val="single" w:sz="4" w:space="0" w:color="00000A"/>
              <w:bottom w:val="single" w:sz="4" w:space="0" w:color="00000A"/>
            </w:tcBorders>
            <w:shd w:val="clear" w:color="auto" w:fill="FFFFFF"/>
            <w:vAlign w:val="center"/>
          </w:tcPr>
          <w:p w14:paraId="1ED75D3D" w14:textId="77777777" w:rsidR="00342E07" w:rsidRDefault="005356A1">
            <w:pPr>
              <w:spacing w:after="0" w:line="240" w:lineRule="auto"/>
              <w:rPr>
                <w:rFonts w:eastAsia="Times New Roman" w:cs="Times New Roman"/>
                <w:b/>
                <w:bCs/>
              </w:rPr>
            </w:pPr>
            <w:r>
              <w:rPr>
                <w:rFonts w:eastAsia="Times New Roman" w:cs="Times New Roman"/>
                <w:b/>
                <w:bCs/>
              </w:rPr>
              <w:t>New GOLD</w:t>
            </w:r>
          </w:p>
        </w:tc>
        <w:tc>
          <w:tcPr>
            <w:tcW w:w="781" w:type="dxa"/>
            <w:tcBorders>
              <w:top w:val="single" w:sz="4" w:space="0" w:color="00000A"/>
              <w:bottom w:val="single" w:sz="4" w:space="0" w:color="00000A"/>
            </w:tcBorders>
            <w:shd w:val="clear" w:color="auto" w:fill="FFFFFF"/>
            <w:vAlign w:val="center"/>
          </w:tcPr>
          <w:p w14:paraId="47209FE3" w14:textId="77777777" w:rsidR="00342E07" w:rsidRDefault="005356A1">
            <w:pPr>
              <w:spacing w:after="0" w:line="240" w:lineRule="auto"/>
              <w:jc w:val="center"/>
              <w:rPr>
                <w:rFonts w:eastAsia="Times New Roman" w:cs="Times New Roman"/>
                <w:sz w:val="12"/>
                <w:szCs w:val="12"/>
              </w:rPr>
            </w:pPr>
            <w:r>
              <w:rPr>
                <w:rFonts w:eastAsia="Times New Roman" w:cs="Times New Roman"/>
                <w:sz w:val="12"/>
                <w:szCs w:val="12"/>
              </w:rPr>
              <w:t> </w:t>
            </w:r>
          </w:p>
        </w:tc>
        <w:tc>
          <w:tcPr>
            <w:tcW w:w="1070" w:type="dxa"/>
            <w:tcBorders>
              <w:top w:val="single" w:sz="4" w:space="0" w:color="00000A"/>
              <w:bottom w:val="single" w:sz="4" w:space="0" w:color="00000A"/>
            </w:tcBorders>
            <w:shd w:val="clear" w:color="auto" w:fill="FFFFFF"/>
            <w:vAlign w:val="center"/>
          </w:tcPr>
          <w:p w14:paraId="49A2A02E" w14:textId="77777777" w:rsidR="00342E07" w:rsidRDefault="005356A1">
            <w:pPr>
              <w:spacing w:after="0" w:line="240" w:lineRule="auto"/>
              <w:jc w:val="center"/>
              <w:rPr>
                <w:rFonts w:eastAsia="Times New Roman" w:cs="Times New Roman"/>
                <w:sz w:val="12"/>
                <w:szCs w:val="12"/>
              </w:rPr>
            </w:pPr>
            <w:r>
              <w:rPr>
                <w:rFonts w:eastAsia="Times New Roman" w:cs="Times New Roman"/>
                <w:sz w:val="12"/>
                <w:szCs w:val="12"/>
              </w:rPr>
              <w:t>-</w:t>
            </w:r>
          </w:p>
        </w:tc>
        <w:tc>
          <w:tcPr>
            <w:tcW w:w="1071" w:type="dxa"/>
            <w:tcBorders>
              <w:top w:val="single" w:sz="4" w:space="0" w:color="00000A"/>
              <w:bottom w:val="single" w:sz="4" w:space="0" w:color="00000A"/>
            </w:tcBorders>
            <w:shd w:val="clear" w:color="auto" w:fill="FFFFFF"/>
            <w:vAlign w:val="center"/>
          </w:tcPr>
          <w:p w14:paraId="7EE7E0F2" w14:textId="77777777" w:rsidR="00342E07" w:rsidRDefault="005356A1">
            <w:pPr>
              <w:spacing w:after="0" w:line="240" w:lineRule="auto"/>
              <w:jc w:val="center"/>
            </w:pPr>
            <w:r>
              <w:rPr>
                <w:rFonts w:eastAsia="Times New Roman" w:cs="Times New Roman"/>
                <w:b/>
                <w:sz w:val="12"/>
                <w:szCs w:val="12"/>
              </w:rPr>
              <w:t>0.063</w:t>
            </w:r>
            <w:r>
              <w:rPr>
                <w:rFonts w:eastAsia="Times New Roman" w:cs="Times New Roman"/>
                <w:sz w:val="12"/>
                <w:szCs w:val="12"/>
              </w:rPr>
              <w:t xml:space="preserve">          [0.050, 0.077]</w:t>
            </w:r>
          </w:p>
        </w:tc>
        <w:tc>
          <w:tcPr>
            <w:tcW w:w="1072" w:type="dxa"/>
            <w:tcBorders>
              <w:top w:val="single" w:sz="4" w:space="0" w:color="00000A"/>
              <w:bottom w:val="single" w:sz="4" w:space="0" w:color="00000A"/>
            </w:tcBorders>
            <w:shd w:val="clear" w:color="auto" w:fill="FFFFFF"/>
            <w:vAlign w:val="center"/>
          </w:tcPr>
          <w:p w14:paraId="20AD94C2" w14:textId="77777777" w:rsidR="00342E07" w:rsidRDefault="005356A1">
            <w:pPr>
              <w:spacing w:after="0" w:line="240" w:lineRule="auto"/>
              <w:jc w:val="center"/>
            </w:pPr>
            <w:r>
              <w:rPr>
                <w:rFonts w:eastAsia="Times New Roman" w:cs="Times New Roman"/>
                <w:b/>
                <w:color w:val="FF0000"/>
                <w:sz w:val="12"/>
                <w:szCs w:val="12"/>
              </w:rPr>
              <w:t>0.052</w:t>
            </w:r>
            <w:r>
              <w:rPr>
                <w:rFonts w:eastAsia="Times New Roman" w:cs="Times New Roman"/>
                <w:color w:val="FF0000"/>
                <w:sz w:val="12"/>
                <w:szCs w:val="12"/>
              </w:rPr>
              <w:t xml:space="preserve">                 [0.037, 0.068]</w:t>
            </w:r>
          </w:p>
        </w:tc>
        <w:tc>
          <w:tcPr>
            <w:tcW w:w="1073" w:type="dxa"/>
            <w:tcBorders>
              <w:top w:val="single" w:sz="4" w:space="0" w:color="00000A"/>
              <w:bottom w:val="single" w:sz="4" w:space="0" w:color="00000A"/>
            </w:tcBorders>
            <w:shd w:val="clear" w:color="auto" w:fill="FFFFFF"/>
            <w:vAlign w:val="center"/>
          </w:tcPr>
          <w:p w14:paraId="3E309F3B" w14:textId="77777777" w:rsidR="00342E07" w:rsidRDefault="005356A1">
            <w:pPr>
              <w:spacing w:after="0" w:line="240" w:lineRule="auto"/>
              <w:jc w:val="center"/>
            </w:pPr>
            <w:r>
              <w:rPr>
                <w:rFonts w:eastAsia="Times New Roman" w:cs="Times New Roman"/>
                <w:b/>
                <w:color w:val="FF0000"/>
                <w:sz w:val="12"/>
                <w:szCs w:val="12"/>
              </w:rPr>
              <w:t>0.041</w:t>
            </w:r>
            <w:r>
              <w:rPr>
                <w:rFonts w:eastAsia="Times New Roman" w:cs="Times New Roman"/>
                <w:color w:val="FF0000"/>
                <w:sz w:val="12"/>
                <w:szCs w:val="12"/>
              </w:rPr>
              <w:t xml:space="preserve">                  [0.008, 0.073]</w:t>
            </w:r>
          </w:p>
        </w:tc>
        <w:tc>
          <w:tcPr>
            <w:tcW w:w="1070" w:type="dxa"/>
            <w:tcBorders>
              <w:top w:val="single" w:sz="4" w:space="0" w:color="00000A"/>
              <w:bottom w:val="single" w:sz="4" w:space="0" w:color="00000A"/>
            </w:tcBorders>
            <w:shd w:val="clear" w:color="auto" w:fill="FFFFFF"/>
            <w:vAlign w:val="center"/>
          </w:tcPr>
          <w:p w14:paraId="6A598295" w14:textId="77777777" w:rsidR="00342E07" w:rsidRDefault="005356A1">
            <w:pPr>
              <w:spacing w:after="0" w:line="240" w:lineRule="auto"/>
              <w:jc w:val="center"/>
            </w:pPr>
            <w:r>
              <w:rPr>
                <w:rFonts w:eastAsia="Times New Roman" w:cs="Times New Roman"/>
                <w:b/>
                <w:sz w:val="12"/>
                <w:szCs w:val="12"/>
              </w:rPr>
              <w:t>0.054</w:t>
            </w:r>
            <w:r>
              <w:rPr>
                <w:rFonts w:eastAsia="Times New Roman" w:cs="Times New Roman"/>
                <w:sz w:val="12"/>
                <w:szCs w:val="12"/>
              </w:rPr>
              <w:t xml:space="preserve">                       [0.015, 0.092]</w:t>
            </w:r>
          </w:p>
        </w:tc>
        <w:tc>
          <w:tcPr>
            <w:tcW w:w="1072" w:type="dxa"/>
            <w:tcBorders>
              <w:top w:val="single" w:sz="4" w:space="0" w:color="00000A"/>
              <w:bottom w:val="single" w:sz="4" w:space="0" w:color="00000A"/>
            </w:tcBorders>
            <w:shd w:val="clear" w:color="auto" w:fill="FFFFFF"/>
            <w:vAlign w:val="center"/>
          </w:tcPr>
          <w:p w14:paraId="06F37A67" w14:textId="77777777" w:rsidR="00342E07" w:rsidRDefault="005356A1">
            <w:pPr>
              <w:spacing w:after="0" w:line="240" w:lineRule="auto"/>
              <w:jc w:val="center"/>
            </w:pPr>
            <w:r>
              <w:rPr>
                <w:rFonts w:eastAsia="Times New Roman" w:cs="Times New Roman"/>
                <w:b/>
                <w:sz w:val="12"/>
                <w:szCs w:val="12"/>
              </w:rPr>
              <w:t>0.028</w:t>
            </w:r>
            <w:r>
              <w:rPr>
                <w:rFonts w:eastAsia="Times New Roman" w:cs="Times New Roman"/>
                <w:sz w:val="12"/>
                <w:szCs w:val="12"/>
              </w:rPr>
              <w:t xml:space="preserve">                      [0.017, 0.040]</w:t>
            </w:r>
          </w:p>
        </w:tc>
        <w:tc>
          <w:tcPr>
            <w:tcW w:w="1072" w:type="dxa"/>
            <w:tcBorders>
              <w:top w:val="single" w:sz="4" w:space="0" w:color="00000A"/>
              <w:bottom w:val="single" w:sz="4" w:space="0" w:color="00000A"/>
            </w:tcBorders>
            <w:shd w:val="clear" w:color="auto" w:fill="FFFFFF"/>
            <w:vAlign w:val="center"/>
          </w:tcPr>
          <w:p w14:paraId="45AB86F4" w14:textId="77777777" w:rsidR="00342E07" w:rsidRDefault="005356A1">
            <w:pPr>
              <w:spacing w:after="0" w:line="240" w:lineRule="auto"/>
              <w:jc w:val="center"/>
            </w:pPr>
            <w:r>
              <w:rPr>
                <w:rFonts w:eastAsia="Times New Roman" w:cs="Times New Roman"/>
                <w:b/>
                <w:sz w:val="12"/>
                <w:szCs w:val="12"/>
              </w:rPr>
              <w:t>0.010</w:t>
            </w:r>
            <w:r>
              <w:rPr>
                <w:rFonts w:eastAsia="Times New Roman" w:cs="Times New Roman"/>
                <w:sz w:val="12"/>
                <w:szCs w:val="12"/>
              </w:rPr>
              <w:t xml:space="preserve">                            [-0.002, 0.023]</w:t>
            </w:r>
          </w:p>
        </w:tc>
        <w:tc>
          <w:tcPr>
            <w:tcW w:w="1073" w:type="dxa"/>
            <w:tcBorders>
              <w:top w:val="single" w:sz="4" w:space="0" w:color="00000A"/>
              <w:bottom w:val="single" w:sz="4" w:space="0" w:color="00000A"/>
            </w:tcBorders>
            <w:shd w:val="clear" w:color="auto" w:fill="FFFFFF"/>
            <w:vAlign w:val="center"/>
          </w:tcPr>
          <w:p w14:paraId="606507B2" w14:textId="77777777" w:rsidR="00342E07" w:rsidRDefault="005356A1">
            <w:pPr>
              <w:spacing w:after="0" w:line="240" w:lineRule="auto"/>
              <w:jc w:val="center"/>
            </w:pPr>
            <w:r>
              <w:rPr>
                <w:rFonts w:eastAsia="Times New Roman" w:cs="Times New Roman"/>
                <w:b/>
                <w:sz w:val="12"/>
                <w:szCs w:val="12"/>
              </w:rPr>
              <w:t>0.045</w:t>
            </w:r>
            <w:r>
              <w:rPr>
                <w:rFonts w:eastAsia="Times New Roman" w:cs="Times New Roman"/>
                <w:sz w:val="12"/>
                <w:szCs w:val="12"/>
              </w:rPr>
              <w:t xml:space="preserve">                    [0.027, 0.063]</w:t>
            </w:r>
          </w:p>
        </w:tc>
        <w:tc>
          <w:tcPr>
            <w:tcW w:w="1060" w:type="dxa"/>
            <w:tcBorders>
              <w:top w:val="single" w:sz="4" w:space="0" w:color="00000A"/>
              <w:bottom w:val="single" w:sz="4" w:space="0" w:color="00000A"/>
            </w:tcBorders>
            <w:shd w:val="clear" w:color="auto" w:fill="FFFFFF"/>
            <w:vAlign w:val="center"/>
          </w:tcPr>
          <w:p w14:paraId="1EE51554" w14:textId="77777777" w:rsidR="00342E07" w:rsidRDefault="005356A1">
            <w:pPr>
              <w:spacing w:after="0" w:line="240" w:lineRule="auto"/>
              <w:jc w:val="center"/>
            </w:pPr>
            <w:r>
              <w:rPr>
                <w:rFonts w:eastAsia="Times New Roman" w:cs="Times New Roman"/>
                <w:b/>
                <w:sz w:val="12"/>
                <w:szCs w:val="12"/>
              </w:rPr>
              <w:t>0.007</w:t>
            </w:r>
            <w:r>
              <w:rPr>
                <w:rFonts w:eastAsia="Times New Roman" w:cs="Times New Roman"/>
                <w:sz w:val="12"/>
                <w:szCs w:val="12"/>
              </w:rPr>
              <w:t xml:space="preserve">                         [-0.018, 0.031]</w:t>
            </w:r>
          </w:p>
        </w:tc>
      </w:tr>
      <w:tr w:rsidR="00342E07" w14:paraId="3DC020E8" w14:textId="77777777">
        <w:trPr>
          <w:trHeight w:val="288"/>
        </w:trPr>
        <w:tc>
          <w:tcPr>
            <w:tcW w:w="1448" w:type="dxa"/>
            <w:tcBorders>
              <w:top w:val="single" w:sz="4" w:space="0" w:color="00000A"/>
              <w:bottom w:val="single" w:sz="4" w:space="0" w:color="00000A"/>
            </w:tcBorders>
            <w:shd w:val="clear" w:color="auto" w:fill="FFFFFF"/>
            <w:vAlign w:val="center"/>
          </w:tcPr>
          <w:p w14:paraId="41E1A095" w14:textId="77777777" w:rsidR="00342E07" w:rsidRDefault="005356A1">
            <w:pPr>
              <w:spacing w:after="0" w:line="240" w:lineRule="auto"/>
              <w:rPr>
                <w:rFonts w:eastAsia="Times New Roman" w:cs="Times New Roman"/>
                <w:b/>
                <w:bCs/>
              </w:rPr>
            </w:pPr>
            <w:r>
              <w:rPr>
                <w:rFonts w:eastAsia="Times New Roman" w:cs="Times New Roman"/>
                <w:b/>
                <w:bCs/>
              </w:rPr>
              <w:t>ADO</w:t>
            </w:r>
          </w:p>
        </w:tc>
        <w:tc>
          <w:tcPr>
            <w:tcW w:w="781" w:type="dxa"/>
            <w:tcBorders>
              <w:top w:val="single" w:sz="4" w:space="0" w:color="00000A"/>
              <w:bottom w:val="single" w:sz="4" w:space="0" w:color="00000A"/>
            </w:tcBorders>
            <w:shd w:val="clear" w:color="auto" w:fill="FFFFFF"/>
            <w:vAlign w:val="center"/>
          </w:tcPr>
          <w:p w14:paraId="07DA5577" w14:textId="77777777" w:rsidR="00342E07" w:rsidRDefault="005356A1">
            <w:pPr>
              <w:spacing w:after="0" w:line="240" w:lineRule="auto"/>
              <w:jc w:val="center"/>
              <w:rPr>
                <w:rFonts w:eastAsia="Times New Roman" w:cs="Times New Roman"/>
                <w:sz w:val="12"/>
                <w:szCs w:val="12"/>
              </w:rPr>
            </w:pPr>
            <w:r>
              <w:rPr>
                <w:rFonts w:eastAsia="Times New Roman" w:cs="Times New Roman"/>
                <w:sz w:val="12"/>
                <w:szCs w:val="12"/>
              </w:rPr>
              <w:t> </w:t>
            </w:r>
          </w:p>
        </w:tc>
        <w:tc>
          <w:tcPr>
            <w:tcW w:w="1070" w:type="dxa"/>
            <w:tcBorders>
              <w:top w:val="single" w:sz="4" w:space="0" w:color="00000A"/>
              <w:bottom w:val="single" w:sz="4" w:space="0" w:color="00000A"/>
            </w:tcBorders>
            <w:shd w:val="clear" w:color="auto" w:fill="FFFFFF"/>
            <w:vAlign w:val="center"/>
          </w:tcPr>
          <w:p w14:paraId="5E0D67D5" w14:textId="77777777" w:rsidR="00342E07" w:rsidRDefault="005356A1">
            <w:pPr>
              <w:spacing w:after="0" w:line="240" w:lineRule="auto"/>
              <w:jc w:val="center"/>
              <w:rPr>
                <w:rFonts w:eastAsia="Times New Roman" w:cs="Times New Roman"/>
                <w:sz w:val="12"/>
                <w:szCs w:val="12"/>
              </w:rPr>
            </w:pPr>
            <w:r>
              <w:rPr>
                <w:rFonts w:eastAsia="Times New Roman" w:cs="Times New Roman"/>
                <w:sz w:val="12"/>
                <w:szCs w:val="12"/>
              </w:rPr>
              <w:t> </w:t>
            </w:r>
          </w:p>
        </w:tc>
        <w:tc>
          <w:tcPr>
            <w:tcW w:w="1071" w:type="dxa"/>
            <w:tcBorders>
              <w:top w:val="single" w:sz="4" w:space="0" w:color="00000A"/>
              <w:bottom w:val="single" w:sz="4" w:space="0" w:color="00000A"/>
            </w:tcBorders>
            <w:shd w:val="clear" w:color="auto" w:fill="FFFFFF"/>
            <w:vAlign w:val="center"/>
          </w:tcPr>
          <w:p w14:paraId="435539A9" w14:textId="77777777" w:rsidR="00342E07" w:rsidRDefault="005356A1">
            <w:pPr>
              <w:spacing w:after="0" w:line="240" w:lineRule="auto"/>
              <w:jc w:val="center"/>
              <w:rPr>
                <w:rFonts w:eastAsia="Times New Roman" w:cs="Times New Roman"/>
                <w:sz w:val="12"/>
                <w:szCs w:val="12"/>
              </w:rPr>
            </w:pPr>
            <w:r>
              <w:rPr>
                <w:rFonts w:eastAsia="Times New Roman" w:cs="Times New Roman"/>
                <w:sz w:val="12"/>
                <w:szCs w:val="12"/>
              </w:rPr>
              <w:t>-</w:t>
            </w:r>
          </w:p>
        </w:tc>
        <w:tc>
          <w:tcPr>
            <w:tcW w:w="1072" w:type="dxa"/>
            <w:tcBorders>
              <w:top w:val="single" w:sz="4" w:space="0" w:color="00000A"/>
              <w:bottom w:val="single" w:sz="4" w:space="0" w:color="00000A"/>
            </w:tcBorders>
            <w:shd w:val="clear" w:color="auto" w:fill="FFFFFF"/>
            <w:vAlign w:val="center"/>
          </w:tcPr>
          <w:p w14:paraId="3791D5B9" w14:textId="77777777" w:rsidR="00342E07" w:rsidRDefault="005356A1">
            <w:pPr>
              <w:spacing w:after="0" w:line="240" w:lineRule="auto"/>
              <w:jc w:val="center"/>
            </w:pPr>
            <w:r>
              <w:rPr>
                <w:rFonts w:eastAsia="Times New Roman" w:cs="Times New Roman"/>
                <w:b/>
                <w:sz w:val="12"/>
                <w:szCs w:val="12"/>
              </w:rPr>
              <w:t>-0.007</w:t>
            </w:r>
            <w:r>
              <w:rPr>
                <w:rFonts w:eastAsia="Times New Roman" w:cs="Times New Roman"/>
                <w:sz w:val="12"/>
                <w:szCs w:val="12"/>
              </w:rPr>
              <w:t xml:space="preserve">                   [-0.031, 0.017]</w:t>
            </w:r>
          </w:p>
        </w:tc>
        <w:tc>
          <w:tcPr>
            <w:tcW w:w="1073" w:type="dxa"/>
            <w:tcBorders>
              <w:top w:val="single" w:sz="4" w:space="0" w:color="00000A"/>
              <w:bottom w:val="single" w:sz="4" w:space="0" w:color="00000A"/>
            </w:tcBorders>
            <w:shd w:val="clear" w:color="auto" w:fill="FFFFFF"/>
            <w:vAlign w:val="center"/>
          </w:tcPr>
          <w:p w14:paraId="70C0DF10" w14:textId="77777777" w:rsidR="00342E07" w:rsidRDefault="005356A1">
            <w:pPr>
              <w:spacing w:after="0" w:line="240" w:lineRule="auto"/>
              <w:jc w:val="center"/>
            </w:pPr>
            <w:r>
              <w:rPr>
                <w:rFonts w:eastAsia="Times New Roman" w:cs="Times New Roman"/>
                <w:b/>
                <w:sz w:val="12"/>
                <w:szCs w:val="12"/>
              </w:rPr>
              <w:t>-0.004</w:t>
            </w:r>
            <w:r>
              <w:rPr>
                <w:rFonts w:eastAsia="Times New Roman" w:cs="Times New Roman"/>
                <w:sz w:val="12"/>
                <w:szCs w:val="12"/>
              </w:rPr>
              <w:t xml:space="preserve">                            [-0.036, 0.029]</w:t>
            </w:r>
          </w:p>
        </w:tc>
        <w:tc>
          <w:tcPr>
            <w:tcW w:w="1070" w:type="dxa"/>
            <w:tcBorders>
              <w:top w:val="single" w:sz="4" w:space="0" w:color="00000A"/>
              <w:bottom w:val="single" w:sz="4" w:space="0" w:color="00000A"/>
            </w:tcBorders>
            <w:shd w:val="clear" w:color="auto" w:fill="FFFFFF"/>
            <w:vAlign w:val="center"/>
          </w:tcPr>
          <w:p w14:paraId="323A663E" w14:textId="77777777" w:rsidR="00342E07" w:rsidRDefault="005356A1">
            <w:pPr>
              <w:spacing w:after="0" w:line="240" w:lineRule="auto"/>
              <w:jc w:val="center"/>
            </w:pPr>
            <w:r>
              <w:rPr>
                <w:rFonts w:eastAsia="Times New Roman" w:cs="Times New Roman"/>
                <w:b/>
                <w:sz w:val="12"/>
                <w:szCs w:val="12"/>
              </w:rPr>
              <w:t xml:space="preserve">-0.018                           </w:t>
            </w:r>
            <w:r>
              <w:rPr>
                <w:rFonts w:eastAsia="Times New Roman" w:cs="Times New Roman"/>
                <w:sz w:val="12"/>
                <w:szCs w:val="12"/>
              </w:rPr>
              <w:t>[-0.079, 0.043]</w:t>
            </w:r>
          </w:p>
        </w:tc>
        <w:tc>
          <w:tcPr>
            <w:tcW w:w="1072" w:type="dxa"/>
            <w:tcBorders>
              <w:top w:val="single" w:sz="4" w:space="0" w:color="00000A"/>
              <w:bottom w:val="single" w:sz="4" w:space="0" w:color="00000A"/>
            </w:tcBorders>
            <w:shd w:val="clear" w:color="auto" w:fill="FFFFFF"/>
            <w:vAlign w:val="center"/>
          </w:tcPr>
          <w:p w14:paraId="05713510" w14:textId="77777777" w:rsidR="00342E07" w:rsidRDefault="005356A1">
            <w:pPr>
              <w:spacing w:after="0" w:line="240" w:lineRule="auto"/>
              <w:jc w:val="center"/>
            </w:pPr>
            <w:r>
              <w:rPr>
                <w:rFonts w:eastAsia="Times New Roman" w:cs="Times New Roman"/>
                <w:b/>
                <w:sz w:val="12"/>
                <w:szCs w:val="12"/>
              </w:rPr>
              <w:t>-0.045</w:t>
            </w:r>
            <w:r>
              <w:rPr>
                <w:rFonts w:eastAsia="Times New Roman" w:cs="Times New Roman"/>
                <w:sz w:val="12"/>
                <w:szCs w:val="12"/>
              </w:rPr>
              <w:t xml:space="preserve">                            [-0.062, -0.027]</w:t>
            </w:r>
          </w:p>
        </w:tc>
        <w:tc>
          <w:tcPr>
            <w:tcW w:w="1072" w:type="dxa"/>
            <w:tcBorders>
              <w:top w:val="single" w:sz="4" w:space="0" w:color="00000A"/>
              <w:bottom w:val="single" w:sz="4" w:space="0" w:color="00000A"/>
            </w:tcBorders>
            <w:shd w:val="clear" w:color="auto" w:fill="FFFFFF"/>
            <w:vAlign w:val="center"/>
          </w:tcPr>
          <w:p w14:paraId="630D66CD" w14:textId="77777777" w:rsidR="00342E07" w:rsidRDefault="005356A1">
            <w:pPr>
              <w:spacing w:after="0" w:line="240" w:lineRule="auto"/>
              <w:jc w:val="center"/>
            </w:pPr>
            <w:r>
              <w:rPr>
                <w:rFonts w:eastAsia="Times New Roman" w:cs="Times New Roman"/>
                <w:b/>
                <w:sz w:val="12"/>
                <w:szCs w:val="12"/>
              </w:rPr>
              <w:t>-0.064</w:t>
            </w:r>
            <w:r>
              <w:rPr>
                <w:rFonts w:eastAsia="Times New Roman" w:cs="Times New Roman"/>
                <w:sz w:val="12"/>
                <w:szCs w:val="12"/>
              </w:rPr>
              <w:t xml:space="preserve">                              [-0.084, -0.044]</w:t>
            </w:r>
          </w:p>
        </w:tc>
        <w:tc>
          <w:tcPr>
            <w:tcW w:w="1073" w:type="dxa"/>
            <w:tcBorders>
              <w:top w:val="single" w:sz="4" w:space="0" w:color="00000A"/>
              <w:bottom w:val="single" w:sz="4" w:space="0" w:color="00000A"/>
            </w:tcBorders>
            <w:shd w:val="clear" w:color="auto" w:fill="FFFFFF"/>
            <w:vAlign w:val="center"/>
          </w:tcPr>
          <w:p w14:paraId="142DA4F6" w14:textId="77777777" w:rsidR="00342E07" w:rsidRDefault="005356A1">
            <w:pPr>
              <w:spacing w:after="0" w:line="240" w:lineRule="auto"/>
              <w:jc w:val="center"/>
            </w:pPr>
            <w:r>
              <w:rPr>
                <w:rFonts w:eastAsia="Times New Roman" w:cs="Times New Roman"/>
                <w:b/>
                <w:sz w:val="12"/>
                <w:szCs w:val="12"/>
              </w:rPr>
              <w:t>-0.005</w:t>
            </w:r>
            <w:r>
              <w:rPr>
                <w:rFonts w:eastAsia="Times New Roman" w:cs="Times New Roman"/>
                <w:sz w:val="12"/>
                <w:szCs w:val="12"/>
              </w:rPr>
              <w:t xml:space="preserve">                            [-0.028, 0.018]</w:t>
            </w:r>
          </w:p>
        </w:tc>
        <w:tc>
          <w:tcPr>
            <w:tcW w:w="1060" w:type="dxa"/>
            <w:tcBorders>
              <w:top w:val="single" w:sz="4" w:space="0" w:color="00000A"/>
              <w:bottom w:val="single" w:sz="4" w:space="0" w:color="00000A"/>
            </w:tcBorders>
            <w:shd w:val="clear" w:color="auto" w:fill="FFFFFF"/>
            <w:vAlign w:val="center"/>
          </w:tcPr>
          <w:p w14:paraId="361E26B8" w14:textId="77777777" w:rsidR="00342E07" w:rsidRDefault="005356A1">
            <w:pPr>
              <w:spacing w:after="0" w:line="240" w:lineRule="auto"/>
              <w:jc w:val="center"/>
            </w:pPr>
            <w:r>
              <w:rPr>
                <w:rFonts w:eastAsia="Times New Roman" w:cs="Times New Roman"/>
                <w:b/>
                <w:sz w:val="12"/>
                <w:szCs w:val="12"/>
              </w:rPr>
              <w:t>-0.068</w:t>
            </w:r>
            <w:r>
              <w:rPr>
                <w:rFonts w:eastAsia="Times New Roman" w:cs="Times New Roman"/>
                <w:sz w:val="12"/>
                <w:szCs w:val="12"/>
              </w:rPr>
              <w:t xml:space="preserve">                          [-0.090, -0.045]</w:t>
            </w:r>
          </w:p>
        </w:tc>
      </w:tr>
      <w:tr w:rsidR="00342E07" w14:paraId="17FA2703" w14:textId="77777777">
        <w:trPr>
          <w:trHeight w:val="288"/>
        </w:trPr>
        <w:tc>
          <w:tcPr>
            <w:tcW w:w="1448" w:type="dxa"/>
            <w:tcBorders>
              <w:top w:val="single" w:sz="4" w:space="0" w:color="00000A"/>
              <w:bottom w:val="single" w:sz="4" w:space="0" w:color="00000A"/>
            </w:tcBorders>
            <w:shd w:val="clear" w:color="auto" w:fill="FFFFFF"/>
            <w:vAlign w:val="center"/>
          </w:tcPr>
          <w:p w14:paraId="0EBB49BD" w14:textId="77777777" w:rsidR="00342E07" w:rsidRDefault="005356A1">
            <w:pPr>
              <w:spacing w:after="0" w:line="240" w:lineRule="auto"/>
              <w:rPr>
                <w:rFonts w:eastAsia="Times New Roman" w:cs="Times New Roman"/>
                <w:b/>
                <w:bCs/>
              </w:rPr>
            </w:pPr>
            <w:r>
              <w:rPr>
                <w:rFonts w:eastAsia="Times New Roman" w:cs="Times New Roman"/>
                <w:b/>
                <w:bCs/>
              </w:rPr>
              <w:t>BODE</w:t>
            </w:r>
          </w:p>
        </w:tc>
        <w:tc>
          <w:tcPr>
            <w:tcW w:w="781" w:type="dxa"/>
            <w:tcBorders>
              <w:top w:val="single" w:sz="4" w:space="0" w:color="00000A"/>
              <w:bottom w:val="single" w:sz="4" w:space="0" w:color="00000A"/>
            </w:tcBorders>
            <w:shd w:val="clear" w:color="auto" w:fill="FFFFFF"/>
            <w:vAlign w:val="center"/>
          </w:tcPr>
          <w:p w14:paraId="420888E3" w14:textId="77777777" w:rsidR="00342E07" w:rsidRDefault="005356A1">
            <w:pPr>
              <w:spacing w:after="0" w:line="240" w:lineRule="auto"/>
              <w:jc w:val="center"/>
              <w:rPr>
                <w:rFonts w:eastAsia="Times New Roman" w:cs="Times New Roman"/>
                <w:sz w:val="12"/>
                <w:szCs w:val="12"/>
              </w:rPr>
            </w:pPr>
            <w:r>
              <w:rPr>
                <w:rFonts w:eastAsia="Times New Roman" w:cs="Times New Roman"/>
                <w:sz w:val="12"/>
                <w:szCs w:val="12"/>
              </w:rPr>
              <w:t> </w:t>
            </w:r>
          </w:p>
        </w:tc>
        <w:tc>
          <w:tcPr>
            <w:tcW w:w="1070" w:type="dxa"/>
            <w:tcBorders>
              <w:top w:val="single" w:sz="4" w:space="0" w:color="00000A"/>
              <w:bottom w:val="single" w:sz="4" w:space="0" w:color="00000A"/>
            </w:tcBorders>
            <w:shd w:val="clear" w:color="auto" w:fill="FFFFFF"/>
            <w:vAlign w:val="center"/>
          </w:tcPr>
          <w:p w14:paraId="5C785344" w14:textId="77777777" w:rsidR="00342E07" w:rsidRDefault="005356A1">
            <w:pPr>
              <w:spacing w:after="0" w:line="240" w:lineRule="auto"/>
              <w:jc w:val="center"/>
            </w:pPr>
            <w:r>
              <w:rPr>
                <w:rFonts w:eastAsia="Times New Roman" w:cs="Times New Roman"/>
                <w:b/>
                <w:color w:val="FF0000"/>
                <w:sz w:val="12"/>
                <w:szCs w:val="12"/>
              </w:rPr>
              <w:t>0.048</w:t>
            </w:r>
            <w:r>
              <w:rPr>
                <w:rFonts w:eastAsia="Times New Roman" w:cs="Times New Roman"/>
                <w:color w:val="FF0000"/>
                <w:sz w:val="12"/>
                <w:szCs w:val="12"/>
              </w:rPr>
              <w:t xml:space="preserve">                        [0.016, 0.079]</w:t>
            </w:r>
          </w:p>
        </w:tc>
        <w:tc>
          <w:tcPr>
            <w:tcW w:w="1071" w:type="dxa"/>
            <w:tcBorders>
              <w:top w:val="single" w:sz="4" w:space="0" w:color="00000A"/>
              <w:bottom w:val="single" w:sz="4" w:space="0" w:color="00000A"/>
            </w:tcBorders>
            <w:shd w:val="clear" w:color="auto" w:fill="FFFFFF"/>
            <w:vAlign w:val="center"/>
          </w:tcPr>
          <w:p w14:paraId="0F1F39A3" w14:textId="77777777" w:rsidR="00342E07" w:rsidRDefault="005356A1">
            <w:pPr>
              <w:spacing w:after="0" w:line="240" w:lineRule="auto"/>
              <w:jc w:val="center"/>
              <w:rPr>
                <w:rFonts w:eastAsia="Times New Roman" w:cs="Times New Roman"/>
                <w:sz w:val="12"/>
                <w:szCs w:val="12"/>
              </w:rPr>
            </w:pPr>
            <w:r>
              <w:rPr>
                <w:rFonts w:eastAsia="Times New Roman" w:cs="Times New Roman"/>
                <w:sz w:val="12"/>
                <w:szCs w:val="12"/>
              </w:rPr>
              <w:t> </w:t>
            </w:r>
          </w:p>
        </w:tc>
        <w:tc>
          <w:tcPr>
            <w:tcW w:w="1072" w:type="dxa"/>
            <w:tcBorders>
              <w:top w:val="single" w:sz="4" w:space="0" w:color="00000A"/>
              <w:bottom w:val="single" w:sz="4" w:space="0" w:color="00000A"/>
            </w:tcBorders>
            <w:shd w:val="clear" w:color="auto" w:fill="FFFFFF"/>
            <w:vAlign w:val="center"/>
          </w:tcPr>
          <w:p w14:paraId="3BF2E534" w14:textId="77777777" w:rsidR="00342E07" w:rsidRDefault="005356A1">
            <w:pPr>
              <w:spacing w:after="0" w:line="240" w:lineRule="auto"/>
              <w:jc w:val="center"/>
              <w:rPr>
                <w:rFonts w:eastAsia="Times New Roman" w:cs="Times New Roman"/>
                <w:sz w:val="12"/>
                <w:szCs w:val="12"/>
              </w:rPr>
            </w:pPr>
            <w:r>
              <w:rPr>
                <w:rFonts w:eastAsia="Times New Roman" w:cs="Times New Roman"/>
                <w:sz w:val="12"/>
                <w:szCs w:val="12"/>
              </w:rPr>
              <w:t>-</w:t>
            </w:r>
          </w:p>
        </w:tc>
        <w:tc>
          <w:tcPr>
            <w:tcW w:w="1073" w:type="dxa"/>
            <w:tcBorders>
              <w:top w:val="single" w:sz="4" w:space="0" w:color="00000A"/>
              <w:bottom w:val="single" w:sz="4" w:space="0" w:color="00000A"/>
            </w:tcBorders>
            <w:shd w:val="clear" w:color="auto" w:fill="FFFFFF"/>
            <w:vAlign w:val="center"/>
          </w:tcPr>
          <w:p w14:paraId="704FBE33" w14:textId="77777777" w:rsidR="00342E07" w:rsidRDefault="005356A1">
            <w:pPr>
              <w:spacing w:after="0" w:line="240" w:lineRule="auto"/>
              <w:jc w:val="center"/>
            </w:pPr>
            <w:r>
              <w:rPr>
                <w:rFonts w:eastAsia="Times New Roman" w:cs="Times New Roman"/>
                <w:b/>
                <w:sz w:val="12"/>
                <w:szCs w:val="12"/>
              </w:rPr>
              <w:t>0.004</w:t>
            </w:r>
            <w:r>
              <w:rPr>
                <w:rFonts w:eastAsia="Times New Roman" w:cs="Times New Roman"/>
                <w:sz w:val="12"/>
                <w:szCs w:val="12"/>
              </w:rPr>
              <w:t xml:space="preserve">                    [-0.007, 0.015]</w:t>
            </w:r>
          </w:p>
        </w:tc>
        <w:tc>
          <w:tcPr>
            <w:tcW w:w="1070" w:type="dxa"/>
            <w:tcBorders>
              <w:top w:val="single" w:sz="4" w:space="0" w:color="00000A"/>
              <w:bottom w:val="single" w:sz="4" w:space="0" w:color="00000A"/>
            </w:tcBorders>
            <w:shd w:val="clear" w:color="auto" w:fill="FFFFFF"/>
            <w:vAlign w:val="center"/>
          </w:tcPr>
          <w:p w14:paraId="3E40A137" w14:textId="77777777" w:rsidR="00342E07" w:rsidRDefault="005356A1">
            <w:pPr>
              <w:spacing w:after="0" w:line="240" w:lineRule="auto"/>
              <w:jc w:val="center"/>
            </w:pPr>
            <w:r>
              <w:rPr>
                <w:rFonts w:eastAsia="Times New Roman" w:cs="Times New Roman"/>
                <w:b/>
                <w:sz w:val="12"/>
                <w:szCs w:val="12"/>
              </w:rPr>
              <w:t>0.010</w:t>
            </w:r>
            <w:r>
              <w:rPr>
                <w:rFonts w:eastAsia="Times New Roman" w:cs="Times New Roman"/>
                <w:sz w:val="12"/>
                <w:szCs w:val="12"/>
              </w:rPr>
              <w:t xml:space="preserve">                             [-0.017, 0.038]</w:t>
            </w:r>
          </w:p>
        </w:tc>
        <w:tc>
          <w:tcPr>
            <w:tcW w:w="1072" w:type="dxa"/>
            <w:tcBorders>
              <w:top w:val="single" w:sz="4" w:space="0" w:color="00000A"/>
              <w:bottom w:val="single" w:sz="4" w:space="0" w:color="00000A"/>
            </w:tcBorders>
            <w:shd w:val="clear" w:color="auto" w:fill="FFFFFF"/>
            <w:vAlign w:val="center"/>
          </w:tcPr>
          <w:p w14:paraId="50758A07" w14:textId="77777777" w:rsidR="00342E07" w:rsidRDefault="005356A1">
            <w:pPr>
              <w:spacing w:after="0" w:line="240" w:lineRule="auto"/>
              <w:jc w:val="center"/>
            </w:pPr>
            <w:r>
              <w:rPr>
                <w:rFonts w:eastAsia="Times New Roman" w:cs="Times New Roman"/>
                <w:b/>
                <w:color w:val="FF0000"/>
                <w:sz w:val="12"/>
                <w:szCs w:val="12"/>
              </w:rPr>
              <w:t>-0.005</w:t>
            </w:r>
            <w:r>
              <w:rPr>
                <w:rFonts w:eastAsia="Times New Roman" w:cs="Times New Roman"/>
                <w:color w:val="FF0000"/>
                <w:sz w:val="12"/>
                <w:szCs w:val="12"/>
              </w:rPr>
              <w:t xml:space="preserve">                             [-0.039, 0.030]</w:t>
            </w:r>
          </w:p>
        </w:tc>
        <w:tc>
          <w:tcPr>
            <w:tcW w:w="1072" w:type="dxa"/>
            <w:tcBorders>
              <w:top w:val="single" w:sz="4" w:space="0" w:color="00000A"/>
              <w:bottom w:val="single" w:sz="4" w:space="0" w:color="00000A"/>
            </w:tcBorders>
            <w:shd w:val="clear" w:color="auto" w:fill="FFFFFF"/>
            <w:vAlign w:val="center"/>
          </w:tcPr>
          <w:p w14:paraId="483D2095" w14:textId="77777777" w:rsidR="00342E07" w:rsidRDefault="005356A1">
            <w:pPr>
              <w:spacing w:after="0" w:line="240" w:lineRule="auto"/>
              <w:jc w:val="center"/>
            </w:pPr>
            <w:r>
              <w:rPr>
                <w:rFonts w:eastAsia="Times New Roman" w:cs="Times New Roman"/>
                <w:b/>
                <w:color w:val="FF0000"/>
                <w:sz w:val="12"/>
                <w:szCs w:val="12"/>
              </w:rPr>
              <w:t>-0.030</w:t>
            </w:r>
            <w:r>
              <w:rPr>
                <w:rFonts w:eastAsia="Times New Roman" w:cs="Times New Roman"/>
                <w:color w:val="FF0000"/>
                <w:sz w:val="12"/>
                <w:szCs w:val="12"/>
              </w:rPr>
              <w:t xml:space="preserve">                           [-0.094, 0.035]</w:t>
            </w:r>
          </w:p>
        </w:tc>
        <w:tc>
          <w:tcPr>
            <w:tcW w:w="1073" w:type="dxa"/>
            <w:tcBorders>
              <w:top w:val="single" w:sz="4" w:space="0" w:color="00000A"/>
              <w:bottom w:val="single" w:sz="4" w:space="0" w:color="00000A"/>
            </w:tcBorders>
            <w:shd w:val="clear" w:color="auto" w:fill="FFFFFF"/>
            <w:vAlign w:val="center"/>
          </w:tcPr>
          <w:p w14:paraId="6C17DF80" w14:textId="77777777" w:rsidR="00342E07" w:rsidRDefault="005356A1">
            <w:pPr>
              <w:spacing w:after="0" w:line="240" w:lineRule="auto"/>
              <w:jc w:val="center"/>
            </w:pPr>
            <w:r>
              <w:rPr>
                <w:rFonts w:eastAsia="Times New Roman" w:cs="Times New Roman"/>
                <w:b/>
                <w:sz w:val="12"/>
                <w:szCs w:val="12"/>
              </w:rPr>
              <w:t>-0.012</w:t>
            </w:r>
            <w:r>
              <w:rPr>
                <w:rFonts w:eastAsia="Times New Roman" w:cs="Times New Roman"/>
                <w:sz w:val="12"/>
                <w:szCs w:val="12"/>
              </w:rPr>
              <w:t xml:space="preserve">                            [-0.025, 0.000]</w:t>
            </w:r>
          </w:p>
        </w:tc>
        <w:tc>
          <w:tcPr>
            <w:tcW w:w="1060" w:type="dxa"/>
            <w:tcBorders>
              <w:top w:val="single" w:sz="4" w:space="0" w:color="00000A"/>
              <w:bottom w:val="single" w:sz="4" w:space="0" w:color="00000A"/>
            </w:tcBorders>
            <w:shd w:val="clear" w:color="auto" w:fill="FFFFFF"/>
            <w:vAlign w:val="center"/>
          </w:tcPr>
          <w:p w14:paraId="6AE61680" w14:textId="77777777" w:rsidR="00342E07" w:rsidRDefault="005356A1">
            <w:pPr>
              <w:spacing w:after="0" w:line="240" w:lineRule="auto"/>
              <w:jc w:val="center"/>
            </w:pPr>
            <w:r>
              <w:rPr>
                <w:rFonts w:eastAsia="Times New Roman" w:cs="Times New Roman"/>
                <w:b/>
                <w:color w:val="FF0000"/>
                <w:sz w:val="12"/>
                <w:szCs w:val="12"/>
              </w:rPr>
              <w:t>-0.041</w:t>
            </w:r>
            <w:r>
              <w:rPr>
                <w:rFonts w:eastAsia="Times New Roman" w:cs="Times New Roman"/>
                <w:color w:val="FF0000"/>
                <w:sz w:val="12"/>
                <w:szCs w:val="12"/>
              </w:rPr>
              <w:t xml:space="preserve">                           [-0.099, 0.017]</w:t>
            </w:r>
          </w:p>
        </w:tc>
      </w:tr>
      <w:tr w:rsidR="00342E07" w14:paraId="7AF7F170" w14:textId="77777777">
        <w:trPr>
          <w:trHeight w:val="288"/>
        </w:trPr>
        <w:tc>
          <w:tcPr>
            <w:tcW w:w="1448" w:type="dxa"/>
            <w:tcBorders>
              <w:top w:val="single" w:sz="4" w:space="0" w:color="00000A"/>
              <w:bottom w:val="single" w:sz="4" w:space="0" w:color="00000A"/>
            </w:tcBorders>
            <w:shd w:val="clear" w:color="auto" w:fill="FFFFFF"/>
            <w:vAlign w:val="center"/>
          </w:tcPr>
          <w:p w14:paraId="72B750F7" w14:textId="77777777" w:rsidR="00342E07" w:rsidRDefault="005356A1">
            <w:pPr>
              <w:spacing w:after="0" w:line="240" w:lineRule="auto"/>
              <w:rPr>
                <w:rFonts w:eastAsia="Times New Roman" w:cs="Times New Roman"/>
                <w:b/>
                <w:bCs/>
              </w:rPr>
            </w:pPr>
            <w:r>
              <w:rPr>
                <w:rFonts w:eastAsia="Times New Roman" w:cs="Times New Roman"/>
                <w:b/>
                <w:bCs/>
              </w:rPr>
              <w:t xml:space="preserve">BODE </w:t>
            </w:r>
            <w:proofErr w:type="spellStart"/>
            <w:r>
              <w:rPr>
                <w:rFonts w:eastAsia="Times New Roman" w:cs="Times New Roman"/>
                <w:b/>
                <w:bCs/>
              </w:rPr>
              <w:t>upd</w:t>
            </w:r>
            <w:proofErr w:type="spellEnd"/>
          </w:p>
        </w:tc>
        <w:tc>
          <w:tcPr>
            <w:tcW w:w="781" w:type="dxa"/>
            <w:tcBorders>
              <w:top w:val="single" w:sz="4" w:space="0" w:color="00000A"/>
              <w:bottom w:val="single" w:sz="4" w:space="0" w:color="00000A"/>
            </w:tcBorders>
            <w:shd w:val="clear" w:color="auto" w:fill="FFFFFF"/>
            <w:vAlign w:val="center"/>
          </w:tcPr>
          <w:p w14:paraId="7DA9FA61" w14:textId="77777777" w:rsidR="00342E07" w:rsidRDefault="005356A1">
            <w:pPr>
              <w:spacing w:after="0" w:line="240" w:lineRule="auto"/>
              <w:jc w:val="center"/>
              <w:rPr>
                <w:rFonts w:eastAsia="Times New Roman" w:cs="Times New Roman"/>
                <w:sz w:val="12"/>
                <w:szCs w:val="12"/>
              </w:rPr>
            </w:pPr>
            <w:r>
              <w:rPr>
                <w:rFonts w:eastAsia="Times New Roman" w:cs="Times New Roman"/>
                <w:sz w:val="12"/>
                <w:szCs w:val="12"/>
              </w:rPr>
              <w:t> </w:t>
            </w:r>
          </w:p>
        </w:tc>
        <w:tc>
          <w:tcPr>
            <w:tcW w:w="1070" w:type="dxa"/>
            <w:tcBorders>
              <w:top w:val="single" w:sz="4" w:space="0" w:color="00000A"/>
              <w:bottom w:val="single" w:sz="4" w:space="0" w:color="00000A"/>
            </w:tcBorders>
            <w:shd w:val="clear" w:color="auto" w:fill="FFFFFF"/>
            <w:vAlign w:val="center"/>
          </w:tcPr>
          <w:p w14:paraId="7CF755BE" w14:textId="77777777" w:rsidR="00342E07" w:rsidRDefault="005356A1">
            <w:pPr>
              <w:spacing w:after="0" w:line="240" w:lineRule="auto"/>
              <w:jc w:val="center"/>
            </w:pPr>
            <w:r>
              <w:rPr>
                <w:rFonts w:eastAsia="Times New Roman" w:cs="Times New Roman"/>
                <w:b/>
                <w:color w:val="FF0000"/>
                <w:sz w:val="12"/>
                <w:szCs w:val="12"/>
              </w:rPr>
              <w:t>0.076</w:t>
            </w:r>
            <w:r>
              <w:rPr>
                <w:rFonts w:eastAsia="Times New Roman" w:cs="Times New Roman"/>
                <w:color w:val="FF0000"/>
                <w:sz w:val="12"/>
                <w:szCs w:val="12"/>
              </w:rPr>
              <w:t xml:space="preserve">                         [0.041, 0.111]</w:t>
            </w:r>
          </w:p>
        </w:tc>
        <w:tc>
          <w:tcPr>
            <w:tcW w:w="1071" w:type="dxa"/>
            <w:tcBorders>
              <w:top w:val="single" w:sz="4" w:space="0" w:color="00000A"/>
              <w:bottom w:val="single" w:sz="4" w:space="0" w:color="00000A"/>
            </w:tcBorders>
            <w:shd w:val="clear" w:color="auto" w:fill="FFFFFF"/>
            <w:vAlign w:val="center"/>
          </w:tcPr>
          <w:p w14:paraId="37A159A1" w14:textId="77777777" w:rsidR="00342E07" w:rsidRDefault="005356A1">
            <w:pPr>
              <w:spacing w:after="0" w:line="240" w:lineRule="auto"/>
              <w:jc w:val="center"/>
              <w:rPr>
                <w:rFonts w:eastAsia="Times New Roman" w:cs="Times New Roman"/>
                <w:sz w:val="12"/>
                <w:szCs w:val="12"/>
              </w:rPr>
            </w:pPr>
            <w:r>
              <w:rPr>
                <w:rFonts w:eastAsia="Times New Roman" w:cs="Times New Roman"/>
                <w:sz w:val="12"/>
                <w:szCs w:val="12"/>
              </w:rPr>
              <w:t> </w:t>
            </w:r>
          </w:p>
        </w:tc>
        <w:tc>
          <w:tcPr>
            <w:tcW w:w="1072" w:type="dxa"/>
            <w:tcBorders>
              <w:top w:val="single" w:sz="4" w:space="0" w:color="00000A"/>
              <w:bottom w:val="single" w:sz="4" w:space="0" w:color="00000A"/>
            </w:tcBorders>
            <w:shd w:val="clear" w:color="auto" w:fill="FFFFFF"/>
            <w:vAlign w:val="center"/>
          </w:tcPr>
          <w:p w14:paraId="43F835DA" w14:textId="77777777" w:rsidR="00342E07" w:rsidRDefault="005356A1">
            <w:pPr>
              <w:spacing w:after="0" w:line="240" w:lineRule="auto"/>
              <w:jc w:val="center"/>
              <w:rPr>
                <w:rFonts w:eastAsia="Times New Roman" w:cs="Times New Roman"/>
                <w:sz w:val="12"/>
                <w:szCs w:val="12"/>
              </w:rPr>
            </w:pPr>
            <w:r>
              <w:rPr>
                <w:rFonts w:eastAsia="Times New Roman" w:cs="Times New Roman"/>
                <w:sz w:val="12"/>
                <w:szCs w:val="12"/>
              </w:rPr>
              <w:t> </w:t>
            </w:r>
          </w:p>
        </w:tc>
        <w:tc>
          <w:tcPr>
            <w:tcW w:w="1073" w:type="dxa"/>
            <w:tcBorders>
              <w:top w:val="single" w:sz="4" w:space="0" w:color="00000A"/>
              <w:bottom w:val="single" w:sz="4" w:space="0" w:color="00000A"/>
            </w:tcBorders>
            <w:shd w:val="clear" w:color="auto" w:fill="FFFFFF"/>
            <w:vAlign w:val="center"/>
          </w:tcPr>
          <w:p w14:paraId="2436C729" w14:textId="77777777" w:rsidR="00342E07" w:rsidRDefault="005356A1">
            <w:pPr>
              <w:spacing w:after="0" w:line="240" w:lineRule="auto"/>
              <w:jc w:val="center"/>
              <w:rPr>
                <w:rFonts w:eastAsia="Times New Roman" w:cs="Times New Roman"/>
                <w:sz w:val="12"/>
                <w:szCs w:val="12"/>
              </w:rPr>
            </w:pPr>
            <w:r>
              <w:rPr>
                <w:rFonts w:eastAsia="Times New Roman" w:cs="Times New Roman"/>
                <w:sz w:val="12"/>
                <w:szCs w:val="12"/>
              </w:rPr>
              <w:t>-</w:t>
            </w:r>
          </w:p>
        </w:tc>
        <w:tc>
          <w:tcPr>
            <w:tcW w:w="1070" w:type="dxa"/>
            <w:tcBorders>
              <w:top w:val="single" w:sz="4" w:space="0" w:color="00000A"/>
              <w:bottom w:val="single" w:sz="4" w:space="0" w:color="00000A"/>
            </w:tcBorders>
            <w:shd w:val="clear" w:color="auto" w:fill="FFFFFF"/>
            <w:vAlign w:val="center"/>
          </w:tcPr>
          <w:p w14:paraId="64833700" w14:textId="77777777" w:rsidR="00342E07" w:rsidRDefault="005356A1">
            <w:pPr>
              <w:spacing w:after="0" w:line="240" w:lineRule="auto"/>
              <w:jc w:val="center"/>
            </w:pPr>
            <w:r>
              <w:rPr>
                <w:rFonts w:eastAsia="Times New Roman" w:cs="Times New Roman"/>
                <w:b/>
                <w:sz w:val="12"/>
                <w:szCs w:val="12"/>
              </w:rPr>
              <w:t>0.012</w:t>
            </w:r>
            <w:r>
              <w:rPr>
                <w:rFonts w:eastAsia="Times New Roman" w:cs="Times New Roman"/>
                <w:sz w:val="12"/>
                <w:szCs w:val="12"/>
              </w:rPr>
              <w:t xml:space="preserve">                              [-0.018, 0.041]</w:t>
            </w:r>
          </w:p>
        </w:tc>
        <w:tc>
          <w:tcPr>
            <w:tcW w:w="1072" w:type="dxa"/>
            <w:tcBorders>
              <w:top w:val="single" w:sz="4" w:space="0" w:color="00000A"/>
              <w:bottom w:val="single" w:sz="4" w:space="0" w:color="00000A"/>
            </w:tcBorders>
            <w:shd w:val="clear" w:color="auto" w:fill="FFFFFF"/>
            <w:vAlign w:val="center"/>
          </w:tcPr>
          <w:p w14:paraId="18E1E34E" w14:textId="77777777" w:rsidR="00342E07" w:rsidRDefault="005356A1">
            <w:pPr>
              <w:spacing w:after="0" w:line="240" w:lineRule="auto"/>
              <w:jc w:val="center"/>
            </w:pPr>
            <w:r>
              <w:rPr>
                <w:rFonts w:eastAsia="Times New Roman" w:cs="Times New Roman"/>
                <w:b/>
                <w:color w:val="FF0000"/>
                <w:sz w:val="12"/>
                <w:szCs w:val="12"/>
              </w:rPr>
              <w:t>-0.010</w:t>
            </w:r>
            <w:r>
              <w:rPr>
                <w:rFonts w:eastAsia="Times New Roman" w:cs="Times New Roman"/>
                <w:color w:val="FF0000"/>
                <w:sz w:val="12"/>
                <w:szCs w:val="12"/>
              </w:rPr>
              <w:t xml:space="preserve">                            [-0.057, 0.037]</w:t>
            </w:r>
          </w:p>
        </w:tc>
        <w:tc>
          <w:tcPr>
            <w:tcW w:w="1072" w:type="dxa"/>
            <w:tcBorders>
              <w:top w:val="single" w:sz="4" w:space="0" w:color="00000A"/>
              <w:bottom w:val="single" w:sz="4" w:space="0" w:color="00000A"/>
            </w:tcBorders>
            <w:shd w:val="clear" w:color="auto" w:fill="FFFFFF"/>
            <w:vAlign w:val="center"/>
          </w:tcPr>
          <w:p w14:paraId="2CD9D4D2" w14:textId="77777777" w:rsidR="00342E07" w:rsidRDefault="005356A1">
            <w:pPr>
              <w:spacing w:after="0" w:line="240" w:lineRule="auto"/>
              <w:jc w:val="center"/>
            </w:pPr>
            <w:r>
              <w:rPr>
                <w:rFonts w:eastAsia="Times New Roman" w:cs="Times New Roman"/>
                <w:b/>
                <w:color w:val="FF0000"/>
                <w:sz w:val="12"/>
                <w:szCs w:val="12"/>
              </w:rPr>
              <w:t>-0.034</w:t>
            </w:r>
            <w:r>
              <w:rPr>
                <w:rFonts w:eastAsia="Times New Roman" w:cs="Times New Roman"/>
                <w:color w:val="FF0000"/>
                <w:sz w:val="12"/>
                <w:szCs w:val="12"/>
              </w:rPr>
              <w:t xml:space="preserve">                           [-0.100, 0.032]</w:t>
            </w:r>
          </w:p>
        </w:tc>
        <w:tc>
          <w:tcPr>
            <w:tcW w:w="1073" w:type="dxa"/>
            <w:tcBorders>
              <w:top w:val="single" w:sz="4" w:space="0" w:color="00000A"/>
              <w:bottom w:val="single" w:sz="4" w:space="0" w:color="00000A"/>
            </w:tcBorders>
            <w:shd w:val="clear" w:color="auto" w:fill="FFFFFF"/>
            <w:vAlign w:val="center"/>
          </w:tcPr>
          <w:p w14:paraId="3BC63995" w14:textId="77777777" w:rsidR="00342E07" w:rsidRDefault="005356A1">
            <w:pPr>
              <w:spacing w:after="0" w:line="240" w:lineRule="auto"/>
              <w:jc w:val="center"/>
            </w:pPr>
            <w:r>
              <w:rPr>
                <w:rFonts w:eastAsia="Times New Roman" w:cs="Times New Roman"/>
                <w:b/>
                <w:sz w:val="12"/>
                <w:szCs w:val="12"/>
              </w:rPr>
              <w:t>-0.006</w:t>
            </w:r>
            <w:r>
              <w:rPr>
                <w:rFonts w:eastAsia="Times New Roman" w:cs="Times New Roman"/>
                <w:sz w:val="12"/>
                <w:szCs w:val="12"/>
              </w:rPr>
              <w:t xml:space="preserve">                           [-0.020, 0.008]</w:t>
            </w:r>
          </w:p>
        </w:tc>
        <w:tc>
          <w:tcPr>
            <w:tcW w:w="1060" w:type="dxa"/>
            <w:tcBorders>
              <w:top w:val="single" w:sz="4" w:space="0" w:color="00000A"/>
              <w:bottom w:val="single" w:sz="4" w:space="0" w:color="00000A"/>
            </w:tcBorders>
            <w:shd w:val="clear" w:color="auto" w:fill="FFFFFF"/>
            <w:vAlign w:val="center"/>
          </w:tcPr>
          <w:p w14:paraId="3E9BD2EF" w14:textId="77777777" w:rsidR="00342E07" w:rsidRDefault="005356A1">
            <w:pPr>
              <w:spacing w:after="0" w:line="240" w:lineRule="auto"/>
              <w:jc w:val="center"/>
            </w:pPr>
            <w:r>
              <w:rPr>
                <w:rFonts w:eastAsia="Times New Roman" w:cs="Times New Roman"/>
                <w:b/>
                <w:color w:val="FF0000"/>
                <w:sz w:val="12"/>
                <w:szCs w:val="12"/>
              </w:rPr>
              <w:t>-0.043</w:t>
            </w:r>
            <w:r>
              <w:rPr>
                <w:rFonts w:eastAsia="Times New Roman" w:cs="Times New Roman"/>
                <w:color w:val="FF0000"/>
                <w:sz w:val="12"/>
                <w:szCs w:val="12"/>
              </w:rPr>
              <w:t xml:space="preserve">                          [-0.100, 0.014]</w:t>
            </w:r>
          </w:p>
        </w:tc>
      </w:tr>
      <w:tr w:rsidR="00342E07" w14:paraId="4AE1EAE0" w14:textId="77777777">
        <w:trPr>
          <w:trHeight w:val="288"/>
        </w:trPr>
        <w:tc>
          <w:tcPr>
            <w:tcW w:w="1448" w:type="dxa"/>
            <w:tcBorders>
              <w:top w:val="single" w:sz="4" w:space="0" w:color="00000A"/>
              <w:bottom w:val="single" w:sz="4" w:space="0" w:color="00000A"/>
            </w:tcBorders>
            <w:shd w:val="clear" w:color="auto" w:fill="FFFFFF"/>
            <w:vAlign w:val="center"/>
          </w:tcPr>
          <w:p w14:paraId="14F654FE" w14:textId="77777777" w:rsidR="00342E07" w:rsidRDefault="005356A1">
            <w:pPr>
              <w:spacing w:after="0" w:line="240" w:lineRule="auto"/>
              <w:rPr>
                <w:rFonts w:eastAsia="Times New Roman" w:cs="Times New Roman"/>
                <w:b/>
                <w:bCs/>
              </w:rPr>
            </w:pPr>
            <w:proofErr w:type="spellStart"/>
            <w:r>
              <w:rPr>
                <w:rFonts w:eastAsia="Times New Roman" w:cs="Times New Roman"/>
                <w:b/>
                <w:bCs/>
              </w:rPr>
              <w:t>eBODE</w:t>
            </w:r>
            <w:proofErr w:type="spellEnd"/>
          </w:p>
        </w:tc>
        <w:tc>
          <w:tcPr>
            <w:tcW w:w="781" w:type="dxa"/>
            <w:tcBorders>
              <w:top w:val="single" w:sz="4" w:space="0" w:color="00000A"/>
              <w:bottom w:val="single" w:sz="4" w:space="0" w:color="00000A"/>
            </w:tcBorders>
            <w:shd w:val="clear" w:color="auto" w:fill="FFFFFF"/>
            <w:vAlign w:val="center"/>
          </w:tcPr>
          <w:p w14:paraId="49275F20" w14:textId="77777777" w:rsidR="00342E07" w:rsidRDefault="005356A1">
            <w:pPr>
              <w:spacing w:after="0" w:line="240" w:lineRule="auto"/>
              <w:jc w:val="center"/>
              <w:rPr>
                <w:rFonts w:eastAsia="Times New Roman" w:cs="Times New Roman"/>
                <w:sz w:val="12"/>
                <w:szCs w:val="12"/>
              </w:rPr>
            </w:pPr>
            <w:r>
              <w:rPr>
                <w:rFonts w:eastAsia="Times New Roman" w:cs="Times New Roman"/>
                <w:sz w:val="12"/>
                <w:szCs w:val="12"/>
              </w:rPr>
              <w:t> </w:t>
            </w:r>
          </w:p>
        </w:tc>
        <w:tc>
          <w:tcPr>
            <w:tcW w:w="1070" w:type="dxa"/>
            <w:tcBorders>
              <w:top w:val="single" w:sz="4" w:space="0" w:color="00000A"/>
              <w:bottom w:val="single" w:sz="4" w:space="0" w:color="00000A"/>
            </w:tcBorders>
            <w:shd w:val="clear" w:color="auto" w:fill="FFFFFF"/>
            <w:vAlign w:val="center"/>
          </w:tcPr>
          <w:p w14:paraId="06793A13" w14:textId="77777777" w:rsidR="00342E07" w:rsidRDefault="005356A1">
            <w:pPr>
              <w:spacing w:after="0" w:line="240" w:lineRule="auto"/>
              <w:jc w:val="center"/>
              <w:rPr>
                <w:rFonts w:eastAsia="Times New Roman" w:cs="Times New Roman"/>
                <w:sz w:val="12"/>
                <w:szCs w:val="12"/>
              </w:rPr>
            </w:pPr>
            <w:r>
              <w:rPr>
                <w:rFonts w:eastAsia="Times New Roman" w:cs="Times New Roman"/>
                <w:sz w:val="12"/>
                <w:szCs w:val="12"/>
              </w:rPr>
              <w:t> </w:t>
            </w:r>
          </w:p>
        </w:tc>
        <w:tc>
          <w:tcPr>
            <w:tcW w:w="1071" w:type="dxa"/>
            <w:tcBorders>
              <w:top w:val="single" w:sz="4" w:space="0" w:color="00000A"/>
              <w:bottom w:val="single" w:sz="4" w:space="0" w:color="00000A"/>
            </w:tcBorders>
            <w:shd w:val="clear" w:color="auto" w:fill="FFFFFF"/>
            <w:vAlign w:val="center"/>
          </w:tcPr>
          <w:p w14:paraId="73B5B082" w14:textId="77777777" w:rsidR="00342E07" w:rsidRDefault="005356A1">
            <w:pPr>
              <w:spacing w:after="0" w:line="240" w:lineRule="auto"/>
              <w:jc w:val="center"/>
              <w:rPr>
                <w:rFonts w:eastAsia="Times New Roman" w:cs="Times New Roman"/>
                <w:sz w:val="12"/>
                <w:szCs w:val="12"/>
              </w:rPr>
            </w:pPr>
            <w:r>
              <w:rPr>
                <w:rFonts w:eastAsia="Times New Roman" w:cs="Times New Roman"/>
                <w:sz w:val="12"/>
                <w:szCs w:val="12"/>
              </w:rPr>
              <w:t> </w:t>
            </w:r>
          </w:p>
        </w:tc>
        <w:tc>
          <w:tcPr>
            <w:tcW w:w="1072" w:type="dxa"/>
            <w:tcBorders>
              <w:top w:val="single" w:sz="4" w:space="0" w:color="00000A"/>
              <w:bottom w:val="single" w:sz="4" w:space="0" w:color="00000A"/>
            </w:tcBorders>
            <w:shd w:val="clear" w:color="auto" w:fill="FFFFFF"/>
            <w:vAlign w:val="center"/>
          </w:tcPr>
          <w:p w14:paraId="1C41619E" w14:textId="77777777" w:rsidR="00342E07" w:rsidRDefault="005356A1">
            <w:pPr>
              <w:spacing w:after="0" w:line="240" w:lineRule="auto"/>
              <w:jc w:val="center"/>
              <w:rPr>
                <w:rFonts w:eastAsia="Times New Roman" w:cs="Times New Roman"/>
                <w:sz w:val="12"/>
                <w:szCs w:val="12"/>
              </w:rPr>
            </w:pPr>
            <w:r>
              <w:rPr>
                <w:rFonts w:eastAsia="Times New Roman" w:cs="Times New Roman"/>
                <w:sz w:val="12"/>
                <w:szCs w:val="12"/>
              </w:rPr>
              <w:t> </w:t>
            </w:r>
          </w:p>
        </w:tc>
        <w:tc>
          <w:tcPr>
            <w:tcW w:w="1073" w:type="dxa"/>
            <w:tcBorders>
              <w:top w:val="single" w:sz="4" w:space="0" w:color="00000A"/>
              <w:bottom w:val="single" w:sz="4" w:space="0" w:color="00000A"/>
            </w:tcBorders>
            <w:shd w:val="clear" w:color="auto" w:fill="FFFFFF"/>
            <w:vAlign w:val="center"/>
          </w:tcPr>
          <w:p w14:paraId="134A9D94" w14:textId="77777777" w:rsidR="00342E07" w:rsidRDefault="005356A1">
            <w:pPr>
              <w:spacing w:after="0" w:line="240" w:lineRule="auto"/>
              <w:jc w:val="center"/>
              <w:rPr>
                <w:rFonts w:eastAsia="Times New Roman" w:cs="Times New Roman"/>
                <w:sz w:val="12"/>
                <w:szCs w:val="12"/>
              </w:rPr>
            </w:pPr>
            <w:r>
              <w:rPr>
                <w:rFonts w:eastAsia="Times New Roman" w:cs="Times New Roman"/>
                <w:sz w:val="12"/>
                <w:szCs w:val="12"/>
              </w:rPr>
              <w:t> </w:t>
            </w:r>
          </w:p>
        </w:tc>
        <w:tc>
          <w:tcPr>
            <w:tcW w:w="1070" w:type="dxa"/>
            <w:tcBorders>
              <w:top w:val="single" w:sz="4" w:space="0" w:color="00000A"/>
              <w:bottom w:val="single" w:sz="4" w:space="0" w:color="00000A"/>
            </w:tcBorders>
            <w:shd w:val="clear" w:color="auto" w:fill="FFFFFF"/>
            <w:vAlign w:val="center"/>
          </w:tcPr>
          <w:p w14:paraId="308BEC91" w14:textId="77777777" w:rsidR="00342E07" w:rsidRDefault="005356A1">
            <w:pPr>
              <w:spacing w:after="0" w:line="240" w:lineRule="auto"/>
              <w:jc w:val="center"/>
              <w:rPr>
                <w:rFonts w:eastAsia="Times New Roman" w:cs="Times New Roman"/>
                <w:sz w:val="12"/>
                <w:szCs w:val="12"/>
              </w:rPr>
            </w:pPr>
            <w:r>
              <w:rPr>
                <w:rFonts w:eastAsia="Times New Roman" w:cs="Times New Roman"/>
                <w:sz w:val="12"/>
                <w:szCs w:val="12"/>
              </w:rPr>
              <w:t>-</w:t>
            </w:r>
          </w:p>
        </w:tc>
        <w:tc>
          <w:tcPr>
            <w:tcW w:w="1072" w:type="dxa"/>
            <w:tcBorders>
              <w:top w:val="single" w:sz="4" w:space="0" w:color="00000A"/>
              <w:bottom w:val="single" w:sz="4" w:space="0" w:color="00000A"/>
            </w:tcBorders>
            <w:shd w:val="clear" w:color="auto" w:fill="FFFFFF"/>
            <w:vAlign w:val="center"/>
          </w:tcPr>
          <w:p w14:paraId="02FF3A31" w14:textId="77777777" w:rsidR="00342E07" w:rsidRDefault="005356A1">
            <w:pPr>
              <w:spacing w:after="0" w:line="240" w:lineRule="auto"/>
              <w:jc w:val="center"/>
            </w:pPr>
            <w:r>
              <w:rPr>
                <w:rFonts w:eastAsia="Times New Roman" w:cs="Times New Roman"/>
                <w:b/>
                <w:sz w:val="12"/>
                <w:szCs w:val="12"/>
              </w:rPr>
              <w:t>-0.023</w:t>
            </w:r>
            <w:r>
              <w:rPr>
                <w:rFonts w:eastAsia="Times New Roman" w:cs="Times New Roman"/>
                <w:sz w:val="12"/>
                <w:szCs w:val="12"/>
              </w:rPr>
              <w:t xml:space="preserve">                            [-0.045, -0.001]</w:t>
            </w:r>
          </w:p>
        </w:tc>
        <w:tc>
          <w:tcPr>
            <w:tcW w:w="1072" w:type="dxa"/>
            <w:tcBorders>
              <w:top w:val="single" w:sz="4" w:space="0" w:color="00000A"/>
              <w:bottom w:val="single" w:sz="4" w:space="0" w:color="00000A"/>
            </w:tcBorders>
            <w:shd w:val="clear" w:color="auto" w:fill="FFFFFF"/>
            <w:vAlign w:val="center"/>
          </w:tcPr>
          <w:p w14:paraId="1468102B" w14:textId="77777777" w:rsidR="00342E07" w:rsidRDefault="005356A1">
            <w:pPr>
              <w:spacing w:after="0" w:line="240" w:lineRule="auto"/>
              <w:jc w:val="center"/>
            </w:pPr>
            <w:r>
              <w:rPr>
                <w:rFonts w:eastAsia="Times New Roman" w:cs="Times New Roman"/>
                <w:b/>
                <w:sz w:val="12"/>
                <w:szCs w:val="12"/>
              </w:rPr>
              <w:t>-0.040</w:t>
            </w:r>
            <w:r>
              <w:rPr>
                <w:rFonts w:eastAsia="Times New Roman" w:cs="Times New Roman"/>
                <w:sz w:val="12"/>
                <w:szCs w:val="12"/>
              </w:rPr>
              <w:t xml:space="preserve">                           [-0.087, 0.006]</w:t>
            </w:r>
          </w:p>
        </w:tc>
        <w:tc>
          <w:tcPr>
            <w:tcW w:w="1073" w:type="dxa"/>
            <w:tcBorders>
              <w:top w:val="single" w:sz="4" w:space="0" w:color="00000A"/>
              <w:bottom w:val="single" w:sz="4" w:space="0" w:color="00000A"/>
            </w:tcBorders>
            <w:shd w:val="clear" w:color="auto" w:fill="FF0000"/>
            <w:vAlign w:val="center"/>
          </w:tcPr>
          <w:p w14:paraId="7740F519" w14:textId="77777777" w:rsidR="00342E07" w:rsidRDefault="005356A1">
            <w:pPr>
              <w:spacing w:after="0" w:line="240" w:lineRule="auto"/>
              <w:jc w:val="center"/>
              <w:rPr>
                <w:rFonts w:eastAsia="Times New Roman" w:cs="Times New Roman"/>
                <w:sz w:val="12"/>
                <w:szCs w:val="12"/>
              </w:rPr>
            </w:pPr>
            <w:r>
              <w:rPr>
                <w:rFonts w:eastAsia="Times New Roman" w:cs="Times New Roman"/>
                <w:sz w:val="12"/>
                <w:szCs w:val="12"/>
              </w:rPr>
              <w:t> </w:t>
            </w:r>
          </w:p>
        </w:tc>
        <w:tc>
          <w:tcPr>
            <w:tcW w:w="1060" w:type="dxa"/>
            <w:tcBorders>
              <w:top w:val="single" w:sz="4" w:space="0" w:color="00000A"/>
              <w:bottom w:val="single" w:sz="4" w:space="0" w:color="00000A"/>
            </w:tcBorders>
            <w:shd w:val="clear" w:color="auto" w:fill="FFFFFF"/>
            <w:vAlign w:val="center"/>
          </w:tcPr>
          <w:p w14:paraId="1207A8C3" w14:textId="77777777" w:rsidR="00342E07" w:rsidRDefault="005356A1">
            <w:pPr>
              <w:spacing w:after="0" w:line="240" w:lineRule="auto"/>
              <w:jc w:val="center"/>
            </w:pPr>
            <w:r>
              <w:rPr>
                <w:rFonts w:eastAsia="Times New Roman" w:cs="Times New Roman"/>
                <w:b/>
                <w:sz w:val="12"/>
                <w:szCs w:val="12"/>
              </w:rPr>
              <w:t>-0.053</w:t>
            </w:r>
            <w:r>
              <w:rPr>
                <w:rFonts w:eastAsia="Times New Roman" w:cs="Times New Roman"/>
                <w:sz w:val="12"/>
                <w:szCs w:val="12"/>
              </w:rPr>
              <w:t xml:space="preserve">                          [-0.098, -0.007]</w:t>
            </w:r>
          </w:p>
        </w:tc>
      </w:tr>
      <w:tr w:rsidR="00342E07" w14:paraId="7026D0A3" w14:textId="77777777">
        <w:trPr>
          <w:trHeight w:val="288"/>
        </w:trPr>
        <w:tc>
          <w:tcPr>
            <w:tcW w:w="1448" w:type="dxa"/>
            <w:tcBorders>
              <w:top w:val="single" w:sz="4" w:space="0" w:color="00000A"/>
              <w:bottom w:val="single" w:sz="4" w:space="0" w:color="00000A"/>
            </w:tcBorders>
            <w:shd w:val="clear" w:color="auto" w:fill="FFFFFF"/>
            <w:vAlign w:val="center"/>
          </w:tcPr>
          <w:p w14:paraId="57FC6964" w14:textId="77777777" w:rsidR="00342E07" w:rsidRDefault="005356A1">
            <w:pPr>
              <w:spacing w:after="0" w:line="240" w:lineRule="auto"/>
              <w:rPr>
                <w:rFonts w:eastAsia="Times New Roman" w:cs="Times New Roman"/>
                <w:b/>
                <w:bCs/>
              </w:rPr>
            </w:pPr>
            <w:proofErr w:type="spellStart"/>
            <w:r>
              <w:rPr>
                <w:rFonts w:eastAsia="Times New Roman" w:cs="Times New Roman"/>
                <w:b/>
                <w:bCs/>
              </w:rPr>
              <w:t>BODEx</w:t>
            </w:r>
            <w:proofErr w:type="spellEnd"/>
          </w:p>
        </w:tc>
        <w:tc>
          <w:tcPr>
            <w:tcW w:w="781" w:type="dxa"/>
            <w:tcBorders>
              <w:top w:val="single" w:sz="4" w:space="0" w:color="00000A"/>
              <w:bottom w:val="single" w:sz="4" w:space="0" w:color="00000A"/>
            </w:tcBorders>
            <w:shd w:val="clear" w:color="auto" w:fill="FFFFFF"/>
            <w:vAlign w:val="center"/>
          </w:tcPr>
          <w:p w14:paraId="09640F40" w14:textId="77777777" w:rsidR="00342E07" w:rsidRDefault="005356A1">
            <w:pPr>
              <w:spacing w:after="0" w:line="240" w:lineRule="auto"/>
              <w:jc w:val="center"/>
              <w:rPr>
                <w:rFonts w:eastAsia="Times New Roman" w:cs="Times New Roman"/>
                <w:sz w:val="12"/>
                <w:szCs w:val="12"/>
              </w:rPr>
            </w:pPr>
            <w:r>
              <w:rPr>
                <w:rFonts w:eastAsia="Times New Roman" w:cs="Times New Roman"/>
                <w:sz w:val="12"/>
                <w:szCs w:val="12"/>
              </w:rPr>
              <w:t> </w:t>
            </w:r>
          </w:p>
        </w:tc>
        <w:tc>
          <w:tcPr>
            <w:tcW w:w="1070" w:type="dxa"/>
            <w:tcBorders>
              <w:top w:val="single" w:sz="4" w:space="0" w:color="00000A"/>
              <w:bottom w:val="single" w:sz="4" w:space="0" w:color="00000A"/>
            </w:tcBorders>
            <w:shd w:val="clear" w:color="auto" w:fill="FFFFFF"/>
            <w:vAlign w:val="center"/>
          </w:tcPr>
          <w:p w14:paraId="5EA9CFA2" w14:textId="77777777" w:rsidR="00342E07" w:rsidRDefault="005356A1">
            <w:pPr>
              <w:spacing w:after="0" w:line="240" w:lineRule="auto"/>
              <w:jc w:val="center"/>
              <w:rPr>
                <w:rFonts w:eastAsia="Times New Roman" w:cs="Times New Roman"/>
                <w:sz w:val="12"/>
                <w:szCs w:val="12"/>
              </w:rPr>
            </w:pPr>
            <w:r>
              <w:rPr>
                <w:rFonts w:eastAsia="Times New Roman" w:cs="Times New Roman"/>
                <w:sz w:val="12"/>
                <w:szCs w:val="12"/>
              </w:rPr>
              <w:t> </w:t>
            </w:r>
          </w:p>
        </w:tc>
        <w:tc>
          <w:tcPr>
            <w:tcW w:w="1071" w:type="dxa"/>
            <w:tcBorders>
              <w:top w:val="single" w:sz="4" w:space="0" w:color="00000A"/>
              <w:bottom w:val="single" w:sz="4" w:space="0" w:color="00000A"/>
            </w:tcBorders>
            <w:shd w:val="clear" w:color="auto" w:fill="FFFFFF"/>
            <w:vAlign w:val="center"/>
          </w:tcPr>
          <w:p w14:paraId="338F5B56" w14:textId="77777777" w:rsidR="00342E07" w:rsidRDefault="005356A1">
            <w:pPr>
              <w:spacing w:after="0" w:line="240" w:lineRule="auto"/>
              <w:jc w:val="center"/>
              <w:rPr>
                <w:rFonts w:eastAsia="Times New Roman" w:cs="Times New Roman"/>
                <w:sz w:val="12"/>
                <w:szCs w:val="12"/>
              </w:rPr>
            </w:pPr>
            <w:r>
              <w:rPr>
                <w:rFonts w:eastAsia="Times New Roman" w:cs="Times New Roman"/>
                <w:sz w:val="12"/>
                <w:szCs w:val="12"/>
              </w:rPr>
              <w:t> </w:t>
            </w:r>
          </w:p>
        </w:tc>
        <w:tc>
          <w:tcPr>
            <w:tcW w:w="1072" w:type="dxa"/>
            <w:tcBorders>
              <w:top w:val="single" w:sz="4" w:space="0" w:color="00000A"/>
              <w:bottom w:val="single" w:sz="4" w:space="0" w:color="00000A"/>
            </w:tcBorders>
            <w:shd w:val="clear" w:color="auto" w:fill="FFFFFF"/>
            <w:vAlign w:val="center"/>
          </w:tcPr>
          <w:p w14:paraId="1DAFB1C9" w14:textId="77777777" w:rsidR="00342E07" w:rsidRDefault="005356A1">
            <w:pPr>
              <w:spacing w:after="0" w:line="240" w:lineRule="auto"/>
              <w:jc w:val="center"/>
            </w:pPr>
            <w:r>
              <w:rPr>
                <w:rFonts w:eastAsia="Times New Roman" w:cs="Times New Roman"/>
                <w:b/>
                <w:color w:val="FF0000"/>
                <w:sz w:val="12"/>
                <w:szCs w:val="12"/>
              </w:rPr>
              <w:t>-0.022</w:t>
            </w:r>
            <w:r>
              <w:rPr>
                <w:rFonts w:eastAsia="Times New Roman" w:cs="Times New Roman"/>
                <w:color w:val="FF0000"/>
                <w:sz w:val="12"/>
                <w:szCs w:val="12"/>
              </w:rPr>
              <w:t xml:space="preserve">                           [-0.049, 0.004]</w:t>
            </w:r>
          </w:p>
        </w:tc>
        <w:tc>
          <w:tcPr>
            <w:tcW w:w="1073" w:type="dxa"/>
            <w:tcBorders>
              <w:top w:val="single" w:sz="4" w:space="0" w:color="00000A"/>
              <w:bottom w:val="single" w:sz="4" w:space="0" w:color="00000A"/>
            </w:tcBorders>
            <w:shd w:val="clear" w:color="auto" w:fill="FFFFFF"/>
            <w:vAlign w:val="center"/>
          </w:tcPr>
          <w:p w14:paraId="784420B1" w14:textId="77777777" w:rsidR="00342E07" w:rsidRDefault="005356A1">
            <w:pPr>
              <w:spacing w:after="0" w:line="240" w:lineRule="auto"/>
              <w:jc w:val="center"/>
            </w:pPr>
            <w:r>
              <w:rPr>
                <w:rFonts w:eastAsia="Times New Roman" w:cs="Times New Roman"/>
                <w:b/>
                <w:color w:val="FF0000"/>
                <w:sz w:val="12"/>
                <w:szCs w:val="12"/>
              </w:rPr>
              <w:t>-0.035</w:t>
            </w:r>
            <w:r>
              <w:rPr>
                <w:rFonts w:eastAsia="Times New Roman" w:cs="Times New Roman"/>
                <w:color w:val="FF0000"/>
                <w:sz w:val="12"/>
                <w:szCs w:val="12"/>
              </w:rPr>
              <w:t xml:space="preserve">                   [-0.063, -0.007]</w:t>
            </w:r>
          </w:p>
        </w:tc>
        <w:tc>
          <w:tcPr>
            <w:tcW w:w="1070" w:type="dxa"/>
            <w:tcBorders>
              <w:top w:val="single" w:sz="4" w:space="0" w:color="00000A"/>
              <w:bottom w:val="single" w:sz="4" w:space="0" w:color="00000A"/>
            </w:tcBorders>
            <w:shd w:val="clear" w:color="auto" w:fill="FFFFFF"/>
            <w:vAlign w:val="center"/>
          </w:tcPr>
          <w:p w14:paraId="68A71ABD" w14:textId="77777777" w:rsidR="00342E07" w:rsidRDefault="005356A1">
            <w:pPr>
              <w:spacing w:after="0" w:line="240" w:lineRule="auto"/>
              <w:jc w:val="center"/>
              <w:rPr>
                <w:rFonts w:eastAsia="Times New Roman" w:cs="Times New Roman"/>
                <w:sz w:val="12"/>
                <w:szCs w:val="12"/>
              </w:rPr>
            </w:pPr>
            <w:r>
              <w:rPr>
                <w:rFonts w:eastAsia="Times New Roman" w:cs="Times New Roman"/>
                <w:sz w:val="12"/>
                <w:szCs w:val="12"/>
              </w:rPr>
              <w:t> </w:t>
            </w:r>
          </w:p>
        </w:tc>
        <w:tc>
          <w:tcPr>
            <w:tcW w:w="1072" w:type="dxa"/>
            <w:tcBorders>
              <w:top w:val="single" w:sz="4" w:space="0" w:color="00000A"/>
              <w:bottom w:val="single" w:sz="4" w:space="0" w:color="00000A"/>
            </w:tcBorders>
            <w:shd w:val="clear" w:color="auto" w:fill="FFFFFF"/>
            <w:vAlign w:val="center"/>
          </w:tcPr>
          <w:p w14:paraId="6DB9A8FD" w14:textId="77777777" w:rsidR="00342E07" w:rsidRDefault="005356A1">
            <w:pPr>
              <w:spacing w:after="0" w:line="240" w:lineRule="auto"/>
              <w:jc w:val="center"/>
              <w:rPr>
                <w:rFonts w:eastAsia="Times New Roman" w:cs="Times New Roman"/>
                <w:sz w:val="12"/>
                <w:szCs w:val="12"/>
              </w:rPr>
            </w:pPr>
            <w:r>
              <w:rPr>
                <w:rFonts w:eastAsia="Times New Roman" w:cs="Times New Roman"/>
                <w:sz w:val="12"/>
                <w:szCs w:val="12"/>
              </w:rPr>
              <w:t>-</w:t>
            </w:r>
          </w:p>
        </w:tc>
        <w:tc>
          <w:tcPr>
            <w:tcW w:w="1072" w:type="dxa"/>
            <w:tcBorders>
              <w:top w:val="single" w:sz="4" w:space="0" w:color="00000A"/>
              <w:bottom w:val="single" w:sz="4" w:space="0" w:color="00000A"/>
            </w:tcBorders>
            <w:shd w:val="clear" w:color="auto" w:fill="FFFFFF"/>
            <w:vAlign w:val="center"/>
          </w:tcPr>
          <w:p w14:paraId="0694D412" w14:textId="77777777" w:rsidR="00342E07" w:rsidRDefault="005356A1">
            <w:pPr>
              <w:spacing w:after="0" w:line="240" w:lineRule="auto"/>
              <w:jc w:val="center"/>
            </w:pPr>
            <w:r>
              <w:rPr>
                <w:rFonts w:eastAsia="Times New Roman" w:cs="Times New Roman"/>
                <w:b/>
                <w:sz w:val="12"/>
                <w:szCs w:val="12"/>
              </w:rPr>
              <w:t>-0.017</w:t>
            </w:r>
            <w:r>
              <w:rPr>
                <w:rFonts w:eastAsia="Times New Roman" w:cs="Times New Roman"/>
                <w:sz w:val="12"/>
                <w:szCs w:val="12"/>
              </w:rPr>
              <w:t xml:space="preserve">                             [-0.029, -0.005]</w:t>
            </w:r>
          </w:p>
        </w:tc>
        <w:tc>
          <w:tcPr>
            <w:tcW w:w="1073" w:type="dxa"/>
            <w:tcBorders>
              <w:top w:val="single" w:sz="4" w:space="0" w:color="00000A"/>
              <w:bottom w:val="single" w:sz="4" w:space="0" w:color="00000A"/>
            </w:tcBorders>
            <w:shd w:val="clear" w:color="auto" w:fill="FF0000"/>
            <w:vAlign w:val="center"/>
          </w:tcPr>
          <w:p w14:paraId="16986838" w14:textId="77777777" w:rsidR="00342E07" w:rsidRDefault="005356A1">
            <w:pPr>
              <w:spacing w:after="0" w:line="240" w:lineRule="auto"/>
              <w:jc w:val="center"/>
              <w:rPr>
                <w:rFonts w:eastAsia="Times New Roman" w:cs="Times New Roman"/>
                <w:sz w:val="12"/>
                <w:szCs w:val="12"/>
              </w:rPr>
            </w:pPr>
            <w:r>
              <w:rPr>
                <w:rFonts w:eastAsia="Times New Roman" w:cs="Times New Roman"/>
                <w:sz w:val="12"/>
                <w:szCs w:val="12"/>
              </w:rPr>
              <w:t> </w:t>
            </w:r>
          </w:p>
        </w:tc>
        <w:tc>
          <w:tcPr>
            <w:tcW w:w="1060" w:type="dxa"/>
            <w:tcBorders>
              <w:top w:val="single" w:sz="4" w:space="0" w:color="00000A"/>
              <w:bottom w:val="single" w:sz="4" w:space="0" w:color="00000A"/>
            </w:tcBorders>
            <w:shd w:val="clear" w:color="auto" w:fill="FFFFFF"/>
            <w:vAlign w:val="center"/>
          </w:tcPr>
          <w:p w14:paraId="6FE2F03A" w14:textId="77777777" w:rsidR="00342E07" w:rsidRDefault="005356A1">
            <w:pPr>
              <w:spacing w:after="0" w:line="240" w:lineRule="auto"/>
              <w:jc w:val="center"/>
            </w:pPr>
            <w:r>
              <w:rPr>
                <w:rFonts w:eastAsia="Times New Roman" w:cs="Times New Roman"/>
                <w:b/>
                <w:sz w:val="12"/>
                <w:szCs w:val="12"/>
              </w:rPr>
              <w:t>-0.024</w:t>
            </w:r>
            <w:r>
              <w:rPr>
                <w:rFonts w:eastAsia="Times New Roman" w:cs="Times New Roman"/>
                <w:sz w:val="12"/>
                <w:szCs w:val="12"/>
              </w:rPr>
              <w:t xml:space="preserve">                        [-0.038, -0.009]</w:t>
            </w:r>
          </w:p>
        </w:tc>
      </w:tr>
      <w:tr w:rsidR="00342E07" w14:paraId="507131D0" w14:textId="77777777">
        <w:trPr>
          <w:trHeight w:val="288"/>
        </w:trPr>
        <w:tc>
          <w:tcPr>
            <w:tcW w:w="1448" w:type="dxa"/>
            <w:tcBorders>
              <w:top w:val="single" w:sz="4" w:space="0" w:color="00000A"/>
              <w:bottom w:val="single" w:sz="4" w:space="0" w:color="00000A"/>
            </w:tcBorders>
            <w:shd w:val="clear" w:color="auto" w:fill="FFFFFF"/>
            <w:vAlign w:val="center"/>
          </w:tcPr>
          <w:p w14:paraId="1C1EE8E4" w14:textId="77777777" w:rsidR="00342E07" w:rsidRDefault="005356A1">
            <w:pPr>
              <w:spacing w:after="0" w:line="240" w:lineRule="auto"/>
              <w:rPr>
                <w:rFonts w:eastAsia="Times New Roman" w:cs="Times New Roman"/>
                <w:b/>
                <w:bCs/>
              </w:rPr>
            </w:pPr>
            <w:r>
              <w:rPr>
                <w:rFonts w:eastAsia="Times New Roman" w:cs="Times New Roman"/>
                <w:b/>
                <w:bCs/>
              </w:rPr>
              <w:t>DOSE</w:t>
            </w:r>
          </w:p>
        </w:tc>
        <w:tc>
          <w:tcPr>
            <w:tcW w:w="781" w:type="dxa"/>
            <w:tcBorders>
              <w:top w:val="single" w:sz="4" w:space="0" w:color="00000A"/>
              <w:bottom w:val="single" w:sz="4" w:space="0" w:color="00000A"/>
            </w:tcBorders>
            <w:shd w:val="clear" w:color="auto" w:fill="FFFFFF"/>
            <w:vAlign w:val="center"/>
          </w:tcPr>
          <w:p w14:paraId="68D9270D" w14:textId="77777777" w:rsidR="00342E07" w:rsidRDefault="005356A1">
            <w:pPr>
              <w:spacing w:after="0" w:line="240" w:lineRule="auto"/>
              <w:jc w:val="center"/>
              <w:rPr>
                <w:rFonts w:eastAsia="Times New Roman" w:cs="Times New Roman"/>
                <w:sz w:val="12"/>
                <w:szCs w:val="12"/>
              </w:rPr>
            </w:pPr>
            <w:r>
              <w:rPr>
                <w:rFonts w:eastAsia="Times New Roman" w:cs="Times New Roman"/>
                <w:sz w:val="12"/>
                <w:szCs w:val="12"/>
              </w:rPr>
              <w:t> </w:t>
            </w:r>
          </w:p>
        </w:tc>
        <w:tc>
          <w:tcPr>
            <w:tcW w:w="1070" w:type="dxa"/>
            <w:tcBorders>
              <w:top w:val="single" w:sz="4" w:space="0" w:color="00000A"/>
              <w:bottom w:val="single" w:sz="4" w:space="0" w:color="00000A"/>
            </w:tcBorders>
            <w:shd w:val="clear" w:color="auto" w:fill="FFFFFF"/>
            <w:vAlign w:val="center"/>
          </w:tcPr>
          <w:p w14:paraId="6DBC0EB6" w14:textId="77777777" w:rsidR="00342E07" w:rsidRDefault="005356A1">
            <w:pPr>
              <w:spacing w:after="0" w:line="240" w:lineRule="auto"/>
              <w:jc w:val="center"/>
              <w:rPr>
                <w:rFonts w:eastAsia="Times New Roman" w:cs="Times New Roman"/>
                <w:sz w:val="12"/>
                <w:szCs w:val="12"/>
              </w:rPr>
            </w:pPr>
            <w:r>
              <w:rPr>
                <w:rFonts w:eastAsia="Times New Roman" w:cs="Times New Roman"/>
                <w:sz w:val="12"/>
                <w:szCs w:val="12"/>
              </w:rPr>
              <w:t> </w:t>
            </w:r>
          </w:p>
        </w:tc>
        <w:tc>
          <w:tcPr>
            <w:tcW w:w="1071" w:type="dxa"/>
            <w:tcBorders>
              <w:top w:val="single" w:sz="4" w:space="0" w:color="00000A"/>
              <w:bottom w:val="single" w:sz="4" w:space="0" w:color="00000A"/>
            </w:tcBorders>
            <w:shd w:val="clear" w:color="auto" w:fill="FFFFFF"/>
            <w:vAlign w:val="center"/>
          </w:tcPr>
          <w:p w14:paraId="628D5905" w14:textId="77777777" w:rsidR="00342E07" w:rsidRDefault="005356A1">
            <w:pPr>
              <w:spacing w:after="0" w:line="240" w:lineRule="auto"/>
              <w:jc w:val="center"/>
              <w:rPr>
                <w:rFonts w:eastAsia="Times New Roman" w:cs="Times New Roman"/>
                <w:sz w:val="12"/>
                <w:szCs w:val="12"/>
              </w:rPr>
            </w:pPr>
            <w:r>
              <w:rPr>
                <w:rFonts w:eastAsia="Times New Roman" w:cs="Times New Roman"/>
                <w:sz w:val="12"/>
                <w:szCs w:val="12"/>
              </w:rPr>
              <w:t> </w:t>
            </w:r>
          </w:p>
        </w:tc>
        <w:tc>
          <w:tcPr>
            <w:tcW w:w="1072" w:type="dxa"/>
            <w:tcBorders>
              <w:top w:val="single" w:sz="4" w:space="0" w:color="00000A"/>
              <w:bottom w:val="single" w:sz="4" w:space="0" w:color="00000A"/>
            </w:tcBorders>
            <w:shd w:val="clear" w:color="auto" w:fill="FFFFFF"/>
            <w:vAlign w:val="center"/>
          </w:tcPr>
          <w:p w14:paraId="639D0D39" w14:textId="77777777" w:rsidR="00342E07" w:rsidRDefault="005356A1">
            <w:pPr>
              <w:spacing w:after="0" w:line="240" w:lineRule="auto"/>
              <w:jc w:val="center"/>
            </w:pPr>
            <w:r>
              <w:rPr>
                <w:rFonts w:eastAsia="Times New Roman" w:cs="Times New Roman"/>
                <w:b/>
                <w:color w:val="FF0000"/>
                <w:sz w:val="12"/>
                <w:szCs w:val="12"/>
              </w:rPr>
              <w:t>-0.041</w:t>
            </w:r>
            <w:r>
              <w:rPr>
                <w:rFonts w:eastAsia="Times New Roman" w:cs="Times New Roman"/>
                <w:color w:val="FF0000"/>
                <w:sz w:val="12"/>
                <w:szCs w:val="12"/>
              </w:rPr>
              <w:t xml:space="preserve">                           [-0.066, -0.015]</w:t>
            </w:r>
          </w:p>
        </w:tc>
        <w:tc>
          <w:tcPr>
            <w:tcW w:w="1073" w:type="dxa"/>
            <w:tcBorders>
              <w:top w:val="single" w:sz="4" w:space="0" w:color="00000A"/>
              <w:bottom w:val="single" w:sz="4" w:space="0" w:color="00000A"/>
            </w:tcBorders>
            <w:shd w:val="clear" w:color="auto" w:fill="FFFFFF"/>
            <w:vAlign w:val="center"/>
          </w:tcPr>
          <w:p w14:paraId="1B113FF1" w14:textId="77777777" w:rsidR="00342E07" w:rsidRDefault="005356A1">
            <w:pPr>
              <w:spacing w:after="0" w:line="240" w:lineRule="auto"/>
              <w:jc w:val="center"/>
            </w:pPr>
            <w:r>
              <w:rPr>
                <w:rFonts w:eastAsia="Times New Roman" w:cs="Times New Roman"/>
                <w:b/>
                <w:color w:val="FF0000"/>
                <w:sz w:val="12"/>
                <w:szCs w:val="12"/>
              </w:rPr>
              <w:t xml:space="preserve">-0.052                           </w:t>
            </w:r>
            <w:r>
              <w:rPr>
                <w:rFonts w:eastAsia="Times New Roman" w:cs="Times New Roman"/>
                <w:color w:val="FF0000"/>
                <w:sz w:val="12"/>
                <w:szCs w:val="12"/>
              </w:rPr>
              <w:t>[-0.079, -0.024]</w:t>
            </w:r>
          </w:p>
        </w:tc>
        <w:tc>
          <w:tcPr>
            <w:tcW w:w="1070" w:type="dxa"/>
            <w:tcBorders>
              <w:top w:val="single" w:sz="4" w:space="0" w:color="00000A"/>
              <w:bottom w:val="single" w:sz="4" w:space="0" w:color="00000A"/>
            </w:tcBorders>
            <w:shd w:val="clear" w:color="auto" w:fill="FFFFFF"/>
            <w:vAlign w:val="center"/>
          </w:tcPr>
          <w:p w14:paraId="7FCEBA2B" w14:textId="77777777" w:rsidR="00342E07" w:rsidRDefault="005356A1">
            <w:pPr>
              <w:spacing w:after="0" w:line="240" w:lineRule="auto"/>
              <w:jc w:val="center"/>
              <w:rPr>
                <w:rFonts w:eastAsia="Times New Roman" w:cs="Times New Roman"/>
                <w:sz w:val="12"/>
                <w:szCs w:val="12"/>
              </w:rPr>
            </w:pPr>
            <w:r>
              <w:rPr>
                <w:rFonts w:eastAsia="Times New Roman" w:cs="Times New Roman"/>
                <w:sz w:val="12"/>
                <w:szCs w:val="12"/>
              </w:rPr>
              <w:t> </w:t>
            </w:r>
          </w:p>
        </w:tc>
        <w:tc>
          <w:tcPr>
            <w:tcW w:w="1072" w:type="dxa"/>
            <w:tcBorders>
              <w:top w:val="single" w:sz="4" w:space="0" w:color="00000A"/>
              <w:bottom w:val="single" w:sz="4" w:space="0" w:color="00000A"/>
            </w:tcBorders>
            <w:shd w:val="clear" w:color="auto" w:fill="FFFFFF"/>
            <w:vAlign w:val="center"/>
          </w:tcPr>
          <w:p w14:paraId="38C8F79C" w14:textId="77777777" w:rsidR="00342E07" w:rsidRDefault="005356A1">
            <w:pPr>
              <w:spacing w:after="0" w:line="240" w:lineRule="auto"/>
              <w:jc w:val="center"/>
              <w:rPr>
                <w:rFonts w:eastAsia="Times New Roman" w:cs="Times New Roman"/>
                <w:sz w:val="12"/>
                <w:szCs w:val="12"/>
              </w:rPr>
            </w:pPr>
            <w:r>
              <w:rPr>
                <w:rFonts w:eastAsia="Times New Roman" w:cs="Times New Roman"/>
                <w:sz w:val="12"/>
                <w:szCs w:val="12"/>
              </w:rPr>
              <w:t> </w:t>
            </w:r>
          </w:p>
        </w:tc>
        <w:tc>
          <w:tcPr>
            <w:tcW w:w="1072" w:type="dxa"/>
            <w:tcBorders>
              <w:top w:val="single" w:sz="4" w:space="0" w:color="00000A"/>
              <w:bottom w:val="single" w:sz="4" w:space="0" w:color="00000A"/>
            </w:tcBorders>
            <w:shd w:val="clear" w:color="auto" w:fill="FFFFFF"/>
            <w:vAlign w:val="center"/>
          </w:tcPr>
          <w:p w14:paraId="10CFFC68" w14:textId="77777777" w:rsidR="00342E07" w:rsidRDefault="005356A1">
            <w:pPr>
              <w:spacing w:after="0" w:line="240" w:lineRule="auto"/>
              <w:jc w:val="center"/>
              <w:rPr>
                <w:rFonts w:eastAsia="Times New Roman" w:cs="Times New Roman"/>
                <w:sz w:val="12"/>
                <w:szCs w:val="12"/>
              </w:rPr>
            </w:pPr>
            <w:r>
              <w:rPr>
                <w:rFonts w:eastAsia="Times New Roman" w:cs="Times New Roman"/>
                <w:sz w:val="12"/>
                <w:szCs w:val="12"/>
              </w:rPr>
              <w:t>-</w:t>
            </w:r>
          </w:p>
        </w:tc>
        <w:tc>
          <w:tcPr>
            <w:tcW w:w="1073" w:type="dxa"/>
            <w:tcBorders>
              <w:top w:val="single" w:sz="4" w:space="0" w:color="00000A"/>
              <w:bottom w:val="single" w:sz="4" w:space="0" w:color="00000A"/>
            </w:tcBorders>
            <w:shd w:val="clear" w:color="auto" w:fill="FF0000"/>
            <w:vAlign w:val="center"/>
          </w:tcPr>
          <w:p w14:paraId="1612E85E" w14:textId="77777777" w:rsidR="00342E07" w:rsidRDefault="005356A1">
            <w:pPr>
              <w:spacing w:after="0" w:line="240" w:lineRule="auto"/>
              <w:jc w:val="center"/>
              <w:rPr>
                <w:rFonts w:eastAsia="Times New Roman" w:cs="Times New Roman"/>
                <w:sz w:val="12"/>
                <w:szCs w:val="12"/>
              </w:rPr>
            </w:pPr>
            <w:r>
              <w:rPr>
                <w:rFonts w:eastAsia="Times New Roman" w:cs="Times New Roman"/>
                <w:sz w:val="12"/>
                <w:szCs w:val="12"/>
              </w:rPr>
              <w:t> </w:t>
            </w:r>
          </w:p>
        </w:tc>
        <w:tc>
          <w:tcPr>
            <w:tcW w:w="1060" w:type="dxa"/>
            <w:tcBorders>
              <w:top w:val="single" w:sz="4" w:space="0" w:color="00000A"/>
              <w:bottom w:val="single" w:sz="4" w:space="0" w:color="00000A"/>
            </w:tcBorders>
            <w:shd w:val="clear" w:color="auto" w:fill="FFFFFF"/>
            <w:vAlign w:val="center"/>
          </w:tcPr>
          <w:p w14:paraId="6E6915AB" w14:textId="77777777" w:rsidR="00342E07" w:rsidRDefault="005356A1">
            <w:pPr>
              <w:spacing w:after="0" w:line="240" w:lineRule="auto"/>
              <w:jc w:val="center"/>
            </w:pPr>
            <w:r>
              <w:rPr>
                <w:rFonts w:eastAsia="Times New Roman" w:cs="Times New Roman"/>
                <w:b/>
                <w:sz w:val="12"/>
                <w:szCs w:val="12"/>
              </w:rPr>
              <w:t>-0.005</w:t>
            </w:r>
            <w:r>
              <w:rPr>
                <w:rFonts w:eastAsia="Times New Roman" w:cs="Times New Roman"/>
                <w:sz w:val="12"/>
                <w:szCs w:val="12"/>
              </w:rPr>
              <w:t xml:space="preserve">                          [-0.025, 0.015]</w:t>
            </w:r>
          </w:p>
        </w:tc>
      </w:tr>
      <w:tr w:rsidR="00342E07" w14:paraId="45617582" w14:textId="77777777">
        <w:trPr>
          <w:trHeight w:val="288"/>
        </w:trPr>
        <w:tc>
          <w:tcPr>
            <w:tcW w:w="1448" w:type="dxa"/>
            <w:tcBorders>
              <w:top w:val="single" w:sz="4" w:space="0" w:color="00000A"/>
              <w:bottom w:val="single" w:sz="4" w:space="0" w:color="00000A"/>
            </w:tcBorders>
            <w:shd w:val="clear" w:color="auto" w:fill="FFFFFF"/>
            <w:vAlign w:val="center"/>
          </w:tcPr>
          <w:p w14:paraId="2190D999" w14:textId="77777777" w:rsidR="00342E07" w:rsidRDefault="005356A1">
            <w:pPr>
              <w:spacing w:after="0" w:line="240" w:lineRule="auto"/>
              <w:rPr>
                <w:rFonts w:eastAsia="Times New Roman" w:cs="Times New Roman"/>
                <w:b/>
                <w:bCs/>
              </w:rPr>
            </w:pPr>
            <w:r>
              <w:rPr>
                <w:rFonts w:eastAsia="Times New Roman" w:cs="Times New Roman"/>
                <w:b/>
                <w:bCs/>
              </w:rPr>
              <w:t>SAFE</w:t>
            </w:r>
          </w:p>
        </w:tc>
        <w:tc>
          <w:tcPr>
            <w:tcW w:w="781" w:type="dxa"/>
            <w:tcBorders>
              <w:top w:val="single" w:sz="4" w:space="0" w:color="00000A"/>
              <w:bottom w:val="single" w:sz="4" w:space="0" w:color="00000A"/>
            </w:tcBorders>
            <w:shd w:val="clear" w:color="auto" w:fill="FFFFFF"/>
            <w:vAlign w:val="center"/>
          </w:tcPr>
          <w:p w14:paraId="4CF87EAD" w14:textId="77777777" w:rsidR="00342E07" w:rsidRDefault="005356A1">
            <w:pPr>
              <w:spacing w:after="0" w:line="240" w:lineRule="auto"/>
              <w:jc w:val="center"/>
              <w:rPr>
                <w:rFonts w:eastAsia="Times New Roman" w:cs="Times New Roman"/>
                <w:sz w:val="12"/>
                <w:szCs w:val="12"/>
              </w:rPr>
            </w:pPr>
            <w:r>
              <w:rPr>
                <w:rFonts w:eastAsia="Times New Roman" w:cs="Times New Roman"/>
                <w:sz w:val="12"/>
                <w:szCs w:val="12"/>
              </w:rPr>
              <w:t> </w:t>
            </w:r>
          </w:p>
        </w:tc>
        <w:tc>
          <w:tcPr>
            <w:tcW w:w="1070" w:type="dxa"/>
            <w:tcBorders>
              <w:top w:val="single" w:sz="4" w:space="0" w:color="00000A"/>
              <w:bottom w:val="single" w:sz="4" w:space="0" w:color="00000A"/>
            </w:tcBorders>
            <w:shd w:val="clear" w:color="auto" w:fill="FFFFFF"/>
            <w:vAlign w:val="center"/>
          </w:tcPr>
          <w:p w14:paraId="7420803F" w14:textId="77777777" w:rsidR="00342E07" w:rsidRDefault="005356A1">
            <w:pPr>
              <w:spacing w:after="0" w:line="240" w:lineRule="auto"/>
              <w:jc w:val="center"/>
              <w:rPr>
                <w:rFonts w:eastAsia="Times New Roman" w:cs="Times New Roman"/>
                <w:sz w:val="12"/>
                <w:szCs w:val="12"/>
              </w:rPr>
            </w:pPr>
            <w:r>
              <w:rPr>
                <w:rFonts w:eastAsia="Times New Roman" w:cs="Times New Roman"/>
                <w:sz w:val="12"/>
                <w:szCs w:val="12"/>
              </w:rPr>
              <w:t> </w:t>
            </w:r>
          </w:p>
        </w:tc>
        <w:tc>
          <w:tcPr>
            <w:tcW w:w="1071" w:type="dxa"/>
            <w:tcBorders>
              <w:top w:val="single" w:sz="4" w:space="0" w:color="00000A"/>
              <w:bottom w:val="single" w:sz="4" w:space="0" w:color="00000A"/>
            </w:tcBorders>
            <w:shd w:val="clear" w:color="auto" w:fill="FFFFFF"/>
            <w:vAlign w:val="center"/>
          </w:tcPr>
          <w:p w14:paraId="1DE4E314" w14:textId="77777777" w:rsidR="00342E07" w:rsidRDefault="005356A1">
            <w:pPr>
              <w:spacing w:after="0" w:line="240" w:lineRule="auto"/>
              <w:jc w:val="center"/>
              <w:rPr>
                <w:rFonts w:eastAsia="Times New Roman" w:cs="Times New Roman"/>
                <w:sz w:val="12"/>
                <w:szCs w:val="12"/>
              </w:rPr>
            </w:pPr>
            <w:r>
              <w:rPr>
                <w:rFonts w:eastAsia="Times New Roman" w:cs="Times New Roman"/>
                <w:sz w:val="12"/>
                <w:szCs w:val="12"/>
              </w:rPr>
              <w:t> </w:t>
            </w:r>
          </w:p>
        </w:tc>
        <w:tc>
          <w:tcPr>
            <w:tcW w:w="1072" w:type="dxa"/>
            <w:tcBorders>
              <w:top w:val="single" w:sz="4" w:space="0" w:color="00000A"/>
              <w:bottom w:val="single" w:sz="4" w:space="0" w:color="00000A"/>
            </w:tcBorders>
            <w:shd w:val="clear" w:color="auto" w:fill="FFFFFF"/>
            <w:vAlign w:val="center"/>
          </w:tcPr>
          <w:p w14:paraId="70E84935" w14:textId="77777777" w:rsidR="00342E07" w:rsidRDefault="005356A1">
            <w:pPr>
              <w:spacing w:after="0" w:line="240" w:lineRule="auto"/>
              <w:jc w:val="center"/>
              <w:rPr>
                <w:rFonts w:eastAsia="Times New Roman" w:cs="Times New Roman"/>
                <w:color w:val="FF0000"/>
                <w:sz w:val="12"/>
                <w:szCs w:val="12"/>
              </w:rPr>
            </w:pPr>
            <w:r>
              <w:rPr>
                <w:rFonts w:eastAsia="Times New Roman" w:cs="Times New Roman"/>
                <w:color w:val="FF0000"/>
                <w:sz w:val="12"/>
                <w:szCs w:val="12"/>
              </w:rPr>
              <w:t> </w:t>
            </w:r>
          </w:p>
        </w:tc>
        <w:tc>
          <w:tcPr>
            <w:tcW w:w="1073" w:type="dxa"/>
            <w:tcBorders>
              <w:top w:val="single" w:sz="4" w:space="0" w:color="00000A"/>
              <w:bottom w:val="single" w:sz="4" w:space="0" w:color="00000A"/>
            </w:tcBorders>
            <w:shd w:val="clear" w:color="auto" w:fill="FFFFFF"/>
            <w:vAlign w:val="center"/>
          </w:tcPr>
          <w:p w14:paraId="1A4D7962" w14:textId="77777777" w:rsidR="00342E07" w:rsidRDefault="005356A1">
            <w:pPr>
              <w:spacing w:after="0" w:line="240" w:lineRule="auto"/>
              <w:jc w:val="center"/>
              <w:rPr>
                <w:rFonts w:eastAsia="Times New Roman" w:cs="Times New Roman"/>
                <w:color w:val="FF0000"/>
                <w:sz w:val="12"/>
                <w:szCs w:val="12"/>
              </w:rPr>
            </w:pPr>
            <w:r>
              <w:rPr>
                <w:rFonts w:eastAsia="Times New Roman" w:cs="Times New Roman"/>
                <w:color w:val="FF0000"/>
                <w:sz w:val="12"/>
                <w:szCs w:val="12"/>
              </w:rPr>
              <w:t> </w:t>
            </w:r>
          </w:p>
        </w:tc>
        <w:tc>
          <w:tcPr>
            <w:tcW w:w="1070" w:type="dxa"/>
            <w:tcBorders>
              <w:top w:val="single" w:sz="4" w:space="0" w:color="00000A"/>
              <w:bottom w:val="single" w:sz="4" w:space="0" w:color="00000A"/>
            </w:tcBorders>
            <w:shd w:val="clear" w:color="auto" w:fill="FFFFFF"/>
            <w:vAlign w:val="center"/>
          </w:tcPr>
          <w:p w14:paraId="29365349" w14:textId="77777777" w:rsidR="00342E07" w:rsidRDefault="005356A1">
            <w:pPr>
              <w:spacing w:after="0" w:line="240" w:lineRule="auto"/>
              <w:jc w:val="center"/>
            </w:pPr>
            <w:r>
              <w:rPr>
                <w:rFonts w:eastAsia="Times New Roman" w:cs="Times New Roman"/>
                <w:b/>
                <w:color w:val="FF0000"/>
                <w:sz w:val="12"/>
                <w:szCs w:val="12"/>
              </w:rPr>
              <w:t>-0.021</w:t>
            </w:r>
            <w:r>
              <w:rPr>
                <w:rFonts w:eastAsia="Times New Roman" w:cs="Times New Roman"/>
                <w:color w:val="FF0000"/>
                <w:sz w:val="12"/>
                <w:szCs w:val="12"/>
              </w:rPr>
              <w:t xml:space="preserve">                           [-0.056, 0.014]</w:t>
            </w:r>
          </w:p>
        </w:tc>
        <w:tc>
          <w:tcPr>
            <w:tcW w:w="1072" w:type="dxa"/>
            <w:tcBorders>
              <w:top w:val="single" w:sz="4" w:space="0" w:color="00000A"/>
              <w:bottom w:val="single" w:sz="4" w:space="0" w:color="00000A"/>
            </w:tcBorders>
            <w:shd w:val="clear" w:color="auto" w:fill="FFFFFF"/>
            <w:vAlign w:val="center"/>
          </w:tcPr>
          <w:p w14:paraId="2425D137" w14:textId="77777777" w:rsidR="00342E07" w:rsidRDefault="005356A1">
            <w:pPr>
              <w:spacing w:after="0" w:line="240" w:lineRule="auto"/>
              <w:jc w:val="center"/>
            </w:pPr>
            <w:r>
              <w:rPr>
                <w:rFonts w:eastAsia="Times New Roman" w:cs="Times New Roman"/>
                <w:b/>
                <w:color w:val="FF0000"/>
                <w:sz w:val="12"/>
                <w:szCs w:val="12"/>
              </w:rPr>
              <w:t>0.010</w:t>
            </w:r>
            <w:r>
              <w:rPr>
                <w:rFonts w:eastAsia="Times New Roman" w:cs="Times New Roman"/>
                <w:color w:val="FF0000"/>
                <w:sz w:val="12"/>
                <w:szCs w:val="12"/>
              </w:rPr>
              <w:t xml:space="preserve">                            [-0.022, 0.042]</w:t>
            </w:r>
          </w:p>
        </w:tc>
        <w:tc>
          <w:tcPr>
            <w:tcW w:w="1072" w:type="dxa"/>
            <w:tcBorders>
              <w:top w:val="single" w:sz="4" w:space="0" w:color="00000A"/>
              <w:bottom w:val="single" w:sz="4" w:space="0" w:color="00000A"/>
            </w:tcBorders>
            <w:shd w:val="clear" w:color="auto" w:fill="FFFFFF"/>
            <w:vAlign w:val="center"/>
          </w:tcPr>
          <w:p w14:paraId="59D7FF93" w14:textId="77777777" w:rsidR="00342E07" w:rsidRDefault="005356A1">
            <w:pPr>
              <w:spacing w:after="0" w:line="240" w:lineRule="auto"/>
              <w:jc w:val="center"/>
            </w:pPr>
            <w:r>
              <w:rPr>
                <w:rFonts w:eastAsia="Times New Roman" w:cs="Times New Roman"/>
                <w:b/>
                <w:color w:val="FF0000"/>
                <w:sz w:val="12"/>
                <w:szCs w:val="12"/>
              </w:rPr>
              <w:t>0.026</w:t>
            </w:r>
            <w:r>
              <w:rPr>
                <w:rFonts w:eastAsia="Times New Roman" w:cs="Times New Roman"/>
                <w:color w:val="FF0000"/>
                <w:sz w:val="12"/>
                <w:szCs w:val="12"/>
              </w:rPr>
              <w:t xml:space="preserve">                            [-0.007, 0.059]</w:t>
            </w:r>
          </w:p>
        </w:tc>
        <w:tc>
          <w:tcPr>
            <w:tcW w:w="1073" w:type="dxa"/>
            <w:tcBorders>
              <w:top w:val="single" w:sz="4" w:space="0" w:color="00000A"/>
              <w:bottom w:val="single" w:sz="4" w:space="0" w:color="00000A"/>
            </w:tcBorders>
            <w:shd w:val="clear" w:color="auto" w:fill="FFFFFF"/>
            <w:vAlign w:val="center"/>
          </w:tcPr>
          <w:p w14:paraId="4E748703" w14:textId="77777777" w:rsidR="00342E07" w:rsidRDefault="005356A1">
            <w:pPr>
              <w:spacing w:after="0" w:line="240" w:lineRule="auto"/>
              <w:jc w:val="center"/>
              <w:rPr>
                <w:rFonts w:eastAsia="Times New Roman" w:cs="Times New Roman"/>
                <w:sz w:val="12"/>
                <w:szCs w:val="12"/>
              </w:rPr>
            </w:pPr>
            <w:r>
              <w:rPr>
                <w:rFonts w:eastAsia="Times New Roman" w:cs="Times New Roman"/>
                <w:sz w:val="12"/>
                <w:szCs w:val="12"/>
              </w:rPr>
              <w:t>-</w:t>
            </w:r>
          </w:p>
        </w:tc>
        <w:tc>
          <w:tcPr>
            <w:tcW w:w="1060" w:type="dxa"/>
            <w:tcBorders>
              <w:top w:val="single" w:sz="4" w:space="0" w:color="00000A"/>
              <w:bottom w:val="single" w:sz="4" w:space="0" w:color="00000A"/>
            </w:tcBorders>
            <w:shd w:val="clear" w:color="auto" w:fill="FF0000"/>
            <w:vAlign w:val="center"/>
          </w:tcPr>
          <w:p w14:paraId="676C6B68" w14:textId="77777777" w:rsidR="00342E07" w:rsidRDefault="005356A1">
            <w:pPr>
              <w:spacing w:after="0" w:line="240" w:lineRule="auto"/>
              <w:jc w:val="center"/>
              <w:rPr>
                <w:rFonts w:eastAsia="Times New Roman" w:cs="Times New Roman"/>
                <w:sz w:val="12"/>
                <w:szCs w:val="12"/>
              </w:rPr>
            </w:pPr>
            <w:r>
              <w:rPr>
                <w:rFonts w:eastAsia="Times New Roman" w:cs="Times New Roman"/>
                <w:sz w:val="12"/>
                <w:szCs w:val="12"/>
              </w:rPr>
              <w:t> </w:t>
            </w:r>
          </w:p>
        </w:tc>
      </w:tr>
      <w:tr w:rsidR="00342E07" w14:paraId="085AE421" w14:textId="77777777">
        <w:trPr>
          <w:trHeight w:val="288"/>
        </w:trPr>
        <w:tc>
          <w:tcPr>
            <w:tcW w:w="1448" w:type="dxa"/>
            <w:tcBorders>
              <w:top w:val="single" w:sz="4" w:space="0" w:color="00000A"/>
              <w:bottom w:val="single" w:sz="4" w:space="0" w:color="00000A"/>
            </w:tcBorders>
            <w:shd w:val="clear" w:color="auto" w:fill="FFFFFF"/>
            <w:vAlign w:val="center"/>
          </w:tcPr>
          <w:p w14:paraId="46E5D850" w14:textId="77777777" w:rsidR="00342E07" w:rsidRDefault="005356A1">
            <w:pPr>
              <w:spacing w:after="0" w:line="240" w:lineRule="auto"/>
              <w:rPr>
                <w:rFonts w:eastAsia="Times New Roman" w:cs="Times New Roman"/>
                <w:b/>
                <w:bCs/>
              </w:rPr>
            </w:pPr>
            <w:r>
              <w:rPr>
                <w:rFonts w:eastAsia="Times New Roman" w:cs="Times New Roman"/>
                <w:b/>
                <w:bCs/>
              </w:rPr>
              <w:t>BAED</w:t>
            </w:r>
          </w:p>
        </w:tc>
        <w:tc>
          <w:tcPr>
            <w:tcW w:w="781" w:type="dxa"/>
            <w:tcBorders>
              <w:top w:val="single" w:sz="4" w:space="0" w:color="00000A"/>
              <w:bottom w:val="single" w:sz="4" w:space="0" w:color="00000A"/>
            </w:tcBorders>
            <w:shd w:val="clear" w:color="auto" w:fill="FFFFFF"/>
            <w:vAlign w:val="center"/>
          </w:tcPr>
          <w:p w14:paraId="7AA857F7" w14:textId="77777777" w:rsidR="00342E07" w:rsidRDefault="005356A1">
            <w:pPr>
              <w:spacing w:after="0" w:line="240" w:lineRule="auto"/>
              <w:jc w:val="center"/>
              <w:rPr>
                <w:rFonts w:eastAsia="Times New Roman" w:cs="Times New Roman"/>
                <w:sz w:val="12"/>
                <w:szCs w:val="12"/>
              </w:rPr>
            </w:pPr>
            <w:r>
              <w:rPr>
                <w:rFonts w:eastAsia="Times New Roman" w:cs="Times New Roman"/>
                <w:sz w:val="12"/>
                <w:szCs w:val="12"/>
              </w:rPr>
              <w:t> </w:t>
            </w:r>
          </w:p>
        </w:tc>
        <w:tc>
          <w:tcPr>
            <w:tcW w:w="1070" w:type="dxa"/>
            <w:tcBorders>
              <w:top w:val="single" w:sz="4" w:space="0" w:color="00000A"/>
              <w:bottom w:val="single" w:sz="4" w:space="0" w:color="00000A"/>
            </w:tcBorders>
            <w:shd w:val="clear" w:color="auto" w:fill="FFFFFF"/>
            <w:vAlign w:val="center"/>
          </w:tcPr>
          <w:p w14:paraId="274395F1" w14:textId="77777777" w:rsidR="00342E07" w:rsidRDefault="005356A1">
            <w:pPr>
              <w:spacing w:after="0" w:line="240" w:lineRule="auto"/>
              <w:jc w:val="center"/>
              <w:rPr>
                <w:rFonts w:eastAsia="Times New Roman" w:cs="Times New Roman"/>
                <w:sz w:val="12"/>
                <w:szCs w:val="12"/>
              </w:rPr>
            </w:pPr>
            <w:r>
              <w:rPr>
                <w:rFonts w:eastAsia="Times New Roman" w:cs="Times New Roman"/>
                <w:sz w:val="12"/>
                <w:szCs w:val="12"/>
              </w:rPr>
              <w:t> </w:t>
            </w:r>
          </w:p>
        </w:tc>
        <w:tc>
          <w:tcPr>
            <w:tcW w:w="1071" w:type="dxa"/>
            <w:tcBorders>
              <w:top w:val="single" w:sz="4" w:space="0" w:color="00000A"/>
              <w:bottom w:val="single" w:sz="4" w:space="0" w:color="00000A"/>
            </w:tcBorders>
            <w:shd w:val="clear" w:color="auto" w:fill="FFFFFF"/>
            <w:vAlign w:val="center"/>
          </w:tcPr>
          <w:p w14:paraId="66DC1817" w14:textId="77777777" w:rsidR="00342E07" w:rsidRDefault="005356A1">
            <w:pPr>
              <w:spacing w:after="0" w:line="240" w:lineRule="auto"/>
              <w:jc w:val="center"/>
              <w:rPr>
                <w:rFonts w:eastAsia="Times New Roman" w:cs="Times New Roman"/>
                <w:sz w:val="12"/>
                <w:szCs w:val="12"/>
              </w:rPr>
            </w:pPr>
            <w:r>
              <w:rPr>
                <w:rFonts w:eastAsia="Times New Roman" w:cs="Times New Roman"/>
                <w:sz w:val="12"/>
                <w:szCs w:val="12"/>
              </w:rPr>
              <w:t> </w:t>
            </w:r>
          </w:p>
        </w:tc>
        <w:tc>
          <w:tcPr>
            <w:tcW w:w="1072" w:type="dxa"/>
            <w:tcBorders>
              <w:top w:val="single" w:sz="4" w:space="0" w:color="00000A"/>
              <w:bottom w:val="single" w:sz="4" w:space="0" w:color="00000A"/>
            </w:tcBorders>
            <w:shd w:val="clear" w:color="auto" w:fill="FFFFFF"/>
            <w:vAlign w:val="center"/>
          </w:tcPr>
          <w:p w14:paraId="24950685" w14:textId="77777777" w:rsidR="00342E07" w:rsidRDefault="005356A1">
            <w:pPr>
              <w:spacing w:after="0" w:line="240" w:lineRule="auto"/>
              <w:jc w:val="center"/>
            </w:pPr>
            <w:r>
              <w:rPr>
                <w:rFonts w:eastAsia="Times New Roman" w:cs="Times New Roman"/>
                <w:b/>
                <w:color w:val="FF0000"/>
                <w:sz w:val="12"/>
                <w:szCs w:val="12"/>
              </w:rPr>
              <w:t>-0.051</w:t>
            </w:r>
            <w:r>
              <w:rPr>
                <w:rFonts w:eastAsia="Times New Roman" w:cs="Times New Roman"/>
                <w:color w:val="FF0000"/>
                <w:sz w:val="12"/>
                <w:szCs w:val="12"/>
              </w:rPr>
              <w:t xml:space="preserve">                            [-0.080, -0.022]</w:t>
            </w:r>
          </w:p>
        </w:tc>
        <w:tc>
          <w:tcPr>
            <w:tcW w:w="1073" w:type="dxa"/>
            <w:tcBorders>
              <w:top w:val="single" w:sz="4" w:space="0" w:color="00000A"/>
              <w:bottom w:val="single" w:sz="4" w:space="0" w:color="00000A"/>
            </w:tcBorders>
            <w:shd w:val="clear" w:color="auto" w:fill="FFFFFF"/>
            <w:vAlign w:val="center"/>
          </w:tcPr>
          <w:p w14:paraId="0427DFD5" w14:textId="77777777" w:rsidR="00342E07" w:rsidRDefault="005356A1">
            <w:pPr>
              <w:spacing w:after="0" w:line="240" w:lineRule="auto"/>
              <w:jc w:val="center"/>
            </w:pPr>
            <w:r>
              <w:rPr>
                <w:rFonts w:eastAsia="Times New Roman" w:cs="Times New Roman"/>
                <w:b/>
                <w:color w:val="FF0000"/>
                <w:sz w:val="12"/>
                <w:szCs w:val="12"/>
              </w:rPr>
              <w:t>-0.062</w:t>
            </w:r>
            <w:r>
              <w:rPr>
                <w:rFonts w:eastAsia="Times New Roman" w:cs="Times New Roman"/>
                <w:color w:val="FF0000"/>
                <w:sz w:val="12"/>
                <w:szCs w:val="12"/>
              </w:rPr>
              <w:t xml:space="preserve">                            [-0.093, -0.032]</w:t>
            </w:r>
          </w:p>
        </w:tc>
        <w:tc>
          <w:tcPr>
            <w:tcW w:w="1070" w:type="dxa"/>
            <w:tcBorders>
              <w:top w:val="single" w:sz="4" w:space="0" w:color="00000A"/>
              <w:bottom w:val="single" w:sz="4" w:space="0" w:color="00000A"/>
            </w:tcBorders>
            <w:shd w:val="clear" w:color="auto" w:fill="FFFFFF"/>
            <w:vAlign w:val="center"/>
          </w:tcPr>
          <w:p w14:paraId="08C294BF" w14:textId="77777777" w:rsidR="00342E07" w:rsidRDefault="005356A1">
            <w:pPr>
              <w:spacing w:after="0" w:line="240" w:lineRule="auto"/>
              <w:jc w:val="center"/>
              <w:rPr>
                <w:rFonts w:eastAsia="Times New Roman" w:cs="Times New Roman"/>
                <w:color w:val="FF0000"/>
                <w:sz w:val="12"/>
                <w:szCs w:val="12"/>
              </w:rPr>
            </w:pPr>
            <w:r>
              <w:rPr>
                <w:rFonts w:eastAsia="Times New Roman" w:cs="Times New Roman"/>
                <w:color w:val="FF0000"/>
                <w:sz w:val="12"/>
                <w:szCs w:val="12"/>
              </w:rPr>
              <w:t> </w:t>
            </w:r>
          </w:p>
        </w:tc>
        <w:tc>
          <w:tcPr>
            <w:tcW w:w="1072" w:type="dxa"/>
            <w:tcBorders>
              <w:top w:val="single" w:sz="4" w:space="0" w:color="00000A"/>
              <w:bottom w:val="single" w:sz="4" w:space="0" w:color="00000A"/>
            </w:tcBorders>
            <w:shd w:val="clear" w:color="auto" w:fill="FFFFFF"/>
            <w:vAlign w:val="center"/>
          </w:tcPr>
          <w:p w14:paraId="2BD116DD" w14:textId="77777777" w:rsidR="00342E07" w:rsidRDefault="005356A1">
            <w:pPr>
              <w:spacing w:after="0" w:line="240" w:lineRule="auto"/>
              <w:jc w:val="center"/>
              <w:rPr>
                <w:rFonts w:eastAsia="Times New Roman" w:cs="Times New Roman"/>
                <w:color w:val="FF0000"/>
                <w:sz w:val="12"/>
                <w:szCs w:val="12"/>
              </w:rPr>
            </w:pPr>
            <w:r>
              <w:rPr>
                <w:rFonts w:eastAsia="Times New Roman" w:cs="Times New Roman"/>
                <w:color w:val="FF0000"/>
                <w:sz w:val="12"/>
                <w:szCs w:val="12"/>
              </w:rPr>
              <w:t> </w:t>
            </w:r>
          </w:p>
        </w:tc>
        <w:tc>
          <w:tcPr>
            <w:tcW w:w="1072" w:type="dxa"/>
            <w:tcBorders>
              <w:top w:val="single" w:sz="4" w:space="0" w:color="00000A"/>
              <w:bottom w:val="single" w:sz="4" w:space="0" w:color="00000A"/>
            </w:tcBorders>
            <w:shd w:val="clear" w:color="auto" w:fill="FFFFFF"/>
            <w:vAlign w:val="center"/>
          </w:tcPr>
          <w:p w14:paraId="0F66EDF6" w14:textId="77777777" w:rsidR="00342E07" w:rsidRDefault="005356A1">
            <w:pPr>
              <w:spacing w:after="0" w:line="240" w:lineRule="auto"/>
              <w:jc w:val="center"/>
              <w:rPr>
                <w:rFonts w:eastAsia="Times New Roman" w:cs="Times New Roman"/>
                <w:color w:val="FF0000"/>
                <w:sz w:val="12"/>
                <w:szCs w:val="12"/>
              </w:rPr>
            </w:pPr>
            <w:r>
              <w:rPr>
                <w:rFonts w:eastAsia="Times New Roman" w:cs="Times New Roman"/>
                <w:color w:val="FF0000"/>
                <w:sz w:val="12"/>
                <w:szCs w:val="12"/>
              </w:rPr>
              <w:t> </w:t>
            </w:r>
          </w:p>
        </w:tc>
        <w:tc>
          <w:tcPr>
            <w:tcW w:w="1073" w:type="dxa"/>
            <w:tcBorders>
              <w:top w:val="single" w:sz="4" w:space="0" w:color="00000A"/>
              <w:bottom w:val="single" w:sz="4" w:space="0" w:color="00000A"/>
            </w:tcBorders>
            <w:shd w:val="clear" w:color="auto" w:fill="FFFFFF"/>
            <w:vAlign w:val="center"/>
          </w:tcPr>
          <w:p w14:paraId="7AC3A964" w14:textId="77777777" w:rsidR="00342E07" w:rsidRDefault="005356A1">
            <w:pPr>
              <w:spacing w:after="0" w:line="240" w:lineRule="auto"/>
              <w:jc w:val="center"/>
            </w:pPr>
            <w:r>
              <w:rPr>
                <w:rFonts w:eastAsia="Times New Roman" w:cs="Times New Roman"/>
                <w:b/>
                <w:color w:val="FF0000"/>
                <w:sz w:val="12"/>
                <w:szCs w:val="12"/>
              </w:rPr>
              <w:t>-0.041</w:t>
            </w:r>
            <w:r>
              <w:rPr>
                <w:rFonts w:eastAsia="Times New Roman" w:cs="Times New Roman"/>
                <w:color w:val="FF0000"/>
                <w:sz w:val="12"/>
                <w:szCs w:val="12"/>
              </w:rPr>
              <w:t xml:space="preserve">                           [-0.076, -0.005]</w:t>
            </w:r>
          </w:p>
        </w:tc>
        <w:tc>
          <w:tcPr>
            <w:tcW w:w="1060" w:type="dxa"/>
            <w:tcBorders>
              <w:top w:val="single" w:sz="4" w:space="0" w:color="00000A"/>
              <w:bottom w:val="single" w:sz="4" w:space="0" w:color="00000A"/>
            </w:tcBorders>
            <w:shd w:val="clear" w:color="auto" w:fill="FFFFFF"/>
            <w:vAlign w:val="center"/>
          </w:tcPr>
          <w:p w14:paraId="3F4655EB" w14:textId="77777777" w:rsidR="00342E07" w:rsidRDefault="005356A1">
            <w:pPr>
              <w:spacing w:after="0" w:line="240" w:lineRule="auto"/>
              <w:jc w:val="center"/>
              <w:rPr>
                <w:rFonts w:eastAsia="Times New Roman" w:cs="Times New Roman"/>
                <w:sz w:val="12"/>
                <w:szCs w:val="12"/>
              </w:rPr>
            </w:pPr>
            <w:r>
              <w:rPr>
                <w:rFonts w:eastAsia="Times New Roman" w:cs="Times New Roman"/>
                <w:sz w:val="12"/>
                <w:szCs w:val="12"/>
              </w:rPr>
              <w:t>-</w:t>
            </w:r>
          </w:p>
        </w:tc>
      </w:tr>
      <w:tr w:rsidR="00342E07" w14:paraId="4BA54089" w14:textId="77777777">
        <w:trPr>
          <w:trHeight w:val="288"/>
        </w:trPr>
        <w:tc>
          <w:tcPr>
            <w:tcW w:w="11862" w:type="dxa"/>
            <w:gridSpan w:val="11"/>
            <w:tcBorders>
              <w:top w:val="single" w:sz="4" w:space="0" w:color="00000A"/>
            </w:tcBorders>
            <w:shd w:val="clear" w:color="auto" w:fill="FFFFFF"/>
            <w:vAlign w:val="center"/>
          </w:tcPr>
          <w:p w14:paraId="21EE6B9B" w14:textId="77777777" w:rsidR="00342E07" w:rsidRDefault="005356A1">
            <w:pPr>
              <w:spacing w:after="0" w:line="240" w:lineRule="auto"/>
              <w:jc w:val="both"/>
            </w:pPr>
            <w:r>
              <w:rPr>
                <w:rFonts w:eastAsia="Times New Roman" w:cs="Times New Roman"/>
              </w:rPr>
              <w:t xml:space="preserve">In the lower-left part of the matrix, the indirect comparisons are indicated; instead, in the upper-right part of the matrix the direct comparisons are indicated. Highlighted in red are the indirect comparisons and the direct comparisons, in the cases where the indirect comparison related to the same pair of scores is available as well. We note that in four cases (SAFE vs </w:t>
            </w:r>
            <w:proofErr w:type="spellStart"/>
            <w:r>
              <w:rPr>
                <w:rFonts w:eastAsia="Times New Roman" w:cs="Times New Roman"/>
              </w:rPr>
              <w:t>eBODE</w:t>
            </w:r>
            <w:proofErr w:type="spellEnd"/>
            <w:r>
              <w:rPr>
                <w:rFonts w:eastAsia="Times New Roman" w:cs="Times New Roman"/>
              </w:rPr>
              <w:t xml:space="preserve">, </w:t>
            </w:r>
            <w:proofErr w:type="spellStart"/>
            <w:r>
              <w:rPr>
                <w:rFonts w:eastAsia="Times New Roman" w:cs="Times New Roman"/>
              </w:rPr>
              <w:t>BODEx</w:t>
            </w:r>
            <w:proofErr w:type="spellEnd"/>
            <w:r>
              <w:rPr>
                <w:rFonts w:eastAsia="Times New Roman" w:cs="Times New Roman"/>
              </w:rPr>
              <w:t>, DOSE, BAED) the direct evidence is not available (cells colored in red), while the indirect evidence is available.</w:t>
            </w:r>
          </w:p>
          <w:p w14:paraId="52A2D3D4" w14:textId="77777777" w:rsidR="00342E07" w:rsidRDefault="00342E07">
            <w:pPr>
              <w:spacing w:after="0" w:line="240" w:lineRule="auto"/>
              <w:rPr>
                <w:rFonts w:eastAsia="Times New Roman" w:cs="Times New Roman"/>
              </w:rPr>
            </w:pPr>
          </w:p>
        </w:tc>
      </w:tr>
    </w:tbl>
    <w:p w14:paraId="1DA99D6A" w14:textId="77777777" w:rsidR="00342E07" w:rsidRDefault="00342E07"/>
    <w:p w14:paraId="0F08B697" w14:textId="77777777" w:rsidR="00342E07" w:rsidRDefault="00342E07"/>
    <w:p w14:paraId="5C51727B" w14:textId="77777777" w:rsidR="00342E07" w:rsidRDefault="00342E07"/>
    <w:p w14:paraId="3BA1B84B" w14:textId="77777777" w:rsidR="00342E07" w:rsidRDefault="00342E07"/>
    <w:p w14:paraId="4627E665" w14:textId="77777777" w:rsidR="00342E07" w:rsidRDefault="00342E07"/>
    <w:p w14:paraId="03BE7FAB" w14:textId="77777777" w:rsidR="00342E07" w:rsidRDefault="00342E07"/>
    <w:p w14:paraId="3E3487D5" w14:textId="77777777" w:rsidR="00342E07" w:rsidRDefault="00342E07"/>
    <w:p w14:paraId="004BBF83" w14:textId="77777777" w:rsidR="00342E07" w:rsidRDefault="00342E07"/>
    <w:p w14:paraId="74FEC2DA" w14:textId="77777777" w:rsidR="00342E07" w:rsidRDefault="00342E07"/>
    <w:p w14:paraId="6C862339" w14:textId="77777777" w:rsidR="00342E07" w:rsidRDefault="00342E07"/>
    <w:p w14:paraId="71023DDC" w14:textId="77777777" w:rsidR="00342E07" w:rsidRDefault="00342E07"/>
    <w:p w14:paraId="7E0C205F" w14:textId="77777777" w:rsidR="00342E07" w:rsidRDefault="005356A1">
      <w:pPr>
        <w:pStyle w:val="Heading1"/>
      </w:pPr>
      <w:bookmarkStart w:id="181" w:name="_Toc488490641"/>
      <w:bookmarkStart w:id="182" w:name="_Toc373597620"/>
      <w:bookmarkEnd w:id="181"/>
      <w:r>
        <w:t>MULTIPLE IMPUTATION</w:t>
      </w:r>
      <w:bookmarkEnd w:id="182"/>
    </w:p>
    <w:p w14:paraId="3242DBAB" w14:textId="77777777" w:rsidR="00342E07" w:rsidRDefault="00342E07">
      <w:pPr>
        <w:jc w:val="both"/>
      </w:pPr>
    </w:p>
    <w:p w14:paraId="49F1EC0A" w14:textId="77777777" w:rsidR="00342E07" w:rsidRDefault="005356A1">
      <w:pPr>
        <w:jc w:val="both"/>
      </w:pPr>
      <w:r>
        <w:t>We handle in the analysis for the main paper the missing data as follows: if a variable was missing for &gt;30% of observations we discarded the specific variable for that particular specific cohort, since, in this case, we deemed the percentage of missing data too high not to be biased.</w:t>
      </w:r>
    </w:p>
    <w:p w14:paraId="60F908F5" w14:textId="77777777" w:rsidR="00342E07" w:rsidRDefault="005356A1">
      <w:pPr>
        <w:jc w:val="both"/>
      </w:pPr>
      <w:r>
        <w:t xml:space="preserve">An alternative could be to still delete a variable in each cohort where it is missing &gt;30% of observations and, in addition, to impute the missing data (related to that variable) by multiple imputation with chained equations (the analysis of the patterns of </w:t>
      </w:r>
      <w:proofErr w:type="spellStart"/>
      <w:r>
        <w:t>missingness</w:t>
      </w:r>
      <w:proofErr w:type="spellEnd"/>
      <w:r>
        <w:t xml:space="preserve"> allow us to consider the missing data missing completely at random apart from the dependence on the cohort).</w:t>
      </w:r>
      <w:r>
        <w:fldChar w:fldCharType="begin" w:fldLock="1"/>
      </w:r>
      <w:r>
        <w:instrText>ADDIN CSL_CITATION { "citationItems" : [ { "id" : "ITEM-1", "itemData" : { "ISBN" : "978-1-4419-2648-7", "author" : [ { "dropping-particle" : "", "family" : "Steyerberg", "given" : "Ewout W.", "non-dropping-particle" : "", "parse-names" : false, "suffix" : "" } ], "editor" : [ { "dropping-particle" : "", "family" : "Gail", "given" : "M.", "non-dropping-particle" : "", "parse-names" : false, "suffix" : "" }, { "dropping-particle" : "", "family" : "Krickeberg", "given" : "K.", "non-dropping-particle" : "", "parse-names" : false, "suffix" : "" }, { "dropping-particle" : "", "family" : "Sarnet", "given" : "J.", "non-dropping-particle" : "", "parse-names" : false, "suffix" : "" }, { "dropping-particle" : "", "family" : "Tsiatis", "given" : "A", "non-dropping-particle" : "", "parse-names" : false, "suffix" : "" }, { "dropping-particle" : "", "family" : "Wong", "given" : "W.", "non-dropping-particle" : "", "parse-names" : false, "suffix" : "" } ], "id" : "ITEM-1", "issued" : { "date-parts" : [ [ "2010" ] ] }, "number-of-pages" : "497", "publisher" : "Springer - Statistics for Biology and Health - ISBN: 978-1-4419-2648-7", "title" : "Clinical Prediction Models", "type" : "book" }, "uris" : [ "http://www.mendeley.com/documents/?uuid=bdc329d4-b2f8-4a43-b01c-564ecf6c2f19" ] }, { "id" : "ITEM-2", "itemData" : { "DOI" : "10.1002/9780470316696", "ISBN" : "9780471087052; 9780470316696", "ISSN" : "0162-1459", "PMID" : "13660112", "author" : [ { "dropping-particle" : "", "family" : "Rubin", "given" : "D. B.", "non-dropping-particle" : "", "parse-names" : false, "suffix" : "" } ], "container-title" : "Harvard University", "id" : "ITEM-2", "issue" : "JOHN WILEY &amp; SONS", "issued" : { "date-parts" : [ [ "1987" ] ] }, "publisher" : "Wiley Serie in Probability and Mathematical Statistics", "title" : "Multiple Imputation for Nonresponse in Surveys", "type" : "book" }, "uris" : [ "http://www.mendeley.com/documents/?uuid=2fe47d1c-9363-4f98-abff-cf414f5362bc" ] }, { "id" : "ITEM-3", "itemData" : { "author" : [ { "dropping-particle" : "", "family" : "Harrell", "given" : "Frank E", "non-dropping-particle" : "", "parse-names" : false, "suffix" : "" } ], "id" : "ITEM-3", "issued" : { "date-parts" : [ [ "2015" ] ] }, "publisher" : "Springer", "title" : "Regression Modeling Strategies", "type" : "book" }, "uris" : [ "http://www.mendeley.com/documents/?uuid=cc8d4b24-e521-45af-acc8-fb799d89c71d" ] } ], "mendeley" : { "formattedCitation" : "[7, 58, 59]", "plainTextFormattedCitation" : "[7, 58, 59]", "previouslyFormattedCitation" : "[7, 55, 56]" }, "properties" : { "noteIndex" : 0 }, "schema" : "https://github.com/citation-style-language/schema/raw/master/csl-citation.json" }</w:instrText>
      </w:r>
      <w:r>
        <w:fldChar w:fldCharType="separate"/>
      </w:r>
      <w:bookmarkStart w:id="183" w:name="__Fieldmark__2320_1374788089"/>
      <w:bookmarkStart w:id="184" w:name="__Fieldmark__3571_1114282649"/>
      <w:bookmarkStart w:id="185" w:name="__Fieldmark__1744_931786406"/>
      <w:proofErr w:type="gramStart"/>
      <w:r w:rsidRPr="005356A1">
        <w:rPr>
          <w:noProof/>
        </w:rPr>
        <w:t>[7, 58, 59]</w:t>
      </w:r>
      <w:r>
        <w:fldChar w:fldCharType="end"/>
      </w:r>
      <w:bookmarkEnd w:id="183"/>
      <w:bookmarkEnd w:id="184"/>
      <w:bookmarkEnd w:id="185"/>
      <w:r>
        <w:t>).</w:t>
      </w:r>
      <w:proofErr w:type="gramEnd"/>
      <w:r>
        <w:t xml:space="preserve"> We imputed the missing data (related to that variable) by multiple imputation with chained equations</w:t>
      </w:r>
      <w:r>
        <w:fldChar w:fldCharType="begin" w:fldLock="1"/>
      </w:r>
      <w:r>
        <w:instrText>ADDIN CSL_CITATION { "citationItems" : [ { "id" : "ITEM-1", "itemData" : { "ISBN" : "978-1-4419-2648-7", "author" : [ { "dropping-particle" : "", "family" : "Steyerberg", "given" : "Ewout W.", "non-dropping-particle" : "", "parse-names" : false, "suffix" : "" } ], "editor" : [ { "dropping-particle" : "", "family" : "Gail", "given" : "M.", "non-dropping-particle" : "", "parse-names" : false, "suffix" : "" }, { "dropping-particle" : "", "family" : "Krickeberg", "given" : "K.", "non-dropping-particle" : "", "parse-names" : false, "suffix" : "" }, { "dropping-particle" : "", "family" : "Sarnet", "given" : "J.", "non-dropping-particle" : "", "parse-names" : false, "suffix" : "" }, { "dropping-particle" : "", "family" : "Tsiatis", "given" : "A", "non-dropping-particle" : "", "parse-names" : false, "suffix" : "" }, { "dropping-particle" : "", "family" : "Wong", "given" : "W.", "non-dropping-particle" : "", "parse-names" : false, "suffix" : "" } ], "id" : "ITEM-1", "issued" : { "date-parts" : [ [ "2010" ] ] }, "number-of-pages" : "497", "publisher" : "Springer - Statistics for Biology and Health - ISBN: 978-1-4419-2648-7", "title" : "Clinical Prediction Models", "type" : "book" }, "uris" : [ "http://www.mendeley.com/documents/?uuid=bdc329d4-b2f8-4a43-b01c-564ecf6c2f19" ] }, { "id" : "ITEM-2", "itemData" : { "DOI" : "10.1002/9780470316696", "ISBN" : "9780471087052; 9780470316696", "ISSN" : "0162-1459", "PMID" : "13660112", "author" : [ { "dropping-particle" : "", "family" : "Rubin", "given" : "D. B.", "non-dropping-particle" : "", "parse-names" : false, "suffix" : "" } ], "container-title" : "Harvard University", "id" : "ITEM-2", "issue" : "JOHN WILEY &amp; SONS", "issued" : { "date-parts" : [ [ "1987" ] ] }, "publisher" : "Wiley Serie in Probability and Mathematical Statistics", "title" : "Multiple Imputation for Nonresponse in Surveys", "type" : "book" }, "uris" : [ "http://www.mendeley.com/documents/?uuid=2fe47d1c-9363-4f98-abff-cf414f5362bc" ] }, { "id" : "ITEM-3", "itemData" : { "DOI" : "10.1177/0962280206074463", "ISBN" : "9067436771", "ISSN" : "15487660", "PMID" : "22289957", "abstract" : "The R package mice imputes incomplete multivariate data by chained equations. The software mice 1.0 appeared in the year 2000 as an S-PLUS library, and in 2001 as an R package. mice 1.0 introduced predictor selection, passive imputation and automatic pooling. This article documents mice 2.9, which extends the functionality of mice 1.0 in several ways. In mice 2.9, the analysis of imputed data is made completely general, whereas the range ofmodels under which pooling works is substantially extended. mice 2.9 adds new functionality for imputing multilevel data, automatic predictor selection, data handling, post-processing imputed values, specialized pooling routines, model selection tools, and diagnostic graphs. Imputation of categorical data is improved in order to bypass problems caused by perfect prediction. Special attention is paid to transformations, sum scores, indices and interactions using passive imputation, and to the proper setup of the predictor matrix. mice 2.9 can be downloaded from the Comprehensive R Archive Network. This article provides a hands-on, stepwise approach to solve applied incomplete data problems.", "author" : [ { "dropping-particle" : "", "family" : "Buuren", "given" : "Stef", "non-dropping-particle" : "Van", "parse-names" : false, "suffix" : "" }, { "dropping-particle" : "", "family" : "Groothuis-Oudshoorn", "given" : "Karin", "non-dropping-particle" : "", "parse-names" : false, "suffix" : "" } ], "container-title" : "Journal Of Statistical Software", "id" : "ITEM-3", "issue" : "3", "issued" : { "date-parts" : [ [ "2011" ] ] }, "page" : "1-67", "title" : "Multivariate Imputation by Chained Equations", "type" : "article-journal", "volume" : "45" }, "uris" : [ "http://www.mendeley.com/documents/?uuid=a9963ff4-99e3-4d13-b408-176551c205c4" ] }, { "id" : "ITEM-4", "itemData" : { "author" : [ { "dropping-particle" : "", "family" : "Harrell", "given" : "Frank E", "non-dropping-particle" : "", "parse-names" : false, "suffix" : "" } ], "id" : "ITEM-4", "issued" : { "date-parts" : [ [ "2015" ] ] }, "publisher" : "Springer", "title" : "Regression Modeling Strategies", "type" : "book" }, "uris" : [ "http://www.mendeley.com/documents/?uuid=cc8d4b24-e521-45af-acc8-fb799d89c71d" ] }, { "id" : "ITEM-5", "itemData" : { "DOI" : "10.1002/sim.6451", "ISSN" : "10970258", "PMID" : "25663182", "abstract" : "Individual participant data meta-analyses (IPD-MA) are increasingly used for developing and validating multivariable (diagnostic or prognostic) risk prediction models. Unfortunately, some predictors or even outcomes may not have been measured in each study and are thus systematically missing in some individual studies of the IPD-MA. As a consequence, it is no longer possible to evaluate between-study heterogeneity and to estimate study-specific predictor effects, or to include all individual studies, which severely hampers the development and validation of prediction models. Here, we describe a novel approach for imputing systematically missing data and adopt a generalized linear mixed model to allow for between-study heterogeneity. This approach can be viewed as an extension of Resche-Rigon's method (Stat Med 2013), relaxing their assumptions regarding variance components and allowing imputation of linear and nonlinear predictors. We illustrate our approach using a case study with IPD-MA of 13 studies to develop and validate a diagnostic prediction model for the presence of deep venous thrombosis. We compare the results after applying four methods for dealing with systematically missing predictors in one or more individual studies: complete case analysis where studies with systematically missing predictors are removed, traditional multiple imputation ignoring heterogeneity across studies, stratified multiple imputation accounting for heterogeneity in predictor prevalence, and multilevel multiple imputation (MLMI) fully accounting for between-study heterogeneity. We conclude that MLMI may substantially improve the estimation of between-study heterogeneity parameters and allow for imputation of systematically missing predictors in IPD-MA aimed at the development and validation of prediction models.", "author" : [ { "dropping-particle" : "", "family" : "Jolani", "given" : "Shahab", "non-dropping-particle" : "", "parse-names" : false, "suffix" : "" }, { "dropping-particle" : "", "family" : "Debray", "given" : "Thomas P A", "non-dropping-particle" : "", "parse-names" : false, "suffix" : "" }, { "dropping-particle" : "", "family" : "Koffijberg", "given" : "Hendrik", "non-dropping-particle" : "", "parse-names" : false, "suffix" : "" }, { "dropping-particle" : "", "family" : "Buuren", "given" : "Stef", "non-dropping-particle" : "van", "parse-names" : false, "suffix" : "" }, { "dropping-particle" : "", "family" : "Moons", "given" : "Karel G.M.", "non-dropping-particle" : "", "parse-names" : false, "suffix" : "" } ], "container-title" : "Statistics in Medicine", "id" : "ITEM-5", "issue" : "11", "issued" : { "date-parts" : [ [ "2015" ] ] }, "page" : "1841-1863", "title" : "Imputation of systematically missing predictors in an individual participant data meta-analysis: A generalized approach using MICE", "type" : "article-journal", "volume" : "34" }, "uris" : [ "http://www.mendeley.com/documents/?uuid=700e057c-319d-4a9e-804d-e5ca32962cf6" ] } ], "mendeley" : { "formattedCitation" : "[7, 58\u201361]", "plainTextFormattedCitation" : "[7, 58\u201361]", "previouslyFormattedCitation" : "[7, 55\u201358]" }, "properties" : { "noteIndex" : 0 }, "schema" : "https://github.com/citation-style-language/schema/raw/master/csl-citation.json" }</w:instrText>
      </w:r>
      <w:r>
        <w:fldChar w:fldCharType="separate"/>
      </w:r>
      <w:bookmarkStart w:id="186" w:name="__Fieldmark__2330_1374788089"/>
      <w:bookmarkStart w:id="187" w:name="__Fieldmark__3574_1114282649"/>
      <w:bookmarkStart w:id="188" w:name="__Fieldmark__1751_931786406"/>
      <w:r w:rsidRPr="005356A1">
        <w:rPr>
          <w:noProof/>
        </w:rPr>
        <w:t>[7, 58–61]</w:t>
      </w:r>
      <w:r>
        <w:fldChar w:fldCharType="end"/>
      </w:r>
      <w:bookmarkEnd w:id="186"/>
      <w:bookmarkEnd w:id="187"/>
      <w:bookmarkEnd w:id="188"/>
      <w:r>
        <w:t xml:space="preserve">. </w:t>
      </w:r>
    </w:p>
    <w:p w14:paraId="4CD98A3A" w14:textId="77777777" w:rsidR="00342E07" w:rsidRDefault="005356A1">
      <w:pPr>
        <w:jc w:val="both"/>
      </w:pPr>
      <w:r>
        <w:t xml:space="preserve">It could be argued that the choice of 30% as threshold to decide if to discard the variable in a particular cohort or to impute </w:t>
      </w:r>
      <w:proofErr w:type="gramStart"/>
      <w:r>
        <w:t>it,</w:t>
      </w:r>
      <w:proofErr w:type="gramEnd"/>
      <w:r>
        <w:t xml:space="preserve"> is partly arbitrary. In part for sure it is, but it is based on same general consideration concerning missing data and on our particular analysis.</w:t>
      </w:r>
      <w:r>
        <w:fldChar w:fldCharType="begin" w:fldLock="1"/>
      </w:r>
      <w:r>
        <w:instrText>ADDIN CSL_CITATION { "citationItems" : [ { "id" : "ITEM-1", "itemData" : { "ISBN" : "978-1-4419-2648-7", "author" : [ { "dropping-particle" : "", "family" : "Steyerberg", "given" : "Ewout W.", "non-dropping-particle" : "", "parse-names" : false, "suffix" : "" } ], "editor" : [ { "dropping-particle" : "", "family" : "Gail", "given" : "M.", "non-dropping-particle" : "", "parse-names" : false, "suffix" : "" }, { "dropping-particle" : "", "family" : "Krickeberg", "given" : "K.", "non-dropping-particle" : "", "parse-names" : false, "suffix" : "" }, { "dropping-particle" : "", "family" : "Sarnet", "given" : "J.", "non-dropping-particle" : "", "parse-names" : false, "suffix" : "" }, { "dropping-particle" : "", "family" : "Tsiatis", "given" : "A", "non-dropping-particle" : "", "parse-names" : false, "suffix" : "" }, { "dropping-particle" : "", "family" : "Wong", "given" : "W.", "non-dropping-particle" : "", "parse-names" : false, "suffix" : "" } ], "id" : "ITEM-1", "issued" : { "date-parts" : [ [ "2010" ] ] }, "number-of-pages" : "497", "publisher" : "Springer - Statistics for Biology and Health - ISBN: 978-1-4419-2648-7", "title" : "Clinical Prediction Models", "type" : "book" }, "uris" : [ "http://www.mendeley.com/documents/?uuid=bdc329d4-b2f8-4a43-b01c-564ecf6c2f19" ] } ], "mendeley" : { "formattedCitation" : "[7]", "plainTextFormattedCitation" : "[7]", "previouslyFormattedCitation" : "[7]" }, "properties" : { "noteIndex" : 0 }, "schema" : "https://github.com/citation-style-language/schema/raw/master/csl-citation.json" }</w:instrText>
      </w:r>
      <w:r>
        <w:fldChar w:fldCharType="separate"/>
      </w:r>
      <w:bookmarkStart w:id="189" w:name="__Fieldmark__2343_1374788089"/>
      <w:r>
        <w:rPr>
          <w:noProof/>
        </w:rPr>
        <w:t>[</w:t>
      </w:r>
      <w:bookmarkStart w:id="190" w:name="__Fieldmark__3579_1114282649"/>
      <w:bookmarkStart w:id="191" w:name="__Fieldmark__1760_931786406"/>
      <w:r>
        <w:rPr>
          <w:noProof/>
        </w:rPr>
        <w:t>7]</w:t>
      </w:r>
      <w:r>
        <w:fldChar w:fldCharType="end"/>
      </w:r>
      <w:bookmarkEnd w:id="189"/>
      <w:bookmarkEnd w:id="190"/>
      <w:bookmarkEnd w:id="191"/>
      <w:r>
        <w:t xml:space="preserve"> </w:t>
      </w:r>
    </w:p>
    <w:p w14:paraId="5098AA23" w14:textId="77777777" w:rsidR="00342E07" w:rsidRDefault="005356A1">
      <w:pPr>
        <w:jc w:val="both"/>
      </w:pPr>
      <w:r>
        <w:t xml:space="preserve">The pooled results for 10 imputed </w:t>
      </w:r>
      <w:proofErr w:type="gramStart"/>
      <w:r>
        <w:t>database</w:t>
      </w:r>
      <w:proofErr w:type="gramEnd"/>
      <w:r>
        <w:t xml:space="preserve"> follow.</w:t>
      </w:r>
    </w:p>
    <w:p w14:paraId="0BC3DD1B" w14:textId="77777777" w:rsidR="00342E07" w:rsidRDefault="00342E07">
      <w:pPr>
        <w:jc w:val="both"/>
      </w:pPr>
    </w:p>
    <w:p w14:paraId="740606DC" w14:textId="77777777" w:rsidR="00342E07" w:rsidRDefault="00342E07"/>
    <w:p w14:paraId="26420CA7" w14:textId="77777777" w:rsidR="00342E07" w:rsidRDefault="00342E07"/>
    <w:p w14:paraId="4EEC1758" w14:textId="77777777" w:rsidR="00342E07" w:rsidRDefault="00342E07"/>
    <w:p w14:paraId="5248590B" w14:textId="77777777" w:rsidR="00342E07" w:rsidRDefault="00342E07"/>
    <w:p w14:paraId="3C8CDF2D" w14:textId="77777777" w:rsidR="00342E07" w:rsidRDefault="00342E07"/>
    <w:p w14:paraId="035A9592" w14:textId="77777777" w:rsidR="00342E07" w:rsidRDefault="00342E07"/>
    <w:p w14:paraId="4528BBCF" w14:textId="77777777" w:rsidR="00342E07" w:rsidRDefault="00342E07"/>
    <w:p w14:paraId="46B9CFC3" w14:textId="77777777" w:rsidR="00342E07" w:rsidRDefault="00342E07"/>
    <w:p w14:paraId="61644454" w14:textId="77777777" w:rsidR="00342E07" w:rsidRDefault="00342E07"/>
    <w:p w14:paraId="5E9E3836" w14:textId="77777777" w:rsidR="00342E07" w:rsidRDefault="00342E07"/>
    <w:p w14:paraId="76DF4675" w14:textId="77777777" w:rsidR="00342E07" w:rsidRDefault="00342E07"/>
    <w:p w14:paraId="6E9EE459" w14:textId="77777777" w:rsidR="00342E07" w:rsidRDefault="00342E07"/>
    <w:p w14:paraId="60AB0F42" w14:textId="77777777" w:rsidR="00342E07" w:rsidRDefault="00342E07"/>
    <w:p w14:paraId="1D754A98" w14:textId="77777777" w:rsidR="00342E07" w:rsidRDefault="005356A1">
      <w:pPr>
        <w:jc w:val="center"/>
        <w:rPr>
          <w:b/>
          <w:sz w:val="60"/>
          <w:szCs w:val="60"/>
        </w:rPr>
      </w:pPr>
      <w:r>
        <w:rPr>
          <w:b/>
          <w:sz w:val="60"/>
          <w:szCs w:val="60"/>
        </w:rPr>
        <w:t># Imputations = 0</w:t>
      </w:r>
    </w:p>
    <w:p w14:paraId="37BB671C" w14:textId="77777777" w:rsidR="00342E07" w:rsidRDefault="005356A1">
      <w:r>
        <w:rPr>
          <w:noProof/>
        </w:rPr>
        <w:drawing>
          <wp:inline distT="0" distB="0" distL="0" distR="0" wp14:anchorId="30A6FEAF" wp14:editId="11855A51">
            <wp:extent cx="4419600" cy="3190875"/>
            <wp:effectExtent l="0" t="0" r="0" b="0"/>
            <wp:docPr id="24"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Grafik 2"/>
                    <pic:cNvPicPr>
                      <a:picLocks noChangeAspect="1" noChangeArrowheads="1"/>
                    </pic:cNvPicPr>
                  </pic:nvPicPr>
                  <pic:blipFill>
                    <a:blip r:embed="rId10"/>
                    <a:stretch>
                      <a:fillRect/>
                    </a:stretch>
                  </pic:blipFill>
                  <pic:spPr bwMode="auto">
                    <a:xfrm>
                      <a:off x="0" y="0"/>
                      <a:ext cx="4419600" cy="3190875"/>
                    </a:xfrm>
                    <a:prstGeom prst="rect">
                      <a:avLst/>
                    </a:prstGeom>
                  </pic:spPr>
                </pic:pic>
              </a:graphicData>
            </a:graphic>
          </wp:inline>
        </w:drawing>
      </w:r>
    </w:p>
    <w:p w14:paraId="2B6F785C" w14:textId="77777777" w:rsidR="00342E07" w:rsidRDefault="005356A1">
      <w:pPr>
        <w:jc w:val="center"/>
        <w:rPr>
          <w:b/>
          <w:sz w:val="60"/>
          <w:szCs w:val="60"/>
        </w:rPr>
      </w:pPr>
      <w:r>
        <w:rPr>
          <w:b/>
          <w:sz w:val="60"/>
          <w:szCs w:val="60"/>
        </w:rPr>
        <w:t># Imputations = 10</w:t>
      </w:r>
    </w:p>
    <w:p w14:paraId="6E693D6E" w14:textId="77777777" w:rsidR="00342E07" w:rsidRDefault="005356A1">
      <w:r>
        <w:rPr>
          <w:noProof/>
        </w:rPr>
        <w:drawing>
          <wp:inline distT="0" distB="0" distL="0" distR="0" wp14:anchorId="43E687A1" wp14:editId="7DEDF9C9">
            <wp:extent cx="4480560" cy="3234690"/>
            <wp:effectExtent l="0" t="0" r="0" b="0"/>
            <wp:docPr id="25"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Grafik 3"/>
                    <pic:cNvPicPr>
                      <a:picLocks noChangeAspect="1" noChangeArrowheads="1"/>
                    </pic:cNvPicPr>
                  </pic:nvPicPr>
                  <pic:blipFill>
                    <a:blip r:embed="rId26"/>
                    <a:stretch>
                      <a:fillRect/>
                    </a:stretch>
                  </pic:blipFill>
                  <pic:spPr bwMode="auto">
                    <a:xfrm>
                      <a:off x="0" y="0"/>
                      <a:ext cx="4480560" cy="3234690"/>
                    </a:xfrm>
                    <a:prstGeom prst="rect">
                      <a:avLst/>
                    </a:prstGeom>
                  </pic:spPr>
                </pic:pic>
              </a:graphicData>
            </a:graphic>
          </wp:inline>
        </w:drawing>
      </w:r>
    </w:p>
    <w:p w14:paraId="5666A743" w14:textId="77777777" w:rsidR="00342E07" w:rsidRDefault="005356A1">
      <w:pPr>
        <w:jc w:val="both"/>
      </w:pPr>
      <w:r>
        <w:t>We note that there are no big differences between the analysis without and with imputation (10 imputations).</w:t>
      </w:r>
      <w:r>
        <w:rPr>
          <w:lang w:val="en-GB"/>
        </w:rPr>
        <w:t xml:space="preserve"> </w:t>
      </w:r>
    </w:p>
    <w:p w14:paraId="3B2B8A62" w14:textId="77777777" w:rsidR="00342E07" w:rsidRDefault="00342E07"/>
    <w:p w14:paraId="1068B1AA" w14:textId="77777777" w:rsidR="00342E07" w:rsidRDefault="00342E07"/>
    <w:p w14:paraId="1B7474FE" w14:textId="77777777" w:rsidR="00342E07" w:rsidRDefault="00342E07"/>
    <w:p w14:paraId="5DB8EA85" w14:textId="77777777" w:rsidR="00342E07" w:rsidRDefault="00342E07"/>
    <w:p w14:paraId="1A09DDA4" w14:textId="77777777" w:rsidR="00342E07" w:rsidRDefault="00342E07">
      <w:pPr>
        <w:rPr>
          <w:rFonts w:ascii="Cambria" w:hAnsi="Cambria"/>
          <w:color w:val="365F91"/>
          <w:sz w:val="28"/>
          <w:szCs w:val="28"/>
        </w:rPr>
      </w:pPr>
    </w:p>
    <w:p w14:paraId="07889095" w14:textId="77777777" w:rsidR="00342E07" w:rsidRDefault="00342E07">
      <w:pPr>
        <w:rPr>
          <w:rFonts w:ascii="Cambria" w:hAnsi="Cambria"/>
          <w:color w:val="365F91"/>
          <w:sz w:val="28"/>
          <w:szCs w:val="28"/>
        </w:rPr>
      </w:pPr>
    </w:p>
    <w:p w14:paraId="1D1F59DB" w14:textId="77777777" w:rsidR="00342E07" w:rsidRDefault="00342E07"/>
    <w:p w14:paraId="56C6E319" w14:textId="77777777" w:rsidR="00342E07" w:rsidRDefault="00342E07"/>
    <w:p w14:paraId="27032D4B" w14:textId="77777777" w:rsidR="00342E07" w:rsidRDefault="00342E07"/>
    <w:p w14:paraId="3FED6FB6" w14:textId="77777777" w:rsidR="00342E07" w:rsidRDefault="00342E07"/>
    <w:p w14:paraId="12E36E50" w14:textId="77777777" w:rsidR="00342E07" w:rsidRDefault="00342E07"/>
    <w:p w14:paraId="3A0BBAB2" w14:textId="77777777" w:rsidR="00342E07" w:rsidRDefault="00342E07"/>
    <w:p w14:paraId="6F060B03" w14:textId="77777777" w:rsidR="00342E07" w:rsidRDefault="00342E07"/>
    <w:p w14:paraId="55E175D0" w14:textId="77777777" w:rsidR="00342E07" w:rsidRDefault="00342E07"/>
    <w:p w14:paraId="457192FD" w14:textId="77777777" w:rsidR="00342E07" w:rsidRDefault="00342E07"/>
    <w:p w14:paraId="3120D95D" w14:textId="77777777" w:rsidR="00342E07" w:rsidRDefault="00342E07"/>
    <w:p w14:paraId="543F9C60" w14:textId="77777777" w:rsidR="00342E07" w:rsidRDefault="00342E07"/>
    <w:p w14:paraId="275EF5AE" w14:textId="77777777" w:rsidR="00342E07" w:rsidRDefault="00342E07"/>
    <w:p w14:paraId="0103CFC8" w14:textId="77777777" w:rsidR="00342E07" w:rsidRDefault="00342E07"/>
    <w:p w14:paraId="0A46EEA5" w14:textId="77777777" w:rsidR="00342E07" w:rsidRDefault="00342E07"/>
    <w:p w14:paraId="5E3DF241" w14:textId="77777777" w:rsidR="00342E07" w:rsidRDefault="00342E07"/>
    <w:p w14:paraId="09838371" w14:textId="77777777" w:rsidR="00342E07" w:rsidRDefault="00342E07">
      <w:pPr>
        <w:pStyle w:val="BodyText"/>
        <w:spacing w:after="170" w:line="480" w:lineRule="auto"/>
        <w:rPr>
          <w:rFonts w:ascii="Calibri" w:hAnsi="Calibri"/>
          <w:color w:val="000000"/>
        </w:rPr>
      </w:pPr>
    </w:p>
    <w:p w14:paraId="15563D5A" w14:textId="77777777" w:rsidR="00841DFD" w:rsidRDefault="00841DFD" w:rsidP="00841DFD">
      <w:pPr>
        <w:spacing w:before="240" w:after="0"/>
        <w:ind w:left="720"/>
        <w:jc w:val="both"/>
        <w:rPr>
          <w:rFonts w:ascii="Verdana" w:hAnsi="Verdana"/>
          <w:i/>
          <w:color w:val="auto"/>
          <w:sz w:val="17"/>
          <w:szCs w:val="17"/>
        </w:rPr>
      </w:pPr>
      <w:bookmarkStart w:id="192" w:name="_Toc488490642"/>
      <w:bookmarkEnd w:id="192"/>
    </w:p>
    <w:p w14:paraId="287C5B1F" w14:textId="77777777" w:rsidR="00841DFD" w:rsidRDefault="00841DFD" w:rsidP="00E66929">
      <w:pPr>
        <w:pStyle w:val="Heading1"/>
      </w:pPr>
      <w:bookmarkStart w:id="193" w:name="_Toc373597621"/>
      <w:r>
        <w:t>SUCRA p-score</w:t>
      </w:r>
      <w:bookmarkEnd w:id="193"/>
    </w:p>
    <w:p w14:paraId="45C07B4B" w14:textId="77777777" w:rsidR="00841DFD" w:rsidRPr="00963C49" w:rsidRDefault="00841DFD" w:rsidP="00841DFD">
      <w:pPr>
        <w:spacing w:before="240" w:after="0"/>
        <w:ind w:left="720"/>
        <w:jc w:val="both"/>
        <w:rPr>
          <w:rFonts w:ascii="Verdana" w:hAnsi="Verdana"/>
          <w:i/>
          <w:color w:val="auto"/>
          <w:sz w:val="17"/>
          <w:szCs w:val="17"/>
        </w:rPr>
      </w:pPr>
      <w:r w:rsidRPr="00963C49">
        <w:rPr>
          <w:rFonts w:ascii="Verdana" w:hAnsi="Verdana"/>
          <w:i/>
          <w:color w:val="auto"/>
          <w:sz w:val="17"/>
          <w:szCs w:val="17"/>
        </w:rPr>
        <w:t>As reported in the main paper, in order to provide a ranking of the scores, we used a frequentist version of the SUCRA score (a simple numerical summary to supplement the graphical display of cumulative ranking in model performance)</w:t>
      </w:r>
      <w:r w:rsidRPr="00963C49">
        <w:rPr>
          <w:rFonts w:ascii="Verdana" w:hAnsi="Verdana"/>
          <w:i/>
          <w:color w:val="auto"/>
          <w:sz w:val="17"/>
          <w:szCs w:val="17"/>
        </w:rPr>
        <w:fldChar w:fldCharType="begin" w:fldLock="1"/>
      </w:r>
      <w:r>
        <w:rPr>
          <w:rFonts w:ascii="Verdana" w:hAnsi="Verdana"/>
          <w:i/>
          <w:sz w:val="17"/>
          <w:szCs w:val="17"/>
        </w:rPr>
        <w:instrText>ADDIN CSL_CITATION { "citationItems" : [ { "id" : "ITEM-1", "itemData" : { "DOI" : "10.1016/j.jclinepi.2010.03.016", "ISBN" : "1878-5921 (Electronic)\\r0895-4356 (Linking)", "ISSN" : "08954356", "PMID" : "20688472", "abstract" : "Objective: To present some simple graphical and quantitative ways to assist interpretation and improve presentation of results from multiple-treatment meta-analysis (MTM). Study Design and Setting: We reanalyze a published network of trials comparing various antiplatelet interventions regarding the incidence of serious vascular events using Bayesian approaches for random effects MTM, and we explore the advantages and drawbacks of various traditional and new forms of quantitative displays and graphical presentations of results. Results: We present the results under various forms, conventionally based on the mean of the distribution of the effect sizes; based on predictions; based on ranking probabilities; and finally, based on probabilities to be within an acceptable range from a reference. We show how to obtain and present results on ranking of all treatments and how to appraise the overall ranks. Conclusions: Bayesian methodology offers a multitude of ways to present results from MTM models, as it enables a natural and easy estimation of all measures based on probabilities, ranks, or predictions. ?? 2011 Elsevier Inc. All rights reserved.", "author" : [ { "dropping-particle" : "", "family" : "Salanti", "given" : "G.", "non-dropping-particle" : "", "parse-names" : false, "suffix" : "" }, { "dropping-particle" : "", "family" : "Ades", "given" : "A. E.", "non-dropping-particle" : "", "parse-names" : false, "suffix" : "" }, { "dropping-particle" : "", "family" : "Ioannidis", "given" : "John P A", "non-dropping-particle" : "", "parse-names" : false, "suffix" : "" } ], "container-title" : "Journal of Clinical Epidemiology", "id" : "ITEM-1", "issue" : "2", "issued" : { "date-parts" : [ [ "2011" ] ] }, "page" : "163-171", "publisher" : "Elsevier Inc", "title" : "Graphical methods and numerical summaries for presenting results from multiple-treatment meta-analysis: An overview and tutorial", "type" : "article-journal", "volume" : "64" }, "uris" : [ "http://www.mendeley.com/documents/?uuid=ae1b365a-cf5f-4ea5-be43-b6de64c2f661" ] }, { "id" : "ITEM-2", "itemData" : { "DOI" : "10.7326/0003-4819-159-2-201307160-00008", "ISBN" : "1539-3704", "ISSN" : "00034819", "PMID" : "23856683", "author" : [ { "dropping-particle" : "", "family" : "Cipriani", "given" : "Andrea", "non-dropping-particle" : "", "parse-names" : false, "suffix" : "" }, { "dropping-particle" : "", "family" : "Higgins", "given" : "J", "non-dropping-particle" : "", "parse-names" : false, "suffix" : "" }, { "dropping-particle" : "", "family" : "Geddes", "given" : "John R", "non-dropping-particle" : "", "parse-names" : false, "suffix" : "" }, { "dropping-particle" : "", "family" : "Salanti", "given" : "G.", "non-dropping-particle" : "", "parse-names" : false, "suffix" : "" } ], "id" : "ITEM-2", "issue" : "8", "issued" : { "date-parts" : [ [ "2013" ] ] }, "title" : "Research and Reporting Methods Annals of Internal Medicine Conceptual and Technical Challenges in Network Meta-analysis", "type" : "article-journal" }, "uris" : [ "http://www.mendeley.com/documents/?uuid=8e91b5ca-5238-4b24-a447-5db6ae7f4272" ] } ], "mendeley" : { "formattedCitation" : "&lt;sup&gt;14,15&lt;/sup&gt;", "plainTextFormattedCitation" : "14,15", "previouslyFormattedCitation" : "(Cipriani et al. 2013; Salanti, Ades, and Ioannidis 2011)" }, "properties" : { "noteIndex" : 0 }, "schema" : "https://github.com/citation-style-language/schema/raw/master/csl-citation.json" }</w:instrText>
      </w:r>
      <w:r w:rsidRPr="00963C49">
        <w:rPr>
          <w:rFonts w:ascii="Verdana" w:hAnsi="Verdana"/>
          <w:i/>
          <w:color w:val="auto"/>
          <w:sz w:val="17"/>
          <w:szCs w:val="17"/>
        </w:rPr>
        <w:fldChar w:fldCharType="separate"/>
      </w:r>
      <w:r w:rsidRPr="006E0069">
        <w:rPr>
          <w:rFonts w:ascii="Verdana" w:hAnsi="Verdana"/>
          <w:noProof/>
          <w:sz w:val="17"/>
          <w:szCs w:val="17"/>
          <w:vertAlign w:val="superscript"/>
        </w:rPr>
        <w:t>14,15</w:t>
      </w:r>
      <w:r w:rsidRPr="00963C49">
        <w:rPr>
          <w:rFonts w:ascii="Verdana" w:hAnsi="Verdana"/>
          <w:i/>
          <w:color w:val="auto"/>
          <w:sz w:val="17"/>
          <w:szCs w:val="17"/>
        </w:rPr>
        <w:fldChar w:fldCharType="end"/>
      </w:r>
      <w:r w:rsidRPr="00963C49">
        <w:rPr>
          <w:rFonts w:ascii="Verdana" w:hAnsi="Verdana"/>
          <w:i/>
          <w:color w:val="auto"/>
          <w:sz w:val="17"/>
          <w:szCs w:val="17"/>
        </w:rPr>
        <w:t>, i.e. the “p-score”.</w:t>
      </w:r>
      <w:r w:rsidRPr="00963C49">
        <w:rPr>
          <w:rFonts w:ascii="Verdana" w:hAnsi="Verdana"/>
          <w:i/>
          <w:color w:val="auto"/>
          <w:sz w:val="17"/>
          <w:szCs w:val="17"/>
        </w:rPr>
        <w:fldChar w:fldCharType="begin" w:fldLock="1"/>
      </w:r>
      <w:r>
        <w:rPr>
          <w:rFonts w:ascii="Verdana" w:hAnsi="Verdana"/>
          <w:i/>
          <w:sz w:val="17"/>
          <w:szCs w:val="17"/>
        </w:rPr>
        <w:instrText>ADDIN CSL_CITATION { "citationItems" : [ { "id" : "ITEM-1", "itemData" : { "DOI" : "10.1186/s12874-015-0060-8", "ISBN" : "1287401500608", "ISSN" : "1471-2288", "PMID" : "26227148", "abstract" : "BACKGROUND: Network meta-analysis is used to compare three or more treatments for the same condition. Within a Bayesian framework, for each treatment the probability of being best, or, more general, the probability that it has a certain rank can be derived from the posterior distributions of all treatments. The treatments can then be ranked by the surface under the cumulative ranking curve (SUCRA). For comparing treatments in a network meta-analysis, we propose a frequentist analogue to SUCRA which we call P-score that works without resampling.\\n\\nMETHODS: P-scores are based solely on the point estimates and standard errors of the frequentist network meta-analysis estimates under normality assumption and can easily be calculated as means of one-sided p-values. They measure the mean extent of certainty that a treatment is better than the competing treatments.\\n\\nRESULTS: Using case studies of network meta-analysis in diabetes and depression, we demonstrate that the numerical values of SUCRA and P-Score are nearly identical.\\n\\nCONCLUSIONS: Ranking treatments in frequentist network meta-analysis works without resampling. Like the SUCRA values, P-scores induce a ranking of all treatments that mostly follows that of the point estimates, but takes precision into account. However, neither SUCRA nor P-score offer a major advantage compared to looking at credible or confidence intervals.", "author" : [ { "dropping-particle" : "", "family" : "R\u00fccker", "given" : "Gerta", "non-dropping-particle" : "", "parse-names" : false, "suffix" : "" }, { "dropping-particle" : "", "family" : "Schwarzer", "given" : "Guido", "non-dropping-particle" : "", "parse-names" : false, "suffix" : "" } ], "container-title" : "BMC medical research methodology", "id" : "ITEM-1", "issue" : "1", "issued" : { "date-parts" : [ [ "2015" ] ] }, "page" : "58", "publisher" : "BMC Medical Research Methodology", "title" : "Ranking treatments in frequentist network meta-analysis works without resampling methods.", "type" : "article-journal", "volume" : "15" }, "uris" : [ "http://www.mendeley.com/documents/?uuid=dcfb515a-2d17-4166-8c64-77644eae34c8" ] } ], "mendeley" : { "formattedCitation" : "&lt;sup&gt;16&lt;/sup&gt;", "plainTextFormattedCitation" : "16", "previouslyFormattedCitation" : "(R\u00fccker and Schwarzer 2015)" }, "properties" : { "noteIndex" : 0 }, "schema" : "https://github.com/citation-style-language/schema/raw/master/csl-citation.json" }</w:instrText>
      </w:r>
      <w:r w:rsidRPr="00963C49">
        <w:rPr>
          <w:rFonts w:ascii="Verdana" w:hAnsi="Verdana"/>
          <w:i/>
          <w:color w:val="auto"/>
          <w:sz w:val="17"/>
          <w:szCs w:val="17"/>
        </w:rPr>
        <w:fldChar w:fldCharType="separate"/>
      </w:r>
      <w:r w:rsidRPr="006E0069">
        <w:rPr>
          <w:rFonts w:ascii="Verdana" w:hAnsi="Verdana"/>
          <w:noProof/>
          <w:sz w:val="17"/>
          <w:szCs w:val="17"/>
          <w:vertAlign w:val="superscript"/>
        </w:rPr>
        <w:t>16</w:t>
      </w:r>
      <w:r w:rsidRPr="00963C49">
        <w:rPr>
          <w:rFonts w:ascii="Verdana" w:hAnsi="Verdana"/>
          <w:i/>
          <w:color w:val="auto"/>
          <w:sz w:val="17"/>
          <w:szCs w:val="17"/>
        </w:rPr>
        <w:fldChar w:fldCharType="end"/>
      </w:r>
      <w:r w:rsidRPr="00963C49">
        <w:rPr>
          <w:rFonts w:ascii="Verdana" w:hAnsi="Verdana"/>
          <w:i/>
          <w:color w:val="auto"/>
          <w:sz w:val="17"/>
          <w:szCs w:val="17"/>
        </w:rPr>
        <w:t xml:space="preserve"> </w:t>
      </w:r>
      <w:proofErr w:type="spellStart"/>
      <w:r w:rsidRPr="00963C49">
        <w:rPr>
          <w:rFonts w:ascii="Verdana" w:hAnsi="Verdana"/>
          <w:i/>
          <w:color w:val="auto"/>
          <w:sz w:val="17"/>
          <w:szCs w:val="17"/>
        </w:rPr>
        <w:t>P</w:t>
      </w:r>
      <w:r w:rsidRPr="00963C49">
        <w:rPr>
          <w:rFonts w:ascii="Arial" w:hAnsi="Arial" w:cs="Arial"/>
          <w:i/>
          <w:color w:val="auto"/>
          <w:sz w:val="17"/>
          <w:szCs w:val="17"/>
        </w:rPr>
        <w:t>̅</w:t>
      </w:r>
      <w:r w:rsidRPr="00963C49">
        <w:rPr>
          <w:rFonts w:ascii="Verdana" w:hAnsi="Verdana"/>
          <w:i/>
          <w:color w:val="auto"/>
          <w:sz w:val="17"/>
          <w:szCs w:val="17"/>
          <w:vertAlign w:val="subscript"/>
        </w:rPr>
        <w:t>i</w:t>
      </w:r>
      <w:proofErr w:type="spellEnd"/>
      <w:r w:rsidRPr="00963C49">
        <w:rPr>
          <w:rFonts w:ascii="Verdana" w:hAnsi="Verdana"/>
          <w:i/>
          <w:color w:val="auto"/>
          <w:sz w:val="17"/>
          <w:szCs w:val="17"/>
        </w:rPr>
        <w:t xml:space="preserve"> represents the rank of score </w:t>
      </w:r>
      <w:proofErr w:type="spellStart"/>
      <w:r w:rsidRPr="00963C49">
        <w:rPr>
          <w:rFonts w:ascii="Verdana" w:hAnsi="Verdana"/>
          <w:i/>
          <w:color w:val="auto"/>
          <w:sz w:val="17"/>
          <w:szCs w:val="17"/>
        </w:rPr>
        <w:t>i</w:t>
      </w:r>
      <w:proofErr w:type="spellEnd"/>
      <w:r w:rsidRPr="00963C49">
        <w:rPr>
          <w:rFonts w:ascii="Verdana" w:hAnsi="Verdana"/>
          <w:i/>
          <w:color w:val="auto"/>
          <w:sz w:val="17"/>
          <w:szCs w:val="17"/>
        </w:rPr>
        <w:t xml:space="preserve"> within the given set of scores, where 1 means theoretically best and 0 means worst. </w:t>
      </w:r>
    </w:p>
    <w:p w14:paraId="0446CD95" w14:textId="77777777" w:rsidR="00841DFD" w:rsidRPr="00963C49" w:rsidRDefault="00841DFD" w:rsidP="00841DFD">
      <w:pPr>
        <w:rPr>
          <w:rFonts w:ascii="Verdana" w:eastAsiaTheme="majorEastAsia" w:hAnsi="Verdana" w:cstheme="majorBidi"/>
          <w:i/>
          <w:color w:val="auto"/>
          <w:sz w:val="17"/>
          <w:szCs w:val="17"/>
        </w:rPr>
      </w:pPr>
    </w:p>
    <w:tbl>
      <w:tblPr>
        <w:tblW w:w="2883" w:type="dxa"/>
        <w:jc w:val="center"/>
        <w:tblLook w:val="04A0" w:firstRow="1" w:lastRow="0" w:firstColumn="1" w:lastColumn="0" w:noHBand="0" w:noVBand="1"/>
      </w:tblPr>
      <w:tblGrid>
        <w:gridCol w:w="1275"/>
        <w:gridCol w:w="1608"/>
      </w:tblGrid>
      <w:tr w:rsidR="00841DFD" w:rsidRPr="00963C49" w14:paraId="3D8FAF37" w14:textId="77777777" w:rsidTr="00911A46">
        <w:trPr>
          <w:trHeight w:val="300"/>
          <w:jc w:val="center"/>
        </w:trPr>
        <w:tc>
          <w:tcPr>
            <w:tcW w:w="2883" w:type="dxa"/>
            <w:gridSpan w:val="2"/>
            <w:tcBorders>
              <w:top w:val="single" w:sz="4" w:space="0" w:color="auto"/>
            </w:tcBorders>
            <w:shd w:val="clear" w:color="auto" w:fill="auto"/>
            <w:noWrap/>
            <w:vAlign w:val="center"/>
          </w:tcPr>
          <w:p w14:paraId="2B497EBC" w14:textId="77777777" w:rsidR="00841DFD" w:rsidRPr="00963C49" w:rsidRDefault="00841DFD" w:rsidP="00911A46">
            <w:pPr>
              <w:pStyle w:val="Caption"/>
              <w:spacing w:after="0"/>
              <w:rPr>
                <w:rFonts w:ascii="Verdana" w:eastAsia="Times New Roman" w:hAnsi="Verdana" w:cs="Times New Roman"/>
                <w:b w:val="0"/>
                <w:bCs w:val="0"/>
                <w:i/>
                <w:color w:val="auto"/>
                <w:sz w:val="17"/>
                <w:szCs w:val="17"/>
              </w:rPr>
            </w:pPr>
            <w:bookmarkStart w:id="194" w:name="_Ref468365797"/>
            <w:bookmarkStart w:id="195" w:name="_Toc478291543"/>
            <w:r w:rsidRPr="00963C49">
              <w:rPr>
                <w:rFonts w:ascii="Verdana" w:hAnsi="Verdana"/>
                <w:i/>
                <w:color w:val="auto"/>
                <w:sz w:val="17"/>
                <w:szCs w:val="17"/>
              </w:rPr>
              <w:t xml:space="preserve">Table </w:t>
            </w:r>
            <w:r w:rsidRPr="00963C49">
              <w:rPr>
                <w:rFonts w:ascii="Verdana" w:hAnsi="Verdana"/>
                <w:i/>
                <w:color w:val="auto"/>
                <w:sz w:val="17"/>
                <w:szCs w:val="17"/>
              </w:rPr>
              <w:fldChar w:fldCharType="begin"/>
            </w:r>
            <w:r w:rsidRPr="00963C49">
              <w:rPr>
                <w:rFonts w:ascii="Verdana" w:hAnsi="Verdana"/>
                <w:i/>
                <w:color w:val="auto"/>
                <w:sz w:val="17"/>
                <w:szCs w:val="17"/>
              </w:rPr>
              <w:instrText xml:space="preserve"> SEQ Table \* ARABIC </w:instrText>
            </w:r>
            <w:r w:rsidRPr="00963C49">
              <w:rPr>
                <w:rFonts w:ascii="Verdana" w:hAnsi="Verdana"/>
                <w:i/>
                <w:color w:val="auto"/>
                <w:sz w:val="17"/>
                <w:szCs w:val="17"/>
              </w:rPr>
              <w:fldChar w:fldCharType="separate"/>
            </w:r>
            <w:r w:rsidR="001A1BC1">
              <w:rPr>
                <w:rFonts w:ascii="Verdana" w:hAnsi="Verdana"/>
                <w:i/>
                <w:noProof/>
                <w:color w:val="auto"/>
                <w:sz w:val="17"/>
                <w:szCs w:val="17"/>
              </w:rPr>
              <w:t>3</w:t>
            </w:r>
            <w:r w:rsidRPr="00963C49">
              <w:rPr>
                <w:rFonts w:ascii="Verdana" w:hAnsi="Verdana"/>
                <w:i/>
                <w:noProof/>
                <w:color w:val="auto"/>
                <w:sz w:val="17"/>
                <w:szCs w:val="17"/>
              </w:rPr>
              <w:fldChar w:fldCharType="end"/>
            </w:r>
            <w:bookmarkEnd w:id="194"/>
            <w:r w:rsidRPr="00963C49">
              <w:rPr>
                <w:rFonts w:ascii="Verdana" w:hAnsi="Verdana" w:cs="Arial"/>
                <w:i/>
                <w:noProof/>
                <w:color w:val="auto"/>
                <w:sz w:val="17"/>
                <w:szCs w:val="17"/>
              </w:rPr>
              <w:t>|</w:t>
            </w:r>
            <w:r w:rsidRPr="00963C49">
              <w:rPr>
                <w:rFonts w:ascii="Verdana" w:hAnsi="Verdana"/>
                <w:i/>
                <w:color w:val="auto"/>
                <w:sz w:val="17"/>
                <w:szCs w:val="17"/>
              </w:rPr>
              <w:t>P-Score (frequentist version of the SUCRA score)</w:t>
            </w:r>
            <w:bookmarkEnd w:id="195"/>
          </w:p>
        </w:tc>
      </w:tr>
      <w:tr w:rsidR="00841DFD" w:rsidRPr="00963C49" w14:paraId="4D3FA204" w14:textId="77777777" w:rsidTr="00911A46">
        <w:trPr>
          <w:trHeight w:val="449"/>
          <w:jc w:val="center"/>
        </w:trPr>
        <w:tc>
          <w:tcPr>
            <w:tcW w:w="1275" w:type="dxa"/>
            <w:shd w:val="clear" w:color="auto" w:fill="BFBFBF" w:themeFill="background1" w:themeFillShade="BF"/>
            <w:noWrap/>
            <w:vAlign w:val="center"/>
          </w:tcPr>
          <w:p w14:paraId="4C419E4E" w14:textId="77777777" w:rsidR="00841DFD" w:rsidRPr="00963C49" w:rsidRDefault="00841DFD" w:rsidP="00911A46">
            <w:pPr>
              <w:spacing w:after="0" w:line="240" w:lineRule="auto"/>
              <w:jc w:val="center"/>
              <w:rPr>
                <w:rFonts w:ascii="Verdana" w:eastAsia="Times New Roman" w:hAnsi="Verdana" w:cs="Times New Roman"/>
                <w:b/>
                <w:bCs/>
                <w:i/>
                <w:color w:val="auto"/>
                <w:sz w:val="17"/>
                <w:szCs w:val="17"/>
              </w:rPr>
            </w:pPr>
            <w:r w:rsidRPr="00963C49">
              <w:rPr>
                <w:rFonts w:ascii="Verdana" w:eastAsia="Times New Roman" w:hAnsi="Verdana" w:cs="Times New Roman"/>
                <w:b/>
                <w:bCs/>
                <w:i/>
                <w:color w:val="auto"/>
                <w:sz w:val="17"/>
                <w:szCs w:val="17"/>
              </w:rPr>
              <w:t>Score</w:t>
            </w:r>
          </w:p>
        </w:tc>
        <w:tc>
          <w:tcPr>
            <w:tcW w:w="1608" w:type="dxa"/>
            <w:shd w:val="clear" w:color="auto" w:fill="BFBFBF" w:themeFill="background1" w:themeFillShade="BF"/>
            <w:noWrap/>
            <w:vAlign w:val="center"/>
          </w:tcPr>
          <w:p w14:paraId="0C630190" w14:textId="77777777" w:rsidR="00841DFD" w:rsidRPr="00963C49" w:rsidRDefault="00841DFD" w:rsidP="00911A46">
            <w:pPr>
              <w:spacing w:after="0" w:line="240" w:lineRule="auto"/>
              <w:jc w:val="center"/>
              <w:rPr>
                <w:rFonts w:ascii="Verdana" w:eastAsia="Times New Roman" w:hAnsi="Verdana" w:cs="Times New Roman"/>
                <w:bCs/>
                <w:i/>
                <w:color w:val="auto"/>
                <w:sz w:val="17"/>
                <w:szCs w:val="17"/>
              </w:rPr>
            </w:pPr>
            <w:proofErr w:type="spellStart"/>
            <w:r w:rsidRPr="00963C49">
              <w:rPr>
                <w:rFonts w:ascii="Verdana" w:eastAsia="Times New Roman" w:hAnsi="Verdana" w:cs="Times New Roman"/>
                <w:bCs/>
                <w:i/>
                <w:color w:val="auto"/>
                <w:sz w:val="17"/>
                <w:szCs w:val="17"/>
              </w:rPr>
              <w:t>P</w:t>
            </w:r>
            <w:r w:rsidRPr="00963C49">
              <w:rPr>
                <w:rFonts w:ascii="Arial" w:eastAsia="Times New Roman" w:hAnsi="Arial" w:cs="Arial"/>
                <w:bCs/>
                <w:i/>
                <w:color w:val="auto"/>
                <w:sz w:val="17"/>
                <w:szCs w:val="17"/>
              </w:rPr>
              <w:t>̅</w:t>
            </w:r>
            <w:r w:rsidRPr="00963C49">
              <w:rPr>
                <w:rFonts w:ascii="Verdana" w:eastAsia="Times New Roman" w:hAnsi="Verdana" w:cs="Times New Roman"/>
                <w:bCs/>
                <w:i/>
                <w:color w:val="auto"/>
                <w:sz w:val="17"/>
                <w:szCs w:val="17"/>
                <w:vertAlign w:val="subscript"/>
              </w:rPr>
              <w:t>i</w:t>
            </w:r>
            <w:proofErr w:type="spellEnd"/>
          </w:p>
        </w:tc>
      </w:tr>
      <w:tr w:rsidR="00841DFD" w:rsidRPr="00963C49" w14:paraId="619FAC0B" w14:textId="77777777" w:rsidTr="00911A46">
        <w:trPr>
          <w:trHeight w:val="300"/>
          <w:jc w:val="center"/>
        </w:trPr>
        <w:tc>
          <w:tcPr>
            <w:tcW w:w="1275" w:type="dxa"/>
            <w:tcBorders>
              <w:bottom w:val="single" w:sz="4" w:space="0" w:color="auto"/>
            </w:tcBorders>
            <w:shd w:val="clear" w:color="auto" w:fill="auto"/>
            <w:noWrap/>
            <w:vAlign w:val="center"/>
            <w:hideMark/>
          </w:tcPr>
          <w:p w14:paraId="1D374FD8" w14:textId="77777777" w:rsidR="00841DFD" w:rsidRPr="00963C49" w:rsidRDefault="00841DFD" w:rsidP="00911A46">
            <w:pPr>
              <w:spacing w:after="0" w:line="240" w:lineRule="auto"/>
              <w:rPr>
                <w:rFonts w:ascii="Verdana" w:eastAsia="Times New Roman" w:hAnsi="Verdana" w:cs="Times New Roman"/>
                <w:b/>
                <w:i/>
                <w:color w:val="auto"/>
                <w:sz w:val="17"/>
                <w:szCs w:val="17"/>
              </w:rPr>
            </w:pPr>
            <w:r w:rsidRPr="00963C49">
              <w:rPr>
                <w:rFonts w:ascii="Verdana" w:eastAsia="Times New Roman" w:hAnsi="Verdana" w:cs="Times New Roman"/>
                <w:b/>
                <w:i/>
                <w:color w:val="auto"/>
                <w:sz w:val="17"/>
                <w:szCs w:val="17"/>
              </w:rPr>
              <w:t xml:space="preserve">ADO </w:t>
            </w:r>
          </w:p>
        </w:tc>
        <w:tc>
          <w:tcPr>
            <w:tcW w:w="1608" w:type="dxa"/>
            <w:tcBorders>
              <w:bottom w:val="single" w:sz="4" w:space="0" w:color="auto"/>
            </w:tcBorders>
            <w:shd w:val="clear" w:color="auto" w:fill="auto"/>
            <w:noWrap/>
            <w:vAlign w:val="center"/>
            <w:hideMark/>
          </w:tcPr>
          <w:p w14:paraId="6DFEC385" w14:textId="77777777" w:rsidR="00841DFD" w:rsidRPr="00963C49" w:rsidRDefault="00841DFD" w:rsidP="00911A46">
            <w:pPr>
              <w:spacing w:after="0" w:line="240" w:lineRule="auto"/>
              <w:jc w:val="center"/>
              <w:rPr>
                <w:rFonts w:ascii="Verdana" w:eastAsia="Times New Roman" w:hAnsi="Verdana" w:cs="Times New Roman"/>
                <w:i/>
                <w:color w:val="auto"/>
                <w:sz w:val="17"/>
                <w:szCs w:val="17"/>
              </w:rPr>
            </w:pPr>
            <w:r w:rsidRPr="00963C49">
              <w:rPr>
                <w:rFonts w:ascii="Verdana" w:eastAsia="Times New Roman" w:hAnsi="Verdana" w:cs="Times New Roman"/>
                <w:i/>
                <w:color w:val="auto"/>
                <w:sz w:val="17"/>
                <w:szCs w:val="17"/>
              </w:rPr>
              <w:t>0.99</w:t>
            </w:r>
          </w:p>
        </w:tc>
      </w:tr>
      <w:tr w:rsidR="00841DFD" w:rsidRPr="00963C49" w14:paraId="2626E426" w14:textId="77777777" w:rsidTr="00911A46">
        <w:trPr>
          <w:trHeight w:val="300"/>
          <w:jc w:val="center"/>
        </w:trPr>
        <w:tc>
          <w:tcPr>
            <w:tcW w:w="1275" w:type="dxa"/>
            <w:tcBorders>
              <w:top w:val="single" w:sz="4" w:space="0" w:color="auto"/>
              <w:bottom w:val="single" w:sz="4" w:space="0" w:color="auto"/>
            </w:tcBorders>
            <w:shd w:val="clear" w:color="auto" w:fill="auto"/>
            <w:noWrap/>
            <w:vAlign w:val="center"/>
            <w:hideMark/>
          </w:tcPr>
          <w:p w14:paraId="4597FD09" w14:textId="77777777" w:rsidR="00841DFD" w:rsidRPr="00963C49" w:rsidRDefault="00841DFD" w:rsidP="00911A46">
            <w:pPr>
              <w:spacing w:after="0" w:line="240" w:lineRule="auto"/>
              <w:rPr>
                <w:rFonts w:ascii="Verdana" w:eastAsia="Times New Roman" w:hAnsi="Verdana" w:cs="Times New Roman"/>
                <w:b/>
                <w:i/>
                <w:color w:val="auto"/>
                <w:sz w:val="17"/>
                <w:szCs w:val="17"/>
              </w:rPr>
            </w:pPr>
            <w:r w:rsidRPr="00963C49">
              <w:rPr>
                <w:rFonts w:ascii="Verdana" w:eastAsia="Times New Roman" w:hAnsi="Verdana" w:cs="Times New Roman"/>
                <w:b/>
                <w:i/>
                <w:color w:val="auto"/>
                <w:sz w:val="17"/>
                <w:szCs w:val="17"/>
              </w:rPr>
              <w:t xml:space="preserve">BODE </w:t>
            </w:r>
            <w:proofErr w:type="spellStart"/>
            <w:r w:rsidRPr="00963C49">
              <w:rPr>
                <w:rFonts w:ascii="Verdana" w:eastAsia="Times New Roman" w:hAnsi="Verdana" w:cs="Times New Roman"/>
                <w:b/>
                <w:i/>
                <w:color w:val="auto"/>
                <w:sz w:val="17"/>
                <w:szCs w:val="17"/>
              </w:rPr>
              <w:t>upd</w:t>
            </w:r>
            <w:proofErr w:type="spellEnd"/>
            <w:r w:rsidRPr="00963C49">
              <w:rPr>
                <w:rFonts w:ascii="Verdana" w:eastAsia="Times New Roman" w:hAnsi="Verdana" w:cs="Times New Roman"/>
                <w:b/>
                <w:i/>
                <w:color w:val="auto"/>
                <w:sz w:val="17"/>
                <w:szCs w:val="17"/>
              </w:rPr>
              <w:t>.</w:t>
            </w:r>
          </w:p>
        </w:tc>
        <w:tc>
          <w:tcPr>
            <w:tcW w:w="1608" w:type="dxa"/>
            <w:tcBorders>
              <w:top w:val="single" w:sz="4" w:space="0" w:color="auto"/>
              <w:bottom w:val="single" w:sz="4" w:space="0" w:color="auto"/>
            </w:tcBorders>
            <w:shd w:val="clear" w:color="auto" w:fill="auto"/>
            <w:noWrap/>
            <w:vAlign w:val="center"/>
            <w:hideMark/>
          </w:tcPr>
          <w:p w14:paraId="72D31058" w14:textId="77777777" w:rsidR="00841DFD" w:rsidRPr="00963C49" w:rsidRDefault="00841DFD" w:rsidP="00911A46">
            <w:pPr>
              <w:spacing w:after="0" w:line="240" w:lineRule="auto"/>
              <w:jc w:val="center"/>
              <w:rPr>
                <w:rFonts w:ascii="Verdana" w:eastAsia="Times New Roman" w:hAnsi="Verdana" w:cs="Times New Roman"/>
                <w:i/>
                <w:color w:val="auto"/>
                <w:sz w:val="17"/>
                <w:szCs w:val="17"/>
              </w:rPr>
            </w:pPr>
            <w:r w:rsidRPr="00963C49">
              <w:rPr>
                <w:rFonts w:ascii="Verdana" w:eastAsia="Times New Roman" w:hAnsi="Verdana" w:cs="Times New Roman"/>
                <w:i/>
                <w:color w:val="auto"/>
                <w:sz w:val="17"/>
                <w:szCs w:val="17"/>
              </w:rPr>
              <w:t>0.80</w:t>
            </w:r>
          </w:p>
        </w:tc>
      </w:tr>
      <w:tr w:rsidR="00841DFD" w:rsidRPr="00963C49" w14:paraId="5E1FDA84" w14:textId="77777777" w:rsidTr="00911A46">
        <w:trPr>
          <w:trHeight w:val="300"/>
          <w:jc w:val="center"/>
        </w:trPr>
        <w:tc>
          <w:tcPr>
            <w:tcW w:w="1275" w:type="dxa"/>
            <w:tcBorders>
              <w:top w:val="single" w:sz="4" w:space="0" w:color="auto"/>
              <w:bottom w:val="single" w:sz="4" w:space="0" w:color="auto"/>
            </w:tcBorders>
            <w:shd w:val="clear" w:color="auto" w:fill="auto"/>
            <w:noWrap/>
            <w:vAlign w:val="center"/>
            <w:hideMark/>
          </w:tcPr>
          <w:p w14:paraId="3D0B5A19" w14:textId="77777777" w:rsidR="00841DFD" w:rsidRPr="00963C49" w:rsidRDefault="00841DFD" w:rsidP="00911A46">
            <w:pPr>
              <w:spacing w:after="0" w:line="240" w:lineRule="auto"/>
              <w:rPr>
                <w:rFonts w:ascii="Verdana" w:eastAsia="Times New Roman" w:hAnsi="Verdana" w:cs="Times New Roman"/>
                <w:b/>
                <w:i/>
                <w:color w:val="auto"/>
                <w:sz w:val="17"/>
                <w:szCs w:val="17"/>
              </w:rPr>
            </w:pPr>
            <w:proofErr w:type="spellStart"/>
            <w:r w:rsidRPr="00963C49">
              <w:rPr>
                <w:rFonts w:ascii="Verdana" w:eastAsia="Times New Roman" w:hAnsi="Verdana" w:cs="Times New Roman"/>
                <w:b/>
                <w:i/>
                <w:color w:val="auto"/>
                <w:sz w:val="17"/>
                <w:szCs w:val="17"/>
              </w:rPr>
              <w:t>eBODE</w:t>
            </w:r>
            <w:proofErr w:type="spellEnd"/>
          </w:p>
        </w:tc>
        <w:tc>
          <w:tcPr>
            <w:tcW w:w="1608" w:type="dxa"/>
            <w:tcBorders>
              <w:top w:val="single" w:sz="4" w:space="0" w:color="auto"/>
              <w:bottom w:val="single" w:sz="4" w:space="0" w:color="auto"/>
            </w:tcBorders>
            <w:shd w:val="clear" w:color="auto" w:fill="auto"/>
            <w:noWrap/>
            <w:vAlign w:val="center"/>
            <w:hideMark/>
          </w:tcPr>
          <w:p w14:paraId="778C582E" w14:textId="77777777" w:rsidR="00841DFD" w:rsidRPr="00963C49" w:rsidRDefault="00841DFD" w:rsidP="00911A46">
            <w:pPr>
              <w:spacing w:after="0" w:line="240" w:lineRule="auto"/>
              <w:jc w:val="center"/>
              <w:rPr>
                <w:rFonts w:ascii="Verdana" w:eastAsia="Times New Roman" w:hAnsi="Verdana" w:cs="Times New Roman"/>
                <w:i/>
                <w:color w:val="auto"/>
                <w:sz w:val="17"/>
                <w:szCs w:val="17"/>
              </w:rPr>
            </w:pPr>
            <w:r w:rsidRPr="00963C49">
              <w:rPr>
                <w:rFonts w:ascii="Verdana" w:eastAsia="Times New Roman" w:hAnsi="Verdana" w:cs="Times New Roman"/>
                <w:i/>
                <w:color w:val="auto"/>
                <w:sz w:val="17"/>
                <w:szCs w:val="17"/>
              </w:rPr>
              <w:t>0.78</w:t>
            </w:r>
          </w:p>
        </w:tc>
      </w:tr>
      <w:tr w:rsidR="00841DFD" w:rsidRPr="00963C49" w14:paraId="22FDBF93" w14:textId="77777777" w:rsidTr="00911A46">
        <w:trPr>
          <w:trHeight w:val="300"/>
          <w:jc w:val="center"/>
        </w:trPr>
        <w:tc>
          <w:tcPr>
            <w:tcW w:w="1275" w:type="dxa"/>
            <w:tcBorders>
              <w:top w:val="single" w:sz="4" w:space="0" w:color="auto"/>
              <w:bottom w:val="single" w:sz="4" w:space="0" w:color="auto"/>
            </w:tcBorders>
            <w:shd w:val="clear" w:color="auto" w:fill="auto"/>
            <w:noWrap/>
            <w:vAlign w:val="center"/>
            <w:hideMark/>
          </w:tcPr>
          <w:p w14:paraId="070ED2E6" w14:textId="77777777" w:rsidR="00841DFD" w:rsidRPr="00963C49" w:rsidRDefault="00841DFD" w:rsidP="00911A46">
            <w:pPr>
              <w:spacing w:after="0" w:line="240" w:lineRule="auto"/>
              <w:rPr>
                <w:rFonts w:ascii="Verdana" w:eastAsia="Times New Roman" w:hAnsi="Verdana" w:cs="Times New Roman"/>
                <w:b/>
                <w:i/>
                <w:color w:val="auto"/>
                <w:sz w:val="17"/>
                <w:szCs w:val="17"/>
              </w:rPr>
            </w:pPr>
            <w:r w:rsidRPr="00963C49">
              <w:rPr>
                <w:rFonts w:ascii="Verdana" w:eastAsia="Times New Roman" w:hAnsi="Verdana" w:cs="Times New Roman"/>
                <w:b/>
                <w:i/>
                <w:color w:val="auto"/>
                <w:sz w:val="17"/>
                <w:szCs w:val="17"/>
              </w:rPr>
              <w:t>BODE</w:t>
            </w:r>
          </w:p>
        </w:tc>
        <w:tc>
          <w:tcPr>
            <w:tcW w:w="1608" w:type="dxa"/>
            <w:tcBorders>
              <w:top w:val="single" w:sz="4" w:space="0" w:color="auto"/>
              <w:bottom w:val="single" w:sz="4" w:space="0" w:color="auto"/>
            </w:tcBorders>
            <w:shd w:val="clear" w:color="auto" w:fill="auto"/>
            <w:noWrap/>
            <w:vAlign w:val="center"/>
            <w:hideMark/>
          </w:tcPr>
          <w:p w14:paraId="5EBD65F8" w14:textId="77777777" w:rsidR="00841DFD" w:rsidRPr="00963C49" w:rsidRDefault="00841DFD" w:rsidP="00911A46">
            <w:pPr>
              <w:spacing w:after="0" w:line="240" w:lineRule="auto"/>
              <w:jc w:val="center"/>
              <w:rPr>
                <w:rFonts w:ascii="Verdana" w:eastAsia="Times New Roman" w:hAnsi="Verdana" w:cs="Times New Roman"/>
                <w:i/>
                <w:color w:val="auto"/>
                <w:sz w:val="17"/>
                <w:szCs w:val="17"/>
              </w:rPr>
            </w:pPr>
            <w:r w:rsidRPr="00963C49">
              <w:rPr>
                <w:rFonts w:ascii="Verdana" w:eastAsia="Times New Roman" w:hAnsi="Verdana" w:cs="Times New Roman"/>
                <w:i/>
                <w:color w:val="auto"/>
                <w:sz w:val="17"/>
                <w:szCs w:val="17"/>
              </w:rPr>
              <w:t>0.65</w:t>
            </w:r>
          </w:p>
        </w:tc>
      </w:tr>
      <w:tr w:rsidR="00841DFD" w:rsidRPr="00963C49" w14:paraId="63CDF922" w14:textId="77777777" w:rsidTr="00911A46">
        <w:trPr>
          <w:trHeight w:val="300"/>
          <w:jc w:val="center"/>
        </w:trPr>
        <w:tc>
          <w:tcPr>
            <w:tcW w:w="1275" w:type="dxa"/>
            <w:tcBorders>
              <w:top w:val="single" w:sz="4" w:space="0" w:color="auto"/>
              <w:bottom w:val="single" w:sz="4" w:space="0" w:color="auto"/>
            </w:tcBorders>
            <w:shd w:val="clear" w:color="auto" w:fill="auto"/>
            <w:noWrap/>
            <w:vAlign w:val="center"/>
            <w:hideMark/>
          </w:tcPr>
          <w:p w14:paraId="7BAB3421" w14:textId="77777777" w:rsidR="00841DFD" w:rsidRPr="00963C49" w:rsidRDefault="00841DFD" w:rsidP="00911A46">
            <w:pPr>
              <w:spacing w:after="0" w:line="240" w:lineRule="auto"/>
              <w:rPr>
                <w:rFonts w:ascii="Verdana" w:eastAsia="Times New Roman" w:hAnsi="Verdana" w:cs="Times New Roman"/>
                <w:b/>
                <w:i/>
                <w:color w:val="auto"/>
                <w:sz w:val="17"/>
                <w:szCs w:val="17"/>
              </w:rPr>
            </w:pPr>
            <w:r w:rsidRPr="00963C49">
              <w:rPr>
                <w:rFonts w:ascii="Verdana" w:eastAsia="Times New Roman" w:hAnsi="Verdana" w:cs="Times New Roman"/>
                <w:b/>
                <w:i/>
                <w:color w:val="auto"/>
                <w:sz w:val="17"/>
                <w:szCs w:val="17"/>
              </w:rPr>
              <w:t>SAFE</w:t>
            </w:r>
          </w:p>
        </w:tc>
        <w:tc>
          <w:tcPr>
            <w:tcW w:w="1608" w:type="dxa"/>
            <w:tcBorders>
              <w:top w:val="single" w:sz="4" w:space="0" w:color="auto"/>
              <w:bottom w:val="single" w:sz="4" w:space="0" w:color="auto"/>
            </w:tcBorders>
            <w:shd w:val="clear" w:color="auto" w:fill="auto"/>
            <w:noWrap/>
            <w:vAlign w:val="center"/>
            <w:hideMark/>
          </w:tcPr>
          <w:p w14:paraId="71FBCBFF" w14:textId="77777777" w:rsidR="00841DFD" w:rsidRPr="00963C49" w:rsidRDefault="00841DFD" w:rsidP="00911A46">
            <w:pPr>
              <w:spacing w:after="0" w:line="240" w:lineRule="auto"/>
              <w:jc w:val="center"/>
              <w:rPr>
                <w:rFonts w:ascii="Verdana" w:eastAsia="Times New Roman" w:hAnsi="Verdana" w:cs="Times New Roman"/>
                <w:i/>
                <w:color w:val="auto"/>
                <w:sz w:val="17"/>
                <w:szCs w:val="17"/>
              </w:rPr>
            </w:pPr>
            <w:r w:rsidRPr="00963C49">
              <w:rPr>
                <w:rFonts w:ascii="Verdana" w:eastAsia="Times New Roman" w:hAnsi="Verdana" w:cs="Times New Roman"/>
                <w:i/>
                <w:color w:val="auto"/>
                <w:sz w:val="17"/>
                <w:szCs w:val="17"/>
              </w:rPr>
              <w:t>0.55</w:t>
            </w:r>
          </w:p>
        </w:tc>
      </w:tr>
      <w:tr w:rsidR="00841DFD" w:rsidRPr="00963C49" w14:paraId="64DC33C2" w14:textId="77777777" w:rsidTr="00911A46">
        <w:trPr>
          <w:trHeight w:val="300"/>
          <w:jc w:val="center"/>
        </w:trPr>
        <w:tc>
          <w:tcPr>
            <w:tcW w:w="1275" w:type="dxa"/>
            <w:tcBorders>
              <w:top w:val="single" w:sz="4" w:space="0" w:color="auto"/>
              <w:bottom w:val="single" w:sz="4" w:space="0" w:color="auto"/>
            </w:tcBorders>
            <w:shd w:val="clear" w:color="auto" w:fill="auto"/>
            <w:noWrap/>
            <w:vAlign w:val="center"/>
            <w:hideMark/>
          </w:tcPr>
          <w:p w14:paraId="6FDB8529" w14:textId="77777777" w:rsidR="00841DFD" w:rsidRPr="00963C49" w:rsidRDefault="00841DFD" w:rsidP="00911A46">
            <w:pPr>
              <w:spacing w:after="0" w:line="240" w:lineRule="auto"/>
              <w:rPr>
                <w:rFonts w:ascii="Verdana" w:eastAsia="Times New Roman" w:hAnsi="Verdana" w:cs="Times New Roman"/>
                <w:b/>
                <w:i/>
                <w:color w:val="auto"/>
                <w:sz w:val="17"/>
                <w:szCs w:val="17"/>
              </w:rPr>
            </w:pPr>
            <w:proofErr w:type="spellStart"/>
            <w:r w:rsidRPr="00963C49">
              <w:rPr>
                <w:rFonts w:ascii="Verdana" w:eastAsia="Times New Roman" w:hAnsi="Verdana" w:cs="Times New Roman"/>
                <w:b/>
                <w:i/>
                <w:color w:val="auto"/>
                <w:sz w:val="17"/>
                <w:szCs w:val="17"/>
              </w:rPr>
              <w:t>BODEx</w:t>
            </w:r>
            <w:proofErr w:type="spellEnd"/>
          </w:p>
        </w:tc>
        <w:tc>
          <w:tcPr>
            <w:tcW w:w="1608" w:type="dxa"/>
            <w:tcBorders>
              <w:top w:val="single" w:sz="4" w:space="0" w:color="auto"/>
              <w:bottom w:val="single" w:sz="4" w:space="0" w:color="auto"/>
            </w:tcBorders>
            <w:shd w:val="clear" w:color="auto" w:fill="auto"/>
            <w:noWrap/>
            <w:vAlign w:val="center"/>
            <w:hideMark/>
          </w:tcPr>
          <w:p w14:paraId="539060BE" w14:textId="77777777" w:rsidR="00841DFD" w:rsidRPr="00963C49" w:rsidRDefault="00841DFD" w:rsidP="00911A46">
            <w:pPr>
              <w:spacing w:after="0" w:line="240" w:lineRule="auto"/>
              <w:jc w:val="center"/>
              <w:rPr>
                <w:rFonts w:ascii="Verdana" w:eastAsia="Times New Roman" w:hAnsi="Verdana" w:cs="Times New Roman"/>
                <w:i/>
                <w:color w:val="auto"/>
                <w:sz w:val="17"/>
                <w:szCs w:val="17"/>
              </w:rPr>
            </w:pPr>
            <w:r w:rsidRPr="00963C49">
              <w:rPr>
                <w:rFonts w:ascii="Verdana" w:eastAsia="Times New Roman" w:hAnsi="Verdana" w:cs="Times New Roman"/>
                <w:i/>
                <w:color w:val="auto"/>
                <w:sz w:val="17"/>
                <w:szCs w:val="17"/>
              </w:rPr>
              <w:t>0.54</w:t>
            </w:r>
          </w:p>
        </w:tc>
      </w:tr>
      <w:tr w:rsidR="00841DFD" w:rsidRPr="00963C49" w14:paraId="45F1A46D" w14:textId="77777777" w:rsidTr="00911A46">
        <w:trPr>
          <w:trHeight w:val="300"/>
          <w:jc w:val="center"/>
        </w:trPr>
        <w:tc>
          <w:tcPr>
            <w:tcW w:w="1275" w:type="dxa"/>
            <w:tcBorders>
              <w:top w:val="single" w:sz="4" w:space="0" w:color="auto"/>
              <w:bottom w:val="single" w:sz="4" w:space="0" w:color="auto"/>
            </w:tcBorders>
            <w:shd w:val="clear" w:color="auto" w:fill="auto"/>
            <w:noWrap/>
            <w:vAlign w:val="center"/>
            <w:hideMark/>
          </w:tcPr>
          <w:p w14:paraId="6EBA9867" w14:textId="77777777" w:rsidR="00841DFD" w:rsidRPr="00963C49" w:rsidRDefault="00841DFD" w:rsidP="00911A46">
            <w:pPr>
              <w:spacing w:after="0" w:line="240" w:lineRule="auto"/>
              <w:rPr>
                <w:rFonts w:ascii="Verdana" w:eastAsia="Times New Roman" w:hAnsi="Verdana" w:cs="Times New Roman"/>
                <w:b/>
                <w:i/>
                <w:color w:val="auto"/>
                <w:sz w:val="17"/>
                <w:szCs w:val="17"/>
              </w:rPr>
            </w:pPr>
            <w:r w:rsidRPr="00963C49">
              <w:rPr>
                <w:rFonts w:ascii="Verdana" w:eastAsia="Times New Roman" w:hAnsi="Verdana" w:cs="Times New Roman"/>
                <w:b/>
                <w:i/>
                <w:color w:val="auto"/>
                <w:sz w:val="17"/>
                <w:szCs w:val="17"/>
              </w:rPr>
              <w:t>DOSE</w:t>
            </w:r>
          </w:p>
        </w:tc>
        <w:tc>
          <w:tcPr>
            <w:tcW w:w="1608" w:type="dxa"/>
            <w:tcBorders>
              <w:top w:val="single" w:sz="4" w:space="0" w:color="auto"/>
              <w:bottom w:val="single" w:sz="4" w:space="0" w:color="auto"/>
            </w:tcBorders>
            <w:shd w:val="clear" w:color="auto" w:fill="auto"/>
            <w:noWrap/>
            <w:vAlign w:val="center"/>
            <w:hideMark/>
          </w:tcPr>
          <w:p w14:paraId="07759C16" w14:textId="77777777" w:rsidR="00841DFD" w:rsidRPr="00963C49" w:rsidRDefault="00841DFD" w:rsidP="00911A46">
            <w:pPr>
              <w:spacing w:after="0" w:line="240" w:lineRule="auto"/>
              <w:jc w:val="center"/>
              <w:rPr>
                <w:rFonts w:ascii="Verdana" w:eastAsia="Times New Roman" w:hAnsi="Verdana" w:cs="Times New Roman"/>
                <w:i/>
                <w:color w:val="auto"/>
                <w:sz w:val="17"/>
                <w:szCs w:val="17"/>
              </w:rPr>
            </w:pPr>
            <w:r w:rsidRPr="00963C49">
              <w:rPr>
                <w:rFonts w:ascii="Verdana" w:eastAsia="Times New Roman" w:hAnsi="Verdana" w:cs="Times New Roman"/>
                <w:i/>
                <w:color w:val="auto"/>
                <w:sz w:val="17"/>
                <w:szCs w:val="17"/>
              </w:rPr>
              <w:t>0.32</w:t>
            </w:r>
          </w:p>
        </w:tc>
      </w:tr>
      <w:tr w:rsidR="00841DFD" w:rsidRPr="00963C49" w14:paraId="3FBDE1E2" w14:textId="77777777" w:rsidTr="00911A46">
        <w:trPr>
          <w:trHeight w:val="300"/>
          <w:jc w:val="center"/>
        </w:trPr>
        <w:tc>
          <w:tcPr>
            <w:tcW w:w="1275" w:type="dxa"/>
            <w:tcBorders>
              <w:top w:val="single" w:sz="4" w:space="0" w:color="auto"/>
              <w:bottom w:val="single" w:sz="4" w:space="0" w:color="auto"/>
            </w:tcBorders>
            <w:shd w:val="clear" w:color="auto" w:fill="auto"/>
            <w:noWrap/>
            <w:vAlign w:val="center"/>
            <w:hideMark/>
          </w:tcPr>
          <w:p w14:paraId="623DB86C" w14:textId="77777777" w:rsidR="00841DFD" w:rsidRPr="00963C49" w:rsidRDefault="00841DFD" w:rsidP="00911A46">
            <w:pPr>
              <w:spacing w:after="0" w:line="240" w:lineRule="auto"/>
              <w:rPr>
                <w:rFonts w:ascii="Verdana" w:eastAsia="Times New Roman" w:hAnsi="Verdana" w:cs="Times New Roman"/>
                <w:b/>
                <w:i/>
                <w:color w:val="auto"/>
                <w:sz w:val="17"/>
                <w:szCs w:val="17"/>
              </w:rPr>
            </w:pPr>
            <w:r w:rsidRPr="00963C49">
              <w:rPr>
                <w:rFonts w:ascii="Verdana" w:eastAsia="Times New Roman" w:hAnsi="Verdana" w:cs="Times New Roman"/>
                <w:b/>
                <w:i/>
                <w:color w:val="auto"/>
                <w:sz w:val="17"/>
                <w:szCs w:val="17"/>
              </w:rPr>
              <w:t>New GOLD</w:t>
            </w:r>
          </w:p>
        </w:tc>
        <w:tc>
          <w:tcPr>
            <w:tcW w:w="1608" w:type="dxa"/>
            <w:tcBorders>
              <w:top w:val="single" w:sz="4" w:space="0" w:color="auto"/>
              <w:bottom w:val="single" w:sz="4" w:space="0" w:color="auto"/>
            </w:tcBorders>
            <w:shd w:val="clear" w:color="auto" w:fill="auto"/>
            <w:noWrap/>
            <w:vAlign w:val="center"/>
            <w:hideMark/>
          </w:tcPr>
          <w:p w14:paraId="74D8E45E" w14:textId="77777777" w:rsidR="00841DFD" w:rsidRPr="00963C49" w:rsidRDefault="00841DFD" w:rsidP="00911A46">
            <w:pPr>
              <w:spacing w:after="0" w:line="240" w:lineRule="auto"/>
              <w:jc w:val="center"/>
              <w:rPr>
                <w:rFonts w:ascii="Verdana" w:eastAsia="Times New Roman" w:hAnsi="Verdana" w:cs="Times New Roman"/>
                <w:i/>
                <w:color w:val="auto"/>
                <w:sz w:val="17"/>
                <w:szCs w:val="17"/>
              </w:rPr>
            </w:pPr>
            <w:r w:rsidRPr="00963C49">
              <w:rPr>
                <w:rFonts w:ascii="Verdana" w:eastAsia="Times New Roman" w:hAnsi="Verdana" w:cs="Times New Roman"/>
                <w:i/>
                <w:color w:val="auto"/>
                <w:sz w:val="17"/>
                <w:szCs w:val="17"/>
              </w:rPr>
              <w:t>0.21</w:t>
            </w:r>
          </w:p>
        </w:tc>
      </w:tr>
      <w:tr w:rsidR="00841DFD" w:rsidRPr="00963C49" w14:paraId="3C048C61" w14:textId="77777777" w:rsidTr="00911A46">
        <w:trPr>
          <w:trHeight w:val="300"/>
          <w:jc w:val="center"/>
        </w:trPr>
        <w:tc>
          <w:tcPr>
            <w:tcW w:w="1275" w:type="dxa"/>
            <w:tcBorders>
              <w:top w:val="single" w:sz="4" w:space="0" w:color="auto"/>
              <w:bottom w:val="single" w:sz="4" w:space="0" w:color="auto"/>
            </w:tcBorders>
            <w:shd w:val="clear" w:color="auto" w:fill="auto"/>
            <w:noWrap/>
            <w:vAlign w:val="center"/>
            <w:hideMark/>
          </w:tcPr>
          <w:p w14:paraId="728F7F21" w14:textId="77777777" w:rsidR="00841DFD" w:rsidRPr="00963C49" w:rsidRDefault="00841DFD" w:rsidP="00911A46">
            <w:pPr>
              <w:spacing w:after="0" w:line="240" w:lineRule="auto"/>
              <w:rPr>
                <w:rFonts w:ascii="Verdana" w:eastAsia="Times New Roman" w:hAnsi="Verdana" w:cs="Times New Roman"/>
                <w:b/>
                <w:i/>
                <w:color w:val="auto"/>
                <w:sz w:val="17"/>
                <w:szCs w:val="17"/>
              </w:rPr>
            </w:pPr>
            <w:r w:rsidRPr="00963C49">
              <w:rPr>
                <w:rFonts w:ascii="Verdana" w:eastAsia="Times New Roman" w:hAnsi="Verdana" w:cs="Times New Roman"/>
                <w:b/>
                <w:i/>
                <w:color w:val="auto"/>
                <w:sz w:val="17"/>
                <w:szCs w:val="17"/>
              </w:rPr>
              <w:t>B-AE-D</w:t>
            </w:r>
          </w:p>
        </w:tc>
        <w:tc>
          <w:tcPr>
            <w:tcW w:w="1608" w:type="dxa"/>
            <w:tcBorders>
              <w:top w:val="single" w:sz="4" w:space="0" w:color="auto"/>
              <w:bottom w:val="single" w:sz="4" w:space="0" w:color="auto"/>
            </w:tcBorders>
            <w:shd w:val="clear" w:color="auto" w:fill="auto"/>
            <w:noWrap/>
            <w:vAlign w:val="center"/>
            <w:hideMark/>
          </w:tcPr>
          <w:p w14:paraId="060D01A3" w14:textId="77777777" w:rsidR="00841DFD" w:rsidRPr="00963C49" w:rsidRDefault="00841DFD" w:rsidP="00911A46">
            <w:pPr>
              <w:spacing w:after="0" w:line="240" w:lineRule="auto"/>
              <w:jc w:val="center"/>
              <w:rPr>
                <w:rFonts w:ascii="Verdana" w:eastAsia="Times New Roman" w:hAnsi="Verdana" w:cs="Times New Roman"/>
                <w:i/>
                <w:color w:val="auto"/>
                <w:sz w:val="17"/>
                <w:szCs w:val="17"/>
              </w:rPr>
            </w:pPr>
            <w:r w:rsidRPr="00963C49">
              <w:rPr>
                <w:rFonts w:ascii="Verdana" w:eastAsia="Times New Roman" w:hAnsi="Verdana" w:cs="Times New Roman"/>
                <w:i/>
                <w:color w:val="auto"/>
                <w:sz w:val="17"/>
                <w:szCs w:val="17"/>
              </w:rPr>
              <w:t>0.15</w:t>
            </w:r>
          </w:p>
        </w:tc>
      </w:tr>
      <w:tr w:rsidR="00841DFD" w:rsidRPr="00963C49" w14:paraId="6FC65FCC" w14:textId="77777777" w:rsidTr="00911A46">
        <w:trPr>
          <w:trHeight w:val="300"/>
          <w:jc w:val="center"/>
        </w:trPr>
        <w:tc>
          <w:tcPr>
            <w:tcW w:w="1275" w:type="dxa"/>
            <w:tcBorders>
              <w:top w:val="single" w:sz="4" w:space="0" w:color="auto"/>
              <w:bottom w:val="single" w:sz="4" w:space="0" w:color="auto"/>
            </w:tcBorders>
            <w:shd w:val="clear" w:color="auto" w:fill="auto"/>
            <w:noWrap/>
            <w:vAlign w:val="center"/>
            <w:hideMark/>
          </w:tcPr>
          <w:p w14:paraId="158A27A1" w14:textId="77777777" w:rsidR="00841DFD" w:rsidRPr="00963C49" w:rsidRDefault="00841DFD" w:rsidP="00911A46">
            <w:pPr>
              <w:spacing w:after="0" w:line="240" w:lineRule="auto"/>
              <w:rPr>
                <w:rFonts w:ascii="Verdana" w:eastAsia="Times New Roman" w:hAnsi="Verdana" w:cs="Times New Roman"/>
                <w:b/>
                <w:i/>
                <w:color w:val="auto"/>
                <w:sz w:val="17"/>
                <w:szCs w:val="17"/>
              </w:rPr>
            </w:pPr>
            <w:r w:rsidRPr="00963C49">
              <w:rPr>
                <w:rFonts w:ascii="Verdana" w:eastAsia="Times New Roman" w:hAnsi="Verdana" w:cs="Times New Roman"/>
                <w:b/>
                <w:i/>
                <w:color w:val="auto"/>
                <w:sz w:val="17"/>
                <w:szCs w:val="17"/>
              </w:rPr>
              <w:t>GOLD</w:t>
            </w:r>
          </w:p>
        </w:tc>
        <w:tc>
          <w:tcPr>
            <w:tcW w:w="1608" w:type="dxa"/>
            <w:tcBorders>
              <w:top w:val="single" w:sz="4" w:space="0" w:color="auto"/>
              <w:bottom w:val="single" w:sz="4" w:space="0" w:color="auto"/>
            </w:tcBorders>
            <w:shd w:val="clear" w:color="auto" w:fill="auto"/>
            <w:noWrap/>
            <w:vAlign w:val="center"/>
            <w:hideMark/>
          </w:tcPr>
          <w:p w14:paraId="701EFC6A" w14:textId="77777777" w:rsidR="00841DFD" w:rsidRPr="00963C49" w:rsidRDefault="00841DFD" w:rsidP="00911A46">
            <w:pPr>
              <w:spacing w:after="0" w:line="240" w:lineRule="auto"/>
              <w:jc w:val="center"/>
              <w:rPr>
                <w:rFonts w:ascii="Verdana" w:eastAsia="Times New Roman" w:hAnsi="Verdana" w:cs="Times New Roman"/>
                <w:i/>
                <w:color w:val="auto"/>
                <w:sz w:val="17"/>
                <w:szCs w:val="17"/>
              </w:rPr>
            </w:pPr>
            <w:r w:rsidRPr="00963C49">
              <w:rPr>
                <w:rFonts w:ascii="Verdana" w:eastAsia="Times New Roman" w:hAnsi="Verdana" w:cs="Times New Roman"/>
                <w:i/>
                <w:color w:val="auto"/>
                <w:sz w:val="17"/>
                <w:szCs w:val="17"/>
              </w:rPr>
              <w:t>0.02</w:t>
            </w:r>
          </w:p>
        </w:tc>
      </w:tr>
      <w:tr w:rsidR="00841DFD" w:rsidRPr="00963C49" w14:paraId="076B879C" w14:textId="77777777" w:rsidTr="00911A46">
        <w:trPr>
          <w:trHeight w:val="781"/>
          <w:jc w:val="center"/>
        </w:trPr>
        <w:tc>
          <w:tcPr>
            <w:tcW w:w="2883" w:type="dxa"/>
            <w:gridSpan w:val="2"/>
            <w:tcBorders>
              <w:top w:val="single" w:sz="4" w:space="0" w:color="auto"/>
            </w:tcBorders>
            <w:shd w:val="clear" w:color="auto" w:fill="auto"/>
            <w:noWrap/>
            <w:vAlign w:val="center"/>
          </w:tcPr>
          <w:p w14:paraId="28560787" w14:textId="77777777" w:rsidR="00841DFD" w:rsidRPr="00963C49" w:rsidRDefault="00841DFD" w:rsidP="00911A46">
            <w:pPr>
              <w:pStyle w:val="BodyText"/>
              <w:spacing w:line="276" w:lineRule="auto"/>
              <w:jc w:val="both"/>
              <w:rPr>
                <w:rFonts w:ascii="Verdana" w:hAnsi="Verdana"/>
                <w:i/>
                <w:color w:val="auto"/>
                <w:sz w:val="17"/>
                <w:szCs w:val="17"/>
                <w:lang w:val="en-US"/>
              </w:rPr>
            </w:pPr>
            <w:proofErr w:type="spellStart"/>
            <w:r w:rsidRPr="00963C49">
              <w:rPr>
                <w:rFonts w:ascii="Verdana" w:hAnsi="Verdana"/>
                <w:i/>
                <w:color w:val="auto"/>
                <w:sz w:val="17"/>
                <w:szCs w:val="17"/>
                <w:lang w:val="en-US"/>
              </w:rPr>
              <w:t>P</w:t>
            </w:r>
            <w:r w:rsidRPr="00963C49">
              <w:rPr>
                <w:rFonts w:ascii="Arial" w:hAnsi="Arial" w:cs="Arial"/>
                <w:i/>
                <w:color w:val="auto"/>
                <w:sz w:val="17"/>
                <w:szCs w:val="17"/>
                <w:lang w:val="en-US"/>
              </w:rPr>
              <w:t>̅</w:t>
            </w:r>
            <w:r w:rsidRPr="00963C49">
              <w:rPr>
                <w:rFonts w:ascii="Verdana" w:hAnsi="Verdana"/>
                <w:i/>
                <w:color w:val="auto"/>
                <w:sz w:val="17"/>
                <w:szCs w:val="17"/>
                <w:vertAlign w:val="subscript"/>
                <w:lang w:val="en-US"/>
              </w:rPr>
              <w:t>i</w:t>
            </w:r>
            <w:proofErr w:type="spellEnd"/>
            <w:r w:rsidRPr="00963C49">
              <w:rPr>
                <w:rFonts w:ascii="Verdana" w:hAnsi="Verdana"/>
                <w:i/>
                <w:color w:val="auto"/>
                <w:sz w:val="17"/>
                <w:szCs w:val="17"/>
                <w:lang w:val="en-US"/>
              </w:rPr>
              <w:t xml:space="preserve"> represents the rank of score </w:t>
            </w:r>
            <w:proofErr w:type="spellStart"/>
            <w:r w:rsidRPr="00963C49">
              <w:rPr>
                <w:rFonts w:ascii="Verdana" w:hAnsi="Verdana"/>
                <w:i/>
                <w:color w:val="auto"/>
                <w:sz w:val="17"/>
                <w:szCs w:val="17"/>
                <w:lang w:val="en-US"/>
              </w:rPr>
              <w:t>i</w:t>
            </w:r>
            <w:proofErr w:type="spellEnd"/>
            <w:r w:rsidRPr="00963C49">
              <w:rPr>
                <w:rFonts w:ascii="Verdana" w:hAnsi="Verdana"/>
                <w:i/>
                <w:color w:val="auto"/>
                <w:sz w:val="17"/>
                <w:szCs w:val="17"/>
                <w:lang w:val="en-US"/>
              </w:rPr>
              <w:t xml:space="preserve"> within the given range of scores, where 1 means theoretically best and 0 means worst. </w:t>
            </w:r>
          </w:p>
        </w:tc>
      </w:tr>
    </w:tbl>
    <w:p w14:paraId="433E1CAD" w14:textId="77777777" w:rsidR="00841DFD" w:rsidRPr="00963C49" w:rsidRDefault="00841DFD" w:rsidP="00841DFD">
      <w:pPr>
        <w:spacing w:after="0" w:line="240" w:lineRule="auto"/>
        <w:jc w:val="both"/>
        <w:rPr>
          <w:rFonts w:ascii="Verdana" w:hAnsi="Verdana"/>
          <w:i/>
          <w:color w:val="auto"/>
          <w:sz w:val="17"/>
          <w:szCs w:val="17"/>
        </w:rPr>
      </w:pPr>
    </w:p>
    <w:p w14:paraId="40DEEABF" w14:textId="77777777" w:rsidR="00841DFD" w:rsidRPr="00963C49" w:rsidRDefault="00841DFD" w:rsidP="00841DFD">
      <w:pPr>
        <w:spacing w:after="0" w:line="240" w:lineRule="auto"/>
        <w:ind w:left="720" w:firstLine="720"/>
        <w:jc w:val="both"/>
        <w:rPr>
          <w:rFonts w:ascii="Verdana" w:hAnsi="Verdana"/>
          <w:i/>
          <w:color w:val="auto"/>
          <w:sz w:val="17"/>
          <w:szCs w:val="17"/>
        </w:rPr>
      </w:pPr>
      <w:r w:rsidRPr="00963C49">
        <w:rPr>
          <w:rFonts w:ascii="Verdana" w:hAnsi="Verdana"/>
          <w:i/>
          <w:color w:val="auto"/>
          <w:sz w:val="17"/>
          <w:szCs w:val="17"/>
        </w:rPr>
        <w:t xml:space="preserve">The only needed check that we add in this supplementary material is that: </w:t>
      </w:r>
    </w:p>
    <w:p w14:paraId="42E06951" w14:textId="77777777" w:rsidR="00841DFD" w:rsidRPr="00963C49" w:rsidRDefault="00841DFD" w:rsidP="00841DFD">
      <w:pPr>
        <w:spacing w:after="0" w:line="240" w:lineRule="auto"/>
        <w:jc w:val="both"/>
        <w:rPr>
          <w:rFonts w:ascii="Verdana" w:hAnsi="Verdana"/>
          <w:i/>
          <w:color w:val="auto"/>
          <w:sz w:val="17"/>
          <w:szCs w:val="17"/>
        </w:rPr>
      </w:pPr>
    </w:p>
    <w:tbl>
      <w:tblPr>
        <w:tblStyle w:val="TableGrid"/>
        <w:tblpPr w:leftFromText="180" w:rightFromText="180" w:vertAnchor="text" w:horzAnchor="margin" w:tblpY="-8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5"/>
        <w:gridCol w:w="8222"/>
        <w:gridCol w:w="725"/>
      </w:tblGrid>
      <w:tr w:rsidR="00841DFD" w:rsidRPr="00963C49" w14:paraId="4F442DDC" w14:textId="77777777" w:rsidTr="00911A46">
        <w:trPr>
          <w:trHeight w:val="318"/>
        </w:trPr>
        <w:tc>
          <w:tcPr>
            <w:tcW w:w="675" w:type="dxa"/>
          </w:tcPr>
          <w:p w14:paraId="363530A7" w14:textId="77777777" w:rsidR="00841DFD" w:rsidRPr="00963C49" w:rsidRDefault="00841DFD" w:rsidP="00911A46">
            <w:pPr>
              <w:spacing w:before="240"/>
              <w:jc w:val="both"/>
              <w:rPr>
                <w:rFonts w:ascii="Verdana" w:hAnsi="Verdana"/>
                <w:i/>
                <w:color w:val="auto"/>
                <w:sz w:val="17"/>
                <w:szCs w:val="17"/>
              </w:rPr>
            </w:pPr>
          </w:p>
        </w:tc>
        <w:tc>
          <w:tcPr>
            <w:tcW w:w="8222" w:type="dxa"/>
            <w:vAlign w:val="center"/>
          </w:tcPr>
          <w:p w14:paraId="3198438C" w14:textId="77777777" w:rsidR="00841DFD" w:rsidRPr="00963C49" w:rsidRDefault="00BD61D6" w:rsidP="00911A46">
            <w:pPr>
              <w:jc w:val="center"/>
              <w:rPr>
                <w:rFonts w:ascii="Verdana" w:hAnsi="Verdana"/>
                <w:i/>
                <w:color w:val="auto"/>
                <w:sz w:val="17"/>
                <w:szCs w:val="17"/>
              </w:rPr>
            </w:pPr>
            <m:oMathPara>
              <m:oMath>
                <m:f>
                  <m:fPr>
                    <m:ctrlPr>
                      <w:rPr>
                        <w:rFonts w:ascii="Cambria Math" w:eastAsiaTheme="minorEastAsia" w:hAnsi="Cambria Math"/>
                        <w:i/>
                        <w:color w:val="auto"/>
                        <w:sz w:val="17"/>
                        <w:szCs w:val="17"/>
                      </w:rPr>
                    </m:ctrlPr>
                  </m:fPr>
                  <m:num>
                    <m:r>
                      <w:rPr>
                        <w:rFonts w:ascii="Cambria Math" w:eastAsiaTheme="minorEastAsia" w:hAnsi="Cambria Math"/>
                        <w:color w:val="auto"/>
                        <w:sz w:val="17"/>
                        <w:szCs w:val="17"/>
                      </w:rPr>
                      <m:t>1</m:t>
                    </m:r>
                  </m:num>
                  <m:den>
                    <m:r>
                      <w:rPr>
                        <w:rFonts w:ascii="Cambria Math" w:eastAsiaTheme="minorEastAsia" w:hAnsi="Cambria Math"/>
                        <w:color w:val="auto"/>
                        <w:sz w:val="17"/>
                        <w:szCs w:val="17"/>
                      </w:rPr>
                      <m:t>nScores</m:t>
                    </m:r>
                  </m:den>
                </m:f>
                <m:nary>
                  <m:naryPr>
                    <m:chr m:val="∑"/>
                    <m:limLoc m:val="undOvr"/>
                    <m:ctrlPr>
                      <w:rPr>
                        <w:rFonts w:ascii="Cambria Math" w:eastAsiaTheme="minorEastAsia" w:hAnsi="Cambria Math"/>
                        <w:i/>
                        <w:color w:val="auto"/>
                        <w:sz w:val="17"/>
                        <w:szCs w:val="17"/>
                      </w:rPr>
                    </m:ctrlPr>
                  </m:naryPr>
                  <m:sub>
                    <m:r>
                      <w:rPr>
                        <w:rFonts w:ascii="Cambria Math" w:hAnsi="Cambria Math"/>
                        <w:color w:val="auto"/>
                        <w:sz w:val="17"/>
                        <w:szCs w:val="17"/>
                      </w:rPr>
                      <m:t>i=1</m:t>
                    </m:r>
                  </m:sub>
                  <m:sup>
                    <m:r>
                      <w:rPr>
                        <w:rFonts w:ascii="Cambria Math" w:eastAsiaTheme="minorEastAsia" w:hAnsi="Cambria Math"/>
                        <w:color w:val="auto"/>
                        <w:sz w:val="17"/>
                        <w:szCs w:val="17"/>
                      </w:rPr>
                      <m:t>nScores</m:t>
                    </m:r>
                  </m:sup>
                  <m:e>
                    <m:acc>
                      <m:accPr>
                        <m:chr m:val="̅"/>
                        <m:ctrlPr>
                          <w:rPr>
                            <w:rFonts w:ascii="Cambria Math" w:hAnsi="Cambria Math"/>
                            <w:i/>
                            <w:color w:val="auto"/>
                            <w:sz w:val="17"/>
                            <w:szCs w:val="17"/>
                          </w:rPr>
                        </m:ctrlPr>
                      </m:accPr>
                      <m:e>
                        <m:sSub>
                          <m:sSubPr>
                            <m:ctrlPr>
                              <w:rPr>
                                <w:rFonts w:ascii="Cambria Math" w:hAnsi="Cambria Math"/>
                                <w:i/>
                                <w:color w:val="auto"/>
                                <w:sz w:val="17"/>
                                <w:szCs w:val="17"/>
                              </w:rPr>
                            </m:ctrlPr>
                          </m:sSubPr>
                          <m:e>
                            <m:r>
                              <w:rPr>
                                <w:rFonts w:ascii="Cambria Math" w:hAnsi="Cambria Math"/>
                                <w:color w:val="auto"/>
                                <w:sz w:val="17"/>
                                <w:szCs w:val="17"/>
                              </w:rPr>
                              <m:t>P</m:t>
                            </m:r>
                          </m:e>
                          <m:sub>
                            <m:r>
                              <w:rPr>
                                <w:rFonts w:ascii="Cambria Math" w:hAnsi="Cambria Math"/>
                                <w:color w:val="auto"/>
                                <w:sz w:val="17"/>
                                <w:szCs w:val="17"/>
                              </w:rPr>
                              <m:t>i</m:t>
                            </m:r>
                          </m:sub>
                        </m:sSub>
                      </m:e>
                    </m:acc>
                  </m:e>
                </m:nary>
                <m:r>
                  <w:rPr>
                    <w:rFonts w:ascii="Cambria Math" w:hAnsi="Cambria Math"/>
                    <w:color w:val="auto"/>
                    <w:sz w:val="17"/>
                    <w:szCs w:val="17"/>
                  </w:rPr>
                  <m:t>=0.5</m:t>
                </m:r>
              </m:oMath>
            </m:oMathPara>
          </w:p>
        </w:tc>
        <w:tc>
          <w:tcPr>
            <w:tcW w:w="725" w:type="dxa"/>
            <w:vAlign w:val="center"/>
          </w:tcPr>
          <w:p w14:paraId="39641346" w14:textId="77777777" w:rsidR="00841DFD" w:rsidRPr="00963C49" w:rsidRDefault="00841DFD" w:rsidP="00911A46">
            <w:pPr>
              <w:spacing w:before="240"/>
              <w:jc w:val="right"/>
              <w:rPr>
                <w:rFonts w:ascii="Verdana" w:hAnsi="Verdana"/>
                <w:i/>
                <w:color w:val="auto"/>
                <w:sz w:val="17"/>
                <w:szCs w:val="17"/>
              </w:rPr>
            </w:pPr>
            <w:r w:rsidRPr="00963C49">
              <w:rPr>
                <w:rFonts w:ascii="Verdana" w:hAnsi="Verdana"/>
                <w:i/>
                <w:color w:val="auto"/>
                <w:sz w:val="17"/>
                <w:szCs w:val="17"/>
              </w:rPr>
              <w:fldChar w:fldCharType="begin"/>
            </w:r>
            <w:r w:rsidRPr="00963C49">
              <w:rPr>
                <w:rFonts w:ascii="Verdana" w:hAnsi="Verdana"/>
                <w:i/>
                <w:color w:val="auto"/>
                <w:sz w:val="17"/>
                <w:szCs w:val="17"/>
              </w:rPr>
              <w:instrText xml:space="preserve"> EQ </w:instrText>
            </w:r>
            <w:r w:rsidRPr="00963C49">
              <w:rPr>
                <w:rFonts w:ascii="Verdana" w:hAnsi="Verdana"/>
                <w:i/>
                <w:color w:val="auto"/>
                <w:sz w:val="17"/>
                <w:szCs w:val="17"/>
              </w:rPr>
              <w:fldChar w:fldCharType="end"/>
            </w:r>
            <w:r w:rsidRPr="00963C49">
              <w:rPr>
                <w:rFonts w:ascii="Verdana" w:hAnsi="Verdana"/>
                <w:i/>
                <w:color w:val="auto"/>
                <w:sz w:val="17"/>
                <w:szCs w:val="17"/>
              </w:rPr>
              <w:t>(</w:t>
            </w:r>
            <w:r w:rsidRPr="00963C49">
              <w:rPr>
                <w:rFonts w:ascii="Verdana" w:hAnsi="Verdana"/>
                <w:i/>
                <w:color w:val="auto"/>
                <w:sz w:val="17"/>
                <w:szCs w:val="17"/>
              </w:rPr>
              <w:fldChar w:fldCharType="begin"/>
            </w:r>
            <w:r w:rsidRPr="00963C49">
              <w:rPr>
                <w:rFonts w:ascii="Verdana" w:hAnsi="Verdana"/>
                <w:i/>
                <w:color w:val="auto"/>
                <w:sz w:val="17"/>
                <w:szCs w:val="17"/>
              </w:rPr>
              <w:instrText xml:space="preserve"> EQ </w:instrText>
            </w:r>
            <w:r w:rsidRPr="00963C49">
              <w:rPr>
                <w:rFonts w:ascii="Verdana" w:hAnsi="Verdana"/>
                <w:i/>
                <w:color w:val="auto"/>
                <w:sz w:val="17"/>
                <w:szCs w:val="17"/>
              </w:rPr>
              <w:fldChar w:fldCharType="end"/>
            </w:r>
            <w:r w:rsidRPr="00963C49">
              <w:rPr>
                <w:rFonts w:ascii="Verdana" w:hAnsi="Verdana"/>
                <w:i/>
                <w:color w:val="auto"/>
                <w:sz w:val="17"/>
                <w:szCs w:val="17"/>
              </w:rPr>
              <w:fldChar w:fldCharType="begin"/>
            </w:r>
            <w:r w:rsidRPr="00963C49">
              <w:rPr>
                <w:rFonts w:ascii="Verdana" w:hAnsi="Verdana"/>
                <w:i/>
                <w:color w:val="auto"/>
                <w:sz w:val="17"/>
                <w:szCs w:val="17"/>
              </w:rPr>
              <w:instrText xml:space="preserve"> SEQ Eq  \* MERGEFORMAT </w:instrText>
            </w:r>
            <w:r w:rsidRPr="00963C49">
              <w:rPr>
                <w:rFonts w:ascii="Verdana" w:hAnsi="Verdana"/>
                <w:i/>
                <w:color w:val="auto"/>
                <w:sz w:val="17"/>
                <w:szCs w:val="17"/>
              </w:rPr>
              <w:fldChar w:fldCharType="separate"/>
            </w:r>
            <w:r w:rsidR="001A1BC1">
              <w:rPr>
                <w:rFonts w:ascii="Verdana" w:hAnsi="Verdana"/>
                <w:i/>
                <w:noProof/>
                <w:color w:val="auto"/>
                <w:sz w:val="17"/>
                <w:szCs w:val="17"/>
              </w:rPr>
              <w:t>7</w:t>
            </w:r>
            <w:r w:rsidRPr="00963C49">
              <w:rPr>
                <w:rFonts w:ascii="Verdana" w:hAnsi="Verdana"/>
                <w:i/>
                <w:noProof/>
                <w:color w:val="auto"/>
                <w:sz w:val="17"/>
                <w:szCs w:val="17"/>
              </w:rPr>
              <w:fldChar w:fldCharType="end"/>
            </w:r>
            <w:r w:rsidRPr="00963C49">
              <w:rPr>
                <w:rFonts w:ascii="Verdana" w:hAnsi="Verdana"/>
                <w:i/>
                <w:color w:val="auto"/>
                <w:sz w:val="17"/>
                <w:szCs w:val="17"/>
              </w:rPr>
              <w:t>)</w:t>
            </w:r>
          </w:p>
        </w:tc>
      </w:tr>
      <w:tr w:rsidR="00841DFD" w:rsidRPr="00963C49" w14:paraId="45B1EA52" w14:textId="77777777" w:rsidTr="00911A46">
        <w:trPr>
          <w:trHeight w:val="318"/>
        </w:trPr>
        <w:tc>
          <w:tcPr>
            <w:tcW w:w="675" w:type="dxa"/>
          </w:tcPr>
          <w:p w14:paraId="05A02B11" w14:textId="77777777" w:rsidR="00841DFD" w:rsidRPr="00963C49" w:rsidRDefault="00841DFD" w:rsidP="00911A46">
            <w:pPr>
              <w:spacing w:before="240"/>
              <w:jc w:val="both"/>
              <w:rPr>
                <w:rFonts w:ascii="Verdana" w:hAnsi="Verdana"/>
                <w:i/>
                <w:color w:val="auto"/>
                <w:sz w:val="17"/>
                <w:szCs w:val="17"/>
              </w:rPr>
            </w:pPr>
          </w:p>
        </w:tc>
        <w:tc>
          <w:tcPr>
            <w:tcW w:w="8222" w:type="dxa"/>
            <w:vAlign w:val="center"/>
          </w:tcPr>
          <w:p w14:paraId="6CA0CBFE" w14:textId="77777777" w:rsidR="00841DFD" w:rsidRPr="00963C49" w:rsidRDefault="00841DFD" w:rsidP="00911A46">
            <w:pPr>
              <w:rPr>
                <w:rFonts w:ascii="Verdana" w:hAnsi="Verdana"/>
                <w:i/>
                <w:color w:val="auto"/>
                <w:sz w:val="17"/>
                <w:szCs w:val="17"/>
              </w:rPr>
            </w:pPr>
          </w:p>
          <w:p w14:paraId="6FBEBE8A" w14:textId="77777777" w:rsidR="00841DFD" w:rsidRPr="00963C49" w:rsidRDefault="00841DFD" w:rsidP="00911A46">
            <w:pPr>
              <w:rPr>
                <w:rFonts w:ascii="Verdana" w:hAnsi="Verdana"/>
                <w:i/>
                <w:color w:val="auto"/>
                <w:sz w:val="17"/>
                <w:szCs w:val="17"/>
              </w:rPr>
            </w:pPr>
          </w:p>
        </w:tc>
        <w:tc>
          <w:tcPr>
            <w:tcW w:w="725" w:type="dxa"/>
            <w:vAlign w:val="center"/>
          </w:tcPr>
          <w:p w14:paraId="03A0AA4C" w14:textId="77777777" w:rsidR="00841DFD" w:rsidRPr="00963C49" w:rsidRDefault="00841DFD" w:rsidP="00911A46">
            <w:pPr>
              <w:spacing w:before="240"/>
              <w:jc w:val="right"/>
              <w:rPr>
                <w:rFonts w:ascii="Verdana" w:hAnsi="Verdana"/>
                <w:i/>
                <w:color w:val="auto"/>
                <w:sz w:val="17"/>
                <w:szCs w:val="17"/>
              </w:rPr>
            </w:pPr>
          </w:p>
        </w:tc>
      </w:tr>
    </w:tbl>
    <w:p w14:paraId="557714EB" w14:textId="77777777" w:rsidR="00841DFD" w:rsidRDefault="00841DFD" w:rsidP="00841DFD">
      <w:pPr>
        <w:jc w:val="both"/>
      </w:pPr>
    </w:p>
    <w:p w14:paraId="546A6000" w14:textId="77777777" w:rsidR="00841DFD" w:rsidRDefault="00841DFD" w:rsidP="00841DFD">
      <w:pPr>
        <w:jc w:val="both"/>
      </w:pPr>
    </w:p>
    <w:p w14:paraId="0FF1B7AB" w14:textId="77777777" w:rsidR="00841DFD" w:rsidRDefault="00841DFD" w:rsidP="00841DFD">
      <w:pPr>
        <w:jc w:val="both"/>
      </w:pPr>
    </w:p>
    <w:p w14:paraId="471FE287" w14:textId="77777777" w:rsidR="00841DFD" w:rsidRDefault="00841DFD" w:rsidP="00841DFD">
      <w:pPr>
        <w:jc w:val="both"/>
      </w:pPr>
    </w:p>
    <w:p w14:paraId="2D4232DB" w14:textId="77777777" w:rsidR="00342E07" w:rsidRDefault="00841DFD">
      <w:pPr>
        <w:pStyle w:val="Heading1"/>
        <w:rPr>
          <w:highlight w:val="white"/>
        </w:rPr>
      </w:pPr>
      <w:r w:rsidRPr="00963C49">
        <w:rPr>
          <w:rFonts w:ascii="Verdana" w:hAnsi="Verdana"/>
          <w:sz w:val="17"/>
          <w:szCs w:val="17"/>
        </w:rPr>
        <w:br/>
      </w:r>
      <w:bookmarkStart w:id="196" w:name="_Toc373597622"/>
      <w:r w:rsidR="005356A1">
        <w:rPr>
          <w:highlight w:val="white"/>
        </w:rPr>
        <w:t>CORRELATIONS AMONG SCORES</w:t>
      </w:r>
      <w:bookmarkEnd w:id="196"/>
    </w:p>
    <w:p w14:paraId="5FA5BEEB" w14:textId="77777777" w:rsidR="00342E07" w:rsidRDefault="00342E07">
      <w:pPr>
        <w:jc w:val="both"/>
      </w:pPr>
    </w:p>
    <w:p w14:paraId="749A2285" w14:textId="77777777" w:rsidR="00342E07" w:rsidRDefault="005356A1">
      <w:pPr>
        <w:jc w:val="both"/>
      </w:pPr>
      <w:r>
        <w:t>Plot showing the correlation among the performance among scores.</w:t>
      </w:r>
    </w:p>
    <w:p w14:paraId="582B50C2" w14:textId="77777777" w:rsidR="00342E07" w:rsidRDefault="00342E07">
      <w:pPr>
        <w:rPr>
          <w:lang w:val="en-GB"/>
        </w:rPr>
      </w:pPr>
    </w:p>
    <w:p w14:paraId="10C619D7" w14:textId="77777777" w:rsidR="00342E07" w:rsidRPr="003A6033" w:rsidRDefault="00911A46">
      <w:pPr>
        <w:spacing w:after="0" w:line="240" w:lineRule="auto"/>
        <w:jc w:val="both"/>
        <w:rPr>
          <w:rFonts w:asciiTheme="minorHAnsi" w:hAnsiTheme="minorHAnsi"/>
        </w:rPr>
      </w:pPr>
      <w:r w:rsidRPr="003A6033">
        <w:rPr>
          <w:rFonts w:asciiTheme="minorHAnsi" w:hAnsiTheme="minorHAnsi"/>
        </w:rPr>
        <w:object w:dxaOrig="15" w:dyaOrig="15" w14:anchorId="36F60CAA">
          <v:shape id="ole_rId21" o:spid="_x0000_i1025" style="width:28.35pt;height:28.35pt;mso-left-percent:-10001;mso-top-percent:-10001;mso-position-horizontal:absolute;mso-position-horizontal-relative:char;mso-position-vertical:absolute;mso-position-vertical-relative:line;mso-left-percent:-10001;mso-top-percent:-10001" coordsize="" o:spt="100" adj="0,,0" path="" stroked="f">
            <v:stroke joinstyle="miter"/>
            <v:imagedata r:id="rId27" o:title=""/>
            <v:formulas/>
            <v:path o:connecttype="segments"/>
          </v:shape>
          <o:OLEObject Type="Embed" ProgID="AcroExch.Document.7" ShapeID="ole_rId21" DrawAspect="Content" ObjectID="_1574122152" r:id="rId28"/>
        </w:object>
      </w:r>
      <w:r w:rsidR="005356A1" w:rsidRPr="003A6033">
        <w:rPr>
          <w:rFonts w:asciiTheme="minorHAnsi" w:hAnsiTheme="minorHAnsi" w:cs="Courier New"/>
          <w:color w:val="000000"/>
          <w:spacing w:val="-20"/>
          <w:highlight w:val="white"/>
        </w:rPr>
        <w:t>A for ADO, B for any of the BODE variants, G for GOLD, and</w:t>
      </w:r>
      <w:proofErr w:type="gramStart"/>
      <w:r w:rsidR="005356A1" w:rsidRPr="003A6033">
        <w:rPr>
          <w:rStyle w:val="apple-converted-space"/>
          <w:rFonts w:asciiTheme="minorHAnsi" w:hAnsiTheme="minorHAnsi" w:cs="Courier New"/>
          <w:color w:val="000000"/>
          <w:spacing w:val="-20"/>
          <w:highlight w:val="white"/>
        </w:rPr>
        <w:t xml:space="preserve">  </w:t>
      </w:r>
      <w:r w:rsidR="005356A1" w:rsidRPr="003A6033">
        <w:rPr>
          <w:rFonts w:asciiTheme="minorHAnsi" w:hAnsiTheme="minorHAnsi" w:cs="Courier New"/>
          <w:color w:val="000000"/>
          <w:spacing w:val="-20"/>
          <w:highlight w:val="white"/>
        </w:rPr>
        <w:t>O</w:t>
      </w:r>
      <w:proofErr w:type="gramEnd"/>
      <w:r w:rsidR="005356A1" w:rsidRPr="003A6033">
        <w:rPr>
          <w:rFonts w:asciiTheme="minorHAnsi" w:hAnsiTheme="minorHAnsi" w:cs="Courier New"/>
          <w:color w:val="000000"/>
          <w:spacing w:val="-20"/>
          <w:highlight w:val="white"/>
        </w:rPr>
        <w:t xml:space="preserve"> for the others (SAFE, DOSE, BAED). So, AB below means ADO compared</w:t>
      </w:r>
      <w:r w:rsidR="005356A1" w:rsidRPr="003A6033">
        <w:rPr>
          <w:rStyle w:val="apple-converted-space"/>
          <w:rFonts w:asciiTheme="minorHAnsi" w:hAnsiTheme="minorHAnsi" w:cs="Courier New"/>
          <w:color w:val="000000"/>
          <w:spacing w:val="-20"/>
          <w:highlight w:val="white"/>
        </w:rPr>
        <w:t> </w:t>
      </w:r>
      <w:r w:rsidR="005356A1" w:rsidRPr="003A6033">
        <w:rPr>
          <w:rFonts w:asciiTheme="minorHAnsi" w:hAnsiTheme="minorHAnsi" w:cs="Courier New"/>
          <w:color w:val="000000"/>
          <w:spacing w:val="-20"/>
          <w:highlight w:val="white"/>
        </w:rPr>
        <w:t>with any of the four BODE scores. B only means comparisons among the</w:t>
      </w:r>
      <w:proofErr w:type="gramStart"/>
      <w:r w:rsidR="005356A1" w:rsidRPr="003A6033">
        <w:rPr>
          <w:rStyle w:val="apple-converted-space"/>
          <w:rFonts w:asciiTheme="minorHAnsi" w:hAnsiTheme="minorHAnsi" w:cs="Courier New"/>
          <w:color w:val="000000"/>
          <w:spacing w:val="-20"/>
          <w:highlight w:val="white"/>
        </w:rPr>
        <w:t xml:space="preserve">  </w:t>
      </w:r>
      <w:r w:rsidR="005356A1" w:rsidRPr="003A6033">
        <w:rPr>
          <w:rFonts w:asciiTheme="minorHAnsi" w:hAnsiTheme="minorHAnsi" w:cs="Courier New"/>
          <w:color w:val="000000"/>
          <w:spacing w:val="-20"/>
          <w:highlight w:val="white"/>
        </w:rPr>
        <w:t>BODE</w:t>
      </w:r>
      <w:proofErr w:type="gramEnd"/>
      <w:r w:rsidR="005356A1" w:rsidRPr="003A6033">
        <w:rPr>
          <w:rFonts w:asciiTheme="minorHAnsi" w:hAnsiTheme="minorHAnsi" w:cs="Courier New"/>
          <w:color w:val="000000"/>
          <w:spacing w:val="-20"/>
          <w:highlight w:val="white"/>
        </w:rPr>
        <w:t xml:space="preserve"> variants, and O alone means comparisons among the other scores.</w:t>
      </w:r>
      <w:r w:rsidR="005356A1" w:rsidRPr="003A6033">
        <w:rPr>
          <w:rFonts w:asciiTheme="minorHAnsi" w:hAnsiTheme="minorHAnsi" w:cs="Courier New"/>
          <w:color w:val="000000"/>
          <w:spacing w:val="-20"/>
        </w:rPr>
        <w:t xml:space="preserve">  </w:t>
      </w:r>
      <w:r w:rsidR="005356A1" w:rsidRPr="003A6033">
        <w:rPr>
          <w:rFonts w:asciiTheme="minorHAnsi" w:hAnsiTheme="minorHAnsi" w:cs="Courier New"/>
          <w:color w:val="000000"/>
          <w:spacing w:val="-20"/>
          <w:highlight w:val="white"/>
        </w:rPr>
        <w:t>Median correlation was 0.67, but the IQR was relatively wide (0.54 -</w:t>
      </w:r>
      <w:proofErr w:type="gramStart"/>
      <w:r w:rsidR="005356A1" w:rsidRPr="003A6033">
        <w:rPr>
          <w:rStyle w:val="apple-converted-space"/>
          <w:rFonts w:asciiTheme="minorHAnsi" w:hAnsiTheme="minorHAnsi" w:cs="Courier New"/>
          <w:color w:val="000000"/>
          <w:spacing w:val="-20"/>
          <w:highlight w:val="white"/>
        </w:rPr>
        <w:t xml:space="preserve">  </w:t>
      </w:r>
      <w:r w:rsidR="005356A1" w:rsidRPr="003A6033">
        <w:rPr>
          <w:rFonts w:asciiTheme="minorHAnsi" w:hAnsiTheme="minorHAnsi" w:cs="Courier New"/>
          <w:color w:val="000000"/>
          <w:spacing w:val="-20"/>
          <w:highlight w:val="white"/>
        </w:rPr>
        <w:t>0.78</w:t>
      </w:r>
      <w:proofErr w:type="gramEnd"/>
      <w:r w:rsidR="005356A1" w:rsidRPr="003A6033">
        <w:rPr>
          <w:rFonts w:asciiTheme="minorHAnsi" w:hAnsiTheme="minorHAnsi" w:cs="Courier New"/>
          <w:color w:val="000000"/>
          <w:spacing w:val="-20"/>
          <w:highlight w:val="white"/>
        </w:rPr>
        <w:t>). One correlation was even negative (DOSE vs ADO in the largest</w:t>
      </w:r>
      <w:proofErr w:type="gramStart"/>
      <w:r w:rsidR="005356A1" w:rsidRPr="003A6033">
        <w:rPr>
          <w:rStyle w:val="apple-converted-space"/>
          <w:rFonts w:asciiTheme="minorHAnsi" w:hAnsiTheme="minorHAnsi" w:cs="Courier New"/>
          <w:color w:val="000000"/>
          <w:spacing w:val="-20"/>
          <w:highlight w:val="white"/>
        </w:rPr>
        <w:t xml:space="preserve">  </w:t>
      </w:r>
      <w:r w:rsidR="005356A1" w:rsidRPr="003A6033">
        <w:rPr>
          <w:rFonts w:asciiTheme="minorHAnsi" w:hAnsiTheme="minorHAnsi" w:cs="Courier New"/>
          <w:color w:val="000000"/>
          <w:spacing w:val="-20"/>
          <w:highlight w:val="white"/>
        </w:rPr>
        <w:t>group</w:t>
      </w:r>
      <w:proofErr w:type="gramEnd"/>
      <w:r w:rsidR="005356A1" w:rsidRPr="003A6033">
        <w:rPr>
          <w:rFonts w:asciiTheme="minorHAnsi" w:hAnsiTheme="minorHAnsi" w:cs="Courier New"/>
          <w:color w:val="000000"/>
          <w:spacing w:val="-20"/>
          <w:highlight w:val="white"/>
        </w:rPr>
        <w:t>). Sorting by the scores compared, lowest correlation was between</w:t>
      </w:r>
      <w:proofErr w:type="gramStart"/>
      <w:r w:rsidR="005356A1" w:rsidRPr="003A6033">
        <w:rPr>
          <w:rStyle w:val="apple-converted-space"/>
          <w:rFonts w:asciiTheme="minorHAnsi" w:hAnsiTheme="minorHAnsi" w:cs="Courier New"/>
          <w:color w:val="000000"/>
          <w:spacing w:val="-20"/>
          <w:highlight w:val="white"/>
        </w:rPr>
        <w:t xml:space="preserve">  </w:t>
      </w:r>
      <w:r w:rsidR="005356A1" w:rsidRPr="003A6033">
        <w:rPr>
          <w:rFonts w:asciiTheme="minorHAnsi" w:hAnsiTheme="minorHAnsi" w:cs="Courier New"/>
          <w:color w:val="000000"/>
          <w:spacing w:val="-20"/>
          <w:highlight w:val="white"/>
        </w:rPr>
        <w:t>ADO</w:t>
      </w:r>
      <w:proofErr w:type="gramEnd"/>
      <w:r w:rsidR="005356A1" w:rsidRPr="003A6033">
        <w:rPr>
          <w:rFonts w:asciiTheme="minorHAnsi" w:hAnsiTheme="minorHAnsi" w:cs="Courier New"/>
          <w:color w:val="000000"/>
          <w:spacing w:val="-20"/>
          <w:highlight w:val="white"/>
        </w:rPr>
        <w:t xml:space="preserve"> and other scores, but even that was often above 0.5. Highest</w:t>
      </w:r>
      <w:proofErr w:type="gramStart"/>
      <w:r w:rsidR="005356A1" w:rsidRPr="003A6033">
        <w:rPr>
          <w:rStyle w:val="apple-converted-space"/>
          <w:rFonts w:asciiTheme="minorHAnsi" w:hAnsiTheme="minorHAnsi" w:cs="Courier New"/>
          <w:color w:val="000000"/>
          <w:spacing w:val="-20"/>
          <w:highlight w:val="white"/>
        </w:rPr>
        <w:t xml:space="preserve">  </w:t>
      </w:r>
      <w:r w:rsidR="005356A1" w:rsidRPr="003A6033">
        <w:rPr>
          <w:rFonts w:asciiTheme="minorHAnsi" w:hAnsiTheme="minorHAnsi" w:cs="Courier New"/>
          <w:color w:val="000000"/>
          <w:spacing w:val="-20"/>
          <w:highlight w:val="white"/>
        </w:rPr>
        <w:t>correlation</w:t>
      </w:r>
      <w:proofErr w:type="gramEnd"/>
      <w:r w:rsidR="005356A1" w:rsidRPr="003A6033">
        <w:rPr>
          <w:rFonts w:asciiTheme="minorHAnsi" w:hAnsiTheme="minorHAnsi" w:cs="Courier New"/>
          <w:color w:val="000000"/>
          <w:spacing w:val="-20"/>
          <w:highlight w:val="white"/>
        </w:rPr>
        <w:t xml:space="preserve"> was (as we expected) between the BODE variants (the box on the extreme right), with median</w:t>
      </w:r>
      <w:r w:rsidR="005356A1" w:rsidRPr="003A6033">
        <w:rPr>
          <w:rStyle w:val="apple-converted-space"/>
          <w:rFonts w:asciiTheme="minorHAnsi" w:hAnsiTheme="minorHAnsi" w:cs="Courier New"/>
          <w:color w:val="000000"/>
          <w:spacing w:val="-20"/>
          <w:highlight w:val="white"/>
        </w:rPr>
        <w:t xml:space="preserve">  </w:t>
      </w:r>
      <w:r w:rsidR="005356A1" w:rsidRPr="003A6033">
        <w:rPr>
          <w:rFonts w:asciiTheme="minorHAnsi" w:hAnsiTheme="minorHAnsi" w:cs="Courier New"/>
          <w:color w:val="000000"/>
          <w:spacing w:val="-20"/>
          <w:highlight w:val="white"/>
        </w:rPr>
        <w:t>correlation 0.83, with IQR 0.77 - 0.92.</w:t>
      </w:r>
    </w:p>
    <w:p w14:paraId="1ADA0E25" w14:textId="77777777" w:rsidR="00342E07" w:rsidRDefault="00342E07">
      <w:pPr>
        <w:pStyle w:val="BodyText"/>
        <w:spacing w:after="170" w:line="480" w:lineRule="auto"/>
        <w:rPr>
          <w:rFonts w:ascii="Arial" w:hAnsi="Arial"/>
          <w:color w:val="000000"/>
          <w:lang w:val="en-US"/>
        </w:rPr>
      </w:pPr>
    </w:p>
    <w:p w14:paraId="3A5D6E65" w14:textId="77777777" w:rsidR="00342E07" w:rsidRDefault="005356A1">
      <w:pPr>
        <w:pStyle w:val="BodyText"/>
        <w:spacing w:after="170" w:line="276" w:lineRule="auto"/>
        <w:rPr>
          <w:rFonts w:ascii="Calibri" w:hAnsi="Calibri"/>
          <w:color w:val="000000"/>
          <w:sz w:val="22"/>
          <w:szCs w:val="22"/>
          <w:lang w:val="en-US"/>
        </w:rPr>
      </w:pPr>
      <w:r>
        <w:rPr>
          <w:rFonts w:ascii="Calibri" w:hAnsi="Calibri"/>
          <w:color w:val="000000"/>
          <w:sz w:val="22"/>
          <w:szCs w:val="22"/>
          <w:lang w:val="en-US"/>
        </w:rPr>
        <w:t xml:space="preserve">It is to note (expected and intuitive) the strong correlation among some of the scores. Indeed, for instance, the biggest correlation is among the scores originated by the BODE score /(BODE, BODE update, </w:t>
      </w:r>
      <w:proofErr w:type="spellStart"/>
      <w:r>
        <w:rPr>
          <w:rFonts w:ascii="Calibri" w:hAnsi="Calibri"/>
          <w:color w:val="000000"/>
          <w:sz w:val="22"/>
          <w:szCs w:val="22"/>
          <w:lang w:val="en-US"/>
        </w:rPr>
        <w:t>eBODE</w:t>
      </w:r>
      <w:proofErr w:type="spellEnd"/>
      <w:r>
        <w:rPr>
          <w:rFonts w:ascii="Calibri" w:hAnsi="Calibri"/>
          <w:color w:val="000000"/>
          <w:sz w:val="22"/>
          <w:szCs w:val="22"/>
          <w:lang w:val="en-US"/>
        </w:rPr>
        <w:t xml:space="preserve">, </w:t>
      </w:r>
      <w:proofErr w:type="spellStart"/>
      <w:r>
        <w:rPr>
          <w:rFonts w:ascii="Calibri" w:hAnsi="Calibri"/>
          <w:color w:val="000000"/>
          <w:sz w:val="22"/>
          <w:szCs w:val="22"/>
          <w:lang w:val="en-US"/>
        </w:rPr>
        <w:t>BODEx</w:t>
      </w:r>
      <w:proofErr w:type="spellEnd"/>
      <w:r>
        <w:rPr>
          <w:rFonts w:ascii="Calibri" w:hAnsi="Calibri"/>
          <w:color w:val="000000"/>
          <w:sz w:val="22"/>
          <w:szCs w:val="22"/>
          <w:lang w:val="en-US"/>
        </w:rPr>
        <w:t>).</w:t>
      </w:r>
    </w:p>
    <w:p w14:paraId="2D60E113" w14:textId="77777777" w:rsidR="00342E07" w:rsidRDefault="00342E07">
      <w:pPr>
        <w:pStyle w:val="BodyText"/>
        <w:spacing w:after="170" w:line="276" w:lineRule="auto"/>
        <w:rPr>
          <w:rFonts w:ascii="Calibri" w:hAnsi="Calibri"/>
          <w:color w:val="000000"/>
          <w:sz w:val="22"/>
          <w:szCs w:val="22"/>
          <w:lang w:val="en-US"/>
        </w:rPr>
      </w:pPr>
    </w:p>
    <w:p w14:paraId="78A75B35" w14:textId="77777777" w:rsidR="00342E07" w:rsidRDefault="005356A1">
      <w:pPr>
        <w:pStyle w:val="Heading1"/>
        <w:rPr>
          <w:highlight w:val="white"/>
        </w:rPr>
      </w:pPr>
      <w:bookmarkStart w:id="197" w:name="_Toc488490643"/>
      <w:bookmarkStart w:id="198" w:name="_Toc373597623"/>
      <w:bookmarkEnd w:id="197"/>
      <w:r>
        <w:rPr>
          <w:highlight w:val="white"/>
        </w:rPr>
        <w:t>SCORES</w:t>
      </w:r>
      <w:bookmarkEnd w:id="198"/>
    </w:p>
    <w:p w14:paraId="47630121" w14:textId="77777777" w:rsidR="00342E07" w:rsidRDefault="00342E07"/>
    <w:tbl>
      <w:tblPr>
        <w:tblW w:w="10713" w:type="dxa"/>
        <w:jc w:val="center"/>
        <w:tblBorders>
          <w:top w:val="single" w:sz="4" w:space="0" w:color="00000A"/>
        </w:tblBorders>
        <w:tblCellMar>
          <w:left w:w="122" w:type="dxa"/>
        </w:tblCellMar>
        <w:tblLook w:val="04A0" w:firstRow="1" w:lastRow="0" w:firstColumn="1" w:lastColumn="0" w:noHBand="0" w:noVBand="1"/>
      </w:tblPr>
      <w:tblGrid>
        <w:gridCol w:w="1273"/>
        <w:gridCol w:w="946"/>
        <w:gridCol w:w="944"/>
        <w:gridCol w:w="944"/>
        <w:gridCol w:w="942"/>
        <w:gridCol w:w="944"/>
        <w:gridCol w:w="944"/>
        <w:gridCol w:w="944"/>
        <w:gridCol w:w="944"/>
        <w:gridCol w:w="942"/>
        <w:gridCol w:w="946"/>
      </w:tblGrid>
      <w:tr w:rsidR="00342E07" w14:paraId="7AAB02C0" w14:textId="77777777">
        <w:trPr>
          <w:trHeight w:val="332"/>
          <w:jc w:val="center"/>
        </w:trPr>
        <w:tc>
          <w:tcPr>
            <w:tcW w:w="10711" w:type="dxa"/>
            <w:gridSpan w:val="11"/>
            <w:tcBorders>
              <w:top w:val="single" w:sz="4" w:space="0" w:color="00000A"/>
            </w:tcBorders>
            <w:shd w:val="clear" w:color="auto" w:fill="auto"/>
          </w:tcPr>
          <w:p w14:paraId="3C2F3903" w14:textId="77777777" w:rsidR="00342E07" w:rsidRDefault="005356A1">
            <w:pPr>
              <w:pStyle w:val="Caption"/>
              <w:spacing w:after="0"/>
              <w:rPr>
                <w:color w:val="00000A"/>
                <w:sz w:val="22"/>
                <w:szCs w:val="22"/>
              </w:rPr>
            </w:pPr>
            <w:r>
              <w:rPr>
                <w:color w:val="00000A"/>
                <w:sz w:val="22"/>
                <w:szCs w:val="22"/>
              </w:rPr>
              <w:t>Scoring rules of COPD multicomponent scores that we have validated in our study</w:t>
            </w:r>
          </w:p>
        </w:tc>
      </w:tr>
      <w:tr w:rsidR="00342E07" w14:paraId="143AAF00" w14:textId="77777777">
        <w:trPr>
          <w:trHeight w:val="1078"/>
          <w:jc w:val="center"/>
        </w:trPr>
        <w:tc>
          <w:tcPr>
            <w:tcW w:w="1272" w:type="dxa"/>
            <w:shd w:val="clear" w:color="auto" w:fill="BFBFBF"/>
          </w:tcPr>
          <w:p w14:paraId="0D9577B7" w14:textId="77777777" w:rsidR="00342E07" w:rsidRDefault="005356A1">
            <w:pPr>
              <w:spacing w:after="0" w:line="240" w:lineRule="auto"/>
              <w:jc w:val="right"/>
              <w:rPr>
                <w:rFonts w:eastAsia="Times New Roman" w:cs="Arial"/>
                <w:b/>
                <w:color w:val="222222"/>
                <w:sz w:val="18"/>
                <w:szCs w:val="18"/>
              </w:rPr>
            </w:pPr>
            <w:r>
              <w:rPr>
                <w:rFonts w:eastAsia="Times New Roman" w:cs="Arial"/>
                <w:b/>
                <w:color w:val="222222"/>
                <w:sz w:val="18"/>
                <w:szCs w:val="18"/>
              </w:rPr>
              <w:t xml:space="preserve">                  Score</w:t>
            </w:r>
          </w:p>
          <w:p w14:paraId="3A1E539D" w14:textId="77777777" w:rsidR="00342E07" w:rsidRDefault="005356A1">
            <w:pPr>
              <w:spacing w:after="0" w:line="240" w:lineRule="auto"/>
              <w:rPr>
                <w:rFonts w:eastAsia="Times New Roman" w:cs="Arial"/>
                <w:b/>
                <w:color w:val="222222"/>
                <w:sz w:val="18"/>
                <w:szCs w:val="18"/>
              </w:rPr>
            </w:pPr>
            <w:r>
              <w:rPr>
                <w:rFonts w:eastAsia="Times New Roman" w:cs="Arial"/>
                <w:b/>
                <w:color w:val="222222"/>
                <w:sz w:val="18"/>
                <w:szCs w:val="18"/>
              </w:rPr>
              <w:t>Predictor</w:t>
            </w:r>
          </w:p>
        </w:tc>
        <w:tc>
          <w:tcPr>
            <w:tcW w:w="945" w:type="dxa"/>
            <w:shd w:val="clear" w:color="auto" w:fill="BFBFBF"/>
          </w:tcPr>
          <w:p w14:paraId="387A875A" w14:textId="77777777" w:rsidR="00342E07" w:rsidRDefault="00342E07">
            <w:pPr>
              <w:spacing w:after="0" w:line="240" w:lineRule="auto"/>
              <w:jc w:val="center"/>
              <w:rPr>
                <w:rFonts w:eastAsia="Times New Roman" w:cs="Arial"/>
                <w:b/>
                <w:sz w:val="16"/>
                <w:szCs w:val="16"/>
              </w:rPr>
            </w:pPr>
          </w:p>
          <w:p w14:paraId="4FA74EF4" w14:textId="77777777" w:rsidR="00342E07" w:rsidRDefault="005356A1">
            <w:pPr>
              <w:spacing w:after="0" w:line="240" w:lineRule="auto"/>
              <w:jc w:val="center"/>
              <w:rPr>
                <w:rFonts w:eastAsia="Times New Roman" w:cs="Arial"/>
                <w:b/>
                <w:sz w:val="16"/>
                <w:szCs w:val="16"/>
              </w:rPr>
            </w:pPr>
            <w:r>
              <w:rPr>
                <w:rFonts w:eastAsia="Times New Roman" w:cs="Arial"/>
                <w:b/>
                <w:sz w:val="16"/>
                <w:szCs w:val="16"/>
              </w:rPr>
              <w:t>GOLD</w:t>
            </w:r>
          </w:p>
          <w:p w14:paraId="608CB683" w14:textId="77777777" w:rsidR="00342E07" w:rsidRDefault="005356A1">
            <w:pPr>
              <w:spacing w:after="0" w:line="240" w:lineRule="auto"/>
              <w:jc w:val="center"/>
            </w:pPr>
            <w:r>
              <w:fldChar w:fldCharType="begin" w:fldLock="1"/>
            </w:r>
            <w:r>
              <w:instrText>ADDIN CSL_CITATION { "citationItems" : [ { "id" : "ITEM-1", "itemData" : { "author" : [ { "dropping-particle" : "", "family" : "Decramer", "given" : "Marc", "non-dropping-particle" : "", "parse-names" : false, "suffix" : "" }, { "dropping-particle" : "", "family" : "Vogelmeier", "given" : "Claus", "non-dropping-particle" : "", "parse-names" : false, "suffix" : "" }, { "dropping-particle" : "", "family" : "Agust\u00ed", "given" : "Alvar G.", "non-dropping-particle" : "", "parse-names" : false, "suffix" : "" }, { "dropping-particle" : "", "family" : "Bourbeau", "given" : "Jean", "non-dropping-particle" : "", "parse-names" : false, "suffix" : "" }, { "dropping-particle" : "", "family" : "Celli", "given" : "Bartolome R.", "non-dropping-particle" : "", "parse-names" : false, "suffix" : "" }, { "dropping-particle" : "", "family" : "Chen", "given" : "Rongchang", "non-dropping-particle" : "", "parse-names" : false, "suffix" : "" }, { "dropping-particle" : "", "family" : "Criner", "given" : "Gerard J", "non-dropping-particle" : "", "parse-names" : false, "suffix" : "" }, { "dropping-particle" : "", "family" : "Frith", "given" : "Peter", "non-dropping-particle" : "", "parse-names" : false, "suffix" : "" }, { "dropping-particle" : "", "family" : "Halpin", "given" : "D.", "non-dropping-particle" : "", "parse-names" : false, "suffix" : "" }, { "dropping-particle" : "", "family" : "Varela", "given" : "M. Victorina L\u00f3pez", "non-dropping-particle" : "", "parse-names" : false, "suffix" : "" }, { "dropping-particle" : "", "family" : "Nishimura", "given" : "Masaharu", "non-dropping-particle" : "", "parse-names" : false, "suffix" : "" } ], "container-title" : "Global Initiative for Chronic Obstructive Lung Disease", "id" : "ITEM-1", "issued" : { "date-parts" : [ [ "2011" ] ] }, "title" : "Global Strategy for the Diagnosis, Management, and Prevention of Chronic Obrstructive Pulmonary Disease (updated 2017)", "type" : "article-journal" }, "uris" : [ "http://www.mendeley.com/documents/?uuid=222187c6-89ba-4395-8e4d-6b86211d6a74" ] } ], "mendeley" : { "formattedCitation" : "[62]", "plainTextFormattedCitation" : "[62]", "previouslyFormattedCitation" : "[59]" }, "properties" : { "noteIndex" : 0 }, "schema" : "https://github.com/citation-style-language/schema/raw/master/csl-citation.json" }</w:instrText>
            </w:r>
            <w:r>
              <w:fldChar w:fldCharType="separate"/>
            </w:r>
            <w:r w:rsidRPr="005356A1">
              <w:rPr>
                <w:rFonts w:eastAsia="Times New Roman" w:cs="Arial"/>
                <w:noProof/>
                <w:sz w:val="16"/>
                <w:szCs w:val="16"/>
              </w:rPr>
              <w:t>[62]</w:t>
            </w:r>
            <w:r>
              <w:fldChar w:fldCharType="end"/>
            </w:r>
          </w:p>
        </w:tc>
        <w:tc>
          <w:tcPr>
            <w:tcW w:w="944" w:type="dxa"/>
            <w:shd w:val="clear" w:color="auto" w:fill="BFBFBF"/>
          </w:tcPr>
          <w:p w14:paraId="1142B18F" w14:textId="77777777" w:rsidR="00342E07" w:rsidRDefault="00342E07">
            <w:pPr>
              <w:spacing w:after="0" w:line="240" w:lineRule="auto"/>
              <w:jc w:val="center"/>
              <w:rPr>
                <w:rFonts w:eastAsia="Times New Roman" w:cs="Arial"/>
                <w:b/>
                <w:sz w:val="16"/>
                <w:szCs w:val="16"/>
              </w:rPr>
            </w:pPr>
          </w:p>
          <w:p w14:paraId="46A278FD" w14:textId="77777777" w:rsidR="00342E07" w:rsidRDefault="005356A1">
            <w:pPr>
              <w:spacing w:after="0" w:line="240" w:lineRule="auto"/>
              <w:jc w:val="center"/>
              <w:rPr>
                <w:rFonts w:eastAsia="Times New Roman" w:cs="Arial"/>
                <w:b/>
                <w:sz w:val="16"/>
                <w:szCs w:val="16"/>
              </w:rPr>
            </w:pPr>
            <w:r>
              <w:rPr>
                <w:rFonts w:eastAsia="Times New Roman" w:cs="Arial"/>
                <w:b/>
                <w:sz w:val="16"/>
                <w:szCs w:val="16"/>
              </w:rPr>
              <w:t>New</w:t>
            </w:r>
          </w:p>
          <w:p w14:paraId="62086B08" w14:textId="77777777" w:rsidR="00342E07" w:rsidRDefault="005356A1">
            <w:pPr>
              <w:spacing w:after="0" w:line="240" w:lineRule="auto"/>
              <w:jc w:val="center"/>
              <w:rPr>
                <w:rFonts w:eastAsia="Times New Roman" w:cs="Arial"/>
                <w:b/>
                <w:sz w:val="16"/>
                <w:szCs w:val="16"/>
              </w:rPr>
            </w:pPr>
            <w:r>
              <w:rPr>
                <w:rFonts w:eastAsia="Times New Roman" w:cs="Arial"/>
                <w:b/>
                <w:sz w:val="16"/>
                <w:szCs w:val="16"/>
              </w:rPr>
              <w:t>GOLD</w:t>
            </w:r>
          </w:p>
          <w:p w14:paraId="77FF0C09" w14:textId="77777777" w:rsidR="00342E07" w:rsidRDefault="005356A1">
            <w:pPr>
              <w:spacing w:after="0" w:line="240" w:lineRule="auto"/>
              <w:jc w:val="center"/>
            </w:pPr>
            <w:r>
              <w:fldChar w:fldCharType="begin" w:fldLock="1"/>
            </w:r>
            <w:r>
              <w:instrText>ADDIN CSL_CITATION { "citationItems" : [ { "id" : "ITEM-1", "itemData" : { "author" : [ { "dropping-particle" : "", "family" : "Decramer", "given" : "Marc", "non-dropping-particle" : "", "parse-names" : false, "suffix" : "" }, { "dropping-particle" : "", "family" : "Vogelmeier", "given" : "Claus", "non-dropping-particle" : "", "parse-names" : false, "suffix" : "" }, { "dropping-particle" : "", "family" : "Agust\u00ed", "given" : "Alvar G.", "non-dropping-particle" : "", "parse-names" : false, "suffix" : "" }, { "dropping-particle" : "", "family" : "Bourbeau", "given" : "Jean", "non-dropping-particle" : "", "parse-names" : false, "suffix" : "" }, { "dropping-particle" : "", "family" : "Celli", "given" : "Bartolome R.", "non-dropping-particle" : "", "parse-names" : false, "suffix" : "" }, { "dropping-particle" : "", "family" : "Chen", "given" : "Rongchang", "non-dropping-particle" : "", "parse-names" : false, "suffix" : "" }, { "dropping-particle" : "", "family" : "Criner", "given" : "Gerard J", "non-dropping-particle" : "", "parse-names" : false, "suffix" : "" }, { "dropping-particle" : "", "family" : "Frith", "given" : "Peter", "non-dropping-particle" : "", "parse-names" : false, "suffix" : "" }, { "dropping-particle" : "", "family" : "Halpin", "given" : "D.", "non-dropping-particle" : "", "parse-names" : false, "suffix" : "" }, { "dropping-particle" : "", "family" : "Varela", "given" : "M. Victorina L\u00f3pez", "non-dropping-particle" : "", "parse-names" : false, "suffix" : "" }, { "dropping-particle" : "", "family" : "Nishimura", "given" : "Masaharu", "non-dropping-particle" : "", "parse-names" : false, "suffix" : "" } ], "container-title" : "Global Initiative for Chronic Obstructive Lung Disease", "id" : "ITEM-1", "issued" : { "date-parts" : [ [ "2011" ] ] }, "title" : "Global Strategy for the Diagnosis, Management, and Prevention of Chronic Obrstructive Pulmonary Disease (updated 2017)", "type" : "article-journal" }, "uris" : [ "http://www.mendeley.com/documents/?uuid=222187c6-89ba-4395-8e4d-6b86211d6a74" ] } ], "mendeley" : { "formattedCitation" : "[62]", "plainTextFormattedCitation" : "[62]", "previouslyFormattedCitation" : "[59]" }, "properties" : { "noteIndex" : 0 }, "schema" : "https://github.com/citation-style-language/schema/raw/master/csl-citation.json" }</w:instrText>
            </w:r>
            <w:r>
              <w:fldChar w:fldCharType="separate"/>
            </w:r>
            <w:r w:rsidRPr="005356A1">
              <w:rPr>
                <w:rFonts w:eastAsia="Times New Roman" w:cs="Arial"/>
                <w:noProof/>
                <w:sz w:val="16"/>
                <w:szCs w:val="16"/>
              </w:rPr>
              <w:t>[62]</w:t>
            </w:r>
            <w:r>
              <w:fldChar w:fldCharType="end"/>
            </w:r>
          </w:p>
        </w:tc>
        <w:tc>
          <w:tcPr>
            <w:tcW w:w="944" w:type="dxa"/>
            <w:shd w:val="clear" w:color="auto" w:fill="BFBFBF"/>
          </w:tcPr>
          <w:p w14:paraId="0E7DB853" w14:textId="77777777" w:rsidR="00342E07" w:rsidRDefault="00342E07">
            <w:pPr>
              <w:spacing w:after="0" w:line="240" w:lineRule="auto"/>
              <w:jc w:val="center"/>
              <w:rPr>
                <w:rFonts w:eastAsia="Times New Roman" w:cs="Arial"/>
                <w:b/>
                <w:sz w:val="16"/>
                <w:szCs w:val="16"/>
              </w:rPr>
            </w:pPr>
          </w:p>
          <w:p w14:paraId="0814EFCB" w14:textId="77777777" w:rsidR="00342E07" w:rsidRDefault="005356A1">
            <w:pPr>
              <w:spacing w:after="0" w:line="240" w:lineRule="auto"/>
              <w:jc w:val="center"/>
              <w:rPr>
                <w:rFonts w:eastAsia="Times New Roman" w:cs="Arial"/>
                <w:b/>
                <w:sz w:val="16"/>
                <w:szCs w:val="16"/>
                <w:lang w:val="de-CH"/>
              </w:rPr>
            </w:pPr>
            <w:r>
              <w:rPr>
                <w:rFonts w:eastAsia="Times New Roman" w:cs="Arial"/>
                <w:b/>
                <w:sz w:val="16"/>
                <w:szCs w:val="16"/>
                <w:lang w:val="de-CH"/>
              </w:rPr>
              <w:t>BODE</w:t>
            </w:r>
          </w:p>
          <w:p w14:paraId="263FF598" w14:textId="77777777" w:rsidR="00342E07" w:rsidRDefault="005356A1">
            <w:pPr>
              <w:spacing w:after="0" w:line="240" w:lineRule="auto"/>
              <w:jc w:val="center"/>
            </w:pPr>
            <w:r>
              <w:fldChar w:fldCharType="begin" w:fldLock="1"/>
            </w:r>
            <w:r>
              <w:instrText>ADDIN CSL_CITATION { "citationItems" : [ { "id" : "ITEM-1", "itemData" : { "DOI" : "10.1056/NEJMoa021322", "ISSN" : "1533-4406", "PMID" : "14999112", "abstract" : "BACKGROUND: Chronic obstructive pulmonary disease (COPD) is characterized by an incompletely reversible limitation in airflow. A physiological variable--the forced expiratory volume in one second (FEV1)--is often used to grade the severity of COPD. However, patients with COPD have systemic manifestations that are not reflected by the FEV1. We hypothesized that a multidimensional grading system that assessed the respiratory and systemic expressions of COPD would better categorize and predict outcome in these patients. METHODS: We first evaluated 207 patients and found that four factors predicted the risk of death in this cohort: the body-mass index (B), the degree of airflow obstruction (O) and dyspnea (D), and exercise capacity (E), measured by the six-minute-walk test. We used these variables to construct the BODE index, a multidimensional 10-point scale in which higher scores indicate a higher risk of death. We then prospectively validated the index in a cohort of 625 patients, with death from any cause and from respiratory causes as the outcome variables. RESULTS: There were 25 deaths among the first 207 patients and 162 deaths (26 percent) in the validation cohort. Sixty-one percent of the deaths in the validation cohort were due to respiratory insufficiency, 14 percent to myocardial infarction, 12 percent to lung cancer, and 13 percent to other causes. Patients with higher BODE scores were at higher risk for death; the hazard ratio for death from any cause per one-point increase in the BODE score was 1.34 (95 percent confidence interval, 1.26 to 1.42; P&lt;0.001), and the hazard ratio for death from respiratory causes was 1.62 (95 percent confidence interval, 1.48 to 1.77; P&lt;0.001). The C statistic for the ability of the BODE index to predict the risk of death was larger than that for the FEV1 (0.74 vs. 0.65). CONCLUSIONS: The BODE index, a simple multidimensional grading system, is better than the FEV1 at predicting the risk of death from any cause and from respiratory causes among patients with COPD.", "author" : [ { "dropping-particle" : "", "family" : "Celli", "given" : "Bartolome R.", "non-dropping-particle" : "", "parse-names" : false, "suffix" : "" }, { "dropping-particle" : "", "family" : "Cote", "given" : "Claudia G", "non-dropping-particle" : "", "parse-names" : false, "suffix" : "" }, { "dropping-particle" : "", "family" : "Marin", "given" : "J M", "non-dropping-particle" : "", "parse-names" : false, "suffix" : "" }, { "dropping-particle" : "", "family" : "Casanova", "given" : "Ciro", "non-dropping-particle" : "", "parse-names" : false, "suffix" : "" }, { "dropping-particle" : "", "family" : "Montes de Oca", "given" : "Maria", "non-dropping-particle" : "", "parse-names" : false, "suffix" : "" }, { "dropping-particle" : "", "family" : "Mendez", "given" : "Reina a", "non-dropping-particle" : "", "parse-names" : false, "suffix" : "" }, { "dropping-particle" : "", "family" : "Pinto Plata", "given" : "Victor", "non-dropping-particle" : "", "parse-names" : false, "suffix" : "" }, { "dropping-particle" : "", "family" : "Cabral", "given" : "Howard J", "non-dropping-particle" : "", "parse-names" : false, "suffix" : "" } ], "container-title" : "The New England journal of medicine", "id" : "ITEM-1", "issue" : "10", "issued" : { "date-parts" : [ [ "2004", "3", "4" ] ] }, "page" : "1005-12", "title" : "The body-mass index, airflow obstruction, dyspnea, and exercise capacity index in chronic obstructive pulmonary disease.", "type" : "article-journal", "volume" : "350" }, "uris" : [ "http://www.mendeley.com/documents/?uuid=cfa1f9ae-6d4a-492e-8ecc-4797fb844f23" ] } ], "mendeley" : { "formattedCitation" : "[63]", "plainTextFormattedCitation" : "[63]", "previouslyFormattedCitation" : "[60]" }, "properties" : { "noteIndex" : 0 }, "schema" : "https://github.com/citation-style-language/schema/raw/master/csl-citation.json" }</w:instrText>
            </w:r>
            <w:r>
              <w:fldChar w:fldCharType="separate"/>
            </w:r>
            <w:r w:rsidRPr="005356A1">
              <w:rPr>
                <w:rFonts w:eastAsia="Times New Roman" w:cs="Arial"/>
                <w:noProof/>
                <w:sz w:val="16"/>
                <w:szCs w:val="16"/>
              </w:rPr>
              <w:t>[63]</w:t>
            </w:r>
            <w:r>
              <w:fldChar w:fldCharType="end"/>
            </w:r>
          </w:p>
        </w:tc>
        <w:tc>
          <w:tcPr>
            <w:tcW w:w="942" w:type="dxa"/>
            <w:shd w:val="clear" w:color="auto" w:fill="BFBFBF"/>
          </w:tcPr>
          <w:p w14:paraId="7EBDA08E" w14:textId="77777777" w:rsidR="00342E07" w:rsidRDefault="00342E07">
            <w:pPr>
              <w:spacing w:after="0" w:line="240" w:lineRule="auto"/>
              <w:jc w:val="center"/>
              <w:rPr>
                <w:rFonts w:eastAsia="Times New Roman" w:cs="Arial"/>
                <w:b/>
                <w:sz w:val="16"/>
                <w:szCs w:val="16"/>
              </w:rPr>
            </w:pPr>
          </w:p>
          <w:p w14:paraId="4BC56DB5" w14:textId="77777777" w:rsidR="00342E07" w:rsidRDefault="005356A1">
            <w:pPr>
              <w:spacing w:after="0" w:line="240" w:lineRule="auto"/>
              <w:jc w:val="center"/>
              <w:rPr>
                <w:rFonts w:eastAsia="Times New Roman" w:cs="Arial"/>
                <w:b/>
                <w:sz w:val="16"/>
                <w:szCs w:val="16"/>
              </w:rPr>
            </w:pPr>
            <w:r>
              <w:rPr>
                <w:rFonts w:eastAsia="Times New Roman" w:cs="Arial"/>
                <w:b/>
                <w:sz w:val="16"/>
                <w:szCs w:val="16"/>
              </w:rPr>
              <w:t>BODE</w:t>
            </w:r>
          </w:p>
          <w:p w14:paraId="700E97FC" w14:textId="77777777" w:rsidR="00342E07" w:rsidRDefault="005356A1">
            <w:pPr>
              <w:spacing w:after="0" w:line="240" w:lineRule="auto"/>
              <w:jc w:val="center"/>
              <w:rPr>
                <w:rFonts w:eastAsia="Times New Roman" w:cs="Arial"/>
                <w:b/>
                <w:sz w:val="16"/>
                <w:szCs w:val="16"/>
              </w:rPr>
            </w:pPr>
            <w:proofErr w:type="spellStart"/>
            <w:proofErr w:type="gramStart"/>
            <w:r>
              <w:rPr>
                <w:rFonts w:eastAsia="Times New Roman" w:cs="Arial"/>
                <w:b/>
                <w:sz w:val="16"/>
                <w:szCs w:val="16"/>
              </w:rPr>
              <w:t>upd</w:t>
            </w:r>
            <w:proofErr w:type="spellEnd"/>
            <w:proofErr w:type="gramEnd"/>
            <w:r>
              <w:rPr>
                <w:rFonts w:eastAsia="Times New Roman" w:cs="Arial"/>
                <w:b/>
                <w:sz w:val="16"/>
                <w:szCs w:val="16"/>
              </w:rPr>
              <w:t>.</w:t>
            </w:r>
          </w:p>
          <w:p w14:paraId="7AE99993" w14:textId="77777777" w:rsidR="00342E07" w:rsidRDefault="005356A1">
            <w:pPr>
              <w:spacing w:after="0" w:line="240" w:lineRule="auto"/>
              <w:jc w:val="center"/>
            </w:pPr>
            <w:r>
              <w:fldChar w:fldCharType="begin" w:fldLock="1"/>
            </w:r>
            <w:r>
              <w:instrText>ADDIN CSL_CITATION { "citationItems" : [ { "id" : "ITEM-1", "itemData" : { "DOI" : "10.1016/S0140-6736(09)61301-5", "ISSN" : "1474-547X", "PMID" : "19716962", "abstract" : "BACKGROUND: The BODE index (including body-mass index, airflow obstruction, dyspnoea, and exercise capacity) was an important contribution to the prognostic assessment of patients with chronic obstructive pulmonary disease (COPD). However, no study has assessed whether the risk of mortality predicted by the BODE index matches the observed mortality in different populations. We assessed the calibration of the BODE index, updated it to improve its calibration, and developed and validated a simplified index for use in primary-care settings. METHODS: We included 232 patients from the Swiss Barmelweid cohort with longstanding and severe COPD and 342 patients from the Spanish Phenotype and Course of COPD cohort study who had had their first hospital admission due to moderate-to-severe COPD. In both cohorts we compared the observed 3-year risk of all-cause mortality with the risk predicted by the BODE index. We then updated the BODE index and developed a simplified ADO index (including age, dyspnoea, and airflow obstruction) from the Swiss cohort, and validated both in the Spanish cohort. FINDINGS: Calibration of the BODE index was poor, with relative underprediction of 3-year risk of mortality by 36% in the Swiss cohort (median predicted risk 21.7% [IQR 12.7-31.7] vs 34.1% observed risk; p=0.013) and relative overprediction by 39% in the Spanish cohort (16.7% [12.7-31.7] vs 12.0%; p=0.035). The 3-year risk of mortality predicted by both the updated BODE (median 10.7% [8.1-13.8]) and ADO indices (11.8% [9.1-14.3]) matched the observed mortality in the Spanish cohort well (p=0.99 and p=0.98, respectively). INTERPRETATION: Both the updated BODE and ADO indices could lend support to the prognostic assessment of patients with COPD in specialised and primary-care settings. Such assessment enhances the targeting of treatments to individual patients. FUNDING: Swiss National Science Foundation; Klinik Barmelweid; Fondo de Investigaci\u00f3n Sanitaria Ministry of Health, Spain; Ag\u00e8ncia d'Avaluaci\u00f3 de Tecnologia i Recerca M\u00e8diques, Catalonia Government; Spanish Society of Pneumology and Thoracic Surgery; Catalan Foundation of Pneumology; Red RESPIRA; Red RCESP; Fondo de Investigaci\u00f3n Sanitaria; Fondo de Investigaci\u00f3n Sanitaria; Fundaci\u00f3 La Marat\u00f3 de TV3; Novartis Farmac\u00e8utica, Spain.", "author" : [ { "dropping-particle" : "", "family" : "Puhan", "given" : "Milo A.", "non-dropping-particle" : "", "parse-names" : false, "suffix" : "" }, { "dropping-particle" : "", "family" : "Garcia-Aymerich", "given" : "Judith", "non-dropping-particle" : "", "parse-names" : false, "suffix" : "" }, { "dropping-particle" : "", "family" : "Frey", "given" : "Martin", "non-dropping-particle" : "", "parse-names" : false, "suffix" : "" }, { "dropping-particle" : "", "family" : "Riet", "given" : "Gerben", "non-dropping-particle" : "ter", "parse-names" : false, "suffix" : "" }, { "dropping-particle" : "", "family" : "Ant\u00f3", "given" : "Josep M", "non-dropping-particle" : "", "parse-names" : false, "suffix" : "" }, { "dropping-particle" : "", "family" : "Agusti", "given" : "A.", "non-dropping-particle" : "", "parse-names" : false, "suffix" : "" }, { "dropping-particle" : "", "family" : "G\u00f3mez", "given" : "Federico P", "non-dropping-particle" : "", "parse-names" : false, "suffix" : "" }, { "dropping-particle" : "", "family" : "Rodr\u00edguez-Rois\u00edn", "given" : "Roberto", "non-dropping-particle" : "", "parse-names" : false, "suffix" : "" }, { "dropping-particle" : "", "family" : "Moons", "given" : "Karel G.M.", "non-dropping-particle" : "", "parse-names" : false, "suffix" : "" }, { "dropping-particle" : "", "family" : "Kessels", "given" : "Alphons G", "non-dropping-particle" : "", "parse-names" : false, "suffix" : "" }, { "dropping-particle" : "", "family" : "Held", "given" : "Ulrike", "non-dropping-particle" : "", "parse-names" : false, "suffix" : "" } ], "container-title" : "Lancet", "id" : "ITEM-1", "issue" : "9691", "issued" : { "date-parts" : [ [ "2009", "8", "29" ] ] }, "page" : "704-11", "publisher" : "Elsevier Ltd", "title" : "Expansion of the prognostic assessment of patients with chronic obstructive pulmonary disease: the updated BODE index and the ADO index_Puhan_2009_210", "type" : "article-journal", "volume" : "374" }, "uris" : [ "http://www.mendeley.com/documents/?uuid=7e3952a0-5721-4143-bff1-41a5bcf5cbd5" ] } ], "mendeley" : { "formattedCitation" : "[64]", "plainTextFormattedCitation" : "[64]", "previouslyFormattedCitation" : "[61]" }, "properties" : { "noteIndex" : 0 }, "schema" : "https://github.com/citation-style-language/schema/raw/master/csl-citation.json" }</w:instrText>
            </w:r>
            <w:r>
              <w:fldChar w:fldCharType="separate"/>
            </w:r>
            <w:r w:rsidRPr="005356A1">
              <w:rPr>
                <w:rFonts w:eastAsia="Times New Roman" w:cs="Arial"/>
                <w:noProof/>
                <w:sz w:val="16"/>
                <w:szCs w:val="16"/>
              </w:rPr>
              <w:t>[64]</w:t>
            </w:r>
            <w:r>
              <w:fldChar w:fldCharType="end"/>
            </w:r>
          </w:p>
        </w:tc>
        <w:tc>
          <w:tcPr>
            <w:tcW w:w="944" w:type="dxa"/>
            <w:shd w:val="clear" w:color="auto" w:fill="BFBFBF"/>
          </w:tcPr>
          <w:p w14:paraId="6EB5A67E" w14:textId="77777777" w:rsidR="00342E07" w:rsidRDefault="00342E07">
            <w:pPr>
              <w:spacing w:after="0" w:line="240" w:lineRule="auto"/>
              <w:jc w:val="center"/>
              <w:rPr>
                <w:rFonts w:eastAsia="Times New Roman" w:cs="Arial"/>
                <w:b/>
                <w:sz w:val="16"/>
                <w:szCs w:val="16"/>
              </w:rPr>
            </w:pPr>
          </w:p>
          <w:p w14:paraId="49C126FC" w14:textId="77777777" w:rsidR="00342E07" w:rsidRDefault="005356A1">
            <w:pPr>
              <w:spacing w:after="0" w:line="240" w:lineRule="auto"/>
              <w:jc w:val="center"/>
              <w:rPr>
                <w:rFonts w:eastAsia="Times New Roman" w:cs="Arial"/>
                <w:b/>
                <w:sz w:val="16"/>
                <w:szCs w:val="16"/>
                <w:lang w:val="de-CH"/>
              </w:rPr>
            </w:pPr>
            <w:r>
              <w:rPr>
                <w:rFonts w:eastAsia="Times New Roman" w:cs="Arial"/>
                <w:b/>
                <w:sz w:val="16"/>
                <w:szCs w:val="16"/>
                <w:lang w:val="de-CH"/>
              </w:rPr>
              <w:t>ADO upd.</w:t>
            </w:r>
          </w:p>
          <w:p w14:paraId="12016B17" w14:textId="77777777" w:rsidR="00342E07" w:rsidRDefault="005356A1">
            <w:pPr>
              <w:spacing w:after="0" w:line="240" w:lineRule="auto"/>
              <w:jc w:val="center"/>
            </w:pPr>
            <w:r>
              <w:fldChar w:fldCharType="begin" w:fldLock="1"/>
            </w:r>
            <w:r>
              <w:instrText>ADDIN CSL_CITATION { "citationItems" : [ { "id" : "ITEM-1", "itemData" : { "DOI" : "10.1136/bmjopen-2012-002152", "ISSN" : "2044-6055", "PMID" : "23242246", "abstract" : "BACKGROUND: Little evidence on the validity of simple and widely applicable tools to predict mortality in patients with chronic obstructive pulmonary disease (COPD) exists. OBJECTIVE: To conduct a large international study to validate the ADO index that uses age, dyspnoea and FEV(1) to predict 3-year mortality and to update it in order to make prediction of mortality in COPD patients as generalisable as possible. DESIGN: Individual subject data analysis of 10 European and American cohorts (n=13 914). SETTING: Population-based, primary, secondary and tertiary care. PATIENTS: COPD GOLD stages I-IV. MEASUREMENTS: We validated the original ADO index. We then obtained an updated ADO index in half of our cohorts to improve its predictive accuracy, which in turn was validated comprehensively in the remaining cohorts using discrimination, calibration and decision curve analysis and a number of sensitivity analyses. RESULTS: 1350 (9.7%) of all subjects with COPD (60% male, mean age 61 years, mean FEV(1) 66% predicted) had died at 3 years. The original ADO index showed high discrimination but poor calibration (p&lt;0.001 for difference between predicted and observed risk). The updated ADO index (scores from 0 to 14) preserved excellent discrimination (area under curve 0.81, 95% CI 0.80 to 0.82) but showed much improved calibration with predicted 3-year risks from 0.7% (95% CI 0.6% to 0.9%, score of 0) to 64.5% (61.2% to 67.7%, score of 14). The ADO index showed higher net benefit in subjects at low-to-moderate risk of 3-year mortality than FEV(1) alone. INTERPRETATION: The updated 15-point ADO index accurately predicts 3-year mortality across the COPD severity spectrum and can be used to inform patients about their prognosis, clinical trial study design or benefit harm assessment of medical interventions.", "author" : [ { "dropping-particle" : "", "family" : "Puhan", "given" : "Milo A.", "non-dropping-particle" : "", "parse-names" : false, "suffix" : "" }, { "dropping-particle" : "", "family" : "Hansel", "given" : "Nadia N", "non-dropping-particle" : "", "parse-names" : false, "suffix" : "" }, { "dropping-particle" : "", "family" : "Sobradillo", "given" : "Patricia", "non-dropping-particle" : "", "parse-names" : false, "suffix" : "" }, { "dropping-particle" : "", "family" : "Enright", "given" : "Paul", "non-dropping-particle" : "", "parse-names" : false, "suffix" : "" }, { "dropping-particle" : "", "family" : "Lange", "given" : "Peter", "non-dropping-particle" : "", "parse-names" : false, "suffix" : "" }, { "dropping-particle" : "", "family" : "Hickson", "given" : "Demarc", "non-dropping-particle" : "", "parse-names" : false, "suffix" : "" }, { "dropping-particle" : "", "family" : "Menezes", "given" : "Ana M", "non-dropping-particle" : "", "parse-names" : false, "suffix" : "" }, { "dropping-particle" : "Ter", "family" : "Riet", "given" : "Gerben", "non-dropping-particle" : "", "parse-names" : false, "suffix" : "" }, { "dropping-particle" : "", "family" : "Held", "given" : "Ulrike", "non-dropping-particle" : "", "parse-names" : false, "suffix" : "" }, { "dropping-particle" : "", "family" : "Domingo-Salvany", "given" : "Antonia", "non-dropping-particle" : "", "parse-names" : false, "suffix" : "" }, { "dropping-particle" : "", "family" : "Mosenifar", "given" : "Zab", "non-dropping-particle" : "", "parse-names" : false, "suffix" : "" }, { "dropping-particle" : "", "family" : "Ant\u00f3", "given" : "Josep M", "non-dropping-particle" : "", "parse-names" : false, "suffix" : "" }, { "dropping-particle" : "", "family" : "Moons", "given" : "Karel G.M.", "non-dropping-particle" : "", "parse-names" : false, "suffix" : "" }, { "dropping-particle" : "", "family" : "Kessels", "given" : "Alphons G", "non-dropping-particle" : "", "parse-names" : false, "suffix" : "" }, { "dropping-particle" : "", "family" : "Garcia-Aymerich", "given" : "Judith", "non-dropping-particle" : "", "parse-names" : false, "suffix" : "" } ], "container-title" : "Bmj", "id" : "ITEM-1", "issue" : "6", "issued" : { "date-parts" : [ [ "2012", "1" ] ] }, "page" : "e002152", "title" : "Large-scale international validation of the ADO index in subjects with COPD: an individual subject data analysis of 10 cohorts_PUHAN_BMJ_2012_9", "type" : "article-journal", "volume" : "2" }, "uris" : [ "http://www.mendeley.com/documents/?uuid=a34e8651-15c3-4a7a-82db-c0650e0fc806" ] } ], "mendeley" : { "formattedCitation" : "[65]", "plainTextFormattedCitation" : "[65]", "previouslyFormattedCitation" : "[62]" }, "properties" : { "noteIndex" : 0 }, "schema" : "https://github.com/citation-style-language/schema/raw/master/csl-citation.json" }</w:instrText>
            </w:r>
            <w:r>
              <w:fldChar w:fldCharType="separate"/>
            </w:r>
            <w:r w:rsidRPr="005356A1">
              <w:rPr>
                <w:rFonts w:eastAsia="Times New Roman" w:cs="Arial"/>
                <w:noProof/>
                <w:sz w:val="16"/>
                <w:szCs w:val="16"/>
                <w:lang w:val="de-CH"/>
              </w:rPr>
              <w:t>[65]</w:t>
            </w:r>
            <w:r>
              <w:fldChar w:fldCharType="end"/>
            </w:r>
          </w:p>
          <w:p w14:paraId="5B760727" w14:textId="77777777" w:rsidR="00342E07" w:rsidRDefault="00342E07">
            <w:pPr>
              <w:spacing w:after="0" w:line="240" w:lineRule="auto"/>
              <w:jc w:val="center"/>
              <w:rPr>
                <w:rFonts w:eastAsia="Times New Roman" w:cs="Arial"/>
                <w:b/>
                <w:sz w:val="16"/>
                <w:szCs w:val="16"/>
                <w:lang w:val="de-CH"/>
              </w:rPr>
            </w:pPr>
          </w:p>
        </w:tc>
        <w:tc>
          <w:tcPr>
            <w:tcW w:w="944" w:type="dxa"/>
            <w:shd w:val="clear" w:color="auto" w:fill="BFBFBF"/>
          </w:tcPr>
          <w:p w14:paraId="59FD4D0A" w14:textId="77777777" w:rsidR="00342E07" w:rsidRDefault="00342E07">
            <w:pPr>
              <w:spacing w:after="0" w:line="240" w:lineRule="auto"/>
              <w:jc w:val="center"/>
              <w:rPr>
                <w:rFonts w:eastAsia="Times New Roman" w:cs="Arial"/>
                <w:b/>
                <w:sz w:val="16"/>
                <w:szCs w:val="16"/>
              </w:rPr>
            </w:pPr>
          </w:p>
          <w:p w14:paraId="65816BB8" w14:textId="77777777" w:rsidR="00342E07" w:rsidRDefault="005356A1">
            <w:pPr>
              <w:spacing w:after="0" w:line="240" w:lineRule="auto"/>
              <w:jc w:val="center"/>
              <w:rPr>
                <w:rFonts w:eastAsia="Times New Roman" w:cs="Arial"/>
                <w:b/>
                <w:sz w:val="16"/>
                <w:szCs w:val="16"/>
              </w:rPr>
            </w:pPr>
            <w:r>
              <w:rPr>
                <w:rFonts w:eastAsia="Times New Roman" w:cs="Arial"/>
                <w:b/>
                <w:sz w:val="16"/>
                <w:szCs w:val="16"/>
              </w:rPr>
              <w:t>e-BODE</w:t>
            </w:r>
          </w:p>
          <w:p w14:paraId="310E720C" w14:textId="77777777" w:rsidR="00342E07" w:rsidRDefault="005356A1">
            <w:pPr>
              <w:spacing w:after="0" w:line="240" w:lineRule="auto"/>
              <w:jc w:val="center"/>
            </w:pPr>
            <w:r>
              <w:fldChar w:fldCharType="begin" w:fldLock="1"/>
            </w:r>
            <w:r>
              <w:instrText>ADDIN CSL_CITATION { "citationItems" : [ { "id" : "ITEM-1", "itemData" : { "DOI" : "http://dx.doi.org/10.1016/j.rmed.2008.12.005", "ISSN" : "1532-3064", "abstract" : "OBJECTIVES: 1) To determine whether severe exacerbation of COPD is a BODE index independent risk factor for death; 2) whether the combined application of exacerbations and BODE (e-BODE index), offers greater predictive capacity than BODE alone or can simplify the model, by replacing the exercise capacity (BODEx index). METHODS: A prospective study was made of a cohort of COPD patients. In addition to calculation of the BODE index we register frequency of exacerbations. An analysis was made of all-cause mortality, evaluating the predictive capacity of the exacerbations after adjusting for the BODE. These variables were also used to construct two new indexes: e-BODE and BODEx. RESULTS: The study included 185 patients with a mean age of 71+/-9 years, and FEV(1)% 47+/-17%. Severe exacerbation appeared as an independent adverse prognostic variable of BODE index. For each new exacerbation the adjusted mortality risk increased 1.14-fold (95% CI: 1.04-1.25). However, the e-BODE index (C statistic: 0.77, 95% CI: 0.67-0.86) didn't improve prognostic capacity of BODE index (C statistic: 0.75, 95% CI: 0.66-0.84) (p=NS). An interesting finding was that BODEx index (C statistic: 0.74, 95% CI: 0.65-0.83) had similar prognostic capacity than BODE index. CONCLUSIONS: Severe exacerbations of COPD imply an increased mortality risk that is independent of baseline severity of the disease as measured by the BODE index. The combined application of both parameters (e-BODE index) didn't improve the predictive capacity, but on replacing exacerbation with exercise capacity the multidimensional grading system is simplified without loss of predictive capacity.", "author" : [ { "dropping-particle" : "", "family" : "Soler-Catalu\u00f1a", "given" : "Juan J", "non-dropping-particle" : "", "parse-names" : false, "suffix" : "" }, { "dropping-particle" : "", "family" : "Martinez-Garcia", "given" : "M A", "non-dropping-particle" : "", "parse-names" : false, "suffix" : "" }, { "dropping-particle" : "", "family" : "Sanchez", "given" : "L S", "non-dropping-particle" : "", "parse-names" : false, "suffix" : "" }, { "dropping-particle" : "", "family" : "Tordera", "given" : "M P", "non-dropping-particle" : "", "parse-names" : false, "suffix" : "" }, { "dropping-particle" : "", "family" : "Sanchez", "given" : "P R", "non-dropping-particle" : "", "parse-names" : false, "suffix" : "" } ], "container-title" : "Respiratory Medicine", "id" : "ITEM-1", "issue" : "5", "issued" : { "date-parts" : [ [ "2009" ] ] }, "language" : "English", "note" : "Soler-Cataluna, Juan Jose\nMartinez-Garcia, Miguel Angel\nSanchez, Lourdes Sanchez\nTordera, Miguel Perpina\nSanchez, Pilar Roman", "page" : "692-699", "publisher-place" : "Hospital General de Requena, Unidad de Neumologia, Servicio de Medicina Interna, Paraje Casablanca s/n., 46340 Requena, Valencia, Spain. jjsoler@telefonica.net", "title" : "Severe exacerbations and BODE index: two independent risk factors for death in male COPD patients", "type" : "article-journal", "volume" : "103" }, "uris" : [ "http://www.mendeley.com/documents/?uuid=af55cd1b-6270-4ab5-9153-e66a0cf23719" ] } ], "mendeley" : { "formattedCitation" : "[66]", "plainTextFormattedCitation" : "[66]", "previouslyFormattedCitation" : "[63]" }, "properties" : { "noteIndex" : 0 }, "schema" : "https://github.com/citation-style-language/schema/raw/master/csl-citation.json" }</w:instrText>
            </w:r>
            <w:r>
              <w:fldChar w:fldCharType="separate"/>
            </w:r>
            <w:r w:rsidRPr="005356A1">
              <w:rPr>
                <w:rFonts w:eastAsia="Times New Roman" w:cs="Arial"/>
                <w:noProof/>
                <w:sz w:val="16"/>
                <w:szCs w:val="16"/>
              </w:rPr>
              <w:t>[66]</w:t>
            </w:r>
            <w:r>
              <w:fldChar w:fldCharType="end"/>
            </w:r>
          </w:p>
        </w:tc>
        <w:tc>
          <w:tcPr>
            <w:tcW w:w="944" w:type="dxa"/>
            <w:shd w:val="clear" w:color="auto" w:fill="BFBFBF"/>
          </w:tcPr>
          <w:p w14:paraId="123A0809" w14:textId="77777777" w:rsidR="00342E07" w:rsidRDefault="00342E07">
            <w:pPr>
              <w:spacing w:after="0" w:line="240" w:lineRule="auto"/>
              <w:jc w:val="center"/>
              <w:rPr>
                <w:rFonts w:eastAsia="Times New Roman" w:cs="Arial"/>
                <w:b/>
                <w:sz w:val="16"/>
                <w:szCs w:val="16"/>
              </w:rPr>
            </w:pPr>
          </w:p>
          <w:p w14:paraId="5752F44B" w14:textId="77777777" w:rsidR="00342E07" w:rsidRDefault="005356A1">
            <w:pPr>
              <w:spacing w:after="0" w:line="240" w:lineRule="auto"/>
              <w:jc w:val="center"/>
              <w:rPr>
                <w:rFonts w:eastAsia="Times New Roman" w:cs="Arial"/>
                <w:b/>
                <w:sz w:val="16"/>
                <w:szCs w:val="16"/>
              </w:rPr>
            </w:pPr>
            <w:proofErr w:type="spellStart"/>
            <w:r>
              <w:rPr>
                <w:rFonts w:eastAsia="Times New Roman" w:cs="Arial"/>
                <w:b/>
                <w:sz w:val="16"/>
                <w:szCs w:val="16"/>
              </w:rPr>
              <w:t>BODEx</w:t>
            </w:r>
            <w:proofErr w:type="spellEnd"/>
          </w:p>
          <w:p w14:paraId="2472D5D6" w14:textId="77777777" w:rsidR="00342E07" w:rsidRDefault="005356A1">
            <w:pPr>
              <w:spacing w:after="0" w:line="240" w:lineRule="auto"/>
              <w:jc w:val="center"/>
            </w:pPr>
            <w:r>
              <w:fldChar w:fldCharType="begin" w:fldLock="1"/>
            </w:r>
            <w:r>
              <w:instrText>ADDIN CSL_CITATION { "citationItems" : [ { "id" : "ITEM-1", "itemData" : { "DOI" : "http://dx.doi.org/10.1016/j.rmed.2008.12.005", "ISSN" : "1532-3064", "abstract" : "OBJECTIVES: 1) To determine whether severe exacerbation of COPD is a BODE index independent risk factor for death; 2) whether the combined application of exacerbations and BODE (e-BODE index), offers greater predictive capacity than BODE alone or can simplify the model, by replacing the exercise capacity (BODEx index). METHODS: A prospective study was made of a cohort of COPD patients. In addition to calculation of the BODE index we register frequency of exacerbations. An analysis was made of all-cause mortality, evaluating the predictive capacity of the exacerbations after adjusting for the BODE. These variables were also used to construct two new indexes: e-BODE and BODEx. RESULTS: The study included 185 patients with a mean age of 71+/-9 years, and FEV(1)% 47+/-17%. Severe exacerbation appeared as an independent adverse prognostic variable of BODE index. For each new exacerbation the adjusted mortality risk increased 1.14-fold (95% CI: 1.04-1.25). However, the e-BODE index (C statistic: 0.77, 95% CI: 0.67-0.86) didn't improve prognostic capacity of BODE index (C statistic: 0.75, 95% CI: 0.66-0.84) (p=NS). An interesting finding was that BODEx index (C statistic: 0.74, 95% CI: 0.65-0.83) had similar prognostic capacity than BODE index. CONCLUSIONS: Severe exacerbations of COPD imply an increased mortality risk that is independent of baseline severity of the disease as measured by the BODE index. The combined application of both parameters (e-BODE index) didn't improve the predictive capacity, but on replacing exacerbation with exercise capacity the multidimensional grading system is simplified without loss of predictive capacity.", "author" : [ { "dropping-particle" : "", "family" : "Soler-Catalu\u00f1a", "given" : "Juan J", "non-dropping-particle" : "", "parse-names" : false, "suffix" : "" }, { "dropping-particle" : "", "family" : "Martinez-Garcia", "given" : "M A", "non-dropping-particle" : "", "parse-names" : false, "suffix" : "" }, { "dropping-particle" : "", "family" : "Sanchez", "given" : "L S", "non-dropping-particle" : "", "parse-names" : false, "suffix" : "" }, { "dropping-particle" : "", "family" : "Tordera", "given" : "M P", "non-dropping-particle" : "", "parse-names" : false, "suffix" : "" }, { "dropping-particle" : "", "family" : "Sanchez", "given" : "P R", "non-dropping-particle" : "", "parse-names" : false, "suffix" : "" } ], "container-title" : "Respiratory Medicine", "id" : "ITEM-1", "issue" : "5", "issued" : { "date-parts" : [ [ "2009" ] ] }, "language" : "English", "note" : "Soler-Cataluna, Juan Jose\nMartinez-Garcia, Miguel Angel\nSanchez, Lourdes Sanchez\nTordera, Miguel Perpina\nSanchez, Pilar Roman", "page" : "692-699", "publisher-place" : "Hospital General de Requena, Unidad de Neumologia, Servicio de Medicina Interna, Paraje Casablanca s/n., 46340 Requena, Valencia, Spain. jjsoler@telefonica.net", "title" : "Severe exacerbations and BODE index: two independent risk factors for death in male COPD patients", "type" : "article-journal", "volume" : "103" }, "uris" : [ "http://www.mendeley.com/documents/?uuid=af55cd1b-6270-4ab5-9153-e66a0cf23719" ] } ], "mendeley" : { "formattedCitation" : "[66]", "plainTextFormattedCitation" : "[66]", "previouslyFormattedCitation" : "[63]" }, "properties" : { "noteIndex" : 0 }, "schema" : "https://github.com/citation-style-language/schema/raw/master/csl-citation.json" }</w:instrText>
            </w:r>
            <w:r>
              <w:fldChar w:fldCharType="separate"/>
            </w:r>
            <w:r w:rsidRPr="005356A1">
              <w:rPr>
                <w:rFonts w:eastAsia="Times New Roman" w:cs="Arial"/>
                <w:noProof/>
                <w:sz w:val="16"/>
                <w:szCs w:val="16"/>
              </w:rPr>
              <w:t>[66]</w:t>
            </w:r>
            <w:r>
              <w:fldChar w:fldCharType="end"/>
            </w:r>
          </w:p>
        </w:tc>
        <w:tc>
          <w:tcPr>
            <w:tcW w:w="944" w:type="dxa"/>
            <w:shd w:val="clear" w:color="auto" w:fill="BFBFBF"/>
          </w:tcPr>
          <w:p w14:paraId="64823E7E" w14:textId="77777777" w:rsidR="00342E07" w:rsidRDefault="00342E07">
            <w:pPr>
              <w:spacing w:after="0" w:line="240" w:lineRule="auto"/>
              <w:jc w:val="center"/>
              <w:rPr>
                <w:rFonts w:eastAsia="Times New Roman" w:cs="Arial"/>
                <w:b/>
                <w:sz w:val="16"/>
                <w:szCs w:val="16"/>
              </w:rPr>
            </w:pPr>
          </w:p>
          <w:p w14:paraId="73A45A1C" w14:textId="77777777" w:rsidR="00342E07" w:rsidRDefault="005356A1">
            <w:pPr>
              <w:spacing w:after="0" w:line="240" w:lineRule="auto"/>
              <w:jc w:val="center"/>
              <w:rPr>
                <w:rFonts w:eastAsia="Times New Roman" w:cs="Arial"/>
                <w:b/>
                <w:sz w:val="16"/>
                <w:szCs w:val="16"/>
              </w:rPr>
            </w:pPr>
            <w:r>
              <w:rPr>
                <w:rFonts w:eastAsia="Times New Roman" w:cs="Arial"/>
                <w:b/>
                <w:sz w:val="16"/>
                <w:szCs w:val="16"/>
              </w:rPr>
              <w:t>DOSE</w:t>
            </w:r>
          </w:p>
          <w:p w14:paraId="0321EB6C" w14:textId="77777777" w:rsidR="00342E07" w:rsidRDefault="005356A1">
            <w:pPr>
              <w:spacing w:after="0" w:line="240" w:lineRule="auto"/>
              <w:jc w:val="center"/>
            </w:pPr>
            <w:r>
              <w:fldChar w:fldCharType="begin" w:fldLock="1"/>
            </w:r>
            <w:r>
              <w:instrText>ADDIN CSL_CITATION { "citationItems" : [ { "id" : "ITEM-1", "itemData" : { "DOI" : "http://dx.doi.org/10.1164/rccm.200902-0271OC", "ISSN" : "1535-4970", "abstract" : "RATIONALE: Chronic obstructive pulmonary disease (COPD) is increasingly recognized as a multicomponent disease with systemic consequences and effects on quality of life. Single measures such as lung function provide a limited reflection of how the disease affects patients. Composite measures have the potential to account for many of the facets of COPD. OBJECTIVES: To derive and validate a multicomponent assessment tool of COPD severity that is applicable to all patients and health care settings. METHODS: The index was derived using data from 375 patients with COPD in primary care. Regression analysis led to a model explaining 48% of the variance in health status as measured by the Clinical COPD Questionnaire with four components: dyspnea (D), airflow obstruction (O), smoking status (S), and exacerbation frequency (E). The DOSE Index was validated in cross-sectional and longitudinal samples in various health care settings in Holland, Japan, and the United Kingdom. MEASUREMENTS AND MAIN RESULTS: The DOSE Index correlated with health status in all data sets. A high DOSE Index score (&gt; or = 4) was associated with a greater risk of hospital admission (odds ratio, 8.3 [4.1-17]) or respiratory failure (odds ratio, 7.8 [3.4-18.3]). The index predicted exacerbations in the subsequent year (P &lt; or = 0.014). CONCLUSIONS: The DOSE Index is a simple, valid tool for assessing the severity of COPD. The index is related to a range of clinically important outcomes such as health care consumption and predicts future events.", "author" : [ { "dropping-particle" : "", "family" : "Jones", "given" : "R C", "non-dropping-particle" : "", "parse-names" : false, "suffix" : "" }, { "dropping-particle" : "", "family" : "Donaldson", "given" : "G C", "non-dropping-particle" : "", "parse-names" : false, "suffix" : "" }, { "dropping-particle" : "", "family" : "Chavannes", "given" : "N H", "non-dropping-particle" : "", "parse-names" : false, "suffix" : "" }, { "dropping-particle" : "", "family" : "Kida", "given" : "K", "non-dropping-particle" : "", "parse-names" : false, "suffix" : "" }, { "dropping-particle" : "", "family" : "Dickson-Spillmann", "given" : "M", "non-dropping-particle" : "", "parse-names" : false, "suffix" : "" }, { "dropping-particle" : "", "family" : "Harding", "given" : "S", "non-dropping-particle" : "", "parse-names" : false, "suffix" : "" }, { "dropping-particle" : "", "family" : "Wedzicha", "given" : "J A", "non-dropping-particle" : "", "parse-names" : false, "suffix" : "" }, { "dropping-particle" : "", "family" : "Price", "given" : "D", "non-dropping-particle" : "", "parse-names" : false, "suffix" : "" }, { "dropping-particle" : "", "family" : "Hyland", "given" : "M E", "non-dropping-particle" : "", "parse-names" : false, "suffix" : "" } ], "container-title" : "American Journal of Respiratory &amp; Critical Care Medicine", "id" : "ITEM-1", "issue" : "12", "issued" : { "date-parts" : [ [ "2009" ] ] }, "language" : "English", "note" : "Jones, Rupert C\nDonaldson, Gavin C\nChavannes, Niels H\nKida, Kozui\nDickson-Spillmann, Maria\nHarding, Samantha\nWedzicha, Jadwiga A\nPrice, David\nHyland, Michael E\nComment in: Am J Respir Crit Care Med. 2010 Oct 15;182(8):1088; author reply 1089; PMID: 20947910\nG0800570 (United Kingdom Medical Research Council)\n(United Kingdom Department of Health)\n\nA \ndifferent outcome\n\nDOSE index to predict another outcome (mortality)\n\n\nB\nonly correlation, NO focus on the prediction \nbut index with AUC \n\n\n\n\nB\n(Ask perf.)\n\n\n\n\nA\n1 Y\n2 Y\n3 Y\n4 Y\n5 N (no performance measure)\n\n\n\n\n\n\n\n\nReason for exclusion:", "page" : "1189-1195", "title" : "Derivation and validation of a composite index of severity in chronic obstructive pulmonary disease: the DOSE Index", "type" : "article-journal", "volume" : "180" }, "uris" : [ "http://www.mendeley.com/documents/?uuid=bd66278a-0a10-4afe-8e63-42a7db6d7c9b" ] } ], "mendeley" : { "formattedCitation" : "[67]", "plainTextFormattedCitation" : "[67]", "previouslyFormattedCitation" : "[64]" }, "properties" : { "noteIndex" : 0 }, "schema" : "https://github.com/citation-style-language/schema/raw/master/csl-citation.json" }</w:instrText>
            </w:r>
            <w:r>
              <w:fldChar w:fldCharType="separate"/>
            </w:r>
            <w:r w:rsidRPr="005356A1">
              <w:rPr>
                <w:rFonts w:eastAsia="Times New Roman" w:cs="Arial"/>
                <w:noProof/>
                <w:sz w:val="16"/>
                <w:szCs w:val="16"/>
              </w:rPr>
              <w:t>[67]</w:t>
            </w:r>
            <w:r>
              <w:fldChar w:fldCharType="end"/>
            </w:r>
          </w:p>
        </w:tc>
        <w:tc>
          <w:tcPr>
            <w:tcW w:w="942" w:type="dxa"/>
            <w:shd w:val="clear" w:color="auto" w:fill="BFBFBF"/>
          </w:tcPr>
          <w:p w14:paraId="47513C77" w14:textId="77777777" w:rsidR="00342E07" w:rsidRDefault="00342E07">
            <w:pPr>
              <w:spacing w:after="0" w:line="240" w:lineRule="auto"/>
              <w:jc w:val="center"/>
              <w:rPr>
                <w:rFonts w:eastAsia="Times New Roman" w:cs="Arial"/>
                <w:b/>
                <w:sz w:val="16"/>
                <w:szCs w:val="16"/>
              </w:rPr>
            </w:pPr>
          </w:p>
          <w:p w14:paraId="12897DD9" w14:textId="77777777" w:rsidR="00342E07" w:rsidRDefault="005356A1">
            <w:pPr>
              <w:spacing w:after="0" w:line="240" w:lineRule="auto"/>
              <w:jc w:val="center"/>
              <w:rPr>
                <w:rFonts w:eastAsia="Times New Roman" w:cs="Arial"/>
                <w:b/>
                <w:sz w:val="16"/>
                <w:szCs w:val="16"/>
              </w:rPr>
            </w:pPr>
            <w:r>
              <w:rPr>
                <w:rFonts w:eastAsia="Times New Roman" w:cs="Arial"/>
                <w:b/>
                <w:sz w:val="16"/>
                <w:szCs w:val="16"/>
              </w:rPr>
              <w:t>SAFE</w:t>
            </w:r>
          </w:p>
          <w:p w14:paraId="3FADA56E" w14:textId="77777777" w:rsidR="00342E07" w:rsidRDefault="005356A1">
            <w:pPr>
              <w:spacing w:after="0" w:line="240" w:lineRule="auto"/>
              <w:jc w:val="center"/>
            </w:pPr>
            <w:r>
              <w:fldChar w:fldCharType="begin" w:fldLock="1"/>
            </w:r>
            <w:r>
              <w:instrText>ADDIN CSL_CITATION { "citationItems" : [ { "id" : "ITEM-1", "itemData" : { "ISSN" : "1469-0756", "abstract" : "BACKGROUND: This study was proposed to develop a composite of outcome measures using forced expiratory volume percentage of predicted, exercise capacity and quality of life scores for assessment of chronic obstructive pulmonary disease (COPD) severity. MATERIALS AND METHODS: Eighty-six patients with COPD were enrolled into a prospective, observational study at the respiratory outpatient clinic, National University Hospital Malaysia (Hospital Universiti Kebangsaan Malaysia--HUKM), Kuala Lumpur. RESULTS: Our study found modest correlation between the forced expiratory volume in 1 s (FEV(1)), 6 min walk distance and the SGRQ scores with mean (SD) values of 0.97 (0.56) litres/s, 322 (87) m and 43.7 (23.6)%, respectively. K-Means cluster analysis identified four distinct clusters which reached statistical significance which was refined to develop a new cumulative staging system. The SAFE Index score correlated with the number of exacerbations in 2 years (r = 0.497, p&lt;0.001). CONCLUSION: We have developed the SGRQ, Air-Flow limitation and Exercise tolerance Index (SAFE Index) for the stratification of severity in COPD. This index incorporates the SGRQ score, the FEV(1) % predicted and the 6 min walk distance. The SAFE Index is moderately correlated with the number of disease exacerbations.", "author" : [ { "dropping-particle" : "", "family" : "Azarisman", "given" : "M S", "non-dropping-particle" : "", "parse-names" : false, "suffix" : "" }, { "dropping-particle" : "", "family" : "Fauzi", "given" : "M A", "non-dropping-particle" : "", "parse-names" : false, "suffix" : "" }, { "dropping-particle" : "", "family" : "Faizal", "given" : "M P", "non-dropping-particle" : "", "parse-names" : false, "suffix" : "" }, { "dropping-particle" : "", "family" : "Azami", "given" : "Z", "non-dropping-particle" : "", "parse-names" : false, "suffix" : "" }, { "dropping-particle" : "", "family" : "Roslina", "given" : "A M", "non-dropping-particle" : "", "parse-names" : false, "suffix" : "" }, { "dropping-particle" : "", "family" : "Roslan", "given" : "H", "non-dropping-particle" : "", "parse-names" : false, "suffix" : "" } ], "container-title" : "Postgraduate Medical Journal", "id" : "ITEM-1", "issue" : "981", "issued" : { "date-parts" : [ [ "2007" ] ] }, "language" : "English", "note" : "Azarisman, Mohd Shah\nFauzi, Mohd Anshar\nFaizal, Mohd Perdaus Ahmad\nAzami, Zaharim\nRoslina, Abdul Manap\nRoslan, Harun\n\n\nA\nOutcome before the start of the study\n\n\nB\n\nA\nCorrelation between SAFE and exacerbation,\nwithout prediction as a goal\n\n\n\n\nB (A Camilla)\n\n\n\n1 Y\n2 Y\n3 Y\n4 Y Scoring system\n5 Y (Pearson correlation coefficient:\nSAFE score-#exacerbation)\n\n\n\nReason for exclusion:", "page" : "492-497", "publisher-place" : "Department of Medicine, International Islamic University Malaysia, Jalan Hospital Campus, Kuantan, Pahang, Malaysia. risman1973@hotmail.com", "title" : "The SAFE (SGRQ score, air-flow limitation and exercise tolerance) Index: a new composite score for the stratification of severity in chronic obstructive pulmonary disease", "type" : "article-journal", "volume" : "83" }, "uris" : [ "http://www.mendeley.com/documents/?uuid=583aef23-affc-4353-bf8f-e88f8064c378" ] } ], "mendeley" : { "formattedCitation" : "[68]", "plainTextFormattedCitation" : "[68]", "previouslyFormattedCitation" : "[65]" }, "properties" : { "noteIndex" : 0 }, "schema" : "https://github.com/citation-style-language/schema/raw/master/csl-citation.json" }</w:instrText>
            </w:r>
            <w:r>
              <w:fldChar w:fldCharType="separate"/>
            </w:r>
            <w:r w:rsidRPr="005356A1">
              <w:rPr>
                <w:rFonts w:eastAsia="Times New Roman" w:cs="Arial"/>
                <w:noProof/>
                <w:sz w:val="16"/>
                <w:szCs w:val="16"/>
              </w:rPr>
              <w:t>[68]</w:t>
            </w:r>
            <w:r>
              <w:fldChar w:fldCharType="end"/>
            </w:r>
          </w:p>
        </w:tc>
        <w:tc>
          <w:tcPr>
            <w:tcW w:w="946" w:type="dxa"/>
            <w:shd w:val="clear" w:color="auto" w:fill="BFBFBF"/>
          </w:tcPr>
          <w:p w14:paraId="03B03E43" w14:textId="77777777" w:rsidR="00342E07" w:rsidRDefault="00342E07">
            <w:pPr>
              <w:spacing w:after="0" w:line="240" w:lineRule="auto"/>
              <w:jc w:val="center"/>
              <w:rPr>
                <w:rFonts w:eastAsia="Times New Roman" w:cs="Arial"/>
                <w:b/>
                <w:sz w:val="16"/>
                <w:szCs w:val="16"/>
              </w:rPr>
            </w:pPr>
          </w:p>
          <w:p w14:paraId="1B5146E4" w14:textId="77777777" w:rsidR="00342E07" w:rsidRDefault="005356A1">
            <w:pPr>
              <w:spacing w:after="0" w:line="240" w:lineRule="auto"/>
              <w:jc w:val="center"/>
              <w:rPr>
                <w:rFonts w:eastAsia="Times New Roman" w:cs="Arial"/>
                <w:b/>
                <w:sz w:val="16"/>
                <w:szCs w:val="16"/>
              </w:rPr>
            </w:pPr>
            <w:r>
              <w:rPr>
                <w:rFonts w:eastAsia="Times New Roman" w:cs="Arial"/>
                <w:b/>
                <w:sz w:val="16"/>
                <w:szCs w:val="16"/>
              </w:rPr>
              <w:t>B-AE-D</w:t>
            </w:r>
          </w:p>
          <w:p w14:paraId="1819554C" w14:textId="77777777" w:rsidR="00342E07" w:rsidRDefault="005356A1">
            <w:pPr>
              <w:spacing w:after="0" w:line="240" w:lineRule="auto"/>
              <w:jc w:val="center"/>
              <w:rPr>
                <w:rFonts w:eastAsia="Times New Roman" w:cs="Arial"/>
                <w:b/>
                <w:sz w:val="16"/>
                <w:szCs w:val="16"/>
              </w:rPr>
            </w:pPr>
            <w:r>
              <w:rPr>
                <w:rFonts w:eastAsia="Times New Roman" w:cs="Arial"/>
                <w:b/>
                <w:sz w:val="16"/>
                <w:szCs w:val="16"/>
              </w:rPr>
              <w:t>opt.</w:t>
            </w:r>
          </w:p>
          <w:p w14:paraId="1EEA0E7E" w14:textId="77777777" w:rsidR="00342E07" w:rsidRDefault="005356A1">
            <w:pPr>
              <w:spacing w:after="0" w:line="240" w:lineRule="auto"/>
              <w:jc w:val="center"/>
            </w:pPr>
            <w:r>
              <w:fldChar w:fldCharType="begin" w:fldLock="1"/>
            </w:r>
            <w:r>
              <w:instrText>ADDIN CSL_CITATION { "citationItems" : [ { "id" : "ITEM-1", "itemData" : { "DOI" : "10.1183/13993003.01485-2015", "ISSN" : "13993003", "PMID" : "27103389", "abstract" : "Several composite markers have been proposed for risk assessment in chronic obstructive pulmonary disease (COPD). However, choice of parameters and score complexity restrict clinical applicability. Our aim was to provide and validate a simplified COPD risk index independent of lung function.The PROMISE study (n=530) was used to develop a novel prognostic index. Index performance was assessed regarding 2-year COPD-related mortality and all-cause mortality. External validity was tested in stable and exacerbated COPD patients in the ProCOLD, COCOMICS and COMIC cohorts (total n=2988).Using a mixed clinical and statistical approach, body mass index (B), severe acute exacerbations of COPD frequency (AE), modified Medical Research Council dyspnoea severity (D) and copeptin (C) were identified as the most suitable simplified marker combination. 0, 1 or 2 points were assigned to each parameter and totalled to B-AE-D or B-AE-D-C. It was observed that B-AE-D and B-AE-D-C were at least as good as BODE (body mass index, airflow obstruction, dyspnoea, exercise capacity), ADO (age, dyspnoea, airflow obstruction) and DOSE (dyspnoea, obstruction, smoking, exacerbation) indices for predicting 2-year all-cause mortality (c-statistic: 0.74, 0.77, 0.69, 0.72 and 0.63, respectively; Hosmer-Lemeshow test all p&gt;0.05). Both indices were COPD specific (c-statistic for predicting COPD-related 2-year mortality: 0.87 and 0.89, respectively). External validation of B-AE-D was performed in COCOMICS and COMIC (c-statistic for 1-year all-cause mortality: 0.68 and 0.74; c-statistic for 2-year all-cause mortality: 0.65 and 0.67; Hosmer-Lemeshow test all p&gt;0.05).The B-AE-D index, plus copeptin if available, allows a simple and accurate assessment of COPD-related risk.", "author" : [ { "dropping-particle" : "", "family" : "Boeck", "given" : "Lucas", "non-dropping-particle" : "", "parse-names" : false, "suffix" : "" }, { "dropping-particle" : "", "family" : "Soriano", "given" : "Joan B.", "non-dropping-particle" : "", "parse-names" : false, "suffix" : "" }, { "dropping-particle" : "", "family" : "Brusse-Keizer", "given" : "Marjolein", "non-dropping-particle" : "", "parse-names" : false, "suffix" : "" }, { "dropping-particle" : "", "family" : "Blasi", "given" : "Francesco", "non-dropping-particle" : "", "parse-names" : false, "suffix" : "" }, { "dropping-particle" : "", "family" : "Kostikas", "given" : "Konstantinos", "non-dropping-particle" : "", "parse-names" : false, "suffix" : "" }, { "dropping-particle" : "", "family" : "Boersma", "given" : "Wim", "non-dropping-particle" : "", "parse-names" : false, "suffix" : "" }, { "dropping-particle" : "", "family" : "Milenkovic", "given" : "Branislava", "non-dropping-particle" : "", "parse-names" : false, "suffix" : "" }, { "dropping-particle" : "", "family" : "Louis", "given" : "Renaud", "non-dropping-particle" : "", "parse-names" : false, "suffix" : "" }, { "dropping-particle" : "", "family" : "Lacoma", "given" : "Alicia", "non-dropping-particle" : "", "parse-names" : false, "suffix" : "" }, { "dropping-particle" : "", "family" : "Djamin", "given" : "Remco", "non-dropping-particle" : "", "parse-names" : false, "suffix" : "" }, { "dropping-particle" : "", "family" : "Aerts", "given" : "Joachim", "non-dropping-particle" : "", "parse-names" : false, "suffix" : "" }, { "dropping-particle" : "", "family" : "Torres", "given" : "Antoni", "non-dropping-particle" : "", "parse-names" : false, "suffix" : "" }, { "dropping-particle" : "", "family" : "Rohde", "given" : "Gernot", "non-dropping-particle" : "", "parse-names" : false, "suffix" : "" }, { "dropping-particle" : "", "family" : "Welte", "given" : "Tobias", "non-dropping-particle" : "", "parse-names" : false, "suffix" : "" }, { "dropping-particle" : "", "family" : "Martinez-Camblor", "given" : "Pablo", "non-dropping-particle" : "", "parse-names" : false, "suffix" : "" }, { "dropping-particle" : "", "family" : "Rakic", "given" : "Janko", "non-dropping-particle" : "", "parse-names" : false, "suffix" : "" }, { "dropping-particle" : "", "family" : "Scherr", "given" : "Andreas", "non-dropping-particle" : "", "parse-names" : false, "suffix" : "" }, { "dropping-particle" : "", "family" : "Koller", "given" : "Michael", "non-dropping-particle" : "", "parse-names" : false, "suffix" : "" }, { "dropping-particle" : "", "family" : "Palen", "given" : "Job", "non-dropping-particle" : "Van Der", "parse-names" : false, "suffix" : "" }, { "dropping-particle" : "", "family" : "Marin", "given" : "J M", "non-dropping-particle" : "", "parse-names" : false, "suffix" : "" }, { "dropping-particle" : "", "family" : "Alfageme", "given" : "Inmaculada", "non-dropping-particle" : "", "parse-names" : false, "suffix" : "" }, { "dropping-particle" : "", "family" : "Almagro", "given" : "Pere", "non-dropping-particle" : "", "parse-names" : false, "suffix" : "" }, { "dropping-particle" : "", "family" : "Casanova", "given" : "Ciro", "non-dropping-particle" : "", "parse-names" : false, "suffix" : "" }, { "dropping-particle" : "", "family" : "Esteban", "given" : "C", "non-dropping-particle" : "", "parse-names" : false, "suffix" : "" }, { "dropping-particle" : "", "family" : "Soler-Catalu\u00f1a", "given" : "Juan J", "non-dropping-particle" : "", "parse-names" : false, "suffix" : "" }, { "dropping-particle" : "", "family" : "De-Torres", "given" : "Juan P.", "non-dropping-particle" : "", "parse-names" : false, "suffix" : "" }, { "dropping-particle" : "", "family" : "Miravitlles", "given" : "Marc", "non-dropping-particle" : "", "parse-names" : false, "suffix" : "" }, { "dropping-particle" : "", "family" : "Celli", "given" : "Bartolome R.", "non-dropping-particle" : "", "parse-names" : false, "suffix" : "" }, { "dropping-particle" : "", "family" : "Tamm", "given" : "Michael", "non-dropping-particle" : "", "parse-names" : false, "suffix" : "" }, { "dropping-particle" : "", "family" : "Stolz", "given" : "D", "non-dropping-particle" : "", "parse-names" : false, "suffix" : "" } ], "container-title" : "European Respiratory Journal", "id" : "ITEM-1", "issue" : "6", "issued" : { "date-parts" : [ [ "2016" ] ] }, "page" : "1635-1644", "title" : "Prognostic assessment in COPD without lung function: The B-AE-D indices", "type" : "article-journal", "volume" : "47" }, "uris" : [ "http://www.mendeley.com/documents/?uuid=996e8b67-7f04-4547-9790-19175485ca98" ] } ], "mendeley" : { "formattedCitation" : "[69]", "plainTextFormattedCitation" : "[69]", "previouslyFormattedCitation" : "[66]" }, "properties" : { "noteIndex" : 0 }, "schema" : "https://github.com/citation-style-language/schema/raw/master/csl-citation.json" }</w:instrText>
            </w:r>
            <w:r>
              <w:fldChar w:fldCharType="separate"/>
            </w:r>
            <w:r w:rsidRPr="005356A1">
              <w:rPr>
                <w:rFonts w:eastAsia="Times New Roman" w:cs="Arial"/>
                <w:noProof/>
                <w:sz w:val="16"/>
                <w:szCs w:val="16"/>
              </w:rPr>
              <w:t>[69]</w:t>
            </w:r>
            <w:r>
              <w:fldChar w:fldCharType="end"/>
            </w:r>
          </w:p>
        </w:tc>
      </w:tr>
      <w:tr w:rsidR="00342E07" w14:paraId="05D67358" w14:textId="77777777">
        <w:trPr>
          <w:jc w:val="center"/>
        </w:trPr>
        <w:tc>
          <w:tcPr>
            <w:tcW w:w="1272" w:type="dxa"/>
            <w:tcBorders>
              <w:top w:val="single" w:sz="4" w:space="0" w:color="00000A"/>
              <w:bottom w:val="single" w:sz="4" w:space="0" w:color="00000A"/>
            </w:tcBorders>
            <w:shd w:val="clear" w:color="auto" w:fill="auto"/>
            <w:vAlign w:val="center"/>
          </w:tcPr>
          <w:p w14:paraId="2A584175" w14:textId="77777777" w:rsidR="00342E07" w:rsidRDefault="005356A1">
            <w:pPr>
              <w:spacing w:after="0" w:line="240" w:lineRule="auto"/>
              <w:rPr>
                <w:rFonts w:eastAsia="Times New Roman" w:cs="Arial"/>
                <w:b/>
                <w:color w:val="222222"/>
                <w:sz w:val="18"/>
                <w:szCs w:val="18"/>
              </w:rPr>
            </w:pPr>
            <w:r>
              <w:rPr>
                <w:rFonts w:eastAsia="Times New Roman" w:cs="Arial"/>
                <w:b/>
                <w:color w:val="222222"/>
                <w:sz w:val="18"/>
                <w:szCs w:val="18"/>
              </w:rPr>
              <w:t>BMI</w:t>
            </w:r>
          </w:p>
        </w:tc>
        <w:tc>
          <w:tcPr>
            <w:tcW w:w="945" w:type="dxa"/>
            <w:tcBorders>
              <w:top w:val="single" w:sz="4" w:space="0" w:color="00000A"/>
              <w:bottom w:val="single" w:sz="4" w:space="0" w:color="00000A"/>
            </w:tcBorders>
            <w:shd w:val="clear" w:color="auto" w:fill="auto"/>
            <w:vAlign w:val="center"/>
          </w:tcPr>
          <w:p w14:paraId="16D3F0A9" w14:textId="77777777" w:rsidR="00342E07" w:rsidRDefault="00342E07">
            <w:pPr>
              <w:spacing w:after="0" w:line="240" w:lineRule="auto"/>
              <w:jc w:val="center"/>
              <w:rPr>
                <w:rFonts w:eastAsia="Times New Roman" w:cs="Arial"/>
                <w:color w:val="222222"/>
                <w:sz w:val="16"/>
                <w:szCs w:val="16"/>
              </w:rPr>
            </w:pPr>
          </w:p>
        </w:tc>
        <w:tc>
          <w:tcPr>
            <w:tcW w:w="944" w:type="dxa"/>
            <w:tcBorders>
              <w:top w:val="single" w:sz="4" w:space="0" w:color="00000A"/>
              <w:bottom w:val="single" w:sz="4" w:space="0" w:color="00000A"/>
            </w:tcBorders>
            <w:shd w:val="clear" w:color="auto" w:fill="auto"/>
            <w:vAlign w:val="center"/>
          </w:tcPr>
          <w:p w14:paraId="5BC43DFD" w14:textId="77777777" w:rsidR="00342E07" w:rsidRDefault="00342E07">
            <w:pPr>
              <w:spacing w:after="0" w:line="240" w:lineRule="auto"/>
              <w:jc w:val="center"/>
              <w:rPr>
                <w:rFonts w:eastAsia="Times New Roman" w:cs="Arial"/>
                <w:color w:val="222222"/>
                <w:sz w:val="16"/>
                <w:szCs w:val="16"/>
              </w:rPr>
            </w:pPr>
          </w:p>
        </w:tc>
        <w:tc>
          <w:tcPr>
            <w:tcW w:w="944" w:type="dxa"/>
            <w:tcBorders>
              <w:top w:val="single" w:sz="4" w:space="0" w:color="00000A"/>
              <w:bottom w:val="single" w:sz="4" w:space="0" w:color="00000A"/>
            </w:tcBorders>
            <w:shd w:val="clear" w:color="auto" w:fill="auto"/>
            <w:vAlign w:val="center"/>
          </w:tcPr>
          <w:p w14:paraId="128AEE67" w14:textId="77777777" w:rsidR="00342E07" w:rsidRDefault="005356A1">
            <w:pPr>
              <w:spacing w:after="0" w:line="240" w:lineRule="auto"/>
              <w:jc w:val="center"/>
              <w:rPr>
                <w:rFonts w:eastAsia="Times New Roman" w:cs="Arial"/>
                <w:color w:val="222222"/>
                <w:sz w:val="16"/>
                <w:szCs w:val="16"/>
              </w:rPr>
            </w:pPr>
            <w:r>
              <w:rPr>
                <w:rFonts w:eastAsia="Times New Roman" w:cs="Arial"/>
                <w:color w:val="222222"/>
                <w:sz w:val="16"/>
                <w:szCs w:val="16"/>
              </w:rPr>
              <w:t>0 (&gt;21)</w:t>
            </w:r>
          </w:p>
          <w:p w14:paraId="76E89093" w14:textId="77777777" w:rsidR="00342E07" w:rsidRDefault="005356A1">
            <w:pPr>
              <w:spacing w:after="0" w:line="240" w:lineRule="auto"/>
              <w:jc w:val="center"/>
              <w:rPr>
                <w:rFonts w:eastAsia="Times New Roman" w:cs="Arial"/>
                <w:color w:val="222222"/>
                <w:sz w:val="16"/>
                <w:szCs w:val="16"/>
              </w:rPr>
            </w:pPr>
            <w:r>
              <w:rPr>
                <w:rFonts w:eastAsia="Times New Roman" w:cs="Arial"/>
                <w:color w:val="222222"/>
                <w:sz w:val="16"/>
                <w:szCs w:val="16"/>
              </w:rPr>
              <w:t>1 (&lt;=21)</w:t>
            </w:r>
          </w:p>
        </w:tc>
        <w:tc>
          <w:tcPr>
            <w:tcW w:w="942" w:type="dxa"/>
            <w:tcBorders>
              <w:top w:val="single" w:sz="4" w:space="0" w:color="00000A"/>
              <w:bottom w:val="single" w:sz="4" w:space="0" w:color="00000A"/>
            </w:tcBorders>
            <w:shd w:val="clear" w:color="auto" w:fill="auto"/>
            <w:vAlign w:val="center"/>
          </w:tcPr>
          <w:p w14:paraId="52FF4938" w14:textId="77777777" w:rsidR="00342E07" w:rsidRDefault="005356A1">
            <w:pPr>
              <w:spacing w:after="0" w:line="240" w:lineRule="auto"/>
              <w:jc w:val="center"/>
              <w:rPr>
                <w:rFonts w:eastAsia="Times New Roman" w:cs="Arial"/>
                <w:color w:val="222222"/>
                <w:sz w:val="16"/>
                <w:szCs w:val="16"/>
              </w:rPr>
            </w:pPr>
            <w:r>
              <w:rPr>
                <w:rFonts w:eastAsia="Times New Roman" w:cs="Arial"/>
                <w:color w:val="222222"/>
                <w:sz w:val="16"/>
                <w:szCs w:val="16"/>
              </w:rPr>
              <w:t>0 (&gt;21)</w:t>
            </w:r>
          </w:p>
          <w:p w14:paraId="26A8BFE3" w14:textId="77777777" w:rsidR="00342E07" w:rsidRDefault="005356A1">
            <w:pPr>
              <w:spacing w:after="0" w:line="240" w:lineRule="auto"/>
              <w:jc w:val="center"/>
              <w:rPr>
                <w:rFonts w:eastAsia="Times New Roman" w:cs="Arial"/>
                <w:color w:val="222222"/>
                <w:sz w:val="16"/>
                <w:szCs w:val="16"/>
              </w:rPr>
            </w:pPr>
            <w:r>
              <w:rPr>
                <w:rFonts w:eastAsia="Times New Roman" w:cs="Arial"/>
                <w:color w:val="222222"/>
                <w:sz w:val="16"/>
                <w:szCs w:val="16"/>
              </w:rPr>
              <w:t>1 (&lt;=21)</w:t>
            </w:r>
          </w:p>
        </w:tc>
        <w:tc>
          <w:tcPr>
            <w:tcW w:w="944" w:type="dxa"/>
            <w:tcBorders>
              <w:top w:val="single" w:sz="4" w:space="0" w:color="00000A"/>
              <w:bottom w:val="single" w:sz="4" w:space="0" w:color="00000A"/>
            </w:tcBorders>
            <w:shd w:val="clear" w:color="auto" w:fill="auto"/>
            <w:vAlign w:val="center"/>
          </w:tcPr>
          <w:p w14:paraId="32D63970" w14:textId="77777777" w:rsidR="00342E07" w:rsidRDefault="00342E07">
            <w:pPr>
              <w:spacing w:after="0" w:line="240" w:lineRule="auto"/>
              <w:jc w:val="center"/>
              <w:rPr>
                <w:rFonts w:eastAsia="Times New Roman" w:cs="Arial"/>
                <w:color w:val="222222"/>
                <w:sz w:val="16"/>
                <w:szCs w:val="16"/>
              </w:rPr>
            </w:pPr>
          </w:p>
        </w:tc>
        <w:tc>
          <w:tcPr>
            <w:tcW w:w="944" w:type="dxa"/>
            <w:tcBorders>
              <w:top w:val="single" w:sz="4" w:space="0" w:color="00000A"/>
              <w:bottom w:val="single" w:sz="4" w:space="0" w:color="00000A"/>
            </w:tcBorders>
            <w:shd w:val="clear" w:color="auto" w:fill="auto"/>
            <w:vAlign w:val="center"/>
          </w:tcPr>
          <w:p w14:paraId="5F664C96" w14:textId="77777777" w:rsidR="00342E07" w:rsidRDefault="005356A1">
            <w:pPr>
              <w:spacing w:after="0" w:line="240" w:lineRule="auto"/>
              <w:jc w:val="center"/>
              <w:rPr>
                <w:rFonts w:eastAsia="Times New Roman" w:cs="Arial"/>
                <w:color w:val="222222"/>
                <w:sz w:val="16"/>
                <w:szCs w:val="16"/>
              </w:rPr>
            </w:pPr>
            <w:r>
              <w:rPr>
                <w:rFonts w:eastAsia="Times New Roman" w:cs="Arial"/>
                <w:color w:val="222222"/>
                <w:sz w:val="16"/>
                <w:szCs w:val="16"/>
              </w:rPr>
              <w:t>0 (&gt;21)</w:t>
            </w:r>
          </w:p>
          <w:p w14:paraId="7294FA98" w14:textId="77777777" w:rsidR="00342E07" w:rsidRDefault="005356A1">
            <w:pPr>
              <w:spacing w:after="0" w:line="240" w:lineRule="auto"/>
              <w:jc w:val="center"/>
              <w:rPr>
                <w:rFonts w:eastAsia="Times New Roman" w:cs="Arial"/>
                <w:color w:val="222222"/>
                <w:sz w:val="16"/>
                <w:szCs w:val="16"/>
              </w:rPr>
            </w:pPr>
            <w:r>
              <w:rPr>
                <w:rFonts w:eastAsia="Times New Roman" w:cs="Arial"/>
                <w:color w:val="222222"/>
                <w:sz w:val="16"/>
                <w:szCs w:val="16"/>
              </w:rPr>
              <w:t>1 (&lt;=21)</w:t>
            </w:r>
          </w:p>
        </w:tc>
        <w:tc>
          <w:tcPr>
            <w:tcW w:w="944" w:type="dxa"/>
            <w:tcBorders>
              <w:top w:val="single" w:sz="4" w:space="0" w:color="00000A"/>
              <w:bottom w:val="single" w:sz="4" w:space="0" w:color="00000A"/>
            </w:tcBorders>
            <w:shd w:val="clear" w:color="auto" w:fill="auto"/>
            <w:vAlign w:val="center"/>
          </w:tcPr>
          <w:p w14:paraId="585E8CD5" w14:textId="77777777" w:rsidR="00342E07" w:rsidRDefault="005356A1">
            <w:pPr>
              <w:spacing w:after="0" w:line="240" w:lineRule="auto"/>
              <w:jc w:val="center"/>
              <w:rPr>
                <w:rFonts w:eastAsia="Times New Roman" w:cs="Arial"/>
                <w:color w:val="222222"/>
                <w:sz w:val="16"/>
                <w:szCs w:val="16"/>
              </w:rPr>
            </w:pPr>
            <w:r>
              <w:rPr>
                <w:rFonts w:eastAsia="Times New Roman" w:cs="Arial"/>
                <w:color w:val="222222"/>
                <w:sz w:val="16"/>
                <w:szCs w:val="16"/>
              </w:rPr>
              <w:t>0 (&gt;21)</w:t>
            </w:r>
          </w:p>
          <w:p w14:paraId="3E4DABB5" w14:textId="77777777" w:rsidR="00342E07" w:rsidRDefault="005356A1">
            <w:pPr>
              <w:spacing w:after="0" w:line="240" w:lineRule="auto"/>
              <w:jc w:val="center"/>
              <w:rPr>
                <w:rFonts w:eastAsia="Times New Roman" w:cs="Arial"/>
                <w:color w:val="222222"/>
                <w:sz w:val="16"/>
                <w:szCs w:val="16"/>
              </w:rPr>
            </w:pPr>
            <w:r>
              <w:rPr>
                <w:rFonts w:eastAsia="Times New Roman" w:cs="Arial"/>
                <w:color w:val="222222"/>
                <w:sz w:val="16"/>
                <w:szCs w:val="16"/>
              </w:rPr>
              <w:t>1 (&lt;=21)</w:t>
            </w:r>
          </w:p>
        </w:tc>
        <w:tc>
          <w:tcPr>
            <w:tcW w:w="944" w:type="dxa"/>
            <w:tcBorders>
              <w:top w:val="single" w:sz="4" w:space="0" w:color="00000A"/>
              <w:bottom w:val="single" w:sz="4" w:space="0" w:color="00000A"/>
            </w:tcBorders>
            <w:shd w:val="clear" w:color="auto" w:fill="auto"/>
            <w:vAlign w:val="center"/>
          </w:tcPr>
          <w:p w14:paraId="44C120E9" w14:textId="77777777" w:rsidR="00342E07" w:rsidRDefault="00342E07">
            <w:pPr>
              <w:spacing w:after="0" w:line="240" w:lineRule="auto"/>
              <w:jc w:val="center"/>
              <w:rPr>
                <w:rFonts w:eastAsia="Times New Roman" w:cs="Arial"/>
                <w:color w:val="222222"/>
                <w:sz w:val="16"/>
                <w:szCs w:val="16"/>
              </w:rPr>
            </w:pPr>
          </w:p>
        </w:tc>
        <w:tc>
          <w:tcPr>
            <w:tcW w:w="942" w:type="dxa"/>
            <w:tcBorders>
              <w:top w:val="single" w:sz="4" w:space="0" w:color="00000A"/>
              <w:bottom w:val="single" w:sz="4" w:space="0" w:color="00000A"/>
            </w:tcBorders>
            <w:shd w:val="clear" w:color="auto" w:fill="auto"/>
            <w:vAlign w:val="center"/>
          </w:tcPr>
          <w:p w14:paraId="40186289" w14:textId="77777777" w:rsidR="00342E07" w:rsidRDefault="00342E07">
            <w:pPr>
              <w:spacing w:after="0" w:line="240" w:lineRule="auto"/>
              <w:jc w:val="center"/>
              <w:rPr>
                <w:rFonts w:eastAsia="Times New Roman" w:cs="Arial"/>
                <w:color w:val="222222"/>
                <w:sz w:val="16"/>
                <w:szCs w:val="16"/>
              </w:rPr>
            </w:pPr>
          </w:p>
        </w:tc>
        <w:tc>
          <w:tcPr>
            <w:tcW w:w="946" w:type="dxa"/>
            <w:tcBorders>
              <w:top w:val="single" w:sz="4" w:space="0" w:color="00000A"/>
              <w:bottom w:val="single" w:sz="4" w:space="0" w:color="00000A"/>
            </w:tcBorders>
            <w:shd w:val="clear" w:color="auto" w:fill="auto"/>
            <w:vAlign w:val="center"/>
          </w:tcPr>
          <w:p w14:paraId="0288FE16" w14:textId="77777777" w:rsidR="00342E07" w:rsidRDefault="005356A1">
            <w:pPr>
              <w:spacing w:after="0" w:line="240" w:lineRule="auto"/>
              <w:jc w:val="center"/>
              <w:rPr>
                <w:rFonts w:eastAsia="Times New Roman" w:cs="Arial"/>
                <w:color w:val="222222"/>
                <w:sz w:val="16"/>
                <w:szCs w:val="16"/>
              </w:rPr>
            </w:pPr>
            <w:r>
              <w:rPr>
                <w:rFonts w:eastAsia="Times New Roman" w:cs="Arial"/>
                <w:color w:val="222222"/>
                <w:sz w:val="16"/>
                <w:szCs w:val="16"/>
              </w:rPr>
              <w:t>0 (&gt;=21)</w:t>
            </w:r>
          </w:p>
          <w:p w14:paraId="5C883D13" w14:textId="77777777" w:rsidR="00342E07" w:rsidRDefault="005356A1">
            <w:pPr>
              <w:spacing w:after="0" w:line="240" w:lineRule="auto"/>
              <w:jc w:val="center"/>
              <w:rPr>
                <w:rFonts w:eastAsia="Times New Roman" w:cs="Arial"/>
                <w:color w:val="222222"/>
                <w:sz w:val="16"/>
                <w:szCs w:val="16"/>
              </w:rPr>
            </w:pPr>
            <w:r>
              <w:rPr>
                <w:rFonts w:eastAsia="Times New Roman" w:cs="Arial"/>
                <w:color w:val="222222"/>
                <w:sz w:val="16"/>
                <w:szCs w:val="16"/>
              </w:rPr>
              <w:t>6 (18.5-21)</w:t>
            </w:r>
          </w:p>
          <w:p w14:paraId="719BECC0" w14:textId="77777777" w:rsidR="00342E07" w:rsidRDefault="005356A1">
            <w:pPr>
              <w:spacing w:after="0" w:line="240" w:lineRule="auto"/>
              <w:jc w:val="center"/>
              <w:rPr>
                <w:rFonts w:eastAsia="Times New Roman" w:cs="Arial"/>
                <w:color w:val="222222"/>
                <w:sz w:val="16"/>
                <w:szCs w:val="16"/>
              </w:rPr>
            </w:pPr>
            <w:r>
              <w:rPr>
                <w:rFonts w:eastAsia="Times New Roman" w:cs="Arial"/>
                <w:color w:val="222222"/>
                <w:sz w:val="16"/>
                <w:szCs w:val="16"/>
              </w:rPr>
              <w:t>9 (&lt;18.5)</w:t>
            </w:r>
          </w:p>
        </w:tc>
      </w:tr>
      <w:tr w:rsidR="00342E07" w14:paraId="55C4C792" w14:textId="77777777">
        <w:trPr>
          <w:jc w:val="center"/>
        </w:trPr>
        <w:tc>
          <w:tcPr>
            <w:tcW w:w="1272" w:type="dxa"/>
            <w:tcBorders>
              <w:top w:val="single" w:sz="4" w:space="0" w:color="00000A"/>
              <w:bottom w:val="single" w:sz="4" w:space="0" w:color="00000A"/>
            </w:tcBorders>
            <w:shd w:val="clear" w:color="auto" w:fill="auto"/>
            <w:vAlign w:val="center"/>
          </w:tcPr>
          <w:p w14:paraId="0F13B889" w14:textId="77777777" w:rsidR="00342E07" w:rsidRDefault="005356A1">
            <w:pPr>
              <w:spacing w:after="0" w:line="240" w:lineRule="auto"/>
              <w:rPr>
                <w:rFonts w:eastAsia="Times New Roman" w:cs="Arial"/>
                <w:b/>
                <w:color w:val="222222"/>
                <w:sz w:val="18"/>
                <w:szCs w:val="18"/>
              </w:rPr>
            </w:pPr>
            <w:r>
              <w:rPr>
                <w:rFonts w:eastAsia="Times New Roman" w:cs="Arial"/>
                <w:b/>
                <w:color w:val="222222"/>
                <w:sz w:val="18"/>
                <w:szCs w:val="18"/>
              </w:rPr>
              <w:t>FEV1% pred.</w:t>
            </w:r>
          </w:p>
        </w:tc>
        <w:tc>
          <w:tcPr>
            <w:tcW w:w="945" w:type="dxa"/>
            <w:tcBorders>
              <w:top w:val="single" w:sz="4" w:space="0" w:color="00000A"/>
              <w:bottom w:val="single" w:sz="4" w:space="0" w:color="00000A"/>
            </w:tcBorders>
            <w:shd w:val="clear" w:color="auto" w:fill="auto"/>
            <w:vAlign w:val="center"/>
          </w:tcPr>
          <w:p w14:paraId="029B10C7" w14:textId="77777777" w:rsidR="00342E07" w:rsidRDefault="005356A1">
            <w:pPr>
              <w:spacing w:after="0" w:line="240" w:lineRule="auto"/>
              <w:jc w:val="center"/>
              <w:rPr>
                <w:rFonts w:eastAsia="Times New Roman" w:cs="Arial"/>
                <w:color w:val="222222"/>
                <w:sz w:val="16"/>
                <w:szCs w:val="16"/>
              </w:rPr>
            </w:pPr>
            <w:r>
              <w:rPr>
                <w:rFonts w:eastAsia="Times New Roman" w:cs="Arial"/>
                <w:color w:val="222222"/>
                <w:sz w:val="16"/>
                <w:szCs w:val="16"/>
              </w:rPr>
              <w:t>0 (&gt;=80)</w:t>
            </w:r>
          </w:p>
          <w:p w14:paraId="11DF4DD4" w14:textId="77777777" w:rsidR="00342E07" w:rsidRDefault="005356A1">
            <w:pPr>
              <w:spacing w:after="0" w:line="240" w:lineRule="auto"/>
              <w:jc w:val="center"/>
              <w:rPr>
                <w:rFonts w:eastAsia="Times New Roman" w:cs="Arial"/>
                <w:color w:val="222222"/>
                <w:sz w:val="16"/>
                <w:szCs w:val="16"/>
              </w:rPr>
            </w:pPr>
            <w:r>
              <w:rPr>
                <w:rFonts w:eastAsia="Times New Roman" w:cs="Arial"/>
                <w:color w:val="222222"/>
                <w:sz w:val="16"/>
                <w:szCs w:val="16"/>
              </w:rPr>
              <w:t>1 (50-79)</w:t>
            </w:r>
          </w:p>
          <w:p w14:paraId="3EB985F3" w14:textId="77777777" w:rsidR="00342E07" w:rsidRDefault="005356A1">
            <w:pPr>
              <w:spacing w:after="0" w:line="240" w:lineRule="auto"/>
              <w:jc w:val="center"/>
              <w:rPr>
                <w:rFonts w:eastAsia="Times New Roman" w:cs="Arial"/>
                <w:color w:val="222222"/>
                <w:sz w:val="16"/>
                <w:szCs w:val="16"/>
              </w:rPr>
            </w:pPr>
            <w:r>
              <w:rPr>
                <w:rFonts w:eastAsia="Times New Roman" w:cs="Arial"/>
                <w:color w:val="222222"/>
                <w:sz w:val="16"/>
                <w:szCs w:val="16"/>
              </w:rPr>
              <w:t>2 (30-49)</w:t>
            </w:r>
          </w:p>
          <w:p w14:paraId="6E549424" w14:textId="77777777" w:rsidR="00342E07" w:rsidRDefault="005356A1">
            <w:pPr>
              <w:spacing w:after="0" w:line="240" w:lineRule="auto"/>
              <w:jc w:val="center"/>
              <w:rPr>
                <w:rFonts w:eastAsia="Times New Roman" w:cs="Arial"/>
                <w:color w:val="222222"/>
                <w:sz w:val="16"/>
                <w:szCs w:val="16"/>
              </w:rPr>
            </w:pPr>
            <w:r>
              <w:rPr>
                <w:rFonts w:eastAsia="Times New Roman" w:cs="Arial"/>
                <w:color w:val="222222"/>
                <w:sz w:val="16"/>
                <w:szCs w:val="16"/>
              </w:rPr>
              <w:t>3 (&lt;30)</w:t>
            </w:r>
          </w:p>
        </w:tc>
        <w:tc>
          <w:tcPr>
            <w:tcW w:w="944" w:type="dxa"/>
            <w:tcBorders>
              <w:top w:val="single" w:sz="4" w:space="0" w:color="00000A"/>
              <w:bottom w:val="single" w:sz="4" w:space="0" w:color="00000A"/>
            </w:tcBorders>
            <w:shd w:val="clear" w:color="auto" w:fill="auto"/>
            <w:vAlign w:val="center"/>
          </w:tcPr>
          <w:p w14:paraId="3DC41341" w14:textId="77777777" w:rsidR="00342E07" w:rsidRDefault="005356A1">
            <w:pPr>
              <w:spacing w:after="0" w:line="240" w:lineRule="auto"/>
              <w:jc w:val="center"/>
              <w:rPr>
                <w:rFonts w:eastAsia="Times New Roman" w:cs="Arial"/>
                <w:color w:val="222222"/>
                <w:sz w:val="12"/>
                <w:szCs w:val="12"/>
              </w:rPr>
            </w:pPr>
            <w:r>
              <w:rPr>
                <w:rFonts w:eastAsia="Times New Roman" w:cs="Arial"/>
                <w:color w:val="222222"/>
                <w:sz w:val="12"/>
                <w:szCs w:val="12"/>
              </w:rPr>
              <w:t>0 (if FEV1pp&gt;=50</w:t>
            </w:r>
          </w:p>
          <w:p w14:paraId="262366ED" w14:textId="77777777" w:rsidR="00342E07" w:rsidRDefault="005356A1">
            <w:pPr>
              <w:spacing w:after="0" w:line="240" w:lineRule="auto"/>
              <w:jc w:val="center"/>
              <w:rPr>
                <w:rFonts w:eastAsia="Times New Roman" w:cs="Arial"/>
                <w:color w:val="222222"/>
                <w:sz w:val="12"/>
                <w:szCs w:val="12"/>
              </w:rPr>
            </w:pPr>
            <w:r>
              <w:rPr>
                <w:rFonts w:eastAsia="Times New Roman" w:cs="Arial"/>
                <w:color w:val="222222"/>
                <w:sz w:val="12"/>
                <w:szCs w:val="12"/>
              </w:rPr>
              <w:t>and</w:t>
            </w:r>
          </w:p>
          <w:p w14:paraId="3730626C" w14:textId="77777777" w:rsidR="00342E07" w:rsidRDefault="005356A1">
            <w:pPr>
              <w:spacing w:after="0" w:line="240" w:lineRule="auto"/>
              <w:jc w:val="center"/>
              <w:rPr>
                <w:rFonts w:eastAsia="Times New Roman" w:cs="Arial"/>
                <w:color w:val="222222"/>
                <w:sz w:val="12"/>
                <w:szCs w:val="12"/>
              </w:rPr>
            </w:pPr>
            <w:r>
              <w:rPr>
                <w:rFonts w:eastAsia="Times New Roman" w:cs="Arial"/>
                <w:color w:val="222222"/>
                <w:sz w:val="12"/>
                <w:szCs w:val="12"/>
              </w:rPr>
              <w:t>&lt;=1 exacerbations per year)</w:t>
            </w:r>
          </w:p>
          <w:p w14:paraId="563C9848" w14:textId="77777777" w:rsidR="00342E07" w:rsidRDefault="005356A1">
            <w:pPr>
              <w:spacing w:after="0" w:line="240" w:lineRule="auto"/>
              <w:jc w:val="center"/>
              <w:rPr>
                <w:rFonts w:eastAsia="Times New Roman" w:cs="Arial"/>
                <w:color w:val="222222"/>
                <w:sz w:val="12"/>
                <w:szCs w:val="12"/>
              </w:rPr>
            </w:pPr>
            <w:r>
              <w:rPr>
                <w:rFonts w:eastAsia="Times New Roman" w:cs="Arial"/>
                <w:color w:val="222222"/>
                <w:sz w:val="12"/>
                <w:szCs w:val="12"/>
              </w:rPr>
              <w:t>2 (otherwise)</w:t>
            </w:r>
          </w:p>
        </w:tc>
        <w:tc>
          <w:tcPr>
            <w:tcW w:w="944" w:type="dxa"/>
            <w:tcBorders>
              <w:top w:val="single" w:sz="4" w:space="0" w:color="00000A"/>
              <w:bottom w:val="single" w:sz="4" w:space="0" w:color="00000A"/>
            </w:tcBorders>
            <w:shd w:val="clear" w:color="auto" w:fill="auto"/>
            <w:vAlign w:val="center"/>
          </w:tcPr>
          <w:p w14:paraId="6DAAF432" w14:textId="77777777" w:rsidR="00342E07" w:rsidRDefault="005356A1">
            <w:pPr>
              <w:spacing w:after="0" w:line="240" w:lineRule="auto"/>
              <w:jc w:val="center"/>
              <w:rPr>
                <w:rFonts w:eastAsia="Times New Roman" w:cs="Arial"/>
                <w:color w:val="222222"/>
                <w:sz w:val="16"/>
                <w:szCs w:val="16"/>
              </w:rPr>
            </w:pPr>
            <w:r>
              <w:rPr>
                <w:rFonts w:eastAsia="Times New Roman" w:cs="Arial"/>
                <w:color w:val="222222"/>
                <w:sz w:val="16"/>
                <w:szCs w:val="16"/>
              </w:rPr>
              <w:t>0 (&gt;=65%)</w:t>
            </w:r>
          </w:p>
          <w:p w14:paraId="52670D89" w14:textId="77777777" w:rsidR="00342E07" w:rsidRDefault="005356A1">
            <w:pPr>
              <w:spacing w:after="0" w:line="240" w:lineRule="auto"/>
              <w:jc w:val="center"/>
              <w:rPr>
                <w:rFonts w:eastAsia="Times New Roman" w:cs="Arial"/>
                <w:color w:val="222222"/>
                <w:sz w:val="16"/>
                <w:szCs w:val="16"/>
              </w:rPr>
            </w:pPr>
            <w:r>
              <w:rPr>
                <w:rFonts w:eastAsia="Times New Roman" w:cs="Arial"/>
                <w:color w:val="222222"/>
                <w:sz w:val="16"/>
                <w:szCs w:val="16"/>
              </w:rPr>
              <w:t>1 (50-64%)</w:t>
            </w:r>
          </w:p>
          <w:p w14:paraId="567F25D9" w14:textId="77777777" w:rsidR="00342E07" w:rsidRDefault="005356A1">
            <w:pPr>
              <w:spacing w:after="0" w:line="240" w:lineRule="auto"/>
              <w:jc w:val="center"/>
              <w:rPr>
                <w:rFonts w:eastAsia="Times New Roman" w:cs="Arial"/>
                <w:color w:val="222222"/>
                <w:sz w:val="16"/>
                <w:szCs w:val="16"/>
              </w:rPr>
            </w:pPr>
            <w:r>
              <w:rPr>
                <w:rFonts w:eastAsia="Times New Roman" w:cs="Arial"/>
                <w:color w:val="222222"/>
                <w:sz w:val="16"/>
                <w:szCs w:val="16"/>
              </w:rPr>
              <w:t>2 (36-49%)</w:t>
            </w:r>
          </w:p>
          <w:p w14:paraId="66DBD0F1" w14:textId="77777777" w:rsidR="00342E07" w:rsidRDefault="005356A1">
            <w:pPr>
              <w:spacing w:after="0" w:line="240" w:lineRule="auto"/>
              <w:jc w:val="center"/>
              <w:rPr>
                <w:rFonts w:eastAsia="Times New Roman" w:cs="Arial"/>
                <w:color w:val="222222"/>
                <w:sz w:val="16"/>
                <w:szCs w:val="16"/>
              </w:rPr>
            </w:pPr>
            <w:r>
              <w:rPr>
                <w:rFonts w:eastAsia="Times New Roman" w:cs="Arial"/>
                <w:color w:val="222222"/>
                <w:sz w:val="16"/>
                <w:szCs w:val="16"/>
              </w:rPr>
              <w:t>3 (&lt;=35)</w:t>
            </w:r>
          </w:p>
        </w:tc>
        <w:tc>
          <w:tcPr>
            <w:tcW w:w="942" w:type="dxa"/>
            <w:tcBorders>
              <w:top w:val="single" w:sz="4" w:space="0" w:color="00000A"/>
              <w:bottom w:val="single" w:sz="4" w:space="0" w:color="00000A"/>
            </w:tcBorders>
            <w:shd w:val="clear" w:color="auto" w:fill="auto"/>
            <w:vAlign w:val="center"/>
          </w:tcPr>
          <w:p w14:paraId="19EBA8F6" w14:textId="77777777" w:rsidR="00342E07" w:rsidRDefault="005356A1">
            <w:pPr>
              <w:spacing w:after="0" w:line="240" w:lineRule="auto"/>
              <w:jc w:val="center"/>
              <w:rPr>
                <w:rFonts w:eastAsia="Times New Roman" w:cs="Arial"/>
                <w:color w:val="222222"/>
                <w:sz w:val="16"/>
                <w:szCs w:val="16"/>
              </w:rPr>
            </w:pPr>
            <w:r>
              <w:rPr>
                <w:rFonts w:eastAsia="Times New Roman" w:cs="Arial"/>
                <w:color w:val="222222"/>
                <w:sz w:val="16"/>
                <w:szCs w:val="16"/>
              </w:rPr>
              <w:t>0 (&gt;=65%)</w:t>
            </w:r>
          </w:p>
          <w:p w14:paraId="00BD9F11" w14:textId="77777777" w:rsidR="00342E07" w:rsidRDefault="005356A1">
            <w:pPr>
              <w:spacing w:after="0" w:line="240" w:lineRule="auto"/>
              <w:jc w:val="center"/>
              <w:rPr>
                <w:rFonts w:eastAsia="Times New Roman" w:cs="Arial"/>
                <w:color w:val="222222"/>
                <w:sz w:val="16"/>
                <w:szCs w:val="16"/>
              </w:rPr>
            </w:pPr>
            <w:r>
              <w:rPr>
                <w:rFonts w:eastAsia="Times New Roman" w:cs="Arial"/>
                <w:color w:val="222222"/>
                <w:sz w:val="16"/>
                <w:szCs w:val="16"/>
              </w:rPr>
              <w:t>1 (36-64%)</w:t>
            </w:r>
          </w:p>
          <w:p w14:paraId="058BFD69" w14:textId="77777777" w:rsidR="00342E07" w:rsidRDefault="005356A1">
            <w:pPr>
              <w:spacing w:after="0" w:line="240" w:lineRule="auto"/>
              <w:jc w:val="center"/>
              <w:rPr>
                <w:rFonts w:eastAsia="Times New Roman" w:cs="Arial"/>
                <w:color w:val="222222"/>
                <w:sz w:val="16"/>
                <w:szCs w:val="16"/>
              </w:rPr>
            </w:pPr>
            <w:r>
              <w:rPr>
                <w:rFonts w:eastAsia="Times New Roman" w:cs="Arial"/>
                <w:color w:val="222222"/>
                <w:sz w:val="16"/>
                <w:szCs w:val="16"/>
              </w:rPr>
              <w:t>2 (&lt;=35)</w:t>
            </w:r>
          </w:p>
          <w:p w14:paraId="66855B64" w14:textId="77777777" w:rsidR="00342E07" w:rsidRDefault="00342E07">
            <w:pPr>
              <w:spacing w:after="0" w:line="240" w:lineRule="auto"/>
              <w:jc w:val="center"/>
              <w:rPr>
                <w:rFonts w:eastAsia="Times New Roman" w:cs="Arial"/>
                <w:color w:val="222222"/>
                <w:sz w:val="16"/>
                <w:szCs w:val="16"/>
              </w:rPr>
            </w:pPr>
          </w:p>
        </w:tc>
        <w:tc>
          <w:tcPr>
            <w:tcW w:w="944" w:type="dxa"/>
            <w:tcBorders>
              <w:top w:val="single" w:sz="4" w:space="0" w:color="00000A"/>
              <w:bottom w:val="single" w:sz="4" w:space="0" w:color="00000A"/>
            </w:tcBorders>
            <w:shd w:val="clear" w:color="auto" w:fill="auto"/>
            <w:vAlign w:val="center"/>
          </w:tcPr>
          <w:p w14:paraId="25100426" w14:textId="77777777" w:rsidR="00342E07" w:rsidRDefault="005356A1">
            <w:pPr>
              <w:spacing w:after="0" w:line="240" w:lineRule="auto"/>
              <w:jc w:val="center"/>
              <w:rPr>
                <w:rFonts w:eastAsia="Times New Roman" w:cs="Arial"/>
                <w:sz w:val="16"/>
                <w:szCs w:val="16"/>
              </w:rPr>
            </w:pPr>
            <w:r>
              <w:rPr>
                <w:rFonts w:eastAsia="Times New Roman" w:cs="Arial"/>
                <w:sz w:val="16"/>
                <w:szCs w:val="16"/>
              </w:rPr>
              <w:t>0 (&gt;=81%)</w:t>
            </w:r>
          </w:p>
          <w:p w14:paraId="727BE0D8" w14:textId="77777777" w:rsidR="00342E07" w:rsidRDefault="005356A1">
            <w:pPr>
              <w:spacing w:after="0" w:line="240" w:lineRule="auto"/>
              <w:jc w:val="center"/>
              <w:rPr>
                <w:rFonts w:eastAsia="Times New Roman" w:cs="Arial"/>
                <w:sz w:val="16"/>
                <w:szCs w:val="16"/>
              </w:rPr>
            </w:pPr>
            <w:r>
              <w:rPr>
                <w:rFonts w:eastAsia="Times New Roman" w:cs="Arial"/>
                <w:sz w:val="16"/>
                <w:szCs w:val="16"/>
              </w:rPr>
              <w:t>1 (65-60%)</w:t>
            </w:r>
          </w:p>
          <w:p w14:paraId="156DC3C5" w14:textId="77777777" w:rsidR="00342E07" w:rsidRDefault="005356A1">
            <w:pPr>
              <w:spacing w:after="0" w:line="240" w:lineRule="auto"/>
              <w:jc w:val="center"/>
              <w:rPr>
                <w:rFonts w:eastAsia="Times New Roman" w:cs="Arial"/>
                <w:sz w:val="16"/>
                <w:szCs w:val="16"/>
              </w:rPr>
            </w:pPr>
            <w:r>
              <w:rPr>
                <w:rFonts w:eastAsia="Times New Roman" w:cs="Arial"/>
                <w:sz w:val="16"/>
                <w:szCs w:val="16"/>
              </w:rPr>
              <w:t>2 (51-64%)</w:t>
            </w:r>
          </w:p>
          <w:p w14:paraId="2EFC1570" w14:textId="77777777" w:rsidR="00342E07" w:rsidRDefault="005356A1">
            <w:pPr>
              <w:spacing w:after="0" w:line="240" w:lineRule="auto"/>
              <w:jc w:val="center"/>
              <w:rPr>
                <w:rFonts w:eastAsia="Times New Roman" w:cs="Arial"/>
                <w:sz w:val="16"/>
                <w:szCs w:val="16"/>
              </w:rPr>
            </w:pPr>
            <w:r>
              <w:rPr>
                <w:rFonts w:eastAsia="Times New Roman" w:cs="Arial"/>
                <w:sz w:val="16"/>
                <w:szCs w:val="16"/>
              </w:rPr>
              <w:t>3 (35-50%)</w:t>
            </w:r>
          </w:p>
          <w:p w14:paraId="17CF3E5C" w14:textId="77777777" w:rsidR="00342E07" w:rsidRDefault="005356A1">
            <w:pPr>
              <w:spacing w:after="0" w:line="240" w:lineRule="auto"/>
              <w:jc w:val="center"/>
            </w:pPr>
            <w:r>
              <w:rPr>
                <w:rFonts w:eastAsia="Times New Roman" w:cs="Arial"/>
                <w:sz w:val="16"/>
                <w:szCs w:val="16"/>
              </w:rPr>
              <w:t xml:space="preserve">4 </w:t>
            </w:r>
            <w:r>
              <w:rPr>
                <w:rFonts w:eastAsia="Times New Roman" w:cs="Arial"/>
                <w:sz w:val="14"/>
                <w:szCs w:val="16"/>
              </w:rPr>
              <w:t>(</w:t>
            </w:r>
            <w:r>
              <w:rPr>
                <w:rFonts w:eastAsia="Times New Roman" w:cs="Arial"/>
                <w:sz w:val="16"/>
                <w:szCs w:val="16"/>
              </w:rPr>
              <w:t>&lt;=35%)</w:t>
            </w:r>
          </w:p>
          <w:p w14:paraId="04980CA4" w14:textId="77777777" w:rsidR="00342E07" w:rsidRDefault="00342E07">
            <w:pPr>
              <w:spacing w:after="0" w:line="240" w:lineRule="auto"/>
              <w:jc w:val="center"/>
              <w:rPr>
                <w:rFonts w:eastAsia="Times New Roman" w:cs="Arial"/>
                <w:sz w:val="16"/>
                <w:szCs w:val="16"/>
              </w:rPr>
            </w:pPr>
          </w:p>
        </w:tc>
        <w:tc>
          <w:tcPr>
            <w:tcW w:w="944" w:type="dxa"/>
            <w:tcBorders>
              <w:top w:val="single" w:sz="4" w:space="0" w:color="00000A"/>
              <w:bottom w:val="single" w:sz="4" w:space="0" w:color="00000A"/>
            </w:tcBorders>
            <w:shd w:val="clear" w:color="auto" w:fill="auto"/>
            <w:vAlign w:val="center"/>
          </w:tcPr>
          <w:p w14:paraId="5829B26A" w14:textId="77777777" w:rsidR="00342E07" w:rsidRDefault="005356A1">
            <w:pPr>
              <w:spacing w:after="0" w:line="240" w:lineRule="auto"/>
              <w:jc w:val="center"/>
              <w:rPr>
                <w:rFonts w:eastAsia="Times New Roman" w:cs="Arial"/>
                <w:color w:val="222222"/>
                <w:sz w:val="16"/>
                <w:szCs w:val="16"/>
              </w:rPr>
            </w:pPr>
            <w:r>
              <w:rPr>
                <w:rFonts w:eastAsia="Times New Roman" w:cs="Arial"/>
                <w:color w:val="222222"/>
                <w:sz w:val="16"/>
                <w:szCs w:val="16"/>
              </w:rPr>
              <w:t>0 (&gt;=65%)</w:t>
            </w:r>
          </w:p>
          <w:p w14:paraId="52AE673F" w14:textId="77777777" w:rsidR="00342E07" w:rsidRDefault="005356A1">
            <w:pPr>
              <w:spacing w:after="0" w:line="240" w:lineRule="auto"/>
              <w:jc w:val="center"/>
              <w:rPr>
                <w:rFonts w:eastAsia="Times New Roman" w:cs="Arial"/>
                <w:color w:val="222222"/>
                <w:sz w:val="16"/>
                <w:szCs w:val="16"/>
              </w:rPr>
            </w:pPr>
            <w:r>
              <w:rPr>
                <w:rFonts w:eastAsia="Times New Roman" w:cs="Arial"/>
                <w:color w:val="222222"/>
                <w:sz w:val="16"/>
                <w:szCs w:val="16"/>
              </w:rPr>
              <w:t>1 (50-64%)</w:t>
            </w:r>
          </w:p>
          <w:p w14:paraId="07BBB475" w14:textId="77777777" w:rsidR="00342E07" w:rsidRDefault="005356A1">
            <w:pPr>
              <w:spacing w:after="0" w:line="240" w:lineRule="auto"/>
              <w:jc w:val="center"/>
              <w:rPr>
                <w:rFonts w:eastAsia="Times New Roman" w:cs="Arial"/>
                <w:color w:val="222222"/>
                <w:sz w:val="16"/>
                <w:szCs w:val="16"/>
              </w:rPr>
            </w:pPr>
            <w:r>
              <w:rPr>
                <w:rFonts w:eastAsia="Times New Roman" w:cs="Arial"/>
                <w:color w:val="222222"/>
                <w:sz w:val="16"/>
                <w:szCs w:val="16"/>
              </w:rPr>
              <w:t>2 (36-49%)</w:t>
            </w:r>
          </w:p>
          <w:p w14:paraId="47069471" w14:textId="77777777" w:rsidR="00342E07" w:rsidRDefault="005356A1">
            <w:pPr>
              <w:spacing w:after="0" w:line="240" w:lineRule="auto"/>
              <w:jc w:val="center"/>
              <w:rPr>
                <w:rFonts w:eastAsia="Times New Roman" w:cs="Arial"/>
                <w:color w:val="222222"/>
                <w:sz w:val="16"/>
                <w:szCs w:val="16"/>
              </w:rPr>
            </w:pPr>
            <w:r>
              <w:rPr>
                <w:rFonts w:eastAsia="Times New Roman" w:cs="Arial"/>
                <w:color w:val="222222"/>
                <w:sz w:val="16"/>
                <w:szCs w:val="16"/>
              </w:rPr>
              <w:t>3 (&lt;=35)</w:t>
            </w:r>
          </w:p>
        </w:tc>
        <w:tc>
          <w:tcPr>
            <w:tcW w:w="944" w:type="dxa"/>
            <w:tcBorders>
              <w:top w:val="single" w:sz="4" w:space="0" w:color="00000A"/>
              <w:bottom w:val="single" w:sz="4" w:space="0" w:color="00000A"/>
            </w:tcBorders>
            <w:shd w:val="clear" w:color="auto" w:fill="auto"/>
            <w:vAlign w:val="center"/>
          </w:tcPr>
          <w:p w14:paraId="627985C5" w14:textId="77777777" w:rsidR="00342E07" w:rsidRDefault="005356A1">
            <w:pPr>
              <w:spacing w:after="0" w:line="240" w:lineRule="auto"/>
              <w:jc w:val="center"/>
              <w:rPr>
                <w:rFonts w:eastAsia="Times New Roman" w:cs="Arial"/>
                <w:color w:val="222222"/>
                <w:sz w:val="16"/>
                <w:szCs w:val="16"/>
              </w:rPr>
            </w:pPr>
            <w:r>
              <w:rPr>
                <w:rFonts w:eastAsia="Times New Roman" w:cs="Arial"/>
                <w:color w:val="222222"/>
                <w:sz w:val="16"/>
                <w:szCs w:val="16"/>
              </w:rPr>
              <w:t>0 (&gt;=65%)</w:t>
            </w:r>
          </w:p>
          <w:p w14:paraId="6B0DC4C9" w14:textId="77777777" w:rsidR="00342E07" w:rsidRDefault="005356A1">
            <w:pPr>
              <w:spacing w:after="0" w:line="240" w:lineRule="auto"/>
              <w:jc w:val="center"/>
              <w:rPr>
                <w:rFonts w:eastAsia="Times New Roman" w:cs="Arial"/>
                <w:color w:val="222222"/>
                <w:sz w:val="16"/>
                <w:szCs w:val="16"/>
              </w:rPr>
            </w:pPr>
            <w:r>
              <w:rPr>
                <w:rFonts w:eastAsia="Times New Roman" w:cs="Arial"/>
                <w:color w:val="222222"/>
                <w:sz w:val="16"/>
                <w:szCs w:val="16"/>
              </w:rPr>
              <w:t>1 (50-64%)</w:t>
            </w:r>
          </w:p>
          <w:p w14:paraId="0A433448" w14:textId="77777777" w:rsidR="00342E07" w:rsidRDefault="005356A1">
            <w:pPr>
              <w:spacing w:after="0" w:line="240" w:lineRule="auto"/>
              <w:jc w:val="center"/>
              <w:rPr>
                <w:rFonts w:eastAsia="Times New Roman" w:cs="Arial"/>
                <w:color w:val="222222"/>
                <w:sz w:val="16"/>
                <w:szCs w:val="16"/>
              </w:rPr>
            </w:pPr>
            <w:r>
              <w:rPr>
                <w:rFonts w:eastAsia="Times New Roman" w:cs="Arial"/>
                <w:color w:val="222222"/>
                <w:sz w:val="16"/>
                <w:szCs w:val="16"/>
              </w:rPr>
              <w:t>2 (36-49%)</w:t>
            </w:r>
          </w:p>
          <w:p w14:paraId="4F3958F1" w14:textId="77777777" w:rsidR="00342E07" w:rsidRDefault="005356A1">
            <w:pPr>
              <w:spacing w:after="0" w:line="240" w:lineRule="auto"/>
              <w:jc w:val="center"/>
              <w:rPr>
                <w:rFonts w:eastAsia="Times New Roman" w:cs="Arial"/>
                <w:color w:val="222222"/>
                <w:sz w:val="16"/>
                <w:szCs w:val="16"/>
              </w:rPr>
            </w:pPr>
            <w:r>
              <w:rPr>
                <w:rFonts w:eastAsia="Times New Roman" w:cs="Arial"/>
                <w:color w:val="222222"/>
                <w:sz w:val="16"/>
                <w:szCs w:val="16"/>
              </w:rPr>
              <w:t>3 (&lt;=35)</w:t>
            </w:r>
          </w:p>
        </w:tc>
        <w:tc>
          <w:tcPr>
            <w:tcW w:w="944" w:type="dxa"/>
            <w:tcBorders>
              <w:top w:val="single" w:sz="4" w:space="0" w:color="00000A"/>
              <w:bottom w:val="single" w:sz="4" w:space="0" w:color="00000A"/>
            </w:tcBorders>
            <w:shd w:val="clear" w:color="auto" w:fill="auto"/>
            <w:vAlign w:val="center"/>
          </w:tcPr>
          <w:p w14:paraId="6615E486" w14:textId="77777777" w:rsidR="00342E07" w:rsidRDefault="005356A1">
            <w:pPr>
              <w:spacing w:after="0" w:line="240" w:lineRule="auto"/>
              <w:jc w:val="center"/>
              <w:rPr>
                <w:rFonts w:eastAsia="Times New Roman" w:cs="Arial"/>
                <w:color w:val="222222"/>
                <w:sz w:val="16"/>
                <w:szCs w:val="16"/>
              </w:rPr>
            </w:pPr>
            <w:r>
              <w:rPr>
                <w:rFonts w:eastAsia="Times New Roman" w:cs="Arial"/>
                <w:color w:val="222222"/>
                <w:sz w:val="16"/>
                <w:szCs w:val="16"/>
              </w:rPr>
              <w:t>0 (&gt;=50%)</w:t>
            </w:r>
          </w:p>
          <w:p w14:paraId="70ECD3C0" w14:textId="77777777" w:rsidR="00342E07" w:rsidRDefault="005356A1">
            <w:pPr>
              <w:spacing w:after="0" w:line="240" w:lineRule="auto"/>
              <w:jc w:val="center"/>
              <w:rPr>
                <w:rFonts w:eastAsia="Times New Roman" w:cs="Arial"/>
                <w:color w:val="222222"/>
                <w:sz w:val="16"/>
                <w:szCs w:val="16"/>
              </w:rPr>
            </w:pPr>
            <w:r>
              <w:rPr>
                <w:rFonts w:eastAsia="Times New Roman" w:cs="Arial"/>
                <w:color w:val="222222"/>
                <w:sz w:val="16"/>
                <w:szCs w:val="16"/>
              </w:rPr>
              <w:t>1 (31-49%)</w:t>
            </w:r>
          </w:p>
          <w:p w14:paraId="48845C3E" w14:textId="77777777" w:rsidR="00342E07" w:rsidRDefault="005356A1">
            <w:pPr>
              <w:spacing w:after="0" w:line="240" w:lineRule="auto"/>
              <w:jc w:val="center"/>
              <w:rPr>
                <w:rFonts w:eastAsia="Times New Roman" w:cs="Arial"/>
                <w:color w:val="222222"/>
                <w:sz w:val="16"/>
                <w:szCs w:val="16"/>
              </w:rPr>
            </w:pPr>
            <w:r>
              <w:rPr>
                <w:rFonts w:eastAsia="Times New Roman" w:cs="Arial"/>
                <w:color w:val="222222"/>
                <w:sz w:val="16"/>
                <w:szCs w:val="16"/>
              </w:rPr>
              <w:t>2 (&lt;=30)</w:t>
            </w:r>
          </w:p>
          <w:p w14:paraId="18D39B28" w14:textId="77777777" w:rsidR="00342E07" w:rsidRDefault="00342E07">
            <w:pPr>
              <w:spacing w:after="0" w:line="240" w:lineRule="auto"/>
              <w:jc w:val="center"/>
              <w:rPr>
                <w:rFonts w:eastAsia="Times New Roman" w:cs="Arial"/>
                <w:color w:val="222222"/>
                <w:sz w:val="16"/>
                <w:szCs w:val="16"/>
              </w:rPr>
            </w:pPr>
          </w:p>
        </w:tc>
        <w:tc>
          <w:tcPr>
            <w:tcW w:w="942" w:type="dxa"/>
            <w:tcBorders>
              <w:top w:val="single" w:sz="4" w:space="0" w:color="00000A"/>
              <w:bottom w:val="single" w:sz="4" w:space="0" w:color="00000A"/>
            </w:tcBorders>
            <w:shd w:val="clear" w:color="auto" w:fill="auto"/>
            <w:vAlign w:val="center"/>
          </w:tcPr>
          <w:p w14:paraId="08F3FED6" w14:textId="77777777" w:rsidR="00342E07" w:rsidRDefault="005356A1">
            <w:pPr>
              <w:spacing w:after="0" w:line="240" w:lineRule="auto"/>
              <w:jc w:val="center"/>
              <w:rPr>
                <w:rFonts w:eastAsia="Times New Roman" w:cs="Arial"/>
                <w:color w:val="222222"/>
                <w:sz w:val="16"/>
                <w:szCs w:val="16"/>
              </w:rPr>
            </w:pPr>
            <w:r>
              <w:rPr>
                <w:rFonts w:eastAsia="Times New Roman" w:cs="Arial"/>
                <w:color w:val="222222"/>
                <w:sz w:val="16"/>
                <w:szCs w:val="16"/>
              </w:rPr>
              <w:t>0 (&gt;=80%)</w:t>
            </w:r>
          </w:p>
          <w:p w14:paraId="13841F27" w14:textId="77777777" w:rsidR="00342E07" w:rsidRDefault="005356A1">
            <w:pPr>
              <w:spacing w:after="0" w:line="240" w:lineRule="auto"/>
              <w:jc w:val="center"/>
              <w:rPr>
                <w:rFonts w:eastAsia="Times New Roman" w:cs="Arial"/>
                <w:color w:val="222222"/>
                <w:sz w:val="16"/>
                <w:szCs w:val="16"/>
              </w:rPr>
            </w:pPr>
            <w:r>
              <w:rPr>
                <w:rFonts w:eastAsia="Times New Roman" w:cs="Arial"/>
                <w:color w:val="222222"/>
                <w:sz w:val="16"/>
                <w:szCs w:val="16"/>
              </w:rPr>
              <w:t>1 (50-79%)</w:t>
            </w:r>
          </w:p>
          <w:p w14:paraId="4EABD29D" w14:textId="77777777" w:rsidR="00342E07" w:rsidRDefault="005356A1">
            <w:pPr>
              <w:spacing w:after="0" w:line="240" w:lineRule="auto"/>
              <w:jc w:val="center"/>
              <w:rPr>
                <w:rFonts w:eastAsia="Times New Roman" w:cs="Arial"/>
                <w:color w:val="222222"/>
                <w:sz w:val="16"/>
                <w:szCs w:val="16"/>
              </w:rPr>
            </w:pPr>
            <w:r>
              <w:rPr>
                <w:rFonts w:eastAsia="Times New Roman" w:cs="Arial"/>
                <w:color w:val="222222"/>
                <w:sz w:val="16"/>
                <w:szCs w:val="16"/>
              </w:rPr>
              <w:t>2 (36-49%)</w:t>
            </w:r>
          </w:p>
          <w:p w14:paraId="30BBBAC3" w14:textId="77777777" w:rsidR="00342E07" w:rsidRDefault="005356A1">
            <w:pPr>
              <w:spacing w:after="0" w:line="240" w:lineRule="auto"/>
              <w:jc w:val="center"/>
              <w:rPr>
                <w:rFonts w:eastAsia="Times New Roman" w:cs="Arial"/>
                <w:color w:val="222222"/>
                <w:sz w:val="16"/>
                <w:szCs w:val="16"/>
              </w:rPr>
            </w:pPr>
            <w:r>
              <w:rPr>
                <w:rFonts w:eastAsia="Times New Roman" w:cs="Arial"/>
                <w:color w:val="222222"/>
                <w:sz w:val="16"/>
                <w:szCs w:val="16"/>
              </w:rPr>
              <w:t>3 (&lt;=35)</w:t>
            </w:r>
          </w:p>
        </w:tc>
        <w:tc>
          <w:tcPr>
            <w:tcW w:w="946" w:type="dxa"/>
            <w:tcBorders>
              <w:top w:val="single" w:sz="4" w:space="0" w:color="00000A"/>
              <w:bottom w:val="single" w:sz="4" w:space="0" w:color="00000A"/>
            </w:tcBorders>
            <w:shd w:val="clear" w:color="auto" w:fill="auto"/>
            <w:vAlign w:val="center"/>
          </w:tcPr>
          <w:p w14:paraId="2CF889A2" w14:textId="77777777" w:rsidR="00342E07" w:rsidRDefault="00342E07">
            <w:pPr>
              <w:spacing w:after="0" w:line="240" w:lineRule="auto"/>
              <w:jc w:val="center"/>
              <w:rPr>
                <w:rFonts w:eastAsia="Times New Roman" w:cs="Arial"/>
                <w:color w:val="222222"/>
                <w:sz w:val="16"/>
                <w:szCs w:val="16"/>
              </w:rPr>
            </w:pPr>
          </w:p>
        </w:tc>
      </w:tr>
      <w:tr w:rsidR="00342E07" w14:paraId="3C566BDC" w14:textId="77777777">
        <w:trPr>
          <w:jc w:val="center"/>
        </w:trPr>
        <w:tc>
          <w:tcPr>
            <w:tcW w:w="1272" w:type="dxa"/>
            <w:tcBorders>
              <w:top w:val="single" w:sz="4" w:space="0" w:color="00000A"/>
              <w:bottom w:val="single" w:sz="4" w:space="0" w:color="00000A"/>
            </w:tcBorders>
            <w:shd w:val="clear" w:color="auto" w:fill="auto"/>
            <w:vAlign w:val="center"/>
          </w:tcPr>
          <w:p w14:paraId="7928FCF5" w14:textId="77777777" w:rsidR="00342E07" w:rsidRDefault="005356A1">
            <w:pPr>
              <w:spacing w:after="0" w:line="240" w:lineRule="auto"/>
              <w:rPr>
                <w:rFonts w:eastAsia="Times New Roman" w:cs="Arial"/>
                <w:b/>
                <w:color w:val="222222"/>
                <w:sz w:val="18"/>
                <w:szCs w:val="18"/>
              </w:rPr>
            </w:pPr>
            <w:proofErr w:type="spellStart"/>
            <w:r>
              <w:rPr>
                <w:rFonts w:eastAsia="Times New Roman" w:cs="Arial"/>
                <w:b/>
                <w:color w:val="222222"/>
                <w:sz w:val="18"/>
                <w:szCs w:val="18"/>
              </w:rPr>
              <w:t>mMRC</w:t>
            </w:r>
            <w:proofErr w:type="spellEnd"/>
          </w:p>
        </w:tc>
        <w:tc>
          <w:tcPr>
            <w:tcW w:w="945" w:type="dxa"/>
            <w:tcBorders>
              <w:top w:val="single" w:sz="4" w:space="0" w:color="00000A"/>
              <w:bottom w:val="single" w:sz="4" w:space="0" w:color="00000A"/>
            </w:tcBorders>
            <w:shd w:val="clear" w:color="auto" w:fill="auto"/>
            <w:vAlign w:val="center"/>
          </w:tcPr>
          <w:p w14:paraId="347D49CD" w14:textId="77777777" w:rsidR="00342E07" w:rsidRDefault="00342E07">
            <w:pPr>
              <w:spacing w:after="0" w:line="240" w:lineRule="auto"/>
              <w:jc w:val="center"/>
              <w:rPr>
                <w:rFonts w:eastAsia="Times New Roman" w:cs="Arial"/>
                <w:color w:val="222222"/>
                <w:sz w:val="16"/>
                <w:szCs w:val="16"/>
              </w:rPr>
            </w:pPr>
          </w:p>
        </w:tc>
        <w:tc>
          <w:tcPr>
            <w:tcW w:w="944" w:type="dxa"/>
            <w:tcBorders>
              <w:top w:val="single" w:sz="4" w:space="0" w:color="00000A"/>
              <w:bottom w:val="single" w:sz="4" w:space="0" w:color="00000A"/>
            </w:tcBorders>
            <w:shd w:val="clear" w:color="auto" w:fill="auto"/>
            <w:vAlign w:val="center"/>
          </w:tcPr>
          <w:p w14:paraId="45850E9F" w14:textId="77777777" w:rsidR="00342E07" w:rsidRDefault="005356A1">
            <w:pPr>
              <w:spacing w:after="0" w:line="240" w:lineRule="auto"/>
              <w:jc w:val="center"/>
              <w:rPr>
                <w:rFonts w:eastAsia="Times New Roman" w:cs="Arial"/>
                <w:color w:val="222222"/>
                <w:sz w:val="12"/>
                <w:szCs w:val="12"/>
              </w:rPr>
            </w:pPr>
            <w:r>
              <w:rPr>
                <w:rFonts w:eastAsia="Times New Roman" w:cs="Arial"/>
                <w:color w:val="222222"/>
                <w:sz w:val="12"/>
                <w:szCs w:val="12"/>
              </w:rPr>
              <w:t xml:space="preserve">0 (if </w:t>
            </w:r>
            <w:proofErr w:type="spellStart"/>
            <w:r>
              <w:rPr>
                <w:rFonts w:eastAsia="Times New Roman" w:cs="Arial"/>
                <w:color w:val="222222"/>
                <w:sz w:val="12"/>
                <w:szCs w:val="12"/>
              </w:rPr>
              <w:t>mMRC</w:t>
            </w:r>
            <w:proofErr w:type="spellEnd"/>
            <w:r>
              <w:rPr>
                <w:rFonts w:eastAsia="Times New Roman" w:cs="Arial"/>
                <w:color w:val="222222"/>
                <w:sz w:val="12"/>
                <w:szCs w:val="12"/>
              </w:rPr>
              <w:t xml:space="preserve"> &gt;=2 and CAT &gt;=10)</w:t>
            </w:r>
          </w:p>
          <w:p w14:paraId="1C8EB8BD" w14:textId="77777777" w:rsidR="00342E07" w:rsidRDefault="005356A1">
            <w:pPr>
              <w:spacing w:after="0" w:line="240" w:lineRule="auto"/>
              <w:jc w:val="center"/>
              <w:rPr>
                <w:rFonts w:eastAsia="Times New Roman" w:cs="Arial"/>
                <w:color w:val="222222"/>
                <w:sz w:val="12"/>
                <w:szCs w:val="12"/>
              </w:rPr>
            </w:pPr>
            <w:r>
              <w:rPr>
                <w:rFonts w:eastAsia="Times New Roman" w:cs="Arial"/>
                <w:color w:val="222222"/>
                <w:sz w:val="12"/>
                <w:szCs w:val="12"/>
              </w:rPr>
              <w:t>1 otherwise</w:t>
            </w:r>
          </w:p>
        </w:tc>
        <w:tc>
          <w:tcPr>
            <w:tcW w:w="944" w:type="dxa"/>
            <w:tcBorders>
              <w:top w:val="single" w:sz="4" w:space="0" w:color="00000A"/>
              <w:bottom w:val="single" w:sz="4" w:space="0" w:color="00000A"/>
            </w:tcBorders>
            <w:shd w:val="clear" w:color="auto" w:fill="auto"/>
            <w:vAlign w:val="center"/>
          </w:tcPr>
          <w:p w14:paraId="2A51EF5F" w14:textId="77777777" w:rsidR="00342E07" w:rsidRDefault="005356A1">
            <w:pPr>
              <w:spacing w:after="0" w:line="240" w:lineRule="auto"/>
              <w:jc w:val="center"/>
              <w:rPr>
                <w:rFonts w:eastAsia="Times New Roman" w:cs="Arial"/>
                <w:color w:val="222222"/>
                <w:sz w:val="16"/>
                <w:szCs w:val="16"/>
              </w:rPr>
            </w:pPr>
            <w:r>
              <w:rPr>
                <w:rFonts w:eastAsia="Times New Roman" w:cs="Arial"/>
                <w:color w:val="222222"/>
                <w:sz w:val="16"/>
                <w:szCs w:val="16"/>
              </w:rPr>
              <w:t>0 (0-1)</w:t>
            </w:r>
          </w:p>
          <w:p w14:paraId="2458D8A5" w14:textId="77777777" w:rsidR="00342E07" w:rsidRDefault="005356A1">
            <w:pPr>
              <w:spacing w:after="0" w:line="240" w:lineRule="auto"/>
              <w:jc w:val="center"/>
              <w:rPr>
                <w:rFonts w:eastAsia="Times New Roman" w:cs="Arial"/>
                <w:color w:val="222222"/>
                <w:sz w:val="16"/>
                <w:szCs w:val="16"/>
              </w:rPr>
            </w:pPr>
            <w:r>
              <w:rPr>
                <w:rFonts w:eastAsia="Times New Roman" w:cs="Arial"/>
                <w:color w:val="222222"/>
                <w:sz w:val="16"/>
                <w:szCs w:val="16"/>
              </w:rPr>
              <w:t>1 (2)</w:t>
            </w:r>
          </w:p>
          <w:p w14:paraId="7F7BF034" w14:textId="77777777" w:rsidR="00342E07" w:rsidRDefault="005356A1">
            <w:pPr>
              <w:spacing w:after="0" w:line="240" w:lineRule="auto"/>
              <w:jc w:val="center"/>
              <w:rPr>
                <w:rFonts w:eastAsia="Times New Roman" w:cs="Arial"/>
                <w:color w:val="222222"/>
                <w:sz w:val="16"/>
                <w:szCs w:val="16"/>
              </w:rPr>
            </w:pPr>
            <w:r>
              <w:rPr>
                <w:rFonts w:eastAsia="Times New Roman" w:cs="Arial"/>
                <w:color w:val="222222"/>
                <w:sz w:val="16"/>
                <w:szCs w:val="16"/>
              </w:rPr>
              <w:t>2 (3)</w:t>
            </w:r>
          </w:p>
          <w:p w14:paraId="50BAF8EB" w14:textId="77777777" w:rsidR="00342E07" w:rsidRDefault="005356A1">
            <w:pPr>
              <w:spacing w:after="0" w:line="240" w:lineRule="auto"/>
              <w:jc w:val="center"/>
              <w:rPr>
                <w:rFonts w:eastAsia="Times New Roman" w:cs="Arial"/>
                <w:color w:val="222222"/>
                <w:sz w:val="16"/>
                <w:szCs w:val="16"/>
              </w:rPr>
            </w:pPr>
            <w:r>
              <w:rPr>
                <w:rFonts w:eastAsia="Times New Roman" w:cs="Arial"/>
                <w:color w:val="222222"/>
                <w:sz w:val="16"/>
                <w:szCs w:val="16"/>
              </w:rPr>
              <w:t>3 (4)</w:t>
            </w:r>
          </w:p>
        </w:tc>
        <w:tc>
          <w:tcPr>
            <w:tcW w:w="942" w:type="dxa"/>
            <w:tcBorders>
              <w:top w:val="single" w:sz="4" w:space="0" w:color="00000A"/>
              <w:bottom w:val="single" w:sz="4" w:space="0" w:color="00000A"/>
            </w:tcBorders>
            <w:shd w:val="clear" w:color="auto" w:fill="auto"/>
            <w:vAlign w:val="center"/>
          </w:tcPr>
          <w:p w14:paraId="2FEC3D4B" w14:textId="77777777" w:rsidR="00342E07" w:rsidRDefault="005356A1">
            <w:pPr>
              <w:spacing w:after="0" w:line="240" w:lineRule="auto"/>
              <w:jc w:val="center"/>
              <w:rPr>
                <w:rFonts w:eastAsia="Times New Roman" w:cs="Arial"/>
                <w:color w:val="222222"/>
                <w:sz w:val="16"/>
                <w:szCs w:val="16"/>
              </w:rPr>
            </w:pPr>
            <w:r>
              <w:rPr>
                <w:rFonts w:eastAsia="Times New Roman" w:cs="Arial"/>
                <w:color w:val="222222"/>
                <w:sz w:val="16"/>
                <w:szCs w:val="16"/>
              </w:rPr>
              <w:t>0 (0-1)</w:t>
            </w:r>
          </w:p>
          <w:p w14:paraId="14F82BA2" w14:textId="77777777" w:rsidR="00342E07" w:rsidRDefault="005356A1">
            <w:pPr>
              <w:spacing w:after="0" w:line="240" w:lineRule="auto"/>
              <w:jc w:val="center"/>
              <w:rPr>
                <w:rFonts w:eastAsia="Times New Roman" w:cs="Arial"/>
                <w:color w:val="222222"/>
                <w:sz w:val="16"/>
                <w:szCs w:val="16"/>
              </w:rPr>
            </w:pPr>
            <w:r>
              <w:rPr>
                <w:rFonts w:eastAsia="Times New Roman" w:cs="Arial"/>
                <w:color w:val="222222"/>
                <w:sz w:val="16"/>
                <w:szCs w:val="16"/>
              </w:rPr>
              <w:t>1 (2)</w:t>
            </w:r>
          </w:p>
          <w:p w14:paraId="0FAEA0F9" w14:textId="77777777" w:rsidR="00342E07" w:rsidRDefault="005356A1">
            <w:pPr>
              <w:spacing w:after="0" w:line="240" w:lineRule="auto"/>
              <w:jc w:val="center"/>
              <w:rPr>
                <w:rFonts w:eastAsia="Times New Roman" w:cs="Arial"/>
                <w:color w:val="222222"/>
                <w:sz w:val="16"/>
                <w:szCs w:val="16"/>
              </w:rPr>
            </w:pPr>
            <w:r>
              <w:rPr>
                <w:rFonts w:eastAsia="Times New Roman" w:cs="Arial"/>
                <w:color w:val="222222"/>
                <w:sz w:val="16"/>
                <w:szCs w:val="16"/>
              </w:rPr>
              <w:t>2 (3)</w:t>
            </w:r>
          </w:p>
          <w:p w14:paraId="39622FFF" w14:textId="77777777" w:rsidR="00342E07" w:rsidRDefault="005356A1">
            <w:pPr>
              <w:spacing w:after="0" w:line="240" w:lineRule="auto"/>
              <w:jc w:val="center"/>
              <w:rPr>
                <w:rFonts w:eastAsia="Times New Roman" w:cs="Arial"/>
                <w:color w:val="222222"/>
                <w:sz w:val="16"/>
                <w:szCs w:val="16"/>
              </w:rPr>
            </w:pPr>
            <w:r>
              <w:rPr>
                <w:rFonts w:eastAsia="Times New Roman" w:cs="Arial"/>
                <w:color w:val="222222"/>
                <w:sz w:val="16"/>
                <w:szCs w:val="16"/>
              </w:rPr>
              <w:t>3 (4)</w:t>
            </w:r>
          </w:p>
        </w:tc>
        <w:tc>
          <w:tcPr>
            <w:tcW w:w="944" w:type="dxa"/>
            <w:tcBorders>
              <w:top w:val="single" w:sz="4" w:space="0" w:color="00000A"/>
              <w:bottom w:val="single" w:sz="4" w:space="0" w:color="00000A"/>
            </w:tcBorders>
            <w:shd w:val="clear" w:color="auto" w:fill="auto"/>
            <w:vAlign w:val="center"/>
          </w:tcPr>
          <w:p w14:paraId="06D824AE" w14:textId="77777777" w:rsidR="00342E07" w:rsidRDefault="005356A1">
            <w:pPr>
              <w:spacing w:after="0" w:line="240" w:lineRule="auto"/>
              <w:jc w:val="center"/>
              <w:rPr>
                <w:rFonts w:eastAsia="Times New Roman" w:cs="Arial"/>
                <w:sz w:val="16"/>
                <w:szCs w:val="16"/>
              </w:rPr>
            </w:pPr>
            <w:r>
              <w:rPr>
                <w:rFonts w:eastAsia="Times New Roman" w:cs="Arial"/>
                <w:sz w:val="16"/>
                <w:szCs w:val="16"/>
              </w:rPr>
              <w:t>0 (0)</w:t>
            </w:r>
          </w:p>
          <w:p w14:paraId="2D03CEED" w14:textId="77777777" w:rsidR="00342E07" w:rsidRDefault="005356A1">
            <w:pPr>
              <w:spacing w:after="0" w:line="240" w:lineRule="auto"/>
              <w:jc w:val="center"/>
              <w:rPr>
                <w:rFonts w:eastAsia="Times New Roman" w:cs="Arial"/>
                <w:sz w:val="16"/>
                <w:szCs w:val="16"/>
              </w:rPr>
            </w:pPr>
            <w:r>
              <w:rPr>
                <w:rFonts w:eastAsia="Times New Roman" w:cs="Arial"/>
                <w:sz w:val="16"/>
                <w:szCs w:val="16"/>
              </w:rPr>
              <w:t>1 (1-2)</w:t>
            </w:r>
          </w:p>
          <w:p w14:paraId="062617EB" w14:textId="77777777" w:rsidR="00342E07" w:rsidRDefault="005356A1">
            <w:pPr>
              <w:spacing w:after="0" w:line="240" w:lineRule="auto"/>
              <w:jc w:val="center"/>
              <w:rPr>
                <w:rFonts w:eastAsia="Times New Roman" w:cs="Arial"/>
                <w:sz w:val="16"/>
                <w:szCs w:val="16"/>
              </w:rPr>
            </w:pPr>
            <w:r>
              <w:rPr>
                <w:rFonts w:eastAsia="Times New Roman" w:cs="Arial"/>
                <w:sz w:val="16"/>
                <w:szCs w:val="16"/>
              </w:rPr>
              <w:t>2 (3)</w:t>
            </w:r>
          </w:p>
          <w:p w14:paraId="7E704039" w14:textId="77777777" w:rsidR="00342E07" w:rsidRDefault="005356A1">
            <w:pPr>
              <w:spacing w:after="0" w:line="240" w:lineRule="auto"/>
              <w:jc w:val="center"/>
              <w:rPr>
                <w:rFonts w:eastAsia="Times New Roman" w:cs="Arial"/>
                <w:sz w:val="16"/>
                <w:szCs w:val="16"/>
              </w:rPr>
            </w:pPr>
            <w:r>
              <w:rPr>
                <w:rFonts w:eastAsia="Times New Roman" w:cs="Arial"/>
                <w:sz w:val="16"/>
                <w:szCs w:val="16"/>
              </w:rPr>
              <w:t>3 (4)</w:t>
            </w:r>
          </w:p>
        </w:tc>
        <w:tc>
          <w:tcPr>
            <w:tcW w:w="944" w:type="dxa"/>
            <w:tcBorders>
              <w:top w:val="single" w:sz="4" w:space="0" w:color="00000A"/>
              <w:bottom w:val="single" w:sz="4" w:space="0" w:color="00000A"/>
            </w:tcBorders>
            <w:shd w:val="clear" w:color="auto" w:fill="auto"/>
            <w:vAlign w:val="center"/>
          </w:tcPr>
          <w:p w14:paraId="335CD134" w14:textId="77777777" w:rsidR="00342E07" w:rsidRDefault="005356A1">
            <w:pPr>
              <w:spacing w:after="0" w:line="240" w:lineRule="auto"/>
              <w:jc w:val="center"/>
              <w:rPr>
                <w:rFonts w:eastAsia="Times New Roman" w:cs="Arial"/>
                <w:color w:val="222222"/>
                <w:sz w:val="16"/>
                <w:szCs w:val="16"/>
              </w:rPr>
            </w:pPr>
            <w:r>
              <w:rPr>
                <w:rFonts w:eastAsia="Times New Roman" w:cs="Arial"/>
                <w:color w:val="222222"/>
                <w:sz w:val="16"/>
                <w:szCs w:val="16"/>
              </w:rPr>
              <w:t>0 (0-1)</w:t>
            </w:r>
          </w:p>
          <w:p w14:paraId="0AD29388" w14:textId="77777777" w:rsidR="00342E07" w:rsidRDefault="005356A1">
            <w:pPr>
              <w:spacing w:after="0" w:line="240" w:lineRule="auto"/>
              <w:jc w:val="center"/>
              <w:rPr>
                <w:rFonts w:eastAsia="Times New Roman" w:cs="Arial"/>
                <w:color w:val="222222"/>
                <w:sz w:val="16"/>
                <w:szCs w:val="16"/>
              </w:rPr>
            </w:pPr>
            <w:r>
              <w:rPr>
                <w:rFonts w:eastAsia="Times New Roman" w:cs="Arial"/>
                <w:color w:val="222222"/>
                <w:sz w:val="16"/>
                <w:szCs w:val="16"/>
              </w:rPr>
              <w:t>1 (2)</w:t>
            </w:r>
          </w:p>
          <w:p w14:paraId="4B728180" w14:textId="77777777" w:rsidR="00342E07" w:rsidRDefault="005356A1">
            <w:pPr>
              <w:spacing w:after="0" w:line="240" w:lineRule="auto"/>
              <w:jc w:val="center"/>
              <w:rPr>
                <w:rFonts w:eastAsia="Times New Roman" w:cs="Arial"/>
                <w:color w:val="222222"/>
                <w:sz w:val="16"/>
                <w:szCs w:val="16"/>
              </w:rPr>
            </w:pPr>
            <w:r>
              <w:rPr>
                <w:rFonts w:eastAsia="Times New Roman" w:cs="Arial"/>
                <w:color w:val="222222"/>
                <w:sz w:val="16"/>
                <w:szCs w:val="16"/>
              </w:rPr>
              <w:t>2 (3)</w:t>
            </w:r>
          </w:p>
          <w:p w14:paraId="02DEF514" w14:textId="77777777" w:rsidR="00342E07" w:rsidRDefault="005356A1">
            <w:pPr>
              <w:spacing w:after="0" w:line="240" w:lineRule="auto"/>
              <w:jc w:val="center"/>
              <w:rPr>
                <w:rFonts w:eastAsia="Times New Roman" w:cs="Arial"/>
                <w:color w:val="222222"/>
                <w:sz w:val="16"/>
                <w:szCs w:val="16"/>
              </w:rPr>
            </w:pPr>
            <w:r>
              <w:rPr>
                <w:rFonts w:eastAsia="Times New Roman" w:cs="Arial"/>
                <w:color w:val="222222"/>
                <w:sz w:val="16"/>
                <w:szCs w:val="16"/>
              </w:rPr>
              <w:t>3 (4)</w:t>
            </w:r>
          </w:p>
        </w:tc>
        <w:tc>
          <w:tcPr>
            <w:tcW w:w="944" w:type="dxa"/>
            <w:tcBorders>
              <w:top w:val="single" w:sz="4" w:space="0" w:color="00000A"/>
              <w:bottom w:val="single" w:sz="4" w:space="0" w:color="00000A"/>
            </w:tcBorders>
            <w:shd w:val="clear" w:color="auto" w:fill="auto"/>
            <w:vAlign w:val="center"/>
          </w:tcPr>
          <w:p w14:paraId="3E6CB11F" w14:textId="77777777" w:rsidR="00342E07" w:rsidRDefault="005356A1">
            <w:pPr>
              <w:spacing w:after="0" w:line="240" w:lineRule="auto"/>
              <w:jc w:val="center"/>
              <w:rPr>
                <w:rFonts w:eastAsia="Times New Roman" w:cs="Arial"/>
                <w:color w:val="222222"/>
                <w:sz w:val="16"/>
                <w:szCs w:val="16"/>
              </w:rPr>
            </w:pPr>
            <w:r>
              <w:rPr>
                <w:rFonts w:eastAsia="Times New Roman" w:cs="Arial"/>
                <w:color w:val="222222"/>
                <w:sz w:val="16"/>
                <w:szCs w:val="16"/>
              </w:rPr>
              <w:t>0 (0-1)</w:t>
            </w:r>
          </w:p>
          <w:p w14:paraId="6AD3B639" w14:textId="77777777" w:rsidR="00342E07" w:rsidRDefault="005356A1">
            <w:pPr>
              <w:spacing w:after="0" w:line="240" w:lineRule="auto"/>
              <w:jc w:val="center"/>
              <w:rPr>
                <w:rFonts w:eastAsia="Times New Roman" w:cs="Arial"/>
                <w:color w:val="222222"/>
                <w:sz w:val="16"/>
                <w:szCs w:val="16"/>
              </w:rPr>
            </w:pPr>
            <w:r>
              <w:rPr>
                <w:rFonts w:eastAsia="Times New Roman" w:cs="Arial"/>
                <w:color w:val="222222"/>
                <w:sz w:val="16"/>
                <w:szCs w:val="16"/>
              </w:rPr>
              <w:t>1 (2)</w:t>
            </w:r>
          </w:p>
          <w:p w14:paraId="57028FE2" w14:textId="77777777" w:rsidR="00342E07" w:rsidRDefault="005356A1">
            <w:pPr>
              <w:spacing w:after="0" w:line="240" w:lineRule="auto"/>
              <w:jc w:val="center"/>
              <w:rPr>
                <w:rFonts w:eastAsia="Times New Roman" w:cs="Arial"/>
                <w:color w:val="222222"/>
                <w:sz w:val="16"/>
                <w:szCs w:val="16"/>
              </w:rPr>
            </w:pPr>
            <w:r>
              <w:rPr>
                <w:rFonts w:eastAsia="Times New Roman" w:cs="Arial"/>
                <w:color w:val="222222"/>
                <w:sz w:val="16"/>
                <w:szCs w:val="16"/>
              </w:rPr>
              <w:t>2 (3)</w:t>
            </w:r>
          </w:p>
          <w:p w14:paraId="1856AF97" w14:textId="77777777" w:rsidR="00342E07" w:rsidRDefault="005356A1">
            <w:pPr>
              <w:spacing w:after="0" w:line="240" w:lineRule="auto"/>
              <w:jc w:val="center"/>
              <w:rPr>
                <w:rFonts w:eastAsia="Times New Roman" w:cs="Arial"/>
                <w:color w:val="222222"/>
                <w:sz w:val="16"/>
                <w:szCs w:val="16"/>
              </w:rPr>
            </w:pPr>
            <w:r>
              <w:rPr>
                <w:rFonts w:eastAsia="Times New Roman" w:cs="Arial"/>
                <w:color w:val="222222"/>
                <w:sz w:val="16"/>
                <w:szCs w:val="16"/>
              </w:rPr>
              <w:t>3 (4)</w:t>
            </w:r>
          </w:p>
        </w:tc>
        <w:tc>
          <w:tcPr>
            <w:tcW w:w="944" w:type="dxa"/>
            <w:tcBorders>
              <w:top w:val="single" w:sz="4" w:space="0" w:color="00000A"/>
              <w:bottom w:val="single" w:sz="4" w:space="0" w:color="00000A"/>
            </w:tcBorders>
            <w:shd w:val="clear" w:color="auto" w:fill="auto"/>
            <w:vAlign w:val="center"/>
          </w:tcPr>
          <w:p w14:paraId="509AE934" w14:textId="77777777" w:rsidR="00342E07" w:rsidRDefault="005356A1">
            <w:pPr>
              <w:spacing w:after="0" w:line="240" w:lineRule="auto"/>
              <w:jc w:val="center"/>
              <w:rPr>
                <w:rFonts w:eastAsia="Times New Roman" w:cs="Arial"/>
                <w:color w:val="222222"/>
                <w:sz w:val="16"/>
                <w:szCs w:val="16"/>
              </w:rPr>
            </w:pPr>
            <w:r>
              <w:rPr>
                <w:rFonts w:eastAsia="Times New Roman" w:cs="Arial"/>
                <w:color w:val="222222"/>
                <w:sz w:val="16"/>
                <w:szCs w:val="16"/>
              </w:rPr>
              <w:t>0 (0-1)</w:t>
            </w:r>
          </w:p>
          <w:p w14:paraId="61F15651" w14:textId="77777777" w:rsidR="00342E07" w:rsidRDefault="005356A1">
            <w:pPr>
              <w:spacing w:after="0" w:line="240" w:lineRule="auto"/>
              <w:jc w:val="center"/>
              <w:rPr>
                <w:rFonts w:eastAsia="Times New Roman" w:cs="Arial"/>
                <w:color w:val="222222"/>
                <w:sz w:val="16"/>
                <w:szCs w:val="16"/>
              </w:rPr>
            </w:pPr>
            <w:r>
              <w:rPr>
                <w:rFonts w:eastAsia="Times New Roman" w:cs="Arial"/>
                <w:color w:val="222222"/>
                <w:sz w:val="16"/>
                <w:szCs w:val="16"/>
              </w:rPr>
              <w:t>1 (2)</w:t>
            </w:r>
          </w:p>
          <w:p w14:paraId="028946E2" w14:textId="77777777" w:rsidR="00342E07" w:rsidRDefault="005356A1">
            <w:pPr>
              <w:spacing w:after="0" w:line="240" w:lineRule="auto"/>
              <w:jc w:val="center"/>
              <w:rPr>
                <w:rFonts w:eastAsia="Times New Roman" w:cs="Arial"/>
                <w:color w:val="222222"/>
                <w:sz w:val="16"/>
                <w:szCs w:val="16"/>
              </w:rPr>
            </w:pPr>
            <w:r>
              <w:rPr>
                <w:rFonts w:eastAsia="Times New Roman" w:cs="Arial"/>
                <w:color w:val="222222"/>
                <w:sz w:val="16"/>
                <w:szCs w:val="16"/>
              </w:rPr>
              <w:t>2 (3)</w:t>
            </w:r>
          </w:p>
          <w:p w14:paraId="6770FD54" w14:textId="77777777" w:rsidR="00342E07" w:rsidRDefault="005356A1">
            <w:pPr>
              <w:spacing w:after="0" w:line="240" w:lineRule="auto"/>
              <w:jc w:val="center"/>
              <w:rPr>
                <w:rFonts w:eastAsia="Times New Roman" w:cs="Arial"/>
                <w:color w:val="222222"/>
                <w:sz w:val="16"/>
                <w:szCs w:val="16"/>
              </w:rPr>
            </w:pPr>
            <w:r>
              <w:rPr>
                <w:rFonts w:eastAsia="Times New Roman" w:cs="Arial"/>
                <w:color w:val="222222"/>
                <w:sz w:val="16"/>
                <w:szCs w:val="16"/>
              </w:rPr>
              <w:t>3 (4)</w:t>
            </w:r>
          </w:p>
        </w:tc>
        <w:tc>
          <w:tcPr>
            <w:tcW w:w="942" w:type="dxa"/>
            <w:tcBorders>
              <w:top w:val="single" w:sz="4" w:space="0" w:color="00000A"/>
              <w:bottom w:val="single" w:sz="4" w:space="0" w:color="00000A"/>
            </w:tcBorders>
            <w:shd w:val="clear" w:color="auto" w:fill="auto"/>
            <w:vAlign w:val="center"/>
          </w:tcPr>
          <w:p w14:paraId="74B36651" w14:textId="77777777" w:rsidR="00342E07" w:rsidRDefault="00342E07">
            <w:pPr>
              <w:spacing w:after="0" w:line="240" w:lineRule="auto"/>
              <w:jc w:val="center"/>
              <w:rPr>
                <w:rFonts w:eastAsia="Times New Roman" w:cs="Arial"/>
                <w:color w:val="222222"/>
                <w:sz w:val="16"/>
                <w:szCs w:val="16"/>
              </w:rPr>
            </w:pPr>
          </w:p>
        </w:tc>
        <w:tc>
          <w:tcPr>
            <w:tcW w:w="946" w:type="dxa"/>
            <w:tcBorders>
              <w:top w:val="single" w:sz="4" w:space="0" w:color="00000A"/>
              <w:bottom w:val="single" w:sz="4" w:space="0" w:color="00000A"/>
            </w:tcBorders>
            <w:shd w:val="clear" w:color="auto" w:fill="auto"/>
            <w:vAlign w:val="center"/>
          </w:tcPr>
          <w:p w14:paraId="21692A5D" w14:textId="77777777" w:rsidR="00342E07" w:rsidRDefault="005356A1">
            <w:pPr>
              <w:spacing w:after="0" w:line="240" w:lineRule="auto"/>
              <w:jc w:val="center"/>
              <w:rPr>
                <w:rFonts w:eastAsia="Times New Roman" w:cs="Arial"/>
                <w:color w:val="222222"/>
                <w:sz w:val="16"/>
                <w:szCs w:val="16"/>
              </w:rPr>
            </w:pPr>
            <w:r>
              <w:rPr>
                <w:rFonts w:eastAsia="Times New Roman" w:cs="Arial"/>
                <w:color w:val="222222"/>
                <w:sz w:val="16"/>
                <w:szCs w:val="16"/>
              </w:rPr>
              <w:t>0 (0-2)</w:t>
            </w:r>
          </w:p>
          <w:p w14:paraId="5A8AEBDA" w14:textId="77777777" w:rsidR="00342E07" w:rsidRDefault="005356A1">
            <w:pPr>
              <w:spacing w:after="0" w:line="240" w:lineRule="auto"/>
              <w:jc w:val="center"/>
              <w:rPr>
                <w:rFonts w:eastAsia="Times New Roman" w:cs="Arial"/>
                <w:color w:val="222222"/>
                <w:sz w:val="16"/>
                <w:szCs w:val="16"/>
              </w:rPr>
            </w:pPr>
            <w:r>
              <w:rPr>
                <w:rFonts w:eastAsia="Times New Roman" w:cs="Arial"/>
                <w:color w:val="222222"/>
                <w:sz w:val="16"/>
                <w:szCs w:val="16"/>
              </w:rPr>
              <w:t>6 (3)</w:t>
            </w:r>
          </w:p>
          <w:p w14:paraId="1E8701A2" w14:textId="77777777" w:rsidR="00342E07" w:rsidRDefault="005356A1">
            <w:pPr>
              <w:spacing w:after="0" w:line="240" w:lineRule="auto"/>
              <w:jc w:val="center"/>
              <w:rPr>
                <w:rFonts w:eastAsia="Times New Roman" w:cs="Arial"/>
                <w:color w:val="222222"/>
                <w:sz w:val="16"/>
                <w:szCs w:val="16"/>
              </w:rPr>
            </w:pPr>
            <w:r>
              <w:rPr>
                <w:rFonts w:eastAsia="Times New Roman" w:cs="Arial"/>
                <w:color w:val="222222"/>
                <w:sz w:val="16"/>
                <w:szCs w:val="16"/>
              </w:rPr>
              <w:t>10 (4)</w:t>
            </w:r>
          </w:p>
        </w:tc>
      </w:tr>
      <w:tr w:rsidR="00342E07" w14:paraId="4B563C66" w14:textId="77777777">
        <w:trPr>
          <w:jc w:val="center"/>
        </w:trPr>
        <w:tc>
          <w:tcPr>
            <w:tcW w:w="1272" w:type="dxa"/>
            <w:tcBorders>
              <w:top w:val="single" w:sz="4" w:space="0" w:color="00000A"/>
              <w:bottom w:val="single" w:sz="4" w:space="0" w:color="00000A"/>
            </w:tcBorders>
            <w:shd w:val="clear" w:color="auto" w:fill="auto"/>
            <w:vAlign w:val="center"/>
          </w:tcPr>
          <w:p w14:paraId="5A749FC0" w14:textId="77777777" w:rsidR="00342E07" w:rsidRDefault="005356A1">
            <w:pPr>
              <w:spacing w:after="0" w:line="240" w:lineRule="auto"/>
              <w:rPr>
                <w:rFonts w:eastAsia="Times New Roman" w:cs="Arial"/>
                <w:b/>
                <w:color w:val="222222"/>
                <w:sz w:val="18"/>
                <w:szCs w:val="18"/>
              </w:rPr>
            </w:pPr>
            <w:r>
              <w:rPr>
                <w:rFonts w:eastAsia="Times New Roman" w:cs="Arial"/>
                <w:b/>
                <w:color w:val="222222"/>
                <w:sz w:val="18"/>
                <w:szCs w:val="18"/>
              </w:rPr>
              <w:t>6-MWT</w:t>
            </w:r>
          </w:p>
        </w:tc>
        <w:tc>
          <w:tcPr>
            <w:tcW w:w="945" w:type="dxa"/>
            <w:tcBorders>
              <w:top w:val="single" w:sz="4" w:space="0" w:color="00000A"/>
              <w:bottom w:val="single" w:sz="4" w:space="0" w:color="00000A"/>
            </w:tcBorders>
            <w:shd w:val="clear" w:color="auto" w:fill="auto"/>
            <w:vAlign w:val="center"/>
          </w:tcPr>
          <w:p w14:paraId="472177DE" w14:textId="77777777" w:rsidR="00342E07" w:rsidRDefault="00342E07">
            <w:pPr>
              <w:spacing w:after="0" w:line="240" w:lineRule="auto"/>
              <w:jc w:val="center"/>
              <w:rPr>
                <w:rFonts w:eastAsia="Times New Roman" w:cs="Arial"/>
                <w:color w:val="222222"/>
                <w:sz w:val="16"/>
                <w:szCs w:val="16"/>
              </w:rPr>
            </w:pPr>
          </w:p>
        </w:tc>
        <w:tc>
          <w:tcPr>
            <w:tcW w:w="944" w:type="dxa"/>
            <w:tcBorders>
              <w:top w:val="single" w:sz="4" w:space="0" w:color="00000A"/>
              <w:bottom w:val="single" w:sz="4" w:space="0" w:color="00000A"/>
            </w:tcBorders>
            <w:shd w:val="clear" w:color="auto" w:fill="auto"/>
            <w:vAlign w:val="center"/>
          </w:tcPr>
          <w:p w14:paraId="6A0067CC" w14:textId="77777777" w:rsidR="00342E07" w:rsidRDefault="00342E07">
            <w:pPr>
              <w:spacing w:after="0" w:line="240" w:lineRule="auto"/>
              <w:jc w:val="center"/>
              <w:rPr>
                <w:rFonts w:eastAsia="Times New Roman" w:cs="Arial"/>
                <w:color w:val="222222"/>
                <w:sz w:val="16"/>
                <w:szCs w:val="16"/>
              </w:rPr>
            </w:pPr>
          </w:p>
        </w:tc>
        <w:tc>
          <w:tcPr>
            <w:tcW w:w="944" w:type="dxa"/>
            <w:tcBorders>
              <w:top w:val="single" w:sz="4" w:space="0" w:color="00000A"/>
              <w:bottom w:val="single" w:sz="4" w:space="0" w:color="00000A"/>
            </w:tcBorders>
            <w:shd w:val="clear" w:color="auto" w:fill="auto"/>
            <w:vAlign w:val="center"/>
          </w:tcPr>
          <w:p w14:paraId="2C9AE962" w14:textId="77777777" w:rsidR="00342E07" w:rsidRDefault="005356A1">
            <w:pPr>
              <w:tabs>
                <w:tab w:val="center" w:pos="416"/>
              </w:tabs>
              <w:spacing w:after="0" w:line="240" w:lineRule="auto"/>
              <w:jc w:val="center"/>
              <w:rPr>
                <w:rFonts w:eastAsia="Times New Roman" w:cs="Arial"/>
                <w:color w:val="222222"/>
                <w:sz w:val="16"/>
                <w:szCs w:val="16"/>
              </w:rPr>
            </w:pPr>
            <w:r>
              <w:rPr>
                <w:rFonts w:eastAsia="Times New Roman" w:cs="Arial"/>
                <w:color w:val="222222"/>
                <w:sz w:val="16"/>
                <w:szCs w:val="16"/>
              </w:rPr>
              <w:t>0 (&gt;=350)</w:t>
            </w:r>
          </w:p>
          <w:p w14:paraId="4DF81A22" w14:textId="77777777" w:rsidR="00342E07" w:rsidRDefault="005356A1">
            <w:pPr>
              <w:spacing w:after="0" w:line="240" w:lineRule="auto"/>
              <w:jc w:val="center"/>
              <w:rPr>
                <w:rFonts w:eastAsia="Times New Roman" w:cs="Arial"/>
                <w:color w:val="222222"/>
                <w:sz w:val="16"/>
                <w:szCs w:val="16"/>
              </w:rPr>
            </w:pPr>
            <w:r>
              <w:rPr>
                <w:rFonts w:eastAsia="Times New Roman" w:cs="Arial"/>
                <w:color w:val="222222"/>
                <w:sz w:val="16"/>
                <w:szCs w:val="16"/>
              </w:rPr>
              <w:t>1 (250-349)</w:t>
            </w:r>
          </w:p>
          <w:p w14:paraId="420F79C5" w14:textId="77777777" w:rsidR="00342E07" w:rsidRDefault="005356A1">
            <w:pPr>
              <w:spacing w:after="0" w:line="240" w:lineRule="auto"/>
              <w:jc w:val="center"/>
              <w:rPr>
                <w:rFonts w:eastAsia="Times New Roman" w:cs="Arial"/>
                <w:color w:val="222222"/>
                <w:sz w:val="16"/>
                <w:szCs w:val="16"/>
              </w:rPr>
            </w:pPr>
            <w:r>
              <w:rPr>
                <w:rFonts w:eastAsia="Times New Roman" w:cs="Arial"/>
                <w:color w:val="222222"/>
                <w:sz w:val="16"/>
                <w:szCs w:val="16"/>
              </w:rPr>
              <w:t>2 (150-249)</w:t>
            </w:r>
          </w:p>
          <w:p w14:paraId="66BF583A" w14:textId="77777777" w:rsidR="00342E07" w:rsidRDefault="005356A1">
            <w:pPr>
              <w:spacing w:after="0" w:line="240" w:lineRule="auto"/>
              <w:jc w:val="center"/>
              <w:rPr>
                <w:rFonts w:eastAsia="Times New Roman" w:cs="Arial"/>
                <w:color w:val="222222"/>
                <w:sz w:val="16"/>
                <w:szCs w:val="16"/>
              </w:rPr>
            </w:pPr>
            <w:r>
              <w:rPr>
                <w:rFonts w:eastAsia="Times New Roman" w:cs="Arial"/>
                <w:color w:val="222222"/>
                <w:sz w:val="16"/>
                <w:szCs w:val="16"/>
              </w:rPr>
              <w:t>3 (&lt;=149)</w:t>
            </w:r>
          </w:p>
        </w:tc>
        <w:tc>
          <w:tcPr>
            <w:tcW w:w="942" w:type="dxa"/>
            <w:tcBorders>
              <w:top w:val="single" w:sz="4" w:space="0" w:color="00000A"/>
              <w:bottom w:val="single" w:sz="4" w:space="0" w:color="00000A"/>
            </w:tcBorders>
            <w:shd w:val="clear" w:color="auto" w:fill="auto"/>
            <w:vAlign w:val="center"/>
          </w:tcPr>
          <w:p w14:paraId="55A884DB" w14:textId="77777777" w:rsidR="00342E07" w:rsidRDefault="005356A1">
            <w:pPr>
              <w:tabs>
                <w:tab w:val="center" w:pos="416"/>
              </w:tabs>
              <w:spacing w:after="0" w:line="240" w:lineRule="auto"/>
              <w:jc w:val="center"/>
              <w:rPr>
                <w:rFonts w:eastAsia="Times New Roman" w:cs="Arial"/>
                <w:color w:val="222222"/>
                <w:sz w:val="16"/>
                <w:szCs w:val="16"/>
              </w:rPr>
            </w:pPr>
            <w:r>
              <w:rPr>
                <w:rFonts w:eastAsia="Times New Roman" w:cs="Arial"/>
                <w:color w:val="222222"/>
                <w:sz w:val="16"/>
                <w:szCs w:val="16"/>
              </w:rPr>
              <w:t>0 (&gt;=350)</w:t>
            </w:r>
          </w:p>
          <w:p w14:paraId="3CFDB2F4" w14:textId="77777777" w:rsidR="00342E07" w:rsidRDefault="005356A1">
            <w:pPr>
              <w:spacing w:after="0" w:line="240" w:lineRule="auto"/>
              <w:jc w:val="center"/>
              <w:rPr>
                <w:rFonts w:eastAsia="Times New Roman" w:cs="Arial"/>
                <w:color w:val="222222"/>
                <w:sz w:val="16"/>
                <w:szCs w:val="16"/>
              </w:rPr>
            </w:pPr>
            <w:r>
              <w:rPr>
                <w:rFonts w:eastAsia="Times New Roman" w:cs="Arial"/>
                <w:color w:val="222222"/>
                <w:sz w:val="16"/>
                <w:szCs w:val="16"/>
              </w:rPr>
              <w:t>4 (250-349)</w:t>
            </w:r>
          </w:p>
          <w:p w14:paraId="6BC71BF8" w14:textId="77777777" w:rsidR="00342E07" w:rsidRDefault="005356A1">
            <w:pPr>
              <w:spacing w:after="0" w:line="240" w:lineRule="auto"/>
              <w:jc w:val="center"/>
              <w:rPr>
                <w:rFonts w:eastAsia="Times New Roman" w:cs="Arial"/>
                <w:color w:val="222222"/>
                <w:sz w:val="16"/>
                <w:szCs w:val="16"/>
              </w:rPr>
            </w:pPr>
            <w:r>
              <w:rPr>
                <w:rFonts w:eastAsia="Times New Roman" w:cs="Arial"/>
                <w:color w:val="222222"/>
                <w:sz w:val="16"/>
                <w:szCs w:val="16"/>
              </w:rPr>
              <w:t>7 (150-249)</w:t>
            </w:r>
          </w:p>
          <w:p w14:paraId="5088F76C" w14:textId="77777777" w:rsidR="00342E07" w:rsidRDefault="005356A1">
            <w:pPr>
              <w:spacing w:after="0" w:line="240" w:lineRule="auto"/>
              <w:jc w:val="center"/>
              <w:rPr>
                <w:rFonts w:eastAsia="Times New Roman" w:cs="Arial"/>
                <w:color w:val="222222"/>
                <w:sz w:val="16"/>
                <w:szCs w:val="16"/>
              </w:rPr>
            </w:pPr>
            <w:r>
              <w:rPr>
                <w:rFonts w:eastAsia="Times New Roman" w:cs="Arial"/>
                <w:color w:val="222222"/>
                <w:sz w:val="16"/>
                <w:szCs w:val="16"/>
              </w:rPr>
              <w:t>9 (&lt;=149)</w:t>
            </w:r>
          </w:p>
        </w:tc>
        <w:tc>
          <w:tcPr>
            <w:tcW w:w="944" w:type="dxa"/>
            <w:tcBorders>
              <w:top w:val="single" w:sz="4" w:space="0" w:color="00000A"/>
              <w:bottom w:val="single" w:sz="4" w:space="0" w:color="00000A"/>
            </w:tcBorders>
            <w:shd w:val="clear" w:color="auto" w:fill="auto"/>
            <w:vAlign w:val="center"/>
          </w:tcPr>
          <w:p w14:paraId="3188CDAA" w14:textId="77777777" w:rsidR="00342E07" w:rsidRDefault="00342E07">
            <w:pPr>
              <w:spacing w:after="0" w:line="240" w:lineRule="auto"/>
              <w:jc w:val="center"/>
              <w:rPr>
                <w:rFonts w:eastAsia="Times New Roman" w:cs="Arial"/>
                <w:sz w:val="16"/>
                <w:szCs w:val="16"/>
              </w:rPr>
            </w:pPr>
          </w:p>
        </w:tc>
        <w:tc>
          <w:tcPr>
            <w:tcW w:w="944" w:type="dxa"/>
            <w:tcBorders>
              <w:top w:val="single" w:sz="4" w:space="0" w:color="00000A"/>
              <w:bottom w:val="single" w:sz="4" w:space="0" w:color="00000A"/>
            </w:tcBorders>
            <w:shd w:val="clear" w:color="auto" w:fill="auto"/>
            <w:vAlign w:val="center"/>
          </w:tcPr>
          <w:p w14:paraId="6846CE05" w14:textId="77777777" w:rsidR="00342E07" w:rsidRDefault="005356A1">
            <w:pPr>
              <w:spacing w:after="0" w:line="240" w:lineRule="auto"/>
              <w:jc w:val="center"/>
              <w:rPr>
                <w:rFonts w:eastAsia="Times New Roman" w:cs="Arial"/>
                <w:color w:val="222222"/>
                <w:sz w:val="16"/>
                <w:szCs w:val="16"/>
              </w:rPr>
            </w:pPr>
            <w:r>
              <w:rPr>
                <w:rFonts w:eastAsia="Times New Roman" w:cs="Arial"/>
                <w:color w:val="222222"/>
                <w:sz w:val="16"/>
                <w:szCs w:val="16"/>
              </w:rPr>
              <w:t>0 (&gt;=350)</w:t>
            </w:r>
          </w:p>
          <w:p w14:paraId="7F5A78CB" w14:textId="77777777" w:rsidR="00342E07" w:rsidRDefault="005356A1">
            <w:pPr>
              <w:spacing w:after="0" w:line="240" w:lineRule="auto"/>
              <w:jc w:val="center"/>
              <w:rPr>
                <w:rFonts w:eastAsia="Times New Roman" w:cs="Arial"/>
                <w:color w:val="222222"/>
                <w:sz w:val="16"/>
                <w:szCs w:val="16"/>
              </w:rPr>
            </w:pPr>
            <w:r>
              <w:rPr>
                <w:rFonts w:eastAsia="Times New Roman" w:cs="Arial"/>
                <w:color w:val="222222"/>
                <w:sz w:val="16"/>
                <w:szCs w:val="16"/>
              </w:rPr>
              <w:t>1 (250-349)</w:t>
            </w:r>
          </w:p>
          <w:p w14:paraId="4CD901ED" w14:textId="77777777" w:rsidR="00342E07" w:rsidRDefault="005356A1">
            <w:pPr>
              <w:spacing w:after="0" w:line="240" w:lineRule="auto"/>
              <w:jc w:val="center"/>
              <w:rPr>
                <w:rFonts w:eastAsia="Times New Roman" w:cs="Arial"/>
                <w:color w:val="222222"/>
                <w:sz w:val="16"/>
                <w:szCs w:val="16"/>
              </w:rPr>
            </w:pPr>
            <w:r>
              <w:rPr>
                <w:rFonts w:eastAsia="Times New Roman" w:cs="Arial"/>
                <w:color w:val="222222"/>
                <w:sz w:val="16"/>
                <w:szCs w:val="16"/>
              </w:rPr>
              <w:t>2 (150-249)</w:t>
            </w:r>
          </w:p>
          <w:p w14:paraId="3C2BB671" w14:textId="77777777" w:rsidR="00342E07" w:rsidRDefault="005356A1">
            <w:pPr>
              <w:spacing w:after="0" w:line="240" w:lineRule="auto"/>
              <w:jc w:val="center"/>
              <w:rPr>
                <w:rFonts w:eastAsia="Times New Roman" w:cs="Arial"/>
                <w:color w:val="222222"/>
                <w:sz w:val="16"/>
                <w:szCs w:val="16"/>
              </w:rPr>
            </w:pPr>
            <w:r>
              <w:rPr>
                <w:rFonts w:eastAsia="Times New Roman" w:cs="Arial"/>
                <w:color w:val="222222"/>
                <w:sz w:val="16"/>
                <w:szCs w:val="16"/>
              </w:rPr>
              <w:t>3 (&lt;=149)</w:t>
            </w:r>
          </w:p>
        </w:tc>
        <w:tc>
          <w:tcPr>
            <w:tcW w:w="944" w:type="dxa"/>
            <w:tcBorders>
              <w:top w:val="single" w:sz="4" w:space="0" w:color="00000A"/>
              <w:bottom w:val="single" w:sz="4" w:space="0" w:color="00000A"/>
            </w:tcBorders>
            <w:shd w:val="clear" w:color="auto" w:fill="auto"/>
            <w:vAlign w:val="center"/>
          </w:tcPr>
          <w:p w14:paraId="7402E29E" w14:textId="77777777" w:rsidR="00342E07" w:rsidRDefault="00342E07">
            <w:pPr>
              <w:spacing w:after="0" w:line="240" w:lineRule="auto"/>
              <w:jc w:val="center"/>
              <w:rPr>
                <w:rFonts w:eastAsia="Times New Roman" w:cs="Arial"/>
                <w:color w:val="222222"/>
                <w:sz w:val="16"/>
                <w:szCs w:val="16"/>
              </w:rPr>
            </w:pPr>
          </w:p>
        </w:tc>
        <w:tc>
          <w:tcPr>
            <w:tcW w:w="944" w:type="dxa"/>
            <w:tcBorders>
              <w:top w:val="single" w:sz="4" w:space="0" w:color="00000A"/>
              <w:bottom w:val="single" w:sz="4" w:space="0" w:color="00000A"/>
            </w:tcBorders>
            <w:shd w:val="clear" w:color="auto" w:fill="auto"/>
            <w:vAlign w:val="center"/>
          </w:tcPr>
          <w:p w14:paraId="2DBCB1DF" w14:textId="77777777" w:rsidR="00342E07" w:rsidRDefault="00342E07">
            <w:pPr>
              <w:spacing w:after="0" w:line="240" w:lineRule="auto"/>
              <w:jc w:val="center"/>
              <w:rPr>
                <w:rFonts w:eastAsia="Times New Roman" w:cs="Arial"/>
                <w:color w:val="222222"/>
                <w:sz w:val="16"/>
                <w:szCs w:val="16"/>
              </w:rPr>
            </w:pPr>
          </w:p>
        </w:tc>
        <w:tc>
          <w:tcPr>
            <w:tcW w:w="942" w:type="dxa"/>
            <w:tcBorders>
              <w:top w:val="single" w:sz="4" w:space="0" w:color="00000A"/>
              <w:bottom w:val="single" w:sz="4" w:space="0" w:color="00000A"/>
            </w:tcBorders>
            <w:shd w:val="clear" w:color="auto" w:fill="auto"/>
            <w:vAlign w:val="center"/>
          </w:tcPr>
          <w:p w14:paraId="3B009632" w14:textId="77777777" w:rsidR="00342E07" w:rsidRDefault="005356A1">
            <w:pPr>
              <w:spacing w:after="0" w:line="240" w:lineRule="auto"/>
              <w:jc w:val="center"/>
              <w:rPr>
                <w:rFonts w:eastAsia="Times New Roman" w:cs="Arial"/>
                <w:color w:val="222222"/>
                <w:sz w:val="16"/>
                <w:szCs w:val="16"/>
              </w:rPr>
            </w:pPr>
            <w:r>
              <w:rPr>
                <w:rFonts w:eastAsia="Times New Roman" w:cs="Arial"/>
                <w:color w:val="222222"/>
                <w:sz w:val="16"/>
                <w:szCs w:val="16"/>
              </w:rPr>
              <w:t>0 (&gt;=400)</w:t>
            </w:r>
          </w:p>
          <w:p w14:paraId="208EE25E" w14:textId="77777777" w:rsidR="00342E07" w:rsidRDefault="005356A1">
            <w:pPr>
              <w:spacing w:after="0" w:line="240" w:lineRule="auto"/>
              <w:jc w:val="center"/>
              <w:rPr>
                <w:rFonts w:eastAsia="Times New Roman" w:cs="Arial"/>
                <w:color w:val="222222"/>
                <w:sz w:val="16"/>
                <w:szCs w:val="16"/>
              </w:rPr>
            </w:pPr>
            <w:r>
              <w:rPr>
                <w:rFonts w:eastAsia="Times New Roman" w:cs="Arial"/>
                <w:color w:val="222222"/>
                <w:sz w:val="16"/>
                <w:szCs w:val="16"/>
              </w:rPr>
              <w:t>1 (300-399)</w:t>
            </w:r>
          </w:p>
          <w:p w14:paraId="248F00B3" w14:textId="77777777" w:rsidR="00342E07" w:rsidRDefault="005356A1">
            <w:pPr>
              <w:spacing w:after="0" w:line="240" w:lineRule="auto"/>
              <w:jc w:val="center"/>
              <w:rPr>
                <w:rFonts w:eastAsia="Times New Roman" w:cs="Arial"/>
                <w:color w:val="222222"/>
                <w:sz w:val="16"/>
                <w:szCs w:val="16"/>
              </w:rPr>
            </w:pPr>
            <w:r>
              <w:rPr>
                <w:rFonts w:eastAsia="Times New Roman" w:cs="Arial"/>
                <w:color w:val="222222"/>
                <w:sz w:val="16"/>
                <w:szCs w:val="16"/>
              </w:rPr>
              <w:t>2 (200-299)</w:t>
            </w:r>
          </w:p>
          <w:p w14:paraId="1D1A909F" w14:textId="77777777" w:rsidR="00342E07" w:rsidRDefault="005356A1">
            <w:pPr>
              <w:spacing w:after="0" w:line="240" w:lineRule="auto"/>
              <w:jc w:val="center"/>
              <w:rPr>
                <w:rFonts w:eastAsia="Times New Roman" w:cs="Arial"/>
                <w:color w:val="222222"/>
                <w:sz w:val="16"/>
                <w:szCs w:val="16"/>
              </w:rPr>
            </w:pPr>
            <w:r>
              <w:rPr>
                <w:rFonts w:eastAsia="Times New Roman" w:cs="Arial"/>
                <w:color w:val="222222"/>
                <w:sz w:val="16"/>
                <w:szCs w:val="16"/>
              </w:rPr>
              <w:t>3 (&lt;=199)</w:t>
            </w:r>
          </w:p>
        </w:tc>
        <w:tc>
          <w:tcPr>
            <w:tcW w:w="946" w:type="dxa"/>
            <w:tcBorders>
              <w:top w:val="single" w:sz="4" w:space="0" w:color="00000A"/>
              <w:bottom w:val="single" w:sz="4" w:space="0" w:color="00000A"/>
            </w:tcBorders>
            <w:shd w:val="clear" w:color="auto" w:fill="auto"/>
            <w:vAlign w:val="center"/>
          </w:tcPr>
          <w:p w14:paraId="1F2AE314" w14:textId="77777777" w:rsidR="00342E07" w:rsidRDefault="00342E07">
            <w:pPr>
              <w:spacing w:after="0" w:line="240" w:lineRule="auto"/>
              <w:jc w:val="center"/>
              <w:rPr>
                <w:rFonts w:eastAsia="Times New Roman" w:cs="Arial"/>
                <w:color w:val="222222"/>
                <w:sz w:val="16"/>
                <w:szCs w:val="16"/>
              </w:rPr>
            </w:pPr>
          </w:p>
        </w:tc>
      </w:tr>
      <w:tr w:rsidR="00342E07" w14:paraId="1106144C" w14:textId="77777777">
        <w:trPr>
          <w:jc w:val="center"/>
        </w:trPr>
        <w:tc>
          <w:tcPr>
            <w:tcW w:w="1272" w:type="dxa"/>
            <w:tcBorders>
              <w:top w:val="single" w:sz="4" w:space="0" w:color="00000A"/>
              <w:bottom w:val="single" w:sz="4" w:space="0" w:color="00000A"/>
            </w:tcBorders>
            <w:shd w:val="clear" w:color="auto" w:fill="auto"/>
            <w:vAlign w:val="center"/>
          </w:tcPr>
          <w:p w14:paraId="4657EF7E" w14:textId="77777777" w:rsidR="00342E07" w:rsidRDefault="005356A1">
            <w:pPr>
              <w:spacing w:after="0" w:line="240" w:lineRule="auto"/>
              <w:rPr>
                <w:rFonts w:eastAsia="Times New Roman" w:cs="Arial"/>
                <w:b/>
                <w:color w:val="222222"/>
                <w:sz w:val="18"/>
                <w:szCs w:val="18"/>
              </w:rPr>
            </w:pPr>
            <w:r>
              <w:rPr>
                <w:rFonts w:eastAsia="Times New Roman" w:cs="Arial"/>
                <w:b/>
                <w:color w:val="222222"/>
                <w:sz w:val="18"/>
                <w:szCs w:val="18"/>
              </w:rPr>
              <w:t>Age</w:t>
            </w:r>
          </w:p>
        </w:tc>
        <w:tc>
          <w:tcPr>
            <w:tcW w:w="945" w:type="dxa"/>
            <w:tcBorders>
              <w:top w:val="single" w:sz="4" w:space="0" w:color="00000A"/>
              <w:bottom w:val="single" w:sz="4" w:space="0" w:color="00000A"/>
            </w:tcBorders>
            <w:shd w:val="clear" w:color="auto" w:fill="auto"/>
            <w:vAlign w:val="center"/>
          </w:tcPr>
          <w:p w14:paraId="368B97D4" w14:textId="77777777" w:rsidR="00342E07" w:rsidRDefault="00342E07">
            <w:pPr>
              <w:spacing w:after="0" w:line="240" w:lineRule="auto"/>
              <w:jc w:val="center"/>
              <w:rPr>
                <w:rFonts w:eastAsia="Times New Roman" w:cs="Arial"/>
                <w:color w:val="222222"/>
                <w:sz w:val="16"/>
                <w:szCs w:val="16"/>
              </w:rPr>
            </w:pPr>
          </w:p>
        </w:tc>
        <w:tc>
          <w:tcPr>
            <w:tcW w:w="944" w:type="dxa"/>
            <w:tcBorders>
              <w:top w:val="single" w:sz="4" w:space="0" w:color="00000A"/>
              <w:bottom w:val="single" w:sz="4" w:space="0" w:color="00000A"/>
            </w:tcBorders>
            <w:shd w:val="clear" w:color="auto" w:fill="auto"/>
            <w:vAlign w:val="center"/>
          </w:tcPr>
          <w:p w14:paraId="244C7ECD" w14:textId="77777777" w:rsidR="00342E07" w:rsidRDefault="00342E07">
            <w:pPr>
              <w:spacing w:after="0" w:line="240" w:lineRule="auto"/>
              <w:jc w:val="center"/>
              <w:rPr>
                <w:rFonts w:eastAsia="Times New Roman" w:cs="Arial"/>
                <w:color w:val="222222"/>
                <w:sz w:val="16"/>
                <w:szCs w:val="16"/>
              </w:rPr>
            </w:pPr>
          </w:p>
        </w:tc>
        <w:tc>
          <w:tcPr>
            <w:tcW w:w="944" w:type="dxa"/>
            <w:tcBorders>
              <w:top w:val="single" w:sz="4" w:space="0" w:color="00000A"/>
              <w:bottom w:val="single" w:sz="4" w:space="0" w:color="00000A"/>
            </w:tcBorders>
            <w:shd w:val="clear" w:color="auto" w:fill="auto"/>
            <w:vAlign w:val="center"/>
          </w:tcPr>
          <w:p w14:paraId="25A94FB2" w14:textId="77777777" w:rsidR="00342E07" w:rsidRDefault="00342E07">
            <w:pPr>
              <w:spacing w:after="0" w:line="240" w:lineRule="auto"/>
              <w:jc w:val="center"/>
              <w:rPr>
                <w:rFonts w:eastAsia="Times New Roman" w:cs="Arial"/>
                <w:color w:val="222222"/>
                <w:sz w:val="16"/>
                <w:szCs w:val="16"/>
              </w:rPr>
            </w:pPr>
          </w:p>
        </w:tc>
        <w:tc>
          <w:tcPr>
            <w:tcW w:w="942" w:type="dxa"/>
            <w:tcBorders>
              <w:top w:val="single" w:sz="4" w:space="0" w:color="00000A"/>
              <w:bottom w:val="single" w:sz="4" w:space="0" w:color="00000A"/>
            </w:tcBorders>
            <w:shd w:val="clear" w:color="auto" w:fill="auto"/>
            <w:vAlign w:val="center"/>
          </w:tcPr>
          <w:p w14:paraId="6B63359B" w14:textId="77777777" w:rsidR="00342E07" w:rsidRDefault="00342E07">
            <w:pPr>
              <w:spacing w:after="0" w:line="240" w:lineRule="auto"/>
              <w:jc w:val="center"/>
              <w:rPr>
                <w:rFonts w:eastAsia="Times New Roman" w:cs="Arial"/>
                <w:color w:val="222222"/>
                <w:sz w:val="16"/>
                <w:szCs w:val="16"/>
              </w:rPr>
            </w:pPr>
          </w:p>
        </w:tc>
        <w:tc>
          <w:tcPr>
            <w:tcW w:w="944" w:type="dxa"/>
            <w:tcBorders>
              <w:top w:val="single" w:sz="4" w:space="0" w:color="00000A"/>
              <w:bottom w:val="single" w:sz="4" w:space="0" w:color="00000A"/>
            </w:tcBorders>
            <w:shd w:val="clear" w:color="auto" w:fill="auto"/>
            <w:vAlign w:val="center"/>
          </w:tcPr>
          <w:p w14:paraId="580C6242" w14:textId="77777777" w:rsidR="00342E07" w:rsidRDefault="005356A1">
            <w:pPr>
              <w:spacing w:after="0" w:line="240" w:lineRule="auto"/>
              <w:jc w:val="center"/>
              <w:rPr>
                <w:rFonts w:eastAsia="Times New Roman" w:cs="Arial"/>
                <w:sz w:val="16"/>
                <w:szCs w:val="16"/>
              </w:rPr>
            </w:pPr>
            <w:r>
              <w:rPr>
                <w:rFonts w:eastAsia="Times New Roman" w:cs="Arial"/>
                <w:sz w:val="16"/>
                <w:szCs w:val="16"/>
              </w:rPr>
              <w:t>0 (40-49)</w:t>
            </w:r>
          </w:p>
          <w:p w14:paraId="6E226DFE" w14:textId="77777777" w:rsidR="00342E07" w:rsidRDefault="005356A1">
            <w:pPr>
              <w:spacing w:after="0" w:line="240" w:lineRule="auto"/>
              <w:jc w:val="center"/>
              <w:rPr>
                <w:rFonts w:eastAsia="Times New Roman" w:cs="Arial"/>
                <w:sz w:val="16"/>
                <w:szCs w:val="16"/>
              </w:rPr>
            </w:pPr>
            <w:r>
              <w:rPr>
                <w:rFonts w:eastAsia="Times New Roman" w:cs="Arial"/>
                <w:sz w:val="16"/>
                <w:szCs w:val="16"/>
              </w:rPr>
              <w:t>2 (50-59)</w:t>
            </w:r>
          </w:p>
          <w:p w14:paraId="39E29851" w14:textId="77777777" w:rsidR="00342E07" w:rsidRDefault="005356A1">
            <w:pPr>
              <w:spacing w:after="0" w:line="240" w:lineRule="auto"/>
              <w:jc w:val="center"/>
              <w:rPr>
                <w:rFonts w:eastAsia="Times New Roman" w:cs="Arial"/>
                <w:sz w:val="16"/>
                <w:szCs w:val="16"/>
              </w:rPr>
            </w:pPr>
            <w:r>
              <w:rPr>
                <w:rFonts w:eastAsia="Times New Roman" w:cs="Arial"/>
                <w:sz w:val="16"/>
                <w:szCs w:val="16"/>
              </w:rPr>
              <w:t>4 (60-69)</w:t>
            </w:r>
          </w:p>
          <w:p w14:paraId="44FA3CC2" w14:textId="77777777" w:rsidR="00342E07" w:rsidRDefault="005356A1">
            <w:pPr>
              <w:spacing w:after="0" w:line="240" w:lineRule="auto"/>
              <w:jc w:val="center"/>
              <w:rPr>
                <w:rFonts w:eastAsia="Times New Roman" w:cs="Arial"/>
                <w:sz w:val="16"/>
                <w:szCs w:val="16"/>
              </w:rPr>
            </w:pPr>
            <w:r>
              <w:rPr>
                <w:rFonts w:eastAsia="Times New Roman" w:cs="Arial"/>
                <w:sz w:val="16"/>
                <w:szCs w:val="16"/>
              </w:rPr>
              <w:t>5 (70-79)</w:t>
            </w:r>
          </w:p>
          <w:p w14:paraId="4EF9B671" w14:textId="77777777" w:rsidR="00342E07" w:rsidRDefault="005356A1">
            <w:pPr>
              <w:spacing w:after="0" w:line="240" w:lineRule="auto"/>
              <w:jc w:val="center"/>
              <w:rPr>
                <w:rFonts w:eastAsia="Times New Roman" w:cs="Arial"/>
                <w:sz w:val="16"/>
                <w:szCs w:val="16"/>
              </w:rPr>
            </w:pPr>
            <w:r>
              <w:rPr>
                <w:rFonts w:eastAsia="Times New Roman" w:cs="Arial"/>
                <w:sz w:val="16"/>
                <w:szCs w:val="16"/>
              </w:rPr>
              <w:t>7 (&gt;=80)</w:t>
            </w:r>
          </w:p>
        </w:tc>
        <w:tc>
          <w:tcPr>
            <w:tcW w:w="944" w:type="dxa"/>
            <w:tcBorders>
              <w:top w:val="single" w:sz="4" w:space="0" w:color="00000A"/>
              <w:bottom w:val="single" w:sz="4" w:space="0" w:color="00000A"/>
            </w:tcBorders>
            <w:shd w:val="clear" w:color="auto" w:fill="auto"/>
            <w:vAlign w:val="center"/>
          </w:tcPr>
          <w:p w14:paraId="5CD8F054" w14:textId="77777777" w:rsidR="00342E07" w:rsidRDefault="00342E07">
            <w:pPr>
              <w:spacing w:after="0" w:line="240" w:lineRule="auto"/>
              <w:jc w:val="center"/>
              <w:rPr>
                <w:rFonts w:eastAsia="Times New Roman" w:cs="Arial"/>
                <w:color w:val="222222"/>
                <w:sz w:val="16"/>
                <w:szCs w:val="16"/>
              </w:rPr>
            </w:pPr>
          </w:p>
        </w:tc>
        <w:tc>
          <w:tcPr>
            <w:tcW w:w="944" w:type="dxa"/>
            <w:tcBorders>
              <w:top w:val="single" w:sz="4" w:space="0" w:color="00000A"/>
              <w:bottom w:val="single" w:sz="4" w:space="0" w:color="00000A"/>
            </w:tcBorders>
            <w:shd w:val="clear" w:color="auto" w:fill="auto"/>
            <w:vAlign w:val="center"/>
          </w:tcPr>
          <w:p w14:paraId="0988BA35" w14:textId="77777777" w:rsidR="00342E07" w:rsidRDefault="00342E07">
            <w:pPr>
              <w:spacing w:after="0" w:line="240" w:lineRule="auto"/>
              <w:jc w:val="center"/>
              <w:rPr>
                <w:rFonts w:eastAsia="Times New Roman" w:cs="Arial"/>
                <w:color w:val="222222"/>
                <w:sz w:val="16"/>
                <w:szCs w:val="16"/>
              </w:rPr>
            </w:pPr>
          </w:p>
        </w:tc>
        <w:tc>
          <w:tcPr>
            <w:tcW w:w="944" w:type="dxa"/>
            <w:tcBorders>
              <w:top w:val="single" w:sz="4" w:space="0" w:color="00000A"/>
              <w:bottom w:val="single" w:sz="4" w:space="0" w:color="00000A"/>
            </w:tcBorders>
            <w:shd w:val="clear" w:color="auto" w:fill="auto"/>
            <w:vAlign w:val="center"/>
          </w:tcPr>
          <w:p w14:paraId="5D5C481D" w14:textId="77777777" w:rsidR="00342E07" w:rsidRDefault="00342E07">
            <w:pPr>
              <w:spacing w:after="0" w:line="240" w:lineRule="auto"/>
              <w:jc w:val="center"/>
              <w:rPr>
                <w:rFonts w:eastAsia="Times New Roman" w:cs="Arial"/>
                <w:color w:val="222222"/>
                <w:sz w:val="16"/>
                <w:szCs w:val="16"/>
              </w:rPr>
            </w:pPr>
          </w:p>
        </w:tc>
        <w:tc>
          <w:tcPr>
            <w:tcW w:w="942" w:type="dxa"/>
            <w:tcBorders>
              <w:top w:val="single" w:sz="4" w:space="0" w:color="00000A"/>
              <w:bottom w:val="single" w:sz="4" w:space="0" w:color="00000A"/>
            </w:tcBorders>
            <w:shd w:val="clear" w:color="auto" w:fill="auto"/>
            <w:vAlign w:val="center"/>
          </w:tcPr>
          <w:p w14:paraId="3847579A" w14:textId="77777777" w:rsidR="00342E07" w:rsidRDefault="00342E07">
            <w:pPr>
              <w:spacing w:after="0" w:line="240" w:lineRule="auto"/>
              <w:jc w:val="center"/>
              <w:rPr>
                <w:rFonts w:eastAsia="Times New Roman" w:cs="Arial"/>
                <w:color w:val="222222"/>
                <w:sz w:val="16"/>
                <w:szCs w:val="16"/>
              </w:rPr>
            </w:pPr>
          </w:p>
        </w:tc>
        <w:tc>
          <w:tcPr>
            <w:tcW w:w="946" w:type="dxa"/>
            <w:tcBorders>
              <w:top w:val="single" w:sz="4" w:space="0" w:color="00000A"/>
              <w:bottom w:val="single" w:sz="4" w:space="0" w:color="00000A"/>
            </w:tcBorders>
            <w:shd w:val="clear" w:color="auto" w:fill="auto"/>
            <w:vAlign w:val="center"/>
          </w:tcPr>
          <w:p w14:paraId="23F88B55" w14:textId="77777777" w:rsidR="00342E07" w:rsidRDefault="00342E07">
            <w:pPr>
              <w:spacing w:after="0" w:line="240" w:lineRule="auto"/>
              <w:jc w:val="center"/>
              <w:rPr>
                <w:rFonts w:eastAsia="Times New Roman" w:cs="Arial"/>
                <w:color w:val="222222"/>
                <w:sz w:val="16"/>
                <w:szCs w:val="16"/>
              </w:rPr>
            </w:pPr>
          </w:p>
        </w:tc>
      </w:tr>
      <w:tr w:rsidR="00342E07" w14:paraId="70D7ACE9" w14:textId="77777777">
        <w:trPr>
          <w:jc w:val="center"/>
        </w:trPr>
        <w:tc>
          <w:tcPr>
            <w:tcW w:w="1272" w:type="dxa"/>
            <w:tcBorders>
              <w:top w:val="single" w:sz="4" w:space="0" w:color="00000A"/>
              <w:bottom w:val="single" w:sz="4" w:space="0" w:color="00000A"/>
            </w:tcBorders>
            <w:shd w:val="clear" w:color="auto" w:fill="auto"/>
            <w:vAlign w:val="center"/>
          </w:tcPr>
          <w:p w14:paraId="314567F9" w14:textId="77777777" w:rsidR="00342E07" w:rsidRDefault="005356A1">
            <w:pPr>
              <w:spacing w:after="0" w:line="240" w:lineRule="auto"/>
            </w:pPr>
            <w:r>
              <w:rPr>
                <w:rFonts w:eastAsia="Times New Roman" w:cs="Arial"/>
                <w:b/>
                <w:color w:val="222222"/>
                <w:sz w:val="18"/>
                <w:szCs w:val="18"/>
              </w:rPr>
              <w:t xml:space="preserve">Prev. </w:t>
            </w:r>
            <w:r>
              <w:rPr>
                <w:rFonts w:eastAsia="Times New Roman" w:cs="Arial"/>
                <w:b/>
                <w:color w:val="222222"/>
                <w:sz w:val="16"/>
                <w:szCs w:val="16"/>
              </w:rPr>
              <w:t>exacerbations</w:t>
            </w:r>
          </w:p>
        </w:tc>
        <w:tc>
          <w:tcPr>
            <w:tcW w:w="945" w:type="dxa"/>
            <w:tcBorders>
              <w:top w:val="single" w:sz="4" w:space="0" w:color="00000A"/>
              <w:bottom w:val="single" w:sz="4" w:space="0" w:color="00000A"/>
            </w:tcBorders>
            <w:shd w:val="clear" w:color="auto" w:fill="auto"/>
            <w:vAlign w:val="center"/>
          </w:tcPr>
          <w:p w14:paraId="4EB2966B" w14:textId="77777777" w:rsidR="00342E07" w:rsidRDefault="00342E07">
            <w:pPr>
              <w:spacing w:after="0" w:line="240" w:lineRule="auto"/>
              <w:jc w:val="center"/>
              <w:rPr>
                <w:rFonts w:eastAsia="Times New Roman" w:cs="Arial"/>
                <w:color w:val="222222"/>
                <w:sz w:val="16"/>
                <w:szCs w:val="16"/>
              </w:rPr>
            </w:pPr>
          </w:p>
        </w:tc>
        <w:tc>
          <w:tcPr>
            <w:tcW w:w="944" w:type="dxa"/>
            <w:tcBorders>
              <w:top w:val="single" w:sz="4" w:space="0" w:color="00000A"/>
              <w:bottom w:val="single" w:sz="4" w:space="0" w:color="00000A"/>
            </w:tcBorders>
            <w:shd w:val="clear" w:color="auto" w:fill="FFFFFF"/>
            <w:vAlign w:val="center"/>
          </w:tcPr>
          <w:p w14:paraId="34417458" w14:textId="77777777" w:rsidR="00342E07" w:rsidRDefault="005356A1">
            <w:pPr>
              <w:spacing w:after="0" w:line="240" w:lineRule="auto"/>
              <w:jc w:val="center"/>
              <w:rPr>
                <w:rFonts w:eastAsia="Times New Roman" w:cs="Arial"/>
                <w:color w:val="222222"/>
                <w:sz w:val="16"/>
                <w:szCs w:val="16"/>
              </w:rPr>
            </w:pPr>
            <w:r>
              <w:rPr>
                <w:rFonts w:eastAsia="Times New Roman" w:cs="Arial"/>
                <w:color w:val="222222"/>
                <w:sz w:val="16"/>
                <w:szCs w:val="16"/>
              </w:rPr>
              <w:t>(See FEV1pp)</w:t>
            </w:r>
          </w:p>
        </w:tc>
        <w:tc>
          <w:tcPr>
            <w:tcW w:w="944" w:type="dxa"/>
            <w:tcBorders>
              <w:top w:val="single" w:sz="4" w:space="0" w:color="00000A"/>
              <w:bottom w:val="single" w:sz="4" w:space="0" w:color="00000A"/>
            </w:tcBorders>
            <w:shd w:val="clear" w:color="auto" w:fill="auto"/>
            <w:vAlign w:val="center"/>
          </w:tcPr>
          <w:p w14:paraId="4E1915E8" w14:textId="77777777" w:rsidR="00342E07" w:rsidRDefault="00342E07">
            <w:pPr>
              <w:spacing w:after="0" w:line="240" w:lineRule="auto"/>
              <w:jc w:val="center"/>
              <w:rPr>
                <w:rFonts w:eastAsia="Times New Roman" w:cs="Arial"/>
                <w:color w:val="222222"/>
                <w:sz w:val="16"/>
                <w:szCs w:val="16"/>
              </w:rPr>
            </w:pPr>
          </w:p>
        </w:tc>
        <w:tc>
          <w:tcPr>
            <w:tcW w:w="942" w:type="dxa"/>
            <w:tcBorders>
              <w:top w:val="single" w:sz="4" w:space="0" w:color="00000A"/>
              <w:bottom w:val="single" w:sz="4" w:space="0" w:color="00000A"/>
            </w:tcBorders>
            <w:shd w:val="clear" w:color="auto" w:fill="auto"/>
            <w:vAlign w:val="center"/>
          </w:tcPr>
          <w:p w14:paraId="336A3921" w14:textId="77777777" w:rsidR="00342E07" w:rsidRDefault="00342E07">
            <w:pPr>
              <w:spacing w:after="0" w:line="240" w:lineRule="auto"/>
              <w:jc w:val="center"/>
              <w:rPr>
                <w:rFonts w:eastAsia="Times New Roman" w:cs="Arial"/>
                <w:color w:val="222222"/>
                <w:sz w:val="16"/>
                <w:szCs w:val="16"/>
              </w:rPr>
            </w:pPr>
          </w:p>
        </w:tc>
        <w:tc>
          <w:tcPr>
            <w:tcW w:w="944" w:type="dxa"/>
            <w:tcBorders>
              <w:top w:val="single" w:sz="4" w:space="0" w:color="00000A"/>
              <w:bottom w:val="single" w:sz="4" w:space="0" w:color="00000A"/>
            </w:tcBorders>
            <w:shd w:val="clear" w:color="auto" w:fill="FFFFFF"/>
            <w:vAlign w:val="center"/>
          </w:tcPr>
          <w:p w14:paraId="0D1E6448" w14:textId="77777777" w:rsidR="00342E07" w:rsidRDefault="00342E07">
            <w:pPr>
              <w:spacing w:after="0" w:line="240" w:lineRule="auto"/>
              <w:jc w:val="center"/>
              <w:rPr>
                <w:rFonts w:eastAsia="Times New Roman" w:cs="Arial"/>
                <w:color w:val="222222"/>
                <w:sz w:val="16"/>
                <w:szCs w:val="16"/>
              </w:rPr>
            </w:pPr>
          </w:p>
        </w:tc>
        <w:tc>
          <w:tcPr>
            <w:tcW w:w="944" w:type="dxa"/>
            <w:tcBorders>
              <w:top w:val="single" w:sz="4" w:space="0" w:color="00000A"/>
              <w:bottom w:val="single" w:sz="4" w:space="0" w:color="00000A"/>
            </w:tcBorders>
            <w:shd w:val="clear" w:color="auto" w:fill="FFFFFF"/>
            <w:vAlign w:val="center"/>
          </w:tcPr>
          <w:p w14:paraId="61F9E7F5" w14:textId="77777777" w:rsidR="00342E07" w:rsidRDefault="005356A1">
            <w:pPr>
              <w:spacing w:after="0" w:line="240" w:lineRule="auto"/>
              <w:jc w:val="center"/>
              <w:rPr>
                <w:rFonts w:eastAsia="Times New Roman" w:cs="Arial"/>
                <w:color w:val="222222"/>
                <w:sz w:val="16"/>
                <w:szCs w:val="16"/>
              </w:rPr>
            </w:pPr>
            <w:r>
              <w:rPr>
                <w:rFonts w:eastAsia="Times New Roman" w:cs="Arial"/>
                <w:color w:val="222222"/>
                <w:sz w:val="16"/>
                <w:szCs w:val="16"/>
              </w:rPr>
              <w:t>0 (0)</w:t>
            </w:r>
          </w:p>
          <w:p w14:paraId="4B449EFC" w14:textId="77777777" w:rsidR="00342E07" w:rsidRDefault="005356A1">
            <w:pPr>
              <w:spacing w:after="0" w:line="240" w:lineRule="auto"/>
              <w:jc w:val="center"/>
              <w:rPr>
                <w:rFonts w:eastAsia="Times New Roman" w:cs="Arial"/>
                <w:color w:val="222222"/>
                <w:sz w:val="16"/>
                <w:szCs w:val="16"/>
              </w:rPr>
            </w:pPr>
            <w:r>
              <w:rPr>
                <w:rFonts w:eastAsia="Times New Roman" w:cs="Arial"/>
                <w:color w:val="222222"/>
                <w:sz w:val="16"/>
                <w:szCs w:val="16"/>
              </w:rPr>
              <w:t>1 (1-2)</w:t>
            </w:r>
          </w:p>
          <w:p w14:paraId="2294027D" w14:textId="77777777" w:rsidR="00342E07" w:rsidRDefault="005356A1">
            <w:pPr>
              <w:spacing w:after="0" w:line="240" w:lineRule="auto"/>
              <w:jc w:val="center"/>
              <w:rPr>
                <w:rFonts w:eastAsia="Times New Roman" w:cs="Arial"/>
                <w:color w:val="222222"/>
                <w:sz w:val="16"/>
                <w:szCs w:val="16"/>
              </w:rPr>
            </w:pPr>
            <w:r>
              <w:rPr>
                <w:rFonts w:eastAsia="Times New Roman" w:cs="Arial"/>
                <w:color w:val="222222"/>
                <w:sz w:val="16"/>
                <w:szCs w:val="16"/>
              </w:rPr>
              <w:t>2 (&gt;2)</w:t>
            </w:r>
          </w:p>
        </w:tc>
        <w:tc>
          <w:tcPr>
            <w:tcW w:w="944" w:type="dxa"/>
            <w:tcBorders>
              <w:top w:val="single" w:sz="4" w:space="0" w:color="00000A"/>
              <w:bottom w:val="single" w:sz="4" w:space="0" w:color="00000A"/>
            </w:tcBorders>
            <w:shd w:val="clear" w:color="auto" w:fill="FFFFFF"/>
            <w:vAlign w:val="center"/>
          </w:tcPr>
          <w:p w14:paraId="23304031" w14:textId="77777777" w:rsidR="00342E07" w:rsidRDefault="005356A1">
            <w:pPr>
              <w:spacing w:after="0" w:line="240" w:lineRule="auto"/>
              <w:jc w:val="center"/>
              <w:rPr>
                <w:rFonts w:eastAsia="Times New Roman" w:cs="Arial"/>
                <w:color w:val="222222"/>
                <w:sz w:val="16"/>
                <w:szCs w:val="16"/>
              </w:rPr>
            </w:pPr>
            <w:r>
              <w:rPr>
                <w:rFonts w:eastAsia="Times New Roman" w:cs="Arial"/>
                <w:color w:val="222222"/>
                <w:sz w:val="16"/>
                <w:szCs w:val="16"/>
              </w:rPr>
              <w:t>0 (0)</w:t>
            </w:r>
          </w:p>
          <w:p w14:paraId="0D1B55EB" w14:textId="77777777" w:rsidR="00342E07" w:rsidRDefault="005356A1">
            <w:pPr>
              <w:spacing w:after="0" w:line="240" w:lineRule="auto"/>
              <w:jc w:val="center"/>
              <w:rPr>
                <w:rFonts w:eastAsia="Times New Roman" w:cs="Arial"/>
                <w:color w:val="222222"/>
                <w:sz w:val="16"/>
                <w:szCs w:val="16"/>
              </w:rPr>
            </w:pPr>
            <w:r>
              <w:rPr>
                <w:rFonts w:eastAsia="Times New Roman" w:cs="Arial"/>
                <w:color w:val="222222"/>
                <w:sz w:val="16"/>
                <w:szCs w:val="16"/>
              </w:rPr>
              <w:t>1 (1-2)</w:t>
            </w:r>
          </w:p>
          <w:p w14:paraId="6CBBE219" w14:textId="77777777" w:rsidR="00342E07" w:rsidRDefault="005356A1">
            <w:pPr>
              <w:spacing w:after="0" w:line="240" w:lineRule="auto"/>
              <w:jc w:val="center"/>
              <w:rPr>
                <w:rFonts w:eastAsia="Times New Roman" w:cs="Arial"/>
                <w:color w:val="222222"/>
                <w:sz w:val="16"/>
                <w:szCs w:val="16"/>
              </w:rPr>
            </w:pPr>
            <w:r>
              <w:rPr>
                <w:rFonts w:eastAsia="Times New Roman" w:cs="Arial"/>
                <w:color w:val="222222"/>
                <w:sz w:val="16"/>
                <w:szCs w:val="16"/>
              </w:rPr>
              <w:t>2 (&gt;2)</w:t>
            </w:r>
          </w:p>
        </w:tc>
        <w:tc>
          <w:tcPr>
            <w:tcW w:w="944" w:type="dxa"/>
            <w:tcBorders>
              <w:top w:val="single" w:sz="4" w:space="0" w:color="00000A"/>
              <w:bottom w:val="single" w:sz="4" w:space="0" w:color="00000A"/>
            </w:tcBorders>
            <w:shd w:val="clear" w:color="auto" w:fill="FFFFFF"/>
            <w:vAlign w:val="center"/>
          </w:tcPr>
          <w:p w14:paraId="7EDDCF17" w14:textId="77777777" w:rsidR="00342E07" w:rsidRDefault="005356A1">
            <w:pPr>
              <w:spacing w:after="0" w:line="240" w:lineRule="auto"/>
              <w:jc w:val="center"/>
              <w:rPr>
                <w:rFonts w:eastAsia="Times New Roman" w:cs="Arial"/>
                <w:color w:val="222222"/>
                <w:sz w:val="16"/>
                <w:szCs w:val="16"/>
              </w:rPr>
            </w:pPr>
            <w:r>
              <w:rPr>
                <w:rFonts w:eastAsia="Times New Roman" w:cs="Arial"/>
                <w:color w:val="222222"/>
                <w:sz w:val="16"/>
                <w:szCs w:val="16"/>
              </w:rPr>
              <w:t>0 (0-1)</w:t>
            </w:r>
          </w:p>
          <w:p w14:paraId="1E5EA8DB" w14:textId="77777777" w:rsidR="00342E07" w:rsidRDefault="005356A1">
            <w:pPr>
              <w:spacing w:after="0" w:line="240" w:lineRule="auto"/>
              <w:jc w:val="center"/>
              <w:rPr>
                <w:rFonts w:eastAsia="Times New Roman" w:cs="Arial"/>
                <w:color w:val="222222"/>
                <w:sz w:val="16"/>
                <w:szCs w:val="16"/>
              </w:rPr>
            </w:pPr>
            <w:r>
              <w:rPr>
                <w:rFonts w:eastAsia="Times New Roman" w:cs="Arial"/>
                <w:color w:val="222222"/>
                <w:sz w:val="16"/>
                <w:szCs w:val="16"/>
              </w:rPr>
              <w:t>1 (2-3)</w:t>
            </w:r>
          </w:p>
          <w:p w14:paraId="3080AB02" w14:textId="77777777" w:rsidR="00342E07" w:rsidRDefault="005356A1">
            <w:pPr>
              <w:spacing w:after="0" w:line="240" w:lineRule="auto"/>
              <w:jc w:val="center"/>
              <w:rPr>
                <w:rFonts w:eastAsia="Times New Roman" w:cs="Arial"/>
                <w:color w:val="222222"/>
                <w:sz w:val="16"/>
                <w:szCs w:val="16"/>
              </w:rPr>
            </w:pPr>
            <w:r>
              <w:rPr>
                <w:rFonts w:eastAsia="Times New Roman" w:cs="Arial"/>
                <w:color w:val="222222"/>
                <w:sz w:val="16"/>
                <w:szCs w:val="16"/>
              </w:rPr>
              <w:t>2 (&gt;3)</w:t>
            </w:r>
          </w:p>
        </w:tc>
        <w:tc>
          <w:tcPr>
            <w:tcW w:w="942" w:type="dxa"/>
            <w:tcBorders>
              <w:top w:val="single" w:sz="4" w:space="0" w:color="00000A"/>
              <w:bottom w:val="single" w:sz="4" w:space="0" w:color="00000A"/>
            </w:tcBorders>
            <w:shd w:val="clear" w:color="auto" w:fill="auto"/>
            <w:vAlign w:val="center"/>
          </w:tcPr>
          <w:p w14:paraId="532D3036" w14:textId="77777777" w:rsidR="00342E07" w:rsidRDefault="00342E07">
            <w:pPr>
              <w:spacing w:after="0" w:line="240" w:lineRule="auto"/>
              <w:jc w:val="center"/>
              <w:rPr>
                <w:rFonts w:eastAsia="Times New Roman" w:cs="Arial"/>
                <w:color w:val="222222"/>
                <w:sz w:val="16"/>
                <w:szCs w:val="16"/>
              </w:rPr>
            </w:pPr>
          </w:p>
        </w:tc>
        <w:tc>
          <w:tcPr>
            <w:tcW w:w="946" w:type="dxa"/>
            <w:tcBorders>
              <w:top w:val="single" w:sz="4" w:space="0" w:color="00000A"/>
              <w:bottom w:val="single" w:sz="4" w:space="0" w:color="00000A"/>
            </w:tcBorders>
            <w:shd w:val="clear" w:color="auto" w:fill="auto"/>
            <w:vAlign w:val="center"/>
          </w:tcPr>
          <w:p w14:paraId="079F6236" w14:textId="77777777" w:rsidR="00342E07" w:rsidRDefault="005356A1">
            <w:pPr>
              <w:spacing w:after="0" w:line="240" w:lineRule="auto"/>
              <w:jc w:val="center"/>
              <w:rPr>
                <w:rFonts w:eastAsia="Times New Roman" w:cs="Arial"/>
                <w:color w:val="222222"/>
                <w:sz w:val="16"/>
                <w:szCs w:val="16"/>
              </w:rPr>
            </w:pPr>
            <w:r>
              <w:rPr>
                <w:rFonts w:eastAsia="Times New Roman" w:cs="Arial"/>
                <w:color w:val="222222"/>
                <w:sz w:val="16"/>
                <w:szCs w:val="16"/>
              </w:rPr>
              <w:t>0 (0)</w:t>
            </w:r>
          </w:p>
          <w:p w14:paraId="088755E3" w14:textId="77777777" w:rsidR="00342E07" w:rsidRDefault="005356A1">
            <w:pPr>
              <w:spacing w:after="0" w:line="240" w:lineRule="auto"/>
              <w:jc w:val="center"/>
              <w:rPr>
                <w:rFonts w:eastAsia="Times New Roman" w:cs="Arial"/>
                <w:color w:val="222222"/>
                <w:sz w:val="16"/>
                <w:szCs w:val="16"/>
              </w:rPr>
            </w:pPr>
            <w:r>
              <w:rPr>
                <w:rFonts w:eastAsia="Times New Roman" w:cs="Arial"/>
                <w:color w:val="222222"/>
                <w:sz w:val="16"/>
                <w:szCs w:val="16"/>
              </w:rPr>
              <w:t>3 (1)</w:t>
            </w:r>
          </w:p>
          <w:p w14:paraId="4AF695A5" w14:textId="77777777" w:rsidR="00342E07" w:rsidRDefault="005356A1">
            <w:pPr>
              <w:spacing w:after="0" w:line="240" w:lineRule="auto"/>
              <w:jc w:val="center"/>
              <w:rPr>
                <w:rFonts w:eastAsia="Times New Roman" w:cs="Arial"/>
                <w:color w:val="222222"/>
                <w:sz w:val="16"/>
                <w:szCs w:val="16"/>
              </w:rPr>
            </w:pPr>
            <w:r>
              <w:rPr>
                <w:rFonts w:eastAsia="Times New Roman" w:cs="Arial"/>
                <w:color w:val="222222"/>
                <w:sz w:val="16"/>
                <w:szCs w:val="16"/>
              </w:rPr>
              <w:t>7 (&gt;=2)</w:t>
            </w:r>
          </w:p>
        </w:tc>
      </w:tr>
      <w:tr w:rsidR="00342E07" w14:paraId="071534B6" w14:textId="77777777">
        <w:trPr>
          <w:jc w:val="center"/>
        </w:trPr>
        <w:tc>
          <w:tcPr>
            <w:tcW w:w="1272" w:type="dxa"/>
            <w:tcBorders>
              <w:top w:val="single" w:sz="4" w:space="0" w:color="00000A"/>
              <w:bottom w:val="single" w:sz="4" w:space="0" w:color="00000A"/>
            </w:tcBorders>
            <w:shd w:val="clear" w:color="auto" w:fill="auto"/>
            <w:vAlign w:val="center"/>
          </w:tcPr>
          <w:p w14:paraId="1D115BE9" w14:textId="77777777" w:rsidR="00342E07" w:rsidRDefault="005356A1">
            <w:pPr>
              <w:spacing w:after="0" w:line="240" w:lineRule="auto"/>
              <w:rPr>
                <w:rFonts w:eastAsia="Times New Roman" w:cs="Arial"/>
                <w:b/>
                <w:color w:val="222222"/>
                <w:sz w:val="18"/>
                <w:szCs w:val="18"/>
              </w:rPr>
            </w:pPr>
            <w:r>
              <w:rPr>
                <w:rFonts w:eastAsia="Times New Roman" w:cs="Arial"/>
                <w:b/>
                <w:color w:val="222222"/>
                <w:sz w:val="18"/>
                <w:szCs w:val="18"/>
              </w:rPr>
              <w:t>CAT</w:t>
            </w:r>
          </w:p>
        </w:tc>
        <w:tc>
          <w:tcPr>
            <w:tcW w:w="945" w:type="dxa"/>
            <w:tcBorders>
              <w:top w:val="single" w:sz="4" w:space="0" w:color="00000A"/>
              <w:bottom w:val="single" w:sz="4" w:space="0" w:color="00000A"/>
            </w:tcBorders>
            <w:shd w:val="clear" w:color="auto" w:fill="auto"/>
            <w:vAlign w:val="center"/>
          </w:tcPr>
          <w:p w14:paraId="3DFFB776" w14:textId="77777777" w:rsidR="00342E07" w:rsidRDefault="00342E07">
            <w:pPr>
              <w:spacing w:after="0" w:line="240" w:lineRule="auto"/>
              <w:jc w:val="center"/>
              <w:rPr>
                <w:rFonts w:eastAsia="Times New Roman" w:cs="Arial"/>
                <w:color w:val="222222"/>
                <w:sz w:val="16"/>
                <w:szCs w:val="16"/>
              </w:rPr>
            </w:pPr>
          </w:p>
        </w:tc>
        <w:tc>
          <w:tcPr>
            <w:tcW w:w="944" w:type="dxa"/>
            <w:tcBorders>
              <w:top w:val="single" w:sz="4" w:space="0" w:color="00000A"/>
              <w:bottom w:val="single" w:sz="4" w:space="0" w:color="00000A"/>
            </w:tcBorders>
            <w:shd w:val="clear" w:color="auto" w:fill="auto"/>
            <w:vAlign w:val="center"/>
          </w:tcPr>
          <w:p w14:paraId="162DFE17" w14:textId="77777777" w:rsidR="00342E07" w:rsidRDefault="005356A1">
            <w:pPr>
              <w:spacing w:after="0" w:line="240" w:lineRule="auto"/>
              <w:jc w:val="center"/>
              <w:rPr>
                <w:rFonts w:eastAsia="Times New Roman" w:cs="Arial"/>
                <w:color w:val="222222"/>
                <w:sz w:val="16"/>
                <w:szCs w:val="16"/>
              </w:rPr>
            </w:pPr>
            <w:r>
              <w:rPr>
                <w:rFonts w:eastAsia="Times New Roman" w:cs="Arial"/>
                <w:color w:val="222222"/>
                <w:sz w:val="16"/>
                <w:szCs w:val="16"/>
              </w:rPr>
              <w:t xml:space="preserve">(See </w:t>
            </w:r>
            <w:proofErr w:type="spellStart"/>
            <w:r>
              <w:rPr>
                <w:rFonts w:eastAsia="Times New Roman" w:cs="Arial"/>
                <w:color w:val="222222"/>
                <w:sz w:val="16"/>
                <w:szCs w:val="16"/>
              </w:rPr>
              <w:t>mMRC</w:t>
            </w:r>
            <w:proofErr w:type="spellEnd"/>
            <w:r>
              <w:rPr>
                <w:rFonts w:eastAsia="Times New Roman" w:cs="Arial"/>
                <w:color w:val="222222"/>
                <w:sz w:val="16"/>
                <w:szCs w:val="16"/>
              </w:rPr>
              <w:t>)</w:t>
            </w:r>
          </w:p>
        </w:tc>
        <w:tc>
          <w:tcPr>
            <w:tcW w:w="944" w:type="dxa"/>
            <w:tcBorders>
              <w:top w:val="single" w:sz="4" w:space="0" w:color="00000A"/>
              <w:bottom w:val="single" w:sz="4" w:space="0" w:color="00000A"/>
            </w:tcBorders>
            <w:shd w:val="clear" w:color="auto" w:fill="auto"/>
            <w:vAlign w:val="center"/>
          </w:tcPr>
          <w:p w14:paraId="7D79721F" w14:textId="77777777" w:rsidR="00342E07" w:rsidRDefault="00342E07">
            <w:pPr>
              <w:spacing w:after="0" w:line="240" w:lineRule="auto"/>
              <w:jc w:val="center"/>
              <w:rPr>
                <w:rFonts w:eastAsia="Times New Roman" w:cs="Arial"/>
                <w:color w:val="222222"/>
                <w:sz w:val="16"/>
                <w:szCs w:val="16"/>
              </w:rPr>
            </w:pPr>
          </w:p>
        </w:tc>
        <w:tc>
          <w:tcPr>
            <w:tcW w:w="942" w:type="dxa"/>
            <w:tcBorders>
              <w:top w:val="single" w:sz="4" w:space="0" w:color="00000A"/>
              <w:bottom w:val="single" w:sz="4" w:space="0" w:color="00000A"/>
            </w:tcBorders>
            <w:shd w:val="clear" w:color="auto" w:fill="auto"/>
            <w:vAlign w:val="center"/>
          </w:tcPr>
          <w:p w14:paraId="371C1130" w14:textId="77777777" w:rsidR="00342E07" w:rsidRDefault="00342E07">
            <w:pPr>
              <w:spacing w:after="0" w:line="240" w:lineRule="auto"/>
              <w:jc w:val="center"/>
              <w:rPr>
                <w:rFonts w:eastAsia="Times New Roman" w:cs="Arial"/>
                <w:color w:val="222222"/>
                <w:sz w:val="16"/>
                <w:szCs w:val="16"/>
              </w:rPr>
            </w:pPr>
          </w:p>
        </w:tc>
        <w:tc>
          <w:tcPr>
            <w:tcW w:w="944" w:type="dxa"/>
            <w:tcBorders>
              <w:top w:val="single" w:sz="4" w:space="0" w:color="00000A"/>
              <w:bottom w:val="single" w:sz="4" w:space="0" w:color="00000A"/>
            </w:tcBorders>
            <w:shd w:val="clear" w:color="auto" w:fill="auto"/>
            <w:vAlign w:val="center"/>
          </w:tcPr>
          <w:p w14:paraId="4ACC3714" w14:textId="77777777" w:rsidR="00342E07" w:rsidRDefault="00342E07">
            <w:pPr>
              <w:spacing w:after="0" w:line="240" w:lineRule="auto"/>
              <w:jc w:val="center"/>
              <w:rPr>
                <w:rFonts w:eastAsia="Times New Roman" w:cs="Arial"/>
                <w:color w:val="222222"/>
                <w:sz w:val="16"/>
                <w:szCs w:val="16"/>
              </w:rPr>
            </w:pPr>
          </w:p>
        </w:tc>
        <w:tc>
          <w:tcPr>
            <w:tcW w:w="944" w:type="dxa"/>
            <w:tcBorders>
              <w:top w:val="single" w:sz="4" w:space="0" w:color="00000A"/>
              <w:bottom w:val="single" w:sz="4" w:space="0" w:color="00000A"/>
            </w:tcBorders>
            <w:shd w:val="clear" w:color="auto" w:fill="auto"/>
            <w:vAlign w:val="center"/>
          </w:tcPr>
          <w:p w14:paraId="1769CF89" w14:textId="77777777" w:rsidR="00342E07" w:rsidRDefault="00342E07">
            <w:pPr>
              <w:spacing w:after="0" w:line="240" w:lineRule="auto"/>
              <w:jc w:val="center"/>
              <w:rPr>
                <w:rFonts w:eastAsia="Times New Roman" w:cs="Arial"/>
                <w:color w:val="222222"/>
                <w:sz w:val="16"/>
                <w:szCs w:val="16"/>
              </w:rPr>
            </w:pPr>
          </w:p>
        </w:tc>
        <w:tc>
          <w:tcPr>
            <w:tcW w:w="944" w:type="dxa"/>
            <w:tcBorders>
              <w:top w:val="single" w:sz="4" w:space="0" w:color="00000A"/>
              <w:bottom w:val="single" w:sz="4" w:space="0" w:color="00000A"/>
            </w:tcBorders>
            <w:shd w:val="clear" w:color="auto" w:fill="auto"/>
            <w:vAlign w:val="center"/>
          </w:tcPr>
          <w:p w14:paraId="514B895E" w14:textId="77777777" w:rsidR="00342E07" w:rsidRDefault="00342E07">
            <w:pPr>
              <w:spacing w:after="0" w:line="240" w:lineRule="auto"/>
              <w:jc w:val="center"/>
              <w:rPr>
                <w:rFonts w:eastAsia="Times New Roman" w:cs="Arial"/>
                <w:color w:val="222222"/>
                <w:sz w:val="16"/>
                <w:szCs w:val="16"/>
              </w:rPr>
            </w:pPr>
          </w:p>
        </w:tc>
        <w:tc>
          <w:tcPr>
            <w:tcW w:w="944" w:type="dxa"/>
            <w:tcBorders>
              <w:top w:val="single" w:sz="4" w:space="0" w:color="00000A"/>
              <w:bottom w:val="single" w:sz="4" w:space="0" w:color="00000A"/>
            </w:tcBorders>
            <w:shd w:val="clear" w:color="auto" w:fill="auto"/>
            <w:vAlign w:val="center"/>
          </w:tcPr>
          <w:p w14:paraId="59E1C9BE" w14:textId="77777777" w:rsidR="00342E07" w:rsidRDefault="00342E07">
            <w:pPr>
              <w:spacing w:after="0" w:line="240" w:lineRule="auto"/>
              <w:jc w:val="center"/>
              <w:rPr>
                <w:rFonts w:eastAsia="Times New Roman" w:cs="Arial"/>
                <w:color w:val="222222"/>
                <w:sz w:val="16"/>
                <w:szCs w:val="16"/>
              </w:rPr>
            </w:pPr>
          </w:p>
        </w:tc>
        <w:tc>
          <w:tcPr>
            <w:tcW w:w="942" w:type="dxa"/>
            <w:tcBorders>
              <w:top w:val="single" w:sz="4" w:space="0" w:color="00000A"/>
              <w:bottom w:val="single" w:sz="4" w:space="0" w:color="00000A"/>
            </w:tcBorders>
            <w:shd w:val="clear" w:color="auto" w:fill="auto"/>
            <w:vAlign w:val="center"/>
          </w:tcPr>
          <w:p w14:paraId="46055BC2" w14:textId="77777777" w:rsidR="00342E07" w:rsidRDefault="00342E07">
            <w:pPr>
              <w:spacing w:after="0" w:line="240" w:lineRule="auto"/>
              <w:jc w:val="center"/>
              <w:rPr>
                <w:rFonts w:eastAsia="Times New Roman" w:cs="Arial"/>
                <w:color w:val="222222"/>
                <w:sz w:val="16"/>
                <w:szCs w:val="16"/>
              </w:rPr>
            </w:pPr>
          </w:p>
        </w:tc>
        <w:tc>
          <w:tcPr>
            <w:tcW w:w="946" w:type="dxa"/>
            <w:tcBorders>
              <w:top w:val="single" w:sz="4" w:space="0" w:color="00000A"/>
              <w:bottom w:val="single" w:sz="4" w:space="0" w:color="00000A"/>
            </w:tcBorders>
            <w:shd w:val="clear" w:color="auto" w:fill="auto"/>
            <w:vAlign w:val="center"/>
          </w:tcPr>
          <w:p w14:paraId="569E043B" w14:textId="77777777" w:rsidR="00342E07" w:rsidRDefault="00342E07">
            <w:pPr>
              <w:spacing w:after="0" w:line="240" w:lineRule="auto"/>
              <w:jc w:val="center"/>
              <w:rPr>
                <w:rFonts w:eastAsia="Times New Roman" w:cs="Arial"/>
                <w:color w:val="222222"/>
                <w:sz w:val="16"/>
                <w:szCs w:val="16"/>
              </w:rPr>
            </w:pPr>
          </w:p>
        </w:tc>
      </w:tr>
      <w:tr w:rsidR="00342E07" w14:paraId="00F1839F" w14:textId="77777777">
        <w:trPr>
          <w:jc w:val="center"/>
        </w:trPr>
        <w:tc>
          <w:tcPr>
            <w:tcW w:w="1272" w:type="dxa"/>
            <w:tcBorders>
              <w:top w:val="single" w:sz="4" w:space="0" w:color="00000A"/>
              <w:bottom w:val="single" w:sz="4" w:space="0" w:color="00000A"/>
            </w:tcBorders>
            <w:shd w:val="clear" w:color="auto" w:fill="auto"/>
            <w:vAlign w:val="center"/>
          </w:tcPr>
          <w:p w14:paraId="5393E576" w14:textId="77777777" w:rsidR="00342E07" w:rsidRDefault="005356A1">
            <w:pPr>
              <w:spacing w:after="0" w:line="240" w:lineRule="auto"/>
              <w:rPr>
                <w:rFonts w:eastAsia="Times New Roman" w:cs="Arial"/>
                <w:b/>
                <w:color w:val="222222"/>
                <w:sz w:val="18"/>
                <w:szCs w:val="18"/>
              </w:rPr>
            </w:pPr>
            <w:r>
              <w:rPr>
                <w:rFonts w:eastAsia="Times New Roman" w:cs="Arial"/>
                <w:b/>
                <w:color w:val="222222"/>
                <w:sz w:val="18"/>
                <w:szCs w:val="18"/>
              </w:rPr>
              <w:t>Smoking</w:t>
            </w:r>
          </w:p>
        </w:tc>
        <w:tc>
          <w:tcPr>
            <w:tcW w:w="945" w:type="dxa"/>
            <w:tcBorders>
              <w:top w:val="single" w:sz="4" w:space="0" w:color="00000A"/>
              <w:bottom w:val="single" w:sz="4" w:space="0" w:color="00000A"/>
            </w:tcBorders>
            <w:shd w:val="clear" w:color="auto" w:fill="auto"/>
            <w:vAlign w:val="center"/>
          </w:tcPr>
          <w:p w14:paraId="6BD6B44F" w14:textId="77777777" w:rsidR="00342E07" w:rsidRDefault="00342E07">
            <w:pPr>
              <w:spacing w:after="0" w:line="240" w:lineRule="auto"/>
              <w:jc w:val="center"/>
              <w:rPr>
                <w:rFonts w:eastAsia="Times New Roman" w:cs="Arial"/>
                <w:color w:val="222222"/>
                <w:sz w:val="16"/>
                <w:szCs w:val="16"/>
              </w:rPr>
            </w:pPr>
          </w:p>
        </w:tc>
        <w:tc>
          <w:tcPr>
            <w:tcW w:w="944" w:type="dxa"/>
            <w:tcBorders>
              <w:top w:val="single" w:sz="4" w:space="0" w:color="00000A"/>
              <w:bottom w:val="single" w:sz="4" w:space="0" w:color="00000A"/>
            </w:tcBorders>
            <w:shd w:val="clear" w:color="auto" w:fill="auto"/>
            <w:vAlign w:val="center"/>
          </w:tcPr>
          <w:p w14:paraId="26D02FBD" w14:textId="77777777" w:rsidR="00342E07" w:rsidRDefault="00342E07">
            <w:pPr>
              <w:spacing w:after="0" w:line="240" w:lineRule="auto"/>
              <w:jc w:val="center"/>
              <w:rPr>
                <w:rFonts w:eastAsia="Times New Roman" w:cs="Arial"/>
                <w:color w:val="222222"/>
                <w:sz w:val="16"/>
                <w:szCs w:val="16"/>
              </w:rPr>
            </w:pPr>
          </w:p>
        </w:tc>
        <w:tc>
          <w:tcPr>
            <w:tcW w:w="944" w:type="dxa"/>
            <w:tcBorders>
              <w:top w:val="single" w:sz="4" w:space="0" w:color="00000A"/>
              <w:bottom w:val="single" w:sz="4" w:space="0" w:color="00000A"/>
            </w:tcBorders>
            <w:shd w:val="clear" w:color="auto" w:fill="auto"/>
            <w:vAlign w:val="center"/>
          </w:tcPr>
          <w:p w14:paraId="1BC43503" w14:textId="77777777" w:rsidR="00342E07" w:rsidRDefault="00342E07">
            <w:pPr>
              <w:spacing w:after="0" w:line="240" w:lineRule="auto"/>
              <w:jc w:val="center"/>
              <w:rPr>
                <w:rFonts w:eastAsia="Times New Roman" w:cs="Arial"/>
                <w:color w:val="222222"/>
                <w:sz w:val="16"/>
                <w:szCs w:val="16"/>
              </w:rPr>
            </w:pPr>
          </w:p>
        </w:tc>
        <w:tc>
          <w:tcPr>
            <w:tcW w:w="942" w:type="dxa"/>
            <w:tcBorders>
              <w:top w:val="single" w:sz="4" w:space="0" w:color="00000A"/>
              <w:bottom w:val="single" w:sz="4" w:space="0" w:color="00000A"/>
            </w:tcBorders>
            <w:shd w:val="clear" w:color="auto" w:fill="auto"/>
            <w:vAlign w:val="center"/>
          </w:tcPr>
          <w:p w14:paraId="51327547" w14:textId="77777777" w:rsidR="00342E07" w:rsidRDefault="00342E07">
            <w:pPr>
              <w:spacing w:after="0" w:line="240" w:lineRule="auto"/>
              <w:jc w:val="center"/>
              <w:rPr>
                <w:rFonts w:eastAsia="Times New Roman" w:cs="Arial"/>
                <w:color w:val="222222"/>
                <w:sz w:val="16"/>
                <w:szCs w:val="16"/>
              </w:rPr>
            </w:pPr>
          </w:p>
        </w:tc>
        <w:tc>
          <w:tcPr>
            <w:tcW w:w="944" w:type="dxa"/>
            <w:tcBorders>
              <w:top w:val="single" w:sz="4" w:space="0" w:color="00000A"/>
              <w:bottom w:val="single" w:sz="4" w:space="0" w:color="00000A"/>
            </w:tcBorders>
            <w:shd w:val="clear" w:color="auto" w:fill="auto"/>
            <w:vAlign w:val="center"/>
          </w:tcPr>
          <w:p w14:paraId="17C9FFAF" w14:textId="77777777" w:rsidR="00342E07" w:rsidRDefault="00342E07">
            <w:pPr>
              <w:spacing w:after="0" w:line="240" w:lineRule="auto"/>
              <w:jc w:val="center"/>
              <w:rPr>
                <w:rFonts w:eastAsia="Times New Roman" w:cs="Arial"/>
                <w:color w:val="222222"/>
                <w:sz w:val="16"/>
                <w:szCs w:val="16"/>
              </w:rPr>
            </w:pPr>
          </w:p>
        </w:tc>
        <w:tc>
          <w:tcPr>
            <w:tcW w:w="944" w:type="dxa"/>
            <w:tcBorders>
              <w:top w:val="single" w:sz="4" w:space="0" w:color="00000A"/>
              <w:bottom w:val="single" w:sz="4" w:space="0" w:color="00000A"/>
            </w:tcBorders>
            <w:shd w:val="clear" w:color="auto" w:fill="auto"/>
            <w:vAlign w:val="center"/>
          </w:tcPr>
          <w:p w14:paraId="3B629CB7" w14:textId="77777777" w:rsidR="00342E07" w:rsidRDefault="00342E07">
            <w:pPr>
              <w:spacing w:after="0" w:line="240" w:lineRule="auto"/>
              <w:jc w:val="center"/>
              <w:rPr>
                <w:rFonts w:eastAsia="Times New Roman" w:cs="Arial"/>
                <w:color w:val="222222"/>
                <w:sz w:val="16"/>
                <w:szCs w:val="16"/>
              </w:rPr>
            </w:pPr>
          </w:p>
        </w:tc>
        <w:tc>
          <w:tcPr>
            <w:tcW w:w="944" w:type="dxa"/>
            <w:tcBorders>
              <w:top w:val="single" w:sz="4" w:space="0" w:color="00000A"/>
              <w:bottom w:val="single" w:sz="4" w:space="0" w:color="00000A"/>
            </w:tcBorders>
            <w:shd w:val="clear" w:color="auto" w:fill="auto"/>
            <w:vAlign w:val="center"/>
          </w:tcPr>
          <w:p w14:paraId="5122DE8A" w14:textId="77777777" w:rsidR="00342E07" w:rsidRDefault="00342E07">
            <w:pPr>
              <w:spacing w:after="0" w:line="240" w:lineRule="auto"/>
              <w:jc w:val="center"/>
              <w:rPr>
                <w:rFonts w:eastAsia="Times New Roman" w:cs="Arial"/>
                <w:color w:val="222222"/>
                <w:sz w:val="16"/>
                <w:szCs w:val="16"/>
              </w:rPr>
            </w:pPr>
          </w:p>
        </w:tc>
        <w:tc>
          <w:tcPr>
            <w:tcW w:w="944" w:type="dxa"/>
            <w:tcBorders>
              <w:top w:val="single" w:sz="4" w:space="0" w:color="00000A"/>
              <w:bottom w:val="single" w:sz="4" w:space="0" w:color="00000A"/>
            </w:tcBorders>
            <w:shd w:val="clear" w:color="auto" w:fill="auto"/>
            <w:vAlign w:val="center"/>
          </w:tcPr>
          <w:p w14:paraId="41C0279A" w14:textId="77777777" w:rsidR="00342E07" w:rsidRDefault="005356A1">
            <w:pPr>
              <w:spacing w:after="0" w:line="240" w:lineRule="auto"/>
              <w:jc w:val="center"/>
              <w:rPr>
                <w:rFonts w:eastAsia="Times New Roman" w:cs="Arial"/>
                <w:color w:val="222222"/>
                <w:sz w:val="16"/>
                <w:szCs w:val="16"/>
              </w:rPr>
            </w:pPr>
            <w:r>
              <w:rPr>
                <w:rFonts w:eastAsia="Times New Roman" w:cs="Arial"/>
                <w:color w:val="222222"/>
                <w:sz w:val="16"/>
                <w:szCs w:val="16"/>
              </w:rPr>
              <w:t>0 (non- smoker)</w:t>
            </w:r>
          </w:p>
          <w:p w14:paraId="03BC2620" w14:textId="77777777" w:rsidR="00342E07" w:rsidRDefault="005356A1">
            <w:pPr>
              <w:spacing w:after="0" w:line="240" w:lineRule="auto"/>
              <w:jc w:val="center"/>
              <w:rPr>
                <w:rFonts w:eastAsia="Times New Roman" w:cs="Arial"/>
                <w:color w:val="222222"/>
                <w:sz w:val="16"/>
                <w:szCs w:val="16"/>
              </w:rPr>
            </w:pPr>
            <w:r>
              <w:rPr>
                <w:rFonts w:eastAsia="Times New Roman" w:cs="Arial"/>
                <w:color w:val="222222"/>
                <w:sz w:val="16"/>
                <w:szCs w:val="16"/>
              </w:rPr>
              <w:t>1(current smoker)</w:t>
            </w:r>
          </w:p>
        </w:tc>
        <w:tc>
          <w:tcPr>
            <w:tcW w:w="942" w:type="dxa"/>
            <w:tcBorders>
              <w:top w:val="single" w:sz="4" w:space="0" w:color="00000A"/>
              <w:bottom w:val="single" w:sz="4" w:space="0" w:color="00000A"/>
            </w:tcBorders>
            <w:shd w:val="clear" w:color="auto" w:fill="auto"/>
            <w:vAlign w:val="center"/>
          </w:tcPr>
          <w:p w14:paraId="640F51AB" w14:textId="77777777" w:rsidR="00342E07" w:rsidRDefault="00342E07">
            <w:pPr>
              <w:spacing w:after="0" w:line="240" w:lineRule="auto"/>
              <w:jc w:val="center"/>
              <w:rPr>
                <w:rFonts w:eastAsia="Times New Roman" w:cs="Arial"/>
                <w:color w:val="222222"/>
                <w:sz w:val="16"/>
                <w:szCs w:val="16"/>
              </w:rPr>
            </w:pPr>
          </w:p>
        </w:tc>
        <w:tc>
          <w:tcPr>
            <w:tcW w:w="946" w:type="dxa"/>
            <w:tcBorders>
              <w:top w:val="single" w:sz="4" w:space="0" w:color="00000A"/>
              <w:bottom w:val="single" w:sz="4" w:space="0" w:color="00000A"/>
            </w:tcBorders>
            <w:shd w:val="clear" w:color="auto" w:fill="auto"/>
            <w:vAlign w:val="center"/>
          </w:tcPr>
          <w:p w14:paraId="3ABD083B" w14:textId="77777777" w:rsidR="00342E07" w:rsidRDefault="00342E07">
            <w:pPr>
              <w:spacing w:after="0" w:line="240" w:lineRule="auto"/>
              <w:jc w:val="center"/>
              <w:rPr>
                <w:rFonts w:eastAsia="Times New Roman" w:cs="Arial"/>
                <w:color w:val="222222"/>
                <w:sz w:val="16"/>
                <w:szCs w:val="16"/>
              </w:rPr>
            </w:pPr>
          </w:p>
        </w:tc>
      </w:tr>
      <w:tr w:rsidR="00342E07" w14:paraId="53B26650" w14:textId="77777777">
        <w:trPr>
          <w:jc w:val="center"/>
        </w:trPr>
        <w:tc>
          <w:tcPr>
            <w:tcW w:w="1272" w:type="dxa"/>
            <w:tcBorders>
              <w:top w:val="single" w:sz="4" w:space="0" w:color="00000A"/>
              <w:bottom w:val="single" w:sz="4" w:space="0" w:color="00000A"/>
            </w:tcBorders>
            <w:shd w:val="clear" w:color="auto" w:fill="auto"/>
            <w:vAlign w:val="center"/>
          </w:tcPr>
          <w:p w14:paraId="4C53297A" w14:textId="77777777" w:rsidR="00342E07" w:rsidRDefault="005356A1">
            <w:pPr>
              <w:spacing w:after="0" w:line="240" w:lineRule="auto"/>
              <w:rPr>
                <w:rFonts w:eastAsia="Times New Roman" w:cs="Arial"/>
                <w:b/>
                <w:color w:val="222222"/>
                <w:sz w:val="18"/>
                <w:szCs w:val="18"/>
              </w:rPr>
            </w:pPr>
            <w:r>
              <w:rPr>
                <w:rFonts w:eastAsia="Times New Roman" w:cs="Arial"/>
                <w:b/>
                <w:color w:val="222222"/>
                <w:sz w:val="18"/>
                <w:szCs w:val="18"/>
              </w:rPr>
              <w:t>Quality of life (SGRQ)</w:t>
            </w:r>
          </w:p>
        </w:tc>
        <w:tc>
          <w:tcPr>
            <w:tcW w:w="945" w:type="dxa"/>
            <w:tcBorders>
              <w:top w:val="single" w:sz="4" w:space="0" w:color="00000A"/>
              <w:bottom w:val="single" w:sz="4" w:space="0" w:color="00000A"/>
            </w:tcBorders>
            <w:shd w:val="clear" w:color="auto" w:fill="auto"/>
            <w:vAlign w:val="center"/>
          </w:tcPr>
          <w:p w14:paraId="2D6B0870" w14:textId="77777777" w:rsidR="00342E07" w:rsidRDefault="00342E07">
            <w:pPr>
              <w:spacing w:after="0" w:line="240" w:lineRule="auto"/>
              <w:jc w:val="center"/>
              <w:rPr>
                <w:rFonts w:eastAsia="Times New Roman" w:cs="Arial"/>
                <w:color w:val="222222"/>
                <w:sz w:val="16"/>
                <w:szCs w:val="16"/>
              </w:rPr>
            </w:pPr>
          </w:p>
        </w:tc>
        <w:tc>
          <w:tcPr>
            <w:tcW w:w="944" w:type="dxa"/>
            <w:tcBorders>
              <w:top w:val="single" w:sz="4" w:space="0" w:color="00000A"/>
              <w:bottom w:val="single" w:sz="4" w:space="0" w:color="00000A"/>
            </w:tcBorders>
            <w:shd w:val="clear" w:color="auto" w:fill="auto"/>
            <w:vAlign w:val="center"/>
          </w:tcPr>
          <w:p w14:paraId="7E2F6AD4" w14:textId="77777777" w:rsidR="00342E07" w:rsidRDefault="00342E07">
            <w:pPr>
              <w:spacing w:after="0" w:line="240" w:lineRule="auto"/>
              <w:jc w:val="center"/>
              <w:rPr>
                <w:rFonts w:eastAsia="Times New Roman" w:cs="Arial"/>
                <w:color w:val="222222"/>
                <w:sz w:val="16"/>
                <w:szCs w:val="16"/>
              </w:rPr>
            </w:pPr>
          </w:p>
        </w:tc>
        <w:tc>
          <w:tcPr>
            <w:tcW w:w="944" w:type="dxa"/>
            <w:tcBorders>
              <w:top w:val="single" w:sz="4" w:space="0" w:color="00000A"/>
              <w:bottom w:val="single" w:sz="4" w:space="0" w:color="00000A"/>
            </w:tcBorders>
            <w:shd w:val="clear" w:color="auto" w:fill="auto"/>
            <w:vAlign w:val="center"/>
          </w:tcPr>
          <w:p w14:paraId="7C22456B" w14:textId="77777777" w:rsidR="00342E07" w:rsidRDefault="00342E07">
            <w:pPr>
              <w:spacing w:after="0" w:line="240" w:lineRule="auto"/>
              <w:jc w:val="center"/>
              <w:rPr>
                <w:rFonts w:eastAsia="Times New Roman" w:cs="Arial"/>
                <w:color w:val="222222"/>
                <w:sz w:val="16"/>
                <w:szCs w:val="16"/>
              </w:rPr>
            </w:pPr>
          </w:p>
        </w:tc>
        <w:tc>
          <w:tcPr>
            <w:tcW w:w="942" w:type="dxa"/>
            <w:tcBorders>
              <w:top w:val="single" w:sz="4" w:space="0" w:color="00000A"/>
              <w:bottom w:val="single" w:sz="4" w:space="0" w:color="00000A"/>
            </w:tcBorders>
            <w:shd w:val="clear" w:color="auto" w:fill="auto"/>
            <w:vAlign w:val="center"/>
          </w:tcPr>
          <w:p w14:paraId="49CE0432" w14:textId="77777777" w:rsidR="00342E07" w:rsidRDefault="00342E07">
            <w:pPr>
              <w:spacing w:after="0" w:line="240" w:lineRule="auto"/>
              <w:jc w:val="center"/>
              <w:rPr>
                <w:rFonts w:eastAsia="Times New Roman" w:cs="Arial"/>
                <w:color w:val="222222"/>
                <w:sz w:val="16"/>
                <w:szCs w:val="16"/>
              </w:rPr>
            </w:pPr>
          </w:p>
        </w:tc>
        <w:tc>
          <w:tcPr>
            <w:tcW w:w="944" w:type="dxa"/>
            <w:tcBorders>
              <w:top w:val="single" w:sz="4" w:space="0" w:color="00000A"/>
              <w:bottom w:val="single" w:sz="4" w:space="0" w:color="00000A"/>
            </w:tcBorders>
            <w:shd w:val="clear" w:color="auto" w:fill="auto"/>
            <w:vAlign w:val="center"/>
          </w:tcPr>
          <w:p w14:paraId="7F83C269" w14:textId="77777777" w:rsidR="00342E07" w:rsidRDefault="00342E07">
            <w:pPr>
              <w:spacing w:after="0" w:line="240" w:lineRule="auto"/>
              <w:jc w:val="center"/>
              <w:rPr>
                <w:rFonts w:eastAsia="Times New Roman" w:cs="Arial"/>
                <w:color w:val="222222"/>
                <w:sz w:val="16"/>
                <w:szCs w:val="16"/>
              </w:rPr>
            </w:pPr>
          </w:p>
        </w:tc>
        <w:tc>
          <w:tcPr>
            <w:tcW w:w="944" w:type="dxa"/>
            <w:tcBorders>
              <w:top w:val="single" w:sz="4" w:space="0" w:color="00000A"/>
              <w:bottom w:val="single" w:sz="4" w:space="0" w:color="00000A"/>
            </w:tcBorders>
            <w:shd w:val="clear" w:color="auto" w:fill="auto"/>
            <w:vAlign w:val="center"/>
          </w:tcPr>
          <w:p w14:paraId="7CC62496" w14:textId="77777777" w:rsidR="00342E07" w:rsidRDefault="00342E07">
            <w:pPr>
              <w:spacing w:after="0" w:line="240" w:lineRule="auto"/>
              <w:jc w:val="center"/>
              <w:rPr>
                <w:rFonts w:eastAsia="Times New Roman" w:cs="Arial"/>
                <w:color w:val="222222"/>
                <w:sz w:val="16"/>
                <w:szCs w:val="16"/>
              </w:rPr>
            </w:pPr>
          </w:p>
        </w:tc>
        <w:tc>
          <w:tcPr>
            <w:tcW w:w="944" w:type="dxa"/>
            <w:tcBorders>
              <w:top w:val="single" w:sz="4" w:space="0" w:color="00000A"/>
              <w:bottom w:val="single" w:sz="4" w:space="0" w:color="00000A"/>
            </w:tcBorders>
            <w:shd w:val="clear" w:color="auto" w:fill="auto"/>
            <w:vAlign w:val="center"/>
          </w:tcPr>
          <w:p w14:paraId="587684CE" w14:textId="77777777" w:rsidR="00342E07" w:rsidRDefault="00342E07">
            <w:pPr>
              <w:spacing w:after="0" w:line="240" w:lineRule="auto"/>
              <w:jc w:val="center"/>
              <w:rPr>
                <w:rFonts w:eastAsia="Times New Roman" w:cs="Arial"/>
                <w:color w:val="222222"/>
                <w:sz w:val="16"/>
                <w:szCs w:val="16"/>
              </w:rPr>
            </w:pPr>
          </w:p>
        </w:tc>
        <w:tc>
          <w:tcPr>
            <w:tcW w:w="944" w:type="dxa"/>
            <w:tcBorders>
              <w:top w:val="single" w:sz="4" w:space="0" w:color="00000A"/>
              <w:bottom w:val="single" w:sz="4" w:space="0" w:color="00000A"/>
            </w:tcBorders>
            <w:shd w:val="clear" w:color="auto" w:fill="auto"/>
            <w:vAlign w:val="center"/>
          </w:tcPr>
          <w:p w14:paraId="55D1A57B" w14:textId="77777777" w:rsidR="00342E07" w:rsidRDefault="00342E07">
            <w:pPr>
              <w:spacing w:after="0" w:line="240" w:lineRule="auto"/>
              <w:jc w:val="center"/>
              <w:rPr>
                <w:rFonts w:eastAsia="Times New Roman" w:cs="Arial"/>
                <w:color w:val="222222"/>
                <w:sz w:val="16"/>
                <w:szCs w:val="16"/>
              </w:rPr>
            </w:pPr>
          </w:p>
        </w:tc>
        <w:tc>
          <w:tcPr>
            <w:tcW w:w="942" w:type="dxa"/>
            <w:tcBorders>
              <w:top w:val="single" w:sz="4" w:space="0" w:color="00000A"/>
              <w:bottom w:val="single" w:sz="4" w:space="0" w:color="00000A"/>
            </w:tcBorders>
            <w:shd w:val="clear" w:color="auto" w:fill="auto"/>
            <w:vAlign w:val="center"/>
          </w:tcPr>
          <w:p w14:paraId="66C646EF" w14:textId="77777777" w:rsidR="00342E07" w:rsidRDefault="005356A1">
            <w:pPr>
              <w:spacing w:after="0" w:line="240" w:lineRule="auto"/>
              <w:jc w:val="center"/>
              <w:rPr>
                <w:rFonts w:eastAsia="Times New Roman" w:cs="Arial"/>
                <w:color w:val="222222"/>
                <w:sz w:val="16"/>
                <w:szCs w:val="16"/>
              </w:rPr>
            </w:pPr>
            <w:r>
              <w:rPr>
                <w:rFonts w:eastAsia="Times New Roman" w:cs="Arial"/>
                <w:color w:val="222222"/>
                <w:sz w:val="16"/>
                <w:szCs w:val="16"/>
              </w:rPr>
              <w:t>0 (&lt;=30)</w:t>
            </w:r>
          </w:p>
          <w:p w14:paraId="5F9C2433" w14:textId="77777777" w:rsidR="00342E07" w:rsidRDefault="005356A1">
            <w:pPr>
              <w:spacing w:after="0" w:line="240" w:lineRule="auto"/>
              <w:jc w:val="center"/>
              <w:rPr>
                <w:rFonts w:eastAsia="Times New Roman" w:cs="Arial"/>
                <w:color w:val="222222"/>
                <w:sz w:val="16"/>
                <w:szCs w:val="16"/>
              </w:rPr>
            </w:pPr>
            <w:r>
              <w:rPr>
                <w:rFonts w:eastAsia="Times New Roman" w:cs="Arial"/>
                <w:color w:val="222222"/>
                <w:sz w:val="16"/>
                <w:szCs w:val="16"/>
              </w:rPr>
              <w:t>1 (31-49)</w:t>
            </w:r>
          </w:p>
          <w:p w14:paraId="0425AF84" w14:textId="77777777" w:rsidR="00342E07" w:rsidRDefault="005356A1">
            <w:pPr>
              <w:spacing w:after="0" w:line="240" w:lineRule="auto"/>
              <w:jc w:val="center"/>
              <w:rPr>
                <w:rFonts w:eastAsia="Times New Roman" w:cs="Arial"/>
                <w:color w:val="222222"/>
                <w:sz w:val="16"/>
                <w:szCs w:val="16"/>
              </w:rPr>
            </w:pPr>
            <w:r>
              <w:rPr>
                <w:rFonts w:eastAsia="Times New Roman" w:cs="Arial"/>
                <w:color w:val="222222"/>
                <w:sz w:val="16"/>
                <w:szCs w:val="16"/>
              </w:rPr>
              <w:t>2 (50-64)</w:t>
            </w:r>
          </w:p>
          <w:p w14:paraId="34CB1F83" w14:textId="77777777" w:rsidR="00342E07" w:rsidRDefault="005356A1">
            <w:pPr>
              <w:spacing w:after="0" w:line="240" w:lineRule="auto"/>
              <w:jc w:val="center"/>
              <w:rPr>
                <w:rFonts w:eastAsia="Times New Roman" w:cs="Arial"/>
                <w:color w:val="222222"/>
                <w:sz w:val="16"/>
                <w:szCs w:val="16"/>
              </w:rPr>
            </w:pPr>
            <w:r>
              <w:rPr>
                <w:rFonts w:eastAsia="Times New Roman" w:cs="Arial"/>
                <w:color w:val="222222"/>
                <w:sz w:val="16"/>
                <w:szCs w:val="16"/>
              </w:rPr>
              <w:t>3 (&gt;=65)</w:t>
            </w:r>
          </w:p>
        </w:tc>
        <w:tc>
          <w:tcPr>
            <w:tcW w:w="946" w:type="dxa"/>
            <w:tcBorders>
              <w:top w:val="single" w:sz="4" w:space="0" w:color="00000A"/>
              <w:bottom w:val="single" w:sz="4" w:space="0" w:color="00000A"/>
            </w:tcBorders>
            <w:shd w:val="clear" w:color="auto" w:fill="auto"/>
            <w:vAlign w:val="center"/>
          </w:tcPr>
          <w:p w14:paraId="6F84C625" w14:textId="77777777" w:rsidR="00342E07" w:rsidRDefault="00342E07">
            <w:pPr>
              <w:spacing w:after="0" w:line="240" w:lineRule="auto"/>
              <w:jc w:val="center"/>
              <w:rPr>
                <w:rFonts w:eastAsia="Times New Roman" w:cs="Arial"/>
                <w:color w:val="222222"/>
                <w:sz w:val="16"/>
                <w:szCs w:val="16"/>
              </w:rPr>
            </w:pPr>
          </w:p>
        </w:tc>
      </w:tr>
      <w:tr w:rsidR="00342E07" w14:paraId="5E7E7B19" w14:textId="77777777">
        <w:trPr>
          <w:jc w:val="center"/>
        </w:trPr>
        <w:tc>
          <w:tcPr>
            <w:tcW w:w="1272" w:type="dxa"/>
            <w:tcBorders>
              <w:top w:val="single" w:sz="4" w:space="0" w:color="00000A"/>
              <w:bottom w:val="single" w:sz="4" w:space="0" w:color="00000A"/>
            </w:tcBorders>
            <w:shd w:val="clear" w:color="auto" w:fill="auto"/>
            <w:vAlign w:val="center"/>
          </w:tcPr>
          <w:p w14:paraId="7E0BE20D" w14:textId="77777777" w:rsidR="00342E07" w:rsidRDefault="005356A1">
            <w:pPr>
              <w:spacing w:after="0" w:line="240" w:lineRule="auto"/>
              <w:rPr>
                <w:rFonts w:eastAsia="Times New Roman" w:cs="Arial"/>
                <w:b/>
                <w:color w:val="222222"/>
                <w:sz w:val="16"/>
                <w:szCs w:val="16"/>
              </w:rPr>
            </w:pPr>
            <w:r>
              <w:rPr>
                <w:rFonts w:eastAsia="Times New Roman" w:cs="Arial"/>
                <w:b/>
                <w:color w:val="222222"/>
                <w:sz w:val="16"/>
                <w:szCs w:val="16"/>
              </w:rPr>
              <w:t>Total Score</w:t>
            </w:r>
          </w:p>
        </w:tc>
        <w:tc>
          <w:tcPr>
            <w:tcW w:w="945" w:type="dxa"/>
            <w:tcBorders>
              <w:top w:val="single" w:sz="4" w:space="0" w:color="00000A"/>
              <w:bottom w:val="single" w:sz="4" w:space="0" w:color="00000A"/>
            </w:tcBorders>
            <w:shd w:val="clear" w:color="auto" w:fill="auto"/>
          </w:tcPr>
          <w:p w14:paraId="28EC0882" w14:textId="77777777" w:rsidR="00342E07" w:rsidRDefault="005356A1">
            <w:pPr>
              <w:spacing w:after="0" w:line="240" w:lineRule="auto"/>
              <w:jc w:val="center"/>
              <w:rPr>
                <w:rFonts w:eastAsia="Times New Roman" w:cs="Arial"/>
                <w:color w:val="222222"/>
                <w:sz w:val="16"/>
                <w:szCs w:val="16"/>
              </w:rPr>
            </w:pPr>
            <w:r>
              <w:rPr>
                <w:rFonts w:eastAsia="Times New Roman" w:cs="Arial"/>
                <w:color w:val="222222"/>
                <w:sz w:val="16"/>
                <w:szCs w:val="16"/>
              </w:rPr>
              <w:t>0-3</w:t>
            </w:r>
          </w:p>
        </w:tc>
        <w:tc>
          <w:tcPr>
            <w:tcW w:w="944" w:type="dxa"/>
            <w:tcBorders>
              <w:top w:val="single" w:sz="4" w:space="0" w:color="00000A"/>
              <w:bottom w:val="single" w:sz="4" w:space="0" w:color="00000A"/>
            </w:tcBorders>
            <w:shd w:val="clear" w:color="auto" w:fill="auto"/>
          </w:tcPr>
          <w:p w14:paraId="020F1967" w14:textId="77777777" w:rsidR="00342E07" w:rsidRDefault="005356A1">
            <w:pPr>
              <w:spacing w:after="0" w:line="240" w:lineRule="auto"/>
              <w:jc w:val="center"/>
              <w:rPr>
                <w:rFonts w:eastAsia="Times New Roman" w:cs="Arial"/>
                <w:color w:val="222222"/>
                <w:sz w:val="16"/>
                <w:szCs w:val="16"/>
              </w:rPr>
            </w:pPr>
            <w:r>
              <w:rPr>
                <w:rFonts w:eastAsia="Times New Roman" w:cs="Arial"/>
                <w:color w:val="222222"/>
                <w:sz w:val="16"/>
                <w:szCs w:val="16"/>
              </w:rPr>
              <w:t>0-3</w:t>
            </w:r>
          </w:p>
        </w:tc>
        <w:tc>
          <w:tcPr>
            <w:tcW w:w="944" w:type="dxa"/>
            <w:tcBorders>
              <w:top w:val="single" w:sz="4" w:space="0" w:color="00000A"/>
              <w:bottom w:val="single" w:sz="4" w:space="0" w:color="00000A"/>
            </w:tcBorders>
            <w:shd w:val="clear" w:color="auto" w:fill="auto"/>
          </w:tcPr>
          <w:p w14:paraId="184E4469" w14:textId="77777777" w:rsidR="00342E07" w:rsidRDefault="005356A1">
            <w:pPr>
              <w:spacing w:after="0" w:line="240" w:lineRule="auto"/>
              <w:jc w:val="center"/>
              <w:rPr>
                <w:rFonts w:eastAsia="Times New Roman" w:cs="Arial"/>
                <w:color w:val="222222"/>
                <w:sz w:val="16"/>
                <w:szCs w:val="16"/>
              </w:rPr>
            </w:pPr>
            <w:r>
              <w:rPr>
                <w:rFonts w:eastAsia="Times New Roman" w:cs="Arial"/>
                <w:color w:val="222222"/>
                <w:sz w:val="16"/>
                <w:szCs w:val="16"/>
              </w:rPr>
              <w:t>0-10</w:t>
            </w:r>
          </w:p>
        </w:tc>
        <w:tc>
          <w:tcPr>
            <w:tcW w:w="942" w:type="dxa"/>
            <w:tcBorders>
              <w:top w:val="single" w:sz="4" w:space="0" w:color="00000A"/>
              <w:bottom w:val="single" w:sz="4" w:space="0" w:color="00000A"/>
            </w:tcBorders>
            <w:shd w:val="clear" w:color="auto" w:fill="auto"/>
          </w:tcPr>
          <w:p w14:paraId="0DA32846" w14:textId="77777777" w:rsidR="00342E07" w:rsidRDefault="005356A1">
            <w:pPr>
              <w:spacing w:after="0" w:line="240" w:lineRule="auto"/>
              <w:jc w:val="center"/>
              <w:rPr>
                <w:rFonts w:eastAsia="Times New Roman" w:cs="Arial"/>
                <w:color w:val="222222"/>
                <w:sz w:val="16"/>
                <w:szCs w:val="16"/>
              </w:rPr>
            </w:pPr>
            <w:r>
              <w:rPr>
                <w:rFonts w:eastAsia="Times New Roman" w:cs="Arial"/>
                <w:color w:val="222222"/>
                <w:sz w:val="16"/>
                <w:szCs w:val="16"/>
              </w:rPr>
              <w:t>0-15</w:t>
            </w:r>
          </w:p>
        </w:tc>
        <w:tc>
          <w:tcPr>
            <w:tcW w:w="944" w:type="dxa"/>
            <w:tcBorders>
              <w:top w:val="single" w:sz="4" w:space="0" w:color="00000A"/>
              <w:bottom w:val="single" w:sz="4" w:space="0" w:color="00000A"/>
            </w:tcBorders>
            <w:shd w:val="clear" w:color="auto" w:fill="auto"/>
          </w:tcPr>
          <w:p w14:paraId="474CAB6B" w14:textId="77777777" w:rsidR="00342E07" w:rsidRDefault="005356A1">
            <w:pPr>
              <w:spacing w:after="0" w:line="240" w:lineRule="auto"/>
              <w:jc w:val="center"/>
              <w:rPr>
                <w:rFonts w:eastAsia="Times New Roman" w:cs="Arial"/>
                <w:color w:val="222222"/>
                <w:sz w:val="16"/>
                <w:szCs w:val="16"/>
              </w:rPr>
            </w:pPr>
            <w:r>
              <w:rPr>
                <w:rFonts w:eastAsia="Times New Roman" w:cs="Arial"/>
                <w:color w:val="222222"/>
                <w:sz w:val="16"/>
                <w:szCs w:val="16"/>
              </w:rPr>
              <w:t>0-14</w:t>
            </w:r>
          </w:p>
        </w:tc>
        <w:tc>
          <w:tcPr>
            <w:tcW w:w="944" w:type="dxa"/>
            <w:tcBorders>
              <w:top w:val="single" w:sz="4" w:space="0" w:color="00000A"/>
              <w:bottom w:val="single" w:sz="4" w:space="0" w:color="00000A"/>
            </w:tcBorders>
            <w:shd w:val="clear" w:color="auto" w:fill="auto"/>
          </w:tcPr>
          <w:p w14:paraId="6359053B" w14:textId="77777777" w:rsidR="00342E07" w:rsidRDefault="005356A1">
            <w:pPr>
              <w:spacing w:after="0" w:line="240" w:lineRule="auto"/>
              <w:jc w:val="center"/>
              <w:rPr>
                <w:rFonts w:eastAsia="Times New Roman" w:cs="Arial"/>
                <w:color w:val="222222"/>
                <w:sz w:val="16"/>
                <w:szCs w:val="16"/>
              </w:rPr>
            </w:pPr>
            <w:r>
              <w:rPr>
                <w:rFonts w:eastAsia="Times New Roman" w:cs="Arial"/>
                <w:color w:val="222222"/>
                <w:sz w:val="16"/>
                <w:szCs w:val="16"/>
              </w:rPr>
              <w:t>0-12</w:t>
            </w:r>
          </w:p>
        </w:tc>
        <w:tc>
          <w:tcPr>
            <w:tcW w:w="944" w:type="dxa"/>
            <w:tcBorders>
              <w:top w:val="single" w:sz="4" w:space="0" w:color="00000A"/>
              <w:bottom w:val="single" w:sz="4" w:space="0" w:color="00000A"/>
            </w:tcBorders>
            <w:shd w:val="clear" w:color="auto" w:fill="auto"/>
          </w:tcPr>
          <w:p w14:paraId="692A8EB5" w14:textId="77777777" w:rsidR="00342E07" w:rsidRDefault="005356A1">
            <w:pPr>
              <w:spacing w:after="0" w:line="240" w:lineRule="auto"/>
              <w:jc w:val="center"/>
              <w:rPr>
                <w:rFonts w:eastAsia="Times New Roman" w:cs="Arial"/>
                <w:color w:val="222222"/>
                <w:sz w:val="16"/>
                <w:szCs w:val="16"/>
              </w:rPr>
            </w:pPr>
            <w:r>
              <w:rPr>
                <w:rFonts w:eastAsia="Times New Roman" w:cs="Arial"/>
                <w:color w:val="222222"/>
                <w:sz w:val="16"/>
                <w:szCs w:val="16"/>
              </w:rPr>
              <w:t>0-9</w:t>
            </w:r>
          </w:p>
        </w:tc>
        <w:tc>
          <w:tcPr>
            <w:tcW w:w="944" w:type="dxa"/>
            <w:tcBorders>
              <w:top w:val="single" w:sz="4" w:space="0" w:color="00000A"/>
              <w:bottom w:val="single" w:sz="4" w:space="0" w:color="00000A"/>
            </w:tcBorders>
            <w:shd w:val="clear" w:color="auto" w:fill="auto"/>
          </w:tcPr>
          <w:p w14:paraId="20B1B3A3" w14:textId="77777777" w:rsidR="00342E07" w:rsidRDefault="005356A1">
            <w:pPr>
              <w:spacing w:after="0" w:line="240" w:lineRule="auto"/>
              <w:jc w:val="center"/>
              <w:rPr>
                <w:rFonts w:eastAsia="Times New Roman" w:cs="Arial"/>
                <w:color w:val="222222"/>
                <w:sz w:val="16"/>
                <w:szCs w:val="16"/>
              </w:rPr>
            </w:pPr>
            <w:r>
              <w:rPr>
                <w:rFonts w:eastAsia="Times New Roman" w:cs="Arial"/>
                <w:color w:val="222222"/>
                <w:sz w:val="16"/>
                <w:szCs w:val="16"/>
              </w:rPr>
              <w:t>0-8</w:t>
            </w:r>
          </w:p>
        </w:tc>
        <w:tc>
          <w:tcPr>
            <w:tcW w:w="942" w:type="dxa"/>
            <w:tcBorders>
              <w:top w:val="single" w:sz="4" w:space="0" w:color="00000A"/>
              <w:bottom w:val="single" w:sz="4" w:space="0" w:color="00000A"/>
            </w:tcBorders>
            <w:shd w:val="clear" w:color="auto" w:fill="auto"/>
          </w:tcPr>
          <w:p w14:paraId="5C452DAF" w14:textId="77777777" w:rsidR="00342E07" w:rsidRDefault="005356A1">
            <w:pPr>
              <w:keepNext/>
              <w:spacing w:after="0" w:line="240" w:lineRule="auto"/>
              <w:jc w:val="center"/>
              <w:rPr>
                <w:rFonts w:eastAsia="Times New Roman" w:cs="Arial"/>
                <w:color w:val="222222"/>
                <w:sz w:val="16"/>
                <w:szCs w:val="16"/>
              </w:rPr>
            </w:pPr>
            <w:r>
              <w:rPr>
                <w:rFonts w:eastAsia="Times New Roman" w:cs="Arial"/>
                <w:color w:val="222222"/>
                <w:sz w:val="16"/>
                <w:szCs w:val="16"/>
              </w:rPr>
              <w:t>0-9</w:t>
            </w:r>
          </w:p>
        </w:tc>
        <w:tc>
          <w:tcPr>
            <w:tcW w:w="946" w:type="dxa"/>
            <w:tcBorders>
              <w:top w:val="single" w:sz="4" w:space="0" w:color="00000A"/>
              <w:bottom w:val="single" w:sz="4" w:space="0" w:color="00000A"/>
            </w:tcBorders>
            <w:shd w:val="clear" w:color="auto" w:fill="auto"/>
          </w:tcPr>
          <w:p w14:paraId="64F678A0" w14:textId="77777777" w:rsidR="00342E07" w:rsidRDefault="005356A1">
            <w:pPr>
              <w:keepNext/>
              <w:spacing w:after="0" w:line="240" w:lineRule="auto"/>
              <w:jc w:val="center"/>
              <w:rPr>
                <w:rFonts w:eastAsia="Times New Roman" w:cs="Arial"/>
                <w:color w:val="222222"/>
                <w:sz w:val="16"/>
                <w:szCs w:val="16"/>
              </w:rPr>
            </w:pPr>
            <w:r>
              <w:rPr>
                <w:rFonts w:eastAsia="Times New Roman" w:cs="Arial"/>
                <w:color w:val="222222"/>
                <w:sz w:val="16"/>
                <w:szCs w:val="16"/>
              </w:rPr>
              <w:t>0-6</w:t>
            </w:r>
          </w:p>
        </w:tc>
      </w:tr>
      <w:tr w:rsidR="00342E07" w14:paraId="40A53AB9" w14:textId="77777777">
        <w:trPr>
          <w:trHeight w:val="1612"/>
          <w:jc w:val="center"/>
        </w:trPr>
        <w:tc>
          <w:tcPr>
            <w:tcW w:w="10711" w:type="dxa"/>
            <w:gridSpan w:val="11"/>
            <w:tcBorders>
              <w:top w:val="single" w:sz="4" w:space="0" w:color="00000A"/>
            </w:tcBorders>
            <w:shd w:val="clear" w:color="auto" w:fill="auto"/>
            <w:vAlign w:val="center"/>
          </w:tcPr>
          <w:p w14:paraId="35455A48" w14:textId="77777777" w:rsidR="00342E07" w:rsidRDefault="005356A1">
            <w:pPr>
              <w:spacing w:after="0" w:line="240" w:lineRule="auto"/>
              <w:jc w:val="both"/>
            </w:pPr>
            <w:r>
              <w:rPr>
                <w:rFonts w:eastAsia="Times New Roman" w:cs="Arial"/>
                <w:color w:val="222222"/>
                <w:sz w:val="18"/>
                <w:szCs w:val="18"/>
              </w:rPr>
              <w:t>GOLD=Global initiative for chronic Obstructive Lung Disease; BODE=B</w:t>
            </w:r>
            <w:r>
              <w:rPr>
                <w:rFonts w:cs="Arial"/>
                <w:color w:val="231F20"/>
                <w:sz w:val="18"/>
                <w:szCs w:val="18"/>
              </w:rPr>
              <w:t xml:space="preserve">ody mass index, airflow Obstruction, </w:t>
            </w:r>
            <w:proofErr w:type="spellStart"/>
            <w:r>
              <w:rPr>
                <w:rFonts w:cs="Arial"/>
                <w:color w:val="231F20"/>
                <w:sz w:val="18"/>
                <w:szCs w:val="18"/>
              </w:rPr>
              <w:t>Dyspnoea</w:t>
            </w:r>
            <w:proofErr w:type="spellEnd"/>
            <w:r>
              <w:rPr>
                <w:rFonts w:cs="Arial"/>
                <w:color w:val="231F20"/>
                <w:sz w:val="18"/>
                <w:szCs w:val="18"/>
              </w:rPr>
              <w:t xml:space="preserve"> and severe Exacerbations; BODE </w:t>
            </w:r>
            <w:proofErr w:type="spellStart"/>
            <w:r>
              <w:rPr>
                <w:rFonts w:cs="Arial"/>
                <w:color w:val="231F20"/>
                <w:sz w:val="18"/>
                <w:szCs w:val="18"/>
              </w:rPr>
              <w:t>upd</w:t>
            </w:r>
            <w:proofErr w:type="spellEnd"/>
            <w:r>
              <w:rPr>
                <w:rFonts w:cs="Arial"/>
                <w:color w:val="231F20"/>
                <w:sz w:val="18"/>
                <w:szCs w:val="18"/>
              </w:rPr>
              <w:t xml:space="preserve">.=BODE updated; ADO </w:t>
            </w:r>
            <w:proofErr w:type="spellStart"/>
            <w:r>
              <w:rPr>
                <w:rFonts w:cs="Arial"/>
                <w:color w:val="231F20"/>
                <w:sz w:val="18"/>
                <w:szCs w:val="18"/>
              </w:rPr>
              <w:t>upd</w:t>
            </w:r>
            <w:proofErr w:type="spellEnd"/>
            <w:r>
              <w:rPr>
                <w:rFonts w:cs="Arial"/>
                <w:color w:val="231F20"/>
                <w:sz w:val="18"/>
                <w:szCs w:val="18"/>
              </w:rPr>
              <w:t xml:space="preserve">.=Age, </w:t>
            </w:r>
            <w:proofErr w:type="spellStart"/>
            <w:r>
              <w:rPr>
                <w:rFonts w:cs="Arial"/>
                <w:color w:val="231F20"/>
                <w:sz w:val="18"/>
                <w:szCs w:val="18"/>
              </w:rPr>
              <w:t>Dyspnoea</w:t>
            </w:r>
            <w:proofErr w:type="spellEnd"/>
            <w:r>
              <w:rPr>
                <w:rFonts w:cs="Arial"/>
                <w:color w:val="231F20"/>
                <w:sz w:val="18"/>
                <w:szCs w:val="18"/>
              </w:rPr>
              <w:t xml:space="preserve">, airflow Obstruction updated; e-BODE=severe acute exacerbation of COPD plus BODE; </w:t>
            </w:r>
            <w:proofErr w:type="spellStart"/>
            <w:r>
              <w:rPr>
                <w:rFonts w:cs="Arial"/>
                <w:color w:val="231F20"/>
                <w:sz w:val="18"/>
                <w:szCs w:val="18"/>
              </w:rPr>
              <w:t>BODEx</w:t>
            </w:r>
            <w:proofErr w:type="spellEnd"/>
            <w:r>
              <w:rPr>
                <w:rFonts w:cs="Arial"/>
                <w:color w:val="231F20"/>
                <w:sz w:val="18"/>
                <w:szCs w:val="18"/>
              </w:rPr>
              <w:t xml:space="preserve">=Body mass index, airflow Obstruction, </w:t>
            </w:r>
            <w:proofErr w:type="spellStart"/>
            <w:r>
              <w:rPr>
                <w:rFonts w:cs="Arial"/>
                <w:color w:val="231F20"/>
                <w:sz w:val="18"/>
                <w:szCs w:val="18"/>
              </w:rPr>
              <w:t>Dyspnoea</w:t>
            </w:r>
            <w:proofErr w:type="spellEnd"/>
            <w:r>
              <w:rPr>
                <w:rFonts w:cs="Arial"/>
                <w:color w:val="231F20"/>
                <w:sz w:val="18"/>
                <w:szCs w:val="18"/>
              </w:rPr>
              <w:t>, severe acute Exacerbation of COPD; DOSE=</w:t>
            </w:r>
            <w:proofErr w:type="spellStart"/>
            <w:r>
              <w:rPr>
                <w:rFonts w:cs="Arial"/>
                <w:color w:val="231F20"/>
                <w:sz w:val="18"/>
                <w:szCs w:val="18"/>
              </w:rPr>
              <w:t>Dyspnoea</w:t>
            </w:r>
            <w:proofErr w:type="spellEnd"/>
            <w:r>
              <w:rPr>
                <w:rFonts w:cs="Arial"/>
                <w:color w:val="231F20"/>
                <w:sz w:val="18"/>
                <w:szCs w:val="18"/>
              </w:rPr>
              <w:t>, Obstruction, Smoking and Exacerbation frequency; SAFE=</w:t>
            </w:r>
            <w:r>
              <w:rPr>
                <w:rFonts w:cs="Arial"/>
                <w:sz w:val="18"/>
                <w:szCs w:val="18"/>
              </w:rPr>
              <w:t>Saint George’s Respiratory Questionnaire</w:t>
            </w:r>
            <w:r>
              <w:rPr>
                <w:rFonts w:cs="Arial"/>
                <w:color w:val="231F20"/>
                <w:sz w:val="18"/>
                <w:szCs w:val="18"/>
              </w:rPr>
              <w:t xml:space="preserve"> (SGRQ) score, Air-Flow limitation and Exercise capacity; </w:t>
            </w:r>
            <w:r>
              <w:rPr>
                <w:rFonts w:eastAsia="Times New Roman" w:cs="Arial"/>
                <w:sz w:val="18"/>
                <w:szCs w:val="18"/>
              </w:rPr>
              <w:t>B-AE-D opt.=B</w:t>
            </w:r>
            <w:r>
              <w:rPr>
                <w:rFonts w:cs="Arial"/>
                <w:sz w:val="18"/>
                <w:szCs w:val="18"/>
                <w:highlight w:val="white"/>
              </w:rPr>
              <w:t xml:space="preserve">ody-mass index, Acute Exacerbations, </w:t>
            </w:r>
            <w:proofErr w:type="spellStart"/>
            <w:r>
              <w:rPr>
                <w:rFonts w:cs="Arial"/>
                <w:sz w:val="18"/>
                <w:szCs w:val="18"/>
                <w:highlight w:val="white"/>
              </w:rPr>
              <w:t>Dyspnoea</w:t>
            </w:r>
            <w:proofErr w:type="spellEnd"/>
            <w:r>
              <w:rPr>
                <w:rFonts w:cs="Arial"/>
                <w:sz w:val="18"/>
                <w:szCs w:val="18"/>
                <w:highlight w:val="white"/>
              </w:rPr>
              <w:t xml:space="preserve">, </w:t>
            </w:r>
            <w:proofErr w:type="spellStart"/>
            <w:r>
              <w:rPr>
                <w:rFonts w:cs="Arial"/>
                <w:sz w:val="18"/>
                <w:szCs w:val="18"/>
                <w:highlight w:val="white"/>
              </w:rPr>
              <w:t>optimised</w:t>
            </w:r>
            <w:proofErr w:type="spellEnd"/>
            <w:r>
              <w:rPr>
                <w:rFonts w:cs="Arial"/>
                <w:sz w:val="18"/>
                <w:szCs w:val="18"/>
                <w:highlight w:val="white"/>
              </w:rPr>
              <w:t xml:space="preserve">; BMI=body-mass index; </w:t>
            </w:r>
            <w:r>
              <w:rPr>
                <w:rFonts w:cs="Arial"/>
                <w:sz w:val="18"/>
                <w:szCs w:val="18"/>
              </w:rPr>
              <w:t xml:space="preserve">FEV1% pred.=forced expiratory volume in 1 s percentage predicted; </w:t>
            </w:r>
            <w:proofErr w:type="spellStart"/>
            <w:r>
              <w:rPr>
                <w:rFonts w:cs="Arial"/>
                <w:sz w:val="18"/>
                <w:szCs w:val="18"/>
              </w:rPr>
              <w:t>mMRC</w:t>
            </w:r>
            <w:proofErr w:type="spellEnd"/>
            <w:r>
              <w:rPr>
                <w:rFonts w:cs="Arial"/>
                <w:sz w:val="18"/>
                <w:szCs w:val="18"/>
              </w:rPr>
              <w:t>=</w:t>
            </w:r>
            <w:r>
              <w:rPr>
                <w:rFonts w:cs="Arial"/>
                <w:sz w:val="18"/>
                <w:szCs w:val="18"/>
                <w:highlight w:val="white"/>
              </w:rPr>
              <w:t xml:space="preserve">modified Medical Research Council </w:t>
            </w:r>
            <w:r>
              <w:rPr>
                <w:rFonts w:cs="Arial"/>
                <w:i/>
                <w:sz w:val="18"/>
                <w:szCs w:val="18"/>
                <w:highlight w:val="white"/>
              </w:rPr>
              <w:t>(</w:t>
            </w:r>
            <w:r>
              <w:rPr>
                <w:rStyle w:val="Emphasis"/>
                <w:rFonts w:cs="Arial"/>
                <w:bCs/>
                <w:sz w:val="18"/>
                <w:szCs w:val="18"/>
                <w:highlight w:val="white"/>
              </w:rPr>
              <w:t>MMRC</w:t>
            </w:r>
            <w:r>
              <w:rPr>
                <w:rFonts w:cs="Arial"/>
                <w:i/>
                <w:sz w:val="18"/>
                <w:szCs w:val="18"/>
                <w:highlight w:val="white"/>
              </w:rPr>
              <w:t>)</w:t>
            </w:r>
            <w:r>
              <w:rPr>
                <w:rFonts w:cs="Arial"/>
                <w:sz w:val="18"/>
                <w:szCs w:val="18"/>
                <w:highlight w:val="white"/>
              </w:rPr>
              <w:t xml:space="preserve"> dyspnea scale; 6MWT=6-minute walk test; </w:t>
            </w:r>
            <w:r>
              <w:rPr>
                <w:rFonts w:cs="Arial"/>
                <w:sz w:val="18"/>
                <w:szCs w:val="18"/>
              </w:rPr>
              <w:t>CAT=</w:t>
            </w:r>
            <w:r>
              <w:rPr>
                <w:rStyle w:val="Emphasis"/>
                <w:rFonts w:cs="Arial"/>
                <w:bCs/>
                <w:sz w:val="18"/>
                <w:szCs w:val="18"/>
                <w:highlight w:val="white"/>
              </w:rPr>
              <w:t xml:space="preserve">COPD Assessment Test; </w:t>
            </w:r>
            <w:r>
              <w:rPr>
                <w:rFonts w:cs="Arial"/>
                <w:sz w:val="18"/>
                <w:szCs w:val="18"/>
                <w:highlight w:val="white"/>
              </w:rPr>
              <w:t>SGRQ=</w:t>
            </w:r>
            <w:r>
              <w:rPr>
                <w:rFonts w:cs="Arial"/>
                <w:sz w:val="18"/>
                <w:szCs w:val="18"/>
              </w:rPr>
              <w:t>Saint George’s Respiratory Questionnaire; previous exacerbations are referred to the previous year.</w:t>
            </w:r>
          </w:p>
        </w:tc>
      </w:tr>
    </w:tbl>
    <w:p w14:paraId="1DCA9863" w14:textId="77777777" w:rsidR="00342E07" w:rsidRDefault="00342E07"/>
    <w:p w14:paraId="0044C4E4" w14:textId="77777777" w:rsidR="00342E07" w:rsidRDefault="00342E07"/>
    <w:p w14:paraId="694217C5" w14:textId="77777777" w:rsidR="00342E07" w:rsidRDefault="005356A1">
      <w:pPr>
        <w:pStyle w:val="Heading1"/>
      </w:pPr>
      <w:bookmarkStart w:id="199" w:name="_Toc444262875"/>
      <w:bookmarkStart w:id="200" w:name="_Toc488490644"/>
      <w:bookmarkStart w:id="201" w:name="_Toc373597624"/>
      <w:bookmarkEnd w:id="199"/>
      <w:bookmarkEnd w:id="200"/>
      <w:r>
        <w:t>REFERENCES</w:t>
      </w:r>
      <w:bookmarkEnd w:id="201"/>
    </w:p>
    <w:p w14:paraId="2796E292" w14:textId="77777777" w:rsidR="005356A1" w:rsidRPr="005356A1" w:rsidRDefault="005356A1" w:rsidP="005356A1">
      <w:pPr>
        <w:widowControl w:val="0"/>
        <w:autoSpaceDE w:val="0"/>
        <w:autoSpaceDN w:val="0"/>
        <w:adjustRightInd w:val="0"/>
        <w:spacing w:before="100" w:after="100" w:line="240" w:lineRule="auto"/>
        <w:ind w:left="640" w:hanging="640"/>
        <w:rPr>
          <w:rFonts w:ascii="Verdana" w:hAnsi="Verdana" w:cs="Times New Roman"/>
          <w:noProof/>
          <w:sz w:val="16"/>
          <w:szCs w:val="24"/>
        </w:rPr>
      </w:pPr>
      <w:r>
        <w:fldChar w:fldCharType="begin" w:fldLock="1"/>
      </w:r>
      <w:r>
        <w:instrText>ADDIN Mendeley Bibliography CSL_BIBLIOGRAPHY</w:instrText>
      </w:r>
      <w:r>
        <w:fldChar w:fldCharType="separate"/>
      </w:r>
      <w:r w:rsidRPr="005356A1">
        <w:rPr>
          <w:rFonts w:ascii="Verdana" w:hAnsi="Verdana" w:cs="Times New Roman"/>
          <w:noProof/>
          <w:sz w:val="16"/>
          <w:szCs w:val="24"/>
        </w:rPr>
        <w:t xml:space="preserve">1. </w:t>
      </w:r>
      <w:r w:rsidRPr="005356A1">
        <w:rPr>
          <w:rFonts w:ascii="Verdana" w:hAnsi="Verdana" w:cs="Times New Roman"/>
          <w:noProof/>
          <w:sz w:val="16"/>
          <w:szCs w:val="24"/>
        </w:rPr>
        <w:tab/>
        <w:t xml:space="preserve">Hosmer DW, Lemeshow S. Goodness of fit tests for the multiple logistic regression model. </w:t>
      </w:r>
      <w:r w:rsidRPr="005356A1">
        <w:rPr>
          <w:rFonts w:ascii="Verdana" w:hAnsi="Verdana" w:cs="Times New Roman"/>
          <w:i/>
          <w:iCs/>
          <w:noProof/>
          <w:sz w:val="16"/>
          <w:szCs w:val="24"/>
        </w:rPr>
        <w:t>Commun. Stat. - Theory Methods</w:t>
      </w:r>
      <w:r w:rsidRPr="005356A1">
        <w:rPr>
          <w:rFonts w:ascii="Verdana" w:hAnsi="Verdana" w:cs="Times New Roman"/>
          <w:noProof/>
          <w:sz w:val="16"/>
          <w:szCs w:val="24"/>
        </w:rPr>
        <w:t xml:space="preserve"> 1980; 9: 1043–1069.</w:t>
      </w:r>
    </w:p>
    <w:p w14:paraId="627EC285" w14:textId="77777777" w:rsidR="005356A1" w:rsidRPr="005356A1" w:rsidRDefault="005356A1" w:rsidP="005356A1">
      <w:pPr>
        <w:widowControl w:val="0"/>
        <w:autoSpaceDE w:val="0"/>
        <w:autoSpaceDN w:val="0"/>
        <w:adjustRightInd w:val="0"/>
        <w:spacing w:before="100" w:after="100" w:line="240" w:lineRule="auto"/>
        <w:ind w:left="640" w:hanging="640"/>
        <w:rPr>
          <w:rFonts w:ascii="Verdana" w:hAnsi="Verdana" w:cs="Times New Roman"/>
          <w:noProof/>
          <w:sz w:val="16"/>
          <w:szCs w:val="24"/>
        </w:rPr>
      </w:pPr>
      <w:r w:rsidRPr="005356A1">
        <w:rPr>
          <w:rFonts w:ascii="Verdana" w:hAnsi="Verdana" w:cs="Times New Roman"/>
          <w:noProof/>
          <w:sz w:val="16"/>
          <w:szCs w:val="24"/>
        </w:rPr>
        <w:t xml:space="preserve">2. </w:t>
      </w:r>
      <w:r w:rsidRPr="005356A1">
        <w:rPr>
          <w:rFonts w:ascii="Verdana" w:hAnsi="Verdana" w:cs="Times New Roman"/>
          <w:noProof/>
          <w:sz w:val="16"/>
          <w:szCs w:val="24"/>
        </w:rPr>
        <w:tab/>
        <w:t xml:space="preserve">Hosmer DW, Hosmer T, Le Cessie S, Lemeshow S. A comparison of goodness-of-fit tests for the logistic regression model. </w:t>
      </w:r>
      <w:r w:rsidRPr="005356A1">
        <w:rPr>
          <w:rFonts w:ascii="Verdana" w:hAnsi="Verdana" w:cs="Times New Roman"/>
          <w:i/>
          <w:iCs/>
          <w:noProof/>
          <w:sz w:val="16"/>
          <w:szCs w:val="24"/>
        </w:rPr>
        <w:t>Stat. Med.</w:t>
      </w:r>
      <w:r w:rsidRPr="005356A1">
        <w:rPr>
          <w:rFonts w:ascii="Verdana" w:hAnsi="Verdana" w:cs="Times New Roman"/>
          <w:noProof/>
          <w:sz w:val="16"/>
          <w:szCs w:val="24"/>
        </w:rPr>
        <w:t xml:space="preserve"> 1997; 16: 965–980.</w:t>
      </w:r>
    </w:p>
    <w:p w14:paraId="33F94D19" w14:textId="77777777" w:rsidR="005356A1" w:rsidRPr="005356A1" w:rsidRDefault="005356A1" w:rsidP="005356A1">
      <w:pPr>
        <w:widowControl w:val="0"/>
        <w:autoSpaceDE w:val="0"/>
        <w:autoSpaceDN w:val="0"/>
        <w:adjustRightInd w:val="0"/>
        <w:spacing w:before="100" w:after="100" w:line="240" w:lineRule="auto"/>
        <w:ind w:left="640" w:hanging="640"/>
        <w:rPr>
          <w:rFonts w:ascii="Verdana" w:hAnsi="Verdana" w:cs="Times New Roman"/>
          <w:noProof/>
          <w:sz w:val="16"/>
          <w:szCs w:val="24"/>
        </w:rPr>
      </w:pPr>
      <w:r w:rsidRPr="005356A1">
        <w:rPr>
          <w:rFonts w:ascii="Verdana" w:hAnsi="Verdana" w:cs="Times New Roman"/>
          <w:noProof/>
          <w:sz w:val="16"/>
          <w:szCs w:val="24"/>
        </w:rPr>
        <w:t xml:space="preserve">3. </w:t>
      </w:r>
      <w:r w:rsidRPr="005356A1">
        <w:rPr>
          <w:rFonts w:ascii="Verdana" w:hAnsi="Verdana" w:cs="Times New Roman"/>
          <w:noProof/>
          <w:sz w:val="16"/>
          <w:szCs w:val="24"/>
        </w:rPr>
        <w:tab/>
        <w:t>Hosmer DW, Lemeshow S. Applied Logistic Regression. Wiley; 2004.</w:t>
      </w:r>
    </w:p>
    <w:p w14:paraId="7E0F7751" w14:textId="77777777" w:rsidR="005356A1" w:rsidRPr="005356A1" w:rsidRDefault="005356A1" w:rsidP="005356A1">
      <w:pPr>
        <w:widowControl w:val="0"/>
        <w:autoSpaceDE w:val="0"/>
        <w:autoSpaceDN w:val="0"/>
        <w:adjustRightInd w:val="0"/>
        <w:spacing w:before="100" w:after="100" w:line="240" w:lineRule="auto"/>
        <w:ind w:left="640" w:hanging="640"/>
        <w:rPr>
          <w:rFonts w:ascii="Verdana" w:hAnsi="Verdana" w:cs="Times New Roman"/>
          <w:noProof/>
          <w:sz w:val="16"/>
          <w:szCs w:val="24"/>
        </w:rPr>
      </w:pPr>
      <w:r w:rsidRPr="005356A1">
        <w:rPr>
          <w:rFonts w:ascii="Verdana" w:hAnsi="Verdana" w:cs="Times New Roman"/>
          <w:noProof/>
          <w:sz w:val="16"/>
          <w:szCs w:val="24"/>
        </w:rPr>
        <w:t xml:space="preserve">4. </w:t>
      </w:r>
      <w:r w:rsidRPr="005356A1">
        <w:rPr>
          <w:rFonts w:ascii="Verdana" w:hAnsi="Verdana" w:cs="Times New Roman"/>
          <w:noProof/>
          <w:sz w:val="16"/>
          <w:szCs w:val="24"/>
        </w:rPr>
        <w:tab/>
        <w:t>Debray TPA. Meta-analysis of clinical prediction models. 2013.</w:t>
      </w:r>
    </w:p>
    <w:p w14:paraId="32616A51" w14:textId="77777777" w:rsidR="005356A1" w:rsidRPr="005356A1" w:rsidRDefault="005356A1" w:rsidP="005356A1">
      <w:pPr>
        <w:widowControl w:val="0"/>
        <w:autoSpaceDE w:val="0"/>
        <w:autoSpaceDN w:val="0"/>
        <w:adjustRightInd w:val="0"/>
        <w:spacing w:before="100" w:after="100" w:line="240" w:lineRule="auto"/>
        <w:ind w:left="640" w:hanging="640"/>
        <w:rPr>
          <w:rFonts w:ascii="Verdana" w:hAnsi="Verdana" w:cs="Times New Roman"/>
          <w:noProof/>
          <w:sz w:val="16"/>
          <w:szCs w:val="24"/>
        </w:rPr>
      </w:pPr>
      <w:r w:rsidRPr="005356A1">
        <w:rPr>
          <w:rFonts w:ascii="Verdana" w:hAnsi="Verdana" w:cs="Times New Roman"/>
          <w:noProof/>
          <w:sz w:val="16"/>
          <w:szCs w:val="24"/>
        </w:rPr>
        <w:t xml:space="preserve">5. </w:t>
      </w:r>
      <w:r w:rsidRPr="005356A1">
        <w:rPr>
          <w:rFonts w:ascii="Verdana" w:hAnsi="Verdana" w:cs="Times New Roman"/>
          <w:noProof/>
          <w:sz w:val="16"/>
          <w:szCs w:val="24"/>
        </w:rPr>
        <w:tab/>
        <w:t xml:space="preserve">Kerr KF, Wang Z, Janes H, McClelland RL, Psaty BM, Pepe MS. Net reclassification indices for evaluating risk prediction instruments: a critical review. </w:t>
      </w:r>
      <w:r w:rsidRPr="005356A1">
        <w:rPr>
          <w:rFonts w:ascii="Verdana" w:hAnsi="Verdana" w:cs="Times New Roman"/>
          <w:i/>
          <w:iCs/>
          <w:noProof/>
          <w:sz w:val="16"/>
          <w:szCs w:val="24"/>
        </w:rPr>
        <w:t>Epidemiology</w:t>
      </w:r>
      <w:r w:rsidRPr="005356A1">
        <w:rPr>
          <w:rFonts w:ascii="Verdana" w:hAnsi="Verdana" w:cs="Times New Roman"/>
          <w:noProof/>
          <w:sz w:val="16"/>
          <w:szCs w:val="24"/>
        </w:rPr>
        <w:t xml:space="preserve"> 2014; 25: 114–121.</w:t>
      </w:r>
    </w:p>
    <w:p w14:paraId="5E38840F" w14:textId="77777777" w:rsidR="005356A1" w:rsidRPr="005356A1" w:rsidRDefault="005356A1" w:rsidP="005356A1">
      <w:pPr>
        <w:widowControl w:val="0"/>
        <w:autoSpaceDE w:val="0"/>
        <w:autoSpaceDN w:val="0"/>
        <w:adjustRightInd w:val="0"/>
        <w:spacing w:before="100" w:after="100" w:line="240" w:lineRule="auto"/>
        <w:ind w:left="640" w:hanging="640"/>
        <w:rPr>
          <w:rFonts w:ascii="Verdana" w:hAnsi="Verdana" w:cs="Times New Roman"/>
          <w:noProof/>
          <w:sz w:val="16"/>
          <w:szCs w:val="24"/>
        </w:rPr>
      </w:pPr>
      <w:r w:rsidRPr="005356A1">
        <w:rPr>
          <w:rFonts w:ascii="Verdana" w:hAnsi="Verdana" w:cs="Times New Roman"/>
          <w:noProof/>
          <w:sz w:val="16"/>
          <w:szCs w:val="24"/>
        </w:rPr>
        <w:t xml:space="preserve">6. </w:t>
      </w:r>
      <w:r w:rsidRPr="005356A1">
        <w:rPr>
          <w:rFonts w:ascii="Verdana" w:hAnsi="Verdana" w:cs="Times New Roman"/>
          <w:noProof/>
          <w:sz w:val="16"/>
          <w:szCs w:val="24"/>
        </w:rPr>
        <w:tab/>
        <w:t>Harrell FE. Regression Modelling Strategies. Bickel P, Diggle P, Feinberg SE, Gather U, Olkin I, Zeger S, editors. Springer - Statistics for Biology and Health; ISBN: 978-3-319-19424-0; 2015.</w:t>
      </w:r>
    </w:p>
    <w:p w14:paraId="392F1D19" w14:textId="77777777" w:rsidR="005356A1" w:rsidRPr="005356A1" w:rsidRDefault="005356A1" w:rsidP="005356A1">
      <w:pPr>
        <w:widowControl w:val="0"/>
        <w:autoSpaceDE w:val="0"/>
        <w:autoSpaceDN w:val="0"/>
        <w:adjustRightInd w:val="0"/>
        <w:spacing w:before="100" w:after="100" w:line="240" w:lineRule="auto"/>
        <w:ind w:left="640" w:hanging="640"/>
        <w:rPr>
          <w:rFonts w:ascii="Verdana" w:hAnsi="Verdana" w:cs="Times New Roman"/>
          <w:noProof/>
          <w:sz w:val="16"/>
          <w:szCs w:val="24"/>
        </w:rPr>
      </w:pPr>
      <w:r w:rsidRPr="005356A1">
        <w:rPr>
          <w:rFonts w:ascii="Verdana" w:hAnsi="Verdana" w:cs="Times New Roman"/>
          <w:noProof/>
          <w:sz w:val="16"/>
          <w:szCs w:val="24"/>
        </w:rPr>
        <w:t xml:space="preserve">7. </w:t>
      </w:r>
      <w:r w:rsidRPr="005356A1">
        <w:rPr>
          <w:rFonts w:ascii="Verdana" w:hAnsi="Verdana" w:cs="Times New Roman"/>
          <w:noProof/>
          <w:sz w:val="16"/>
          <w:szCs w:val="24"/>
        </w:rPr>
        <w:tab/>
        <w:t>Steyerberg EW. Clinical Prediction Models. Gail M, Krickeberg K, Sarnet J, Tsiatis A, Wong W, editors. Springer - Statistics for Biology and Health - ISBN: 978-1-4419-2648-7; 2010.</w:t>
      </w:r>
    </w:p>
    <w:p w14:paraId="5F7C2644" w14:textId="77777777" w:rsidR="005356A1" w:rsidRPr="005356A1" w:rsidRDefault="005356A1" w:rsidP="005356A1">
      <w:pPr>
        <w:widowControl w:val="0"/>
        <w:autoSpaceDE w:val="0"/>
        <w:autoSpaceDN w:val="0"/>
        <w:adjustRightInd w:val="0"/>
        <w:spacing w:before="100" w:after="100" w:line="240" w:lineRule="auto"/>
        <w:ind w:left="640" w:hanging="640"/>
        <w:rPr>
          <w:rFonts w:ascii="Verdana" w:hAnsi="Verdana" w:cs="Times New Roman"/>
          <w:noProof/>
          <w:sz w:val="16"/>
          <w:szCs w:val="24"/>
        </w:rPr>
      </w:pPr>
      <w:r w:rsidRPr="005356A1">
        <w:rPr>
          <w:rFonts w:ascii="Verdana" w:hAnsi="Verdana" w:cs="Times New Roman"/>
          <w:noProof/>
          <w:sz w:val="16"/>
          <w:szCs w:val="24"/>
        </w:rPr>
        <w:t xml:space="preserve">8. </w:t>
      </w:r>
      <w:r w:rsidRPr="005356A1">
        <w:rPr>
          <w:rFonts w:ascii="Verdana" w:hAnsi="Verdana" w:cs="Times New Roman"/>
          <w:noProof/>
          <w:sz w:val="16"/>
          <w:szCs w:val="24"/>
        </w:rPr>
        <w:tab/>
        <w:t xml:space="preserve">Hanley JA, McNeil BJ. A Method of Comparing the Areas under Receiver Operating Characteristic Curves Derived from the Same Cases. </w:t>
      </w:r>
      <w:r w:rsidRPr="005356A1">
        <w:rPr>
          <w:rFonts w:ascii="Verdana" w:hAnsi="Verdana" w:cs="Times New Roman"/>
          <w:i/>
          <w:iCs/>
          <w:noProof/>
          <w:sz w:val="16"/>
          <w:szCs w:val="24"/>
        </w:rPr>
        <w:t>Radiology</w:t>
      </w:r>
      <w:r w:rsidRPr="005356A1">
        <w:rPr>
          <w:rFonts w:ascii="Verdana" w:hAnsi="Verdana" w:cs="Times New Roman"/>
          <w:noProof/>
          <w:sz w:val="16"/>
          <w:szCs w:val="24"/>
        </w:rPr>
        <w:t xml:space="preserve"> 1983; 148: 839–843.</w:t>
      </w:r>
    </w:p>
    <w:p w14:paraId="38D4E4E8" w14:textId="77777777" w:rsidR="005356A1" w:rsidRPr="005356A1" w:rsidRDefault="005356A1" w:rsidP="005356A1">
      <w:pPr>
        <w:widowControl w:val="0"/>
        <w:autoSpaceDE w:val="0"/>
        <w:autoSpaceDN w:val="0"/>
        <w:adjustRightInd w:val="0"/>
        <w:spacing w:before="100" w:after="100" w:line="240" w:lineRule="auto"/>
        <w:ind w:left="640" w:hanging="640"/>
        <w:rPr>
          <w:rFonts w:ascii="Verdana" w:hAnsi="Verdana" w:cs="Times New Roman"/>
          <w:noProof/>
          <w:sz w:val="16"/>
          <w:szCs w:val="24"/>
        </w:rPr>
      </w:pPr>
      <w:r w:rsidRPr="005356A1">
        <w:rPr>
          <w:rFonts w:ascii="Verdana" w:hAnsi="Verdana" w:cs="Times New Roman"/>
          <w:noProof/>
          <w:sz w:val="16"/>
          <w:szCs w:val="24"/>
        </w:rPr>
        <w:t xml:space="preserve">9. </w:t>
      </w:r>
      <w:r w:rsidRPr="005356A1">
        <w:rPr>
          <w:rFonts w:ascii="Verdana" w:hAnsi="Verdana" w:cs="Times New Roman"/>
          <w:noProof/>
          <w:sz w:val="16"/>
          <w:szCs w:val="24"/>
        </w:rPr>
        <w:tab/>
        <w:t xml:space="preserve">Zou GY, Yue L. Using confidence intervals to compare several correlated areas under the receiver operating characteristic curves. </w:t>
      </w:r>
      <w:r w:rsidRPr="005356A1">
        <w:rPr>
          <w:rFonts w:ascii="Verdana" w:hAnsi="Verdana" w:cs="Times New Roman"/>
          <w:i/>
          <w:iCs/>
          <w:noProof/>
          <w:sz w:val="16"/>
          <w:szCs w:val="24"/>
        </w:rPr>
        <w:t>Stat. Med.</w:t>
      </w:r>
      <w:r w:rsidRPr="005356A1">
        <w:rPr>
          <w:rFonts w:ascii="Verdana" w:hAnsi="Verdana" w:cs="Times New Roman"/>
          <w:noProof/>
          <w:sz w:val="16"/>
          <w:szCs w:val="24"/>
        </w:rPr>
        <w:t xml:space="preserve"> 2013; 32: 5077–5090.</w:t>
      </w:r>
    </w:p>
    <w:p w14:paraId="5A5E68D4" w14:textId="77777777" w:rsidR="005356A1" w:rsidRPr="005356A1" w:rsidRDefault="005356A1" w:rsidP="005356A1">
      <w:pPr>
        <w:widowControl w:val="0"/>
        <w:autoSpaceDE w:val="0"/>
        <w:autoSpaceDN w:val="0"/>
        <w:adjustRightInd w:val="0"/>
        <w:spacing w:before="100" w:after="100" w:line="240" w:lineRule="auto"/>
        <w:ind w:left="640" w:hanging="640"/>
        <w:rPr>
          <w:rFonts w:ascii="Verdana" w:hAnsi="Verdana" w:cs="Times New Roman"/>
          <w:noProof/>
          <w:sz w:val="16"/>
          <w:szCs w:val="24"/>
        </w:rPr>
      </w:pPr>
      <w:r w:rsidRPr="005356A1">
        <w:rPr>
          <w:rFonts w:ascii="Verdana" w:hAnsi="Verdana" w:cs="Times New Roman"/>
          <w:noProof/>
          <w:sz w:val="16"/>
          <w:szCs w:val="24"/>
        </w:rPr>
        <w:t xml:space="preserve">10. </w:t>
      </w:r>
      <w:r w:rsidRPr="005356A1">
        <w:rPr>
          <w:rFonts w:ascii="Verdana" w:hAnsi="Verdana" w:cs="Times New Roman"/>
          <w:noProof/>
          <w:sz w:val="16"/>
          <w:szCs w:val="24"/>
        </w:rPr>
        <w:tab/>
        <w:t xml:space="preserve">Debray TPA, Damen JAAG, Snell KIE, Ensor J, Hooft L, Reitsma JB, Riley RD, Moons KGM. A guide to systematic review and meta-analysis of prediction model performance. </w:t>
      </w:r>
      <w:r w:rsidRPr="005356A1">
        <w:rPr>
          <w:rFonts w:ascii="Verdana" w:hAnsi="Verdana" w:cs="Times New Roman"/>
          <w:i/>
          <w:iCs/>
          <w:noProof/>
          <w:sz w:val="16"/>
          <w:szCs w:val="24"/>
        </w:rPr>
        <w:t>Bmj</w:t>
      </w:r>
      <w:r w:rsidRPr="005356A1">
        <w:rPr>
          <w:rFonts w:ascii="Verdana" w:hAnsi="Verdana" w:cs="Times New Roman"/>
          <w:noProof/>
          <w:sz w:val="16"/>
          <w:szCs w:val="24"/>
        </w:rPr>
        <w:t xml:space="preserve"> 2017; : i6460.</w:t>
      </w:r>
    </w:p>
    <w:p w14:paraId="72E870F8" w14:textId="77777777" w:rsidR="005356A1" w:rsidRPr="005356A1" w:rsidRDefault="005356A1" w:rsidP="005356A1">
      <w:pPr>
        <w:widowControl w:val="0"/>
        <w:autoSpaceDE w:val="0"/>
        <w:autoSpaceDN w:val="0"/>
        <w:adjustRightInd w:val="0"/>
        <w:spacing w:before="100" w:after="100" w:line="240" w:lineRule="auto"/>
        <w:ind w:left="640" w:hanging="640"/>
        <w:rPr>
          <w:rFonts w:ascii="Verdana" w:hAnsi="Verdana" w:cs="Times New Roman"/>
          <w:noProof/>
          <w:sz w:val="16"/>
          <w:szCs w:val="24"/>
        </w:rPr>
      </w:pPr>
      <w:r w:rsidRPr="005356A1">
        <w:rPr>
          <w:rFonts w:ascii="Verdana" w:hAnsi="Verdana" w:cs="Times New Roman"/>
          <w:noProof/>
          <w:sz w:val="16"/>
          <w:szCs w:val="24"/>
        </w:rPr>
        <w:t xml:space="preserve">11. </w:t>
      </w:r>
      <w:r w:rsidRPr="005356A1">
        <w:rPr>
          <w:rFonts w:ascii="Verdana" w:hAnsi="Verdana" w:cs="Times New Roman"/>
          <w:noProof/>
          <w:sz w:val="16"/>
          <w:szCs w:val="24"/>
        </w:rPr>
        <w:tab/>
        <w:t xml:space="preserve">Franchini  a. J, Dias S, Ades  a. E, Jansen JP, Welton NJ. Accounting for correlation in network meta-analysis with multi-arm trials. </w:t>
      </w:r>
      <w:r w:rsidRPr="005356A1">
        <w:rPr>
          <w:rFonts w:ascii="Verdana" w:hAnsi="Verdana" w:cs="Times New Roman"/>
          <w:i/>
          <w:iCs/>
          <w:noProof/>
          <w:sz w:val="16"/>
          <w:szCs w:val="24"/>
        </w:rPr>
        <w:t>Res. Synth. Methods</w:t>
      </w:r>
      <w:r w:rsidRPr="005356A1">
        <w:rPr>
          <w:rFonts w:ascii="Verdana" w:hAnsi="Verdana" w:cs="Times New Roman"/>
          <w:noProof/>
          <w:sz w:val="16"/>
          <w:szCs w:val="24"/>
        </w:rPr>
        <w:t xml:space="preserve"> 2012; 3: 142–160.</w:t>
      </w:r>
    </w:p>
    <w:p w14:paraId="5A42BFC5" w14:textId="77777777" w:rsidR="005356A1" w:rsidRPr="005356A1" w:rsidRDefault="005356A1" w:rsidP="005356A1">
      <w:pPr>
        <w:widowControl w:val="0"/>
        <w:autoSpaceDE w:val="0"/>
        <w:autoSpaceDN w:val="0"/>
        <w:adjustRightInd w:val="0"/>
        <w:spacing w:before="100" w:after="100" w:line="240" w:lineRule="auto"/>
        <w:ind w:left="640" w:hanging="640"/>
        <w:rPr>
          <w:rFonts w:ascii="Verdana" w:hAnsi="Verdana" w:cs="Times New Roman"/>
          <w:noProof/>
          <w:sz w:val="16"/>
          <w:szCs w:val="24"/>
        </w:rPr>
      </w:pPr>
      <w:r w:rsidRPr="005356A1">
        <w:rPr>
          <w:rFonts w:ascii="Verdana" w:hAnsi="Verdana" w:cs="Times New Roman"/>
          <w:noProof/>
          <w:sz w:val="16"/>
          <w:szCs w:val="24"/>
        </w:rPr>
        <w:t xml:space="preserve">12. </w:t>
      </w:r>
      <w:r w:rsidRPr="005356A1">
        <w:rPr>
          <w:rFonts w:ascii="Verdana" w:hAnsi="Verdana" w:cs="Times New Roman"/>
          <w:noProof/>
          <w:sz w:val="16"/>
          <w:szCs w:val="24"/>
        </w:rPr>
        <w:tab/>
        <w:t xml:space="preserve">Pennells L, Kaptoge S, White IR, Thompson SG, Wood AM. Assessing risk prediction models using individual participant data from multiple studies. </w:t>
      </w:r>
      <w:r w:rsidRPr="005356A1">
        <w:rPr>
          <w:rFonts w:ascii="Verdana" w:hAnsi="Verdana" w:cs="Times New Roman"/>
          <w:i/>
          <w:iCs/>
          <w:noProof/>
          <w:sz w:val="16"/>
          <w:szCs w:val="24"/>
        </w:rPr>
        <w:t>AJE (American J. Epidemiol.</w:t>
      </w:r>
      <w:r w:rsidRPr="005356A1">
        <w:rPr>
          <w:rFonts w:ascii="Verdana" w:hAnsi="Verdana" w:cs="Times New Roman"/>
          <w:noProof/>
          <w:sz w:val="16"/>
          <w:szCs w:val="24"/>
        </w:rPr>
        <w:t xml:space="preserve"> 2014; 179: 621–632.</w:t>
      </w:r>
    </w:p>
    <w:p w14:paraId="4DC3D523" w14:textId="77777777" w:rsidR="005356A1" w:rsidRPr="005356A1" w:rsidRDefault="005356A1" w:rsidP="005356A1">
      <w:pPr>
        <w:widowControl w:val="0"/>
        <w:autoSpaceDE w:val="0"/>
        <w:autoSpaceDN w:val="0"/>
        <w:adjustRightInd w:val="0"/>
        <w:spacing w:before="100" w:after="100" w:line="240" w:lineRule="auto"/>
        <w:ind w:left="640" w:hanging="640"/>
        <w:rPr>
          <w:rFonts w:ascii="Verdana" w:hAnsi="Verdana" w:cs="Times New Roman"/>
          <w:noProof/>
          <w:sz w:val="16"/>
          <w:szCs w:val="24"/>
        </w:rPr>
      </w:pPr>
      <w:r w:rsidRPr="005356A1">
        <w:rPr>
          <w:rFonts w:ascii="Verdana" w:hAnsi="Verdana" w:cs="Times New Roman"/>
          <w:noProof/>
          <w:sz w:val="16"/>
          <w:szCs w:val="24"/>
        </w:rPr>
        <w:t xml:space="preserve">13. </w:t>
      </w:r>
      <w:r w:rsidRPr="005356A1">
        <w:rPr>
          <w:rFonts w:ascii="Verdana" w:hAnsi="Verdana" w:cs="Times New Roman"/>
          <w:noProof/>
          <w:sz w:val="16"/>
          <w:szCs w:val="24"/>
        </w:rPr>
        <w:tab/>
        <w:t xml:space="preserve">Higgins J, Whitehead A. Borrowing strength from external trials in a meta-analysis. </w:t>
      </w:r>
      <w:r w:rsidRPr="005356A1">
        <w:rPr>
          <w:rFonts w:ascii="Verdana" w:hAnsi="Verdana" w:cs="Times New Roman"/>
          <w:i/>
          <w:iCs/>
          <w:noProof/>
          <w:sz w:val="16"/>
          <w:szCs w:val="24"/>
        </w:rPr>
        <w:t>Stat. Med.</w:t>
      </w:r>
      <w:r w:rsidRPr="005356A1">
        <w:rPr>
          <w:rFonts w:ascii="Verdana" w:hAnsi="Verdana" w:cs="Times New Roman"/>
          <w:noProof/>
          <w:sz w:val="16"/>
          <w:szCs w:val="24"/>
        </w:rPr>
        <w:t xml:space="preserve"> 1996; 15: 2733–2749.</w:t>
      </w:r>
    </w:p>
    <w:p w14:paraId="6CD4811F" w14:textId="77777777" w:rsidR="005356A1" w:rsidRPr="005356A1" w:rsidRDefault="005356A1" w:rsidP="005356A1">
      <w:pPr>
        <w:widowControl w:val="0"/>
        <w:autoSpaceDE w:val="0"/>
        <w:autoSpaceDN w:val="0"/>
        <w:adjustRightInd w:val="0"/>
        <w:spacing w:before="100" w:after="100" w:line="240" w:lineRule="auto"/>
        <w:ind w:left="640" w:hanging="640"/>
        <w:rPr>
          <w:rFonts w:ascii="Verdana" w:hAnsi="Verdana" w:cs="Times New Roman"/>
          <w:noProof/>
          <w:sz w:val="16"/>
          <w:szCs w:val="24"/>
        </w:rPr>
      </w:pPr>
      <w:r w:rsidRPr="005356A1">
        <w:rPr>
          <w:rFonts w:ascii="Verdana" w:hAnsi="Verdana" w:cs="Times New Roman"/>
          <w:noProof/>
          <w:sz w:val="16"/>
          <w:szCs w:val="24"/>
        </w:rPr>
        <w:t xml:space="preserve">14. </w:t>
      </w:r>
      <w:r w:rsidRPr="005356A1">
        <w:rPr>
          <w:rFonts w:ascii="Verdana" w:hAnsi="Verdana" w:cs="Times New Roman"/>
          <w:noProof/>
          <w:sz w:val="16"/>
          <w:szCs w:val="24"/>
        </w:rPr>
        <w:tab/>
        <w:t>Pepe MS. The Statistical Evaluation of Medical Tests for Classification and Prediction. Oxford University Press; 2004.</w:t>
      </w:r>
    </w:p>
    <w:p w14:paraId="2F6A6132" w14:textId="77777777" w:rsidR="005356A1" w:rsidRPr="005356A1" w:rsidRDefault="005356A1" w:rsidP="005356A1">
      <w:pPr>
        <w:widowControl w:val="0"/>
        <w:autoSpaceDE w:val="0"/>
        <w:autoSpaceDN w:val="0"/>
        <w:adjustRightInd w:val="0"/>
        <w:spacing w:before="100" w:after="100" w:line="240" w:lineRule="auto"/>
        <w:ind w:left="640" w:hanging="640"/>
        <w:rPr>
          <w:rFonts w:ascii="Verdana" w:hAnsi="Verdana" w:cs="Times New Roman"/>
          <w:noProof/>
          <w:sz w:val="16"/>
          <w:szCs w:val="24"/>
        </w:rPr>
      </w:pPr>
      <w:r w:rsidRPr="005356A1">
        <w:rPr>
          <w:rFonts w:ascii="Verdana" w:hAnsi="Verdana" w:cs="Times New Roman"/>
          <w:noProof/>
          <w:sz w:val="16"/>
          <w:szCs w:val="24"/>
        </w:rPr>
        <w:t xml:space="preserve">15. </w:t>
      </w:r>
      <w:r w:rsidRPr="005356A1">
        <w:rPr>
          <w:rFonts w:ascii="Verdana" w:hAnsi="Verdana" w:cs="Times New Roman"/>
          <w:noProof/>
          <w:sz w:val="16"/>
          <w:szCs w:val="24"/>
        </w:rPr>
        <w:tab/>
        <w:t>Efron B, Tibshirani RJ. An Introduction to the Bootstrap. Chapman &amp; Hall/CRC; 1994.</w:t>
      </w:r>
    </w:p>
    <w:p w14:paraId="1F1F9A66" w14:textId="77777777" w:rsidR="005356A1" w:rsidRPr="005356A1" w:rsidRDefault="005356A1" w:rsidP="005356A1">
      <w:pPr>
        <w:widowControl w:val="0"/>
        <w:autoSpaceDE w:val="0"/>
        <w:autoSpaceDN w:val="0"/>
        <w:adjustRightInd w:val="0"/>
        <w:spacing w:before="100" w:after="100" w:line="240" w:lineRule="auto"/>
        <w:ind w:left="640" w:hanging="640"/>
        <w:rPr>
          <w:rFonts w:ascii="Verdana" w:hAnsi="Verdana" w:cs="Times New Roman"/>
          <w:noProof/>
          <w:sz w:val="16"/>
          <w:szCs w:val="24"/>
        </w:rPr>
      </w:pPr>
      <w:r w:rsidRPr="005356A1">
        <w:rPr>
          <w:rFonts w:ascii="Verdana" w:hAnsi="Verdana" w:cs="Times New Roman"/>
          <w:noProof/>
          <w:sz w:val="16"/>
          <w:szCs w:val="24"/>
        </w:rPr>
        <w:t xml:space="preserve">16. </w:t>
      </w:r>
      <w:r w:rsidRPr="005356A1">
        <w:rPr>
          <w:rFonts w:ascii="Verdana" w:hAnsi="Verdana" w:cs="Times New Roman"/>
          <w:noProof/>
          <w:sz w:val="16"/>
          <w:szCs w:val="24"/>
        </w:rPr>
        <w:tab/>
        <w:t xml:space="preserve">Lu G, Ades AE. Modeling between-trial variance structure in mixed treatment comparisons. </w:t>
      </w:r>
      <w:r w:rsidRPr="005356A1">
        <w:rPr>
          <w:rFonts w:ascii="Verdana" w:hAnsi="Verdana" w:cs="Times New Roman"/>
          <w:i/>
          <w:iCs/>
          <w:noProof/>
          <w:sz w:val="16"/>
          <w:szCs w:val="24"/>
        </w:rPr>
        <w:t>Biostatistics</w:t>
      </w:r>
      <w:r w:rsidRPr="005356A1">
        <w:rPr>
          <w:rFonts w:ascii="Verdana" w:hAnsi="Verdana" w:cs="Times New Roman"/>
          <w:noProof/>
          <w:sz w:val="16"/>
          <w:szCs w:val="24"/>
        </w:rPr>
        <w:t xml:space="preserve"> 2009; 10: 792–805.</w:t>
      </w:r>
    </w:p>
    <w:p w14:paraId="1A730FBA" w14:textId="77777777" w:rsidR="005356A1" w:rsidRPr="005356A1" w:rsidRDefault="005356A1" w:rsidP="005356A1">
      <w:pPr>
        <w:widowControl w:val="0"/>
        <w:autoSpaceDE w:val="0"/>
        <w:autoSpaceDN w:val="0"/>
        <w:adjustRightInd w:val="0"/>
        <w:spacing w:before="100" w:after="100" w:line="240" w:lineRule="auto"/>
        <w:ind w:left="640" w:hanging="640"/>
        <w:rPr>
          <w:rFonts w:ascii="Verdana" w:hAnsi="Verdana" w:cs="Times New Roman"/>
          <w:noProof/>
          <w:sz w:val="16"/>
          <w:szCs w:val="24"/>
        </w:rPr>
      </w:pPr>
      <w:r w:rsidRPr="005356A1">
        <w:rPr>
          <w:rFonts w:ascii="Verdana" w:hAnsi="Verdana" w:cs="Times New Roman"/>
          <w:noProof/>
          <w:sz w:val="16"/>
          <w:szCs w:val="24"/>
        </w:rPr>
        <w:t xml:space="preserve">17. </w:t>
      </w:r>
      <w:r w:rsidRPr="005356A1">
        <w:rPr>
          <w:rFonts w:ascii="Verdana" w:hAnsi="Verdana" w:cs="Times New Roman"/>
          <w:noProof/>
          <w:sz w:val="16"/>
          <w:szCs w:val="24"/>
        </w:rPr>
        <w:tab/>
        <w:t xml:space="preserve">Dias S, Welton NJ, Marinho VCC, Salanti G, Higgins J, Ades AE. Estimation and adjustment of bias in randomized evidence by using mixed treatment comparison meta-analysis. </w:t>
      </w:r>
      <w:r w:rsidRPr="005356A1">
        <w:rPr>
          <w:rFonts w:ascii="Verdana" w:hAnsi="Verdana" w:cs="Times New Roman"/>
          <w:i/>
          <w:iCs/>
          <w:noProof/>
          <w:sz w:val="16"/>
          <w:szCs w:val="24"/>
        </w:rPr>
        <w:t>J. R. Stat. Soc. Ser. A Stat. Soc.</w:t>
      </w:r>
      <w:r w:rsidRPr="005356A1">
        <w:rPr>
          <w:rFonts w:ascii="Verdana" w:hAnsi="Verdana" w:cs="Times New Roman"/>
          <w:noProof/>
          <w:sz w:val="16"/>
          <w:szCs w:val="24"/>
        </w:rPr>
        <w:t xml:space="preserve"> 2010; 173: 613–629.</w:t>
      </w:r>
    </w:p>
    <w:p w14:paraId="4B2F0FC9" w14:textId="77777777" w:rsidR="005356A1" w:rsidRPr="005356A1" w:rsidRDefault="005356A1" w:rsidP="005356A1">
      <w:pPr>
        <w:widowControl w:val="0"/>
        <w:autoSpaceDE w:val="0"/>
        <w:autoSpaceDN w:val="0"/>
        <w:adjustRightInd w:val="0"/>
        <w:spacing w:before="100" w:after="100" w:line="240" w:lineRule="auto"/>
        <w:ind w:left="640" w:hanging="640"/>
        <w:rPr>
          <w:rFonts w:ascii="Verdana" w:hAnsi="Verdana" w:cs="Times New Roman"/>
          <w:noProof/>
          <w:sz w:val="16"/>
          <w:szCs w:val="24"/>
        </w:rPr>
      </w:pPr>
      <w:r w:rsidRPr="005356A1">
        <w:rPr>
          <w:rFonts w:ascii="Verdana" w:hAnsi="Verdana" w:cs="Times New Roman"/>
          <w:noProof/>
          <w:sz w:val="16"/>
          <w:szCs w:val="24"/>
        </w:rPr>
        <w:t xml:space="preserve">18. </w:t>
      </w:r>
      <w:r w:rsidRPr="005356A1">
        <w:rPr>
          <w:rFonts w:ascii="Verdana" w:hAnsi="Verdana" w:cs="Times New Roman"/>
          <w:noProof/>
          <w:sz w:val="16"/>
          <w:szCs w:val="24"/>
        </w:rPr>
        <w:tab/>
        <w:t xml:space="preserve">Sauter R, Held L. Network meta-analysis with integrated nested Laplace approximations. </w:t>
      </w:r>
      <w:r w:rsidRPr="005356A1">
        <w:rPr>
          <w:rFonts w:ascii="Verdana" w:hAnsi="Verdana" w:cs="Times New Roman"/>
          <w:i/>
          <w:iCs/>
          <w:noProof/>
          <w:sz w:val="16"/>
          <w:szCs w:val="24"/>
        </w:rPr>
        <w:t>Biometrical J.</w:t>
      </w:r>
      <w:r w:rsidRPr="005356A1">
        <w:rPr>
          <w:rFonts w:ascii="Verdana" w:hAnsi="Verdana" w:cs="Times New Roman"/>
          <w:noProof/>
          <w:sz w:val="16"/>
          <w:szCs w:val="24"/>
        </w:rPr>
        <w:t xml:space="preserve"> 2015; 57: 1038–1050.</w:t>
      </w:r>
    </w:p>
    <w:p w14:paraId="677D7B37" w14:textId="77777777" w:rsidR="005356A1" w:rsidRPr="005356A1" w:rsidRDefault="005356A1" w:rsidP="005356A1">
      <w:pPr>
        <w:widowControl w:val="0"/>
        <w:autoSpaceDE w:val="0"/>
        <w:autoSpaceDN w:val="0"/>
        <w:adjustRightInd w:val="0"/>
        <w:spacing w:before="100" w:after="100" w:line="240" w:lineRule="auto"/>
        <w:ind w:left="640" w:hanging="640"/>
        <w:rPr>
          <w:rFonts w:ascii="Verdana" w:hAnsi="Verdana" w:cs="Times New Roman"/>
          <w:noProof/>
          <w:sz w:val="16"/>
          <w:szCs w:val="24"/>
        </w:rPr>
      </w:pPr>
      <w:r w:rsidRPr="005356A1">
        <w:rPr>
          <w:rFonts w:ascii="Verdana" w:hAnsi="Verdana" w:cs="Times New Roman"/>
          <w:noProof/>
          <w:sz w:val="16"/>
          <w:szCs w:val="24"/>
        </w:rPr>
        <w:t xml:space="preserve">19. </w:t>
      </w:r>
      <w:r w:rsidRPr="005356A1">
        <w:rPr>
          <w:rFonts w:ascii="Verdana" w:hAnsi="Verdana" w:cs="Times New Roman"/>
          <w:noProof/>
          <w:sz w:val="16"/>
          <w:szCs w:val="24"/>
        </w:rPr>
        <w:tab/>
        <w:t xml:space="preserve">Lumley T. Network meta-analysis for indirect treatment comparisons. </w:t>
      </w:r>
      <w:r w:rsidRPr="005356A1">
        <w:rPr>
          <w:rFonts w:ascii="Verdana" w:hAnsi="Verdana" w:cs="Times New Roman"/>
          <w:i/>
          <w:iCs/>
          <w:noProof/>
          <w:sz w:val="16"/>
          <w:szCs w:val="24"/>
        </w:rPr>
        <w:t>Stat. Med.</w:t>
      </w:r>
      <w:r w:rsidRPr="005356A1">
        <w:rPr>
          <w:rFonts w:ascii="Verdana" w:hAnsi="Verdana" w:cs="Times New Roman"/>
          <w:noProof/>
          <w:sz w:val="16"/>
          <w:szCs w:val="24"/>
        </w:rPr>
        <w:t xml:space="preserve"> 2002; 21: 2313–2324.</w:t>
      </w:r>
    </w:p>
    <w:p w14:paraId="53ECEE15" w14:textId="77777777" w:rsidR="005356A1" w:rsidRPr="005356A1" w:rsidRDefault="005356A1" w:rsidP="005356A1">
      <w:pPr>
        <w:widowControl w:val="0"/>
        <w:autoSpaceDE w:val="0"/>
        <w:autoSpaceDN w:val="0"/>
        <w:adjustRightInd w:val="0"/>
        <w:spacing w:before="100" w:after="100" w:line="240" w:lineRule="auto"/>
        <w:ind w:left="640" w:hanging="640"/>
        <w:rPr>
          <w:rFonts w:ascii="Verdana" w:hAnsi="Verdana" w:cs="Times New Roman"/>
          <w:noProof/>
          <w:sz w:val="16"/>
          <w:szCs w:val="24"/>
        </w:rPr>
      </w:pPr>
      <w:r w:rsidRPr="005356A1">
        <w:rPr>
          <w:rFonts w:ascii="Verdana" w:hAnsi="Verdana" w:cs="Times New Roman"/>
          <w:noProof/>
          <w:sz w:val="16"/>
          <w:szCs w:val="24"/>
        </w:rPr>
        <w:t xml:space="preserve">20. </w:t>
      </w:r>
      <w:r w:rsidRPr="005356A1">
        <w:rPr>
          <w:rFonts w:ascii="Verdana" w:hAnsi="Verdana" w:cs="Times New Roman"/>
          <w:noProof/>
          <w:sz w:val="16"/>
          <w:szCs w:val="24"/>
        </w:rPr>
        <w:tab/>
        <w:t xml:space="preserve">Lu G, Ades AE. Combination of direct and indirect evidence in mixed treatment comparisons. </w:t>
      </w:r>
      <w:r w:rsidRPr="005356A1">
        <w:rPr>
          <w:rFonts w:ascii="Verdana" w:hAnsi="Verdana" w:cs="Times New Roman"/>
          <w:i/>
          <w:iCs/>
          <w:noProof/>
          <w:sz w:val="16"/>
          <w:szCs w:val="24"/>
        </w:rPr>
        <w:t>Stat. Med.</w:t>
      </w:r>
      <w:r w:rsidRPr="005356A1">
        <w:rPr>
          <w:rFonts w:ascii="Verdana" w:hAnsi="Verdana" w:cs="Times New Roman"/>
          <w:noProof/>
          <w:sz w:val="16"/>
          <w:szCs w:val="24"/>
        </w:rPr>
        <w:t xml:space="preserve"> 2004; 23: 3105–3124.</w:t>
      </w:r>
    </w:p>
    <w:p w14:paraId="43767432" w14:textId="77777777" w:rsidR="005356A1" w:rsidRPr="005356A1" w:rsidRDefault="005356A1" w:rsidP="005356A1">
      <w:pPr>
        <w:widowControl w:val="0"/>
        <w:autoSpaceDE w:val="0"/>
        <w:autoSpaceDN w:val="0"/>
        <w:adjustRightInd w:val="0"/>
        <w:spacing w:before="100" w:after="100" w:line="240" w:lineRule="auto"/>
        <w:ind w:left="640" w:hanging="640"/>
        <w:rPr>
          <w:rFonts w:ascii="Verdana" w:hAnsi="Verdana" w:cs="Times New Roman"/>
          <w:noProof/>
          <w:sz w:val="16"/>
          <w:szCs w:val="24"/>
        </w:rPr>
      </w:pPr>
      <w:r w:rsidRPr="005356A1">
        <w:rPr>
          <w:rFonts w:ascii="Verdana" w:hAnsi="Verdana" w:cs="Times New Roman"/>
          <w:noProof/>
          <w:sz w:val="16"/>
          <w:szCs w:val="24"/>
        </w:rPr>
        <w:t xml:space="preserve">21. </w:t>
      </w:r>
      <w:r w:rsidRPr="005356A1">
        <w:rPr>
          <w:rFonts w:ascii="Verdana" w:hAnsi="Verdana" w:cs="Times New Roman"/>
          <w:noProof/>
          <w:sz w:val="16"/>
          <w:szCs w:val="24"/>
        </w:rPr>
        <w:tab/>
        <w:t xml:space="preserve">Lu G, Ades  a. E. Assessing Evidence Inconsistency in Mixed Treatment Comparisons. </w:t>
      </w:r>
      <w:r w:rsidRPr="005356A1">
        <w:rPr>
          <w:rFonts w:ascii="Verdana" w:hAnsi="Verdana" w:cs="Times New Roman"/>
          <w:i/>
          <w:iCs/>
          <w:noProof/>
          <w:sz w:val="16"/>
          <w:szCs w:val="24"/>
        </w:rPr>
        <w:t>J. Am. Stat. Assoc.</w:t>
      </w:r>
      <w:r w:rsidRPr="005356A1">
        <w:rPr>
          <w:rFonts w:ascii="Verdana" w:hAnsi="Verdana" w:cs="Times New Roman"/>
          <w:noProof/>
          <w:sz w:val="16"/>
          <w:szCs w:val="24"/>
        </w:rPr>
        <w:t xml:space="preserve"> 2006; 101: 447–459.</w:t>
      </w:r>
    </w:p>
    <w:p w14:paraId="32547077" w14:textId="77777777" w:rsidR="005356A1" w:rsidRPr="005356A1" w:rsidRDefault="005356A1" w:rsidP="005356A1">
      <w:pPr>
        <w:widowControl w:val="0"/>
        <w:autoSpaceDE w:val="0"/>
        <w:autoSpaceDN w:val="0"/>
        <w:adjustRightInd w:val="0"/>
        <w:spacing w:before="100" w:after="100" w:line="240" w:lineRule="auto"/>
        <w:ind w:left="640" w:hanging="640"/>
        <w:rPr>
          <w:rFonts w:ascii="Verdana" w:hAnsi="Verdana" w:cs="Times New Roman"/>
          <w:noProof/>
          <w:sz w:val="16"/>
          <w:szCs w:val="24"/>
        </w:rPr>
      </w:pPr>
      <w:r w:rsidRPr="005356A1">
        <w:rPr>
          <w:rFonts w:ascii="Verdana" w:hAnsi="Verdana" w:cs="Times New Roman"/>
          <w:noProof/>
          <w:sz w:val="16"/>
          <w:szCs w:val="24"/>
        </w:rPr>
        <w:t xml:space="preserve">22. </w:t>
      </w:r>
      <w:r w:rsidRPr="005356A1">
        <w:rPr>
          <w:rFonts w:ascii="Verdana" w:hAnsi="Verdana" w:cs="Times New Roman"/>
          <w:noProof/>
          <w:sz w:val="16"/>
          <w:szCs w:val="24"/>
        </w:rPr>
        <w:tab/>
        <w:t xml:space="preserve">Salanti G, Higgins J, Ades  a E, Ioannidis JP a. Evaluation of networks of randomized trials. </w:t>
      </w:r>
      <w:r w:rsidRPr="005356A1">
        <w:rPr>
          <w:rFonts w:ascii="Verdana" w:hAnsi="Verdana" w:cs="Times New Roman"/>
          <w:i/>
          <w:iCs/>
          <w:noProof/>
          <w:sz w:val="16"/>
          <w:szCs w:val="24"/>
        </w:rPr>
        <w:t>Stat. Methods Med. Res.</w:t>
      </w:r>
      <w:r w:rsidRPr="005356A1">
        <w:rPr>
          <w:rFonts w:ascii="Verdana" w:hAnsi="Verdana" w:cs="Times New Roman"/>
          <w:noProof/>
          <w:sz w:val="16"/>
          <w:szCs w:val="24"/>
        </w:rPr>
        <w:t xml:space="preserve"> 2008; 17: 279–301.</w:t>
      </w:r>
    </w:p>
    <w:p w14:paraId="6C6B57F3" w14:textId="77777777" w:rsidR="005356A1" w:rsidRPr="005356A1" w:rsidRDefault="005356A1" w:rsidP="005356A1">
      <w:pPr>
        <w:widowControl w:val="0"/>
        <w:autoSpaceDE w:val="0"/>
        <w:autoSpaceDN w:val="0"/>
        <w:adjustRightInd w:val="0"/>
        <w:spacing w:before="100" w:after="100" w:line="240" w:lineRule="auto"/>
        <w:ind w:left="640" w:hanging="640"/>
        <w:rPr>
          <w:rFonts w:ascii="Verdana" w:hAnsi="Verdana" w:cs="Times New Roman"/>
          <w:noProof/>
          <w:sz w:val="16"/>
          <w:szCs w:val="24"/>
        </w:rPr>
      </w:pPr>
      <w:r w:rsidRPr="005356A1">
        <w:rPr>
          <w:rFonts w:ascii="Verdana" w:hAnsi="Verdana" w:cs="Times New Roman"/>
          <w:noProof/>
          <w:sz w:val="16"/>
          <w:szCs w:val="24"/>
        </w:rPr>
        <w:t xml:space="preserve">23. </w:t>
      </w:r>
      <w:r w:rsidRPr="005356A1">
        <w:rPr>
          <w:rFonts w:ascii="Verdana" w:hAnsi="Verdana" w:cs="Times New Roman"/>
          <w:noProof/>
          <w:sz w:val="16"/>
          <w:szCs w:val="24"/>
        </w:rPr>
        <w:tab/>
        <w:t xml:space="preserve">Sutton AJ, Higgins JPT. Recent developments in meta-analysis. </w:t>
      </w:r>
      <w:r w:rsidRPr="005356A1">
        <w:rPr>
          <w:rFonts w:ascii="Verdana" w:hAnsi="Verdana" w:cs="Times New Roman"/>
          <w:i/>
          <w:iCs/>
          <w:noProof/>
          <w:sz w:val="16"/>
          <w:szCs w:val="24"/>
        </w:rPr>
        <w:t>Stat. Med.</w:t>
      </w:r>
      <w:r w:rsidRPr="005356A1">
        <w:rPr>
          <w:rFonts w:ascii="Verdana" w:hAnsi="Verdana" w:cs="Times New Roman"/>
          <w:noProof/>
          <w:sz w:val="16"/>
          <w:szCs w:val="24"/>
        </w:rPr>
        <w:t xml:space="preserve"> 2008; 27: 625–650.</w:t>
      </w:r>
    </w:p>
    <w:p w14:paraId="6D19F37F" w14:textId="77777777" w:rsidR="005356A1" w:rsidRPr="005356A1" w:rsidRDefault="005356A1" w:rsidP="005356A1">
      <w:pPr>
        <w:widowControl w:val="0"/>
        <w:autoSpaceDE w:val="0"/>
        <w:autoSpaceDN w:val="0"/>
        <w:adjustRightInd w:val="0"/>
        <w:spacing w:before="100" w:after="100" w:line="240" w:lineRule="auto"/>
        <w:ind w:left="640" w:hanging="640"/>
        <w:rPr>
          <w:rFonts w:ascii="Verdana" w:hAnsi="Verdana" w:cs="Times New Roman"/>
          <w:noProof/>
          <w:sz w:val="16"/>
          <w:szCs w:val="24"/>
        </w:rPr>
      </w:pPr>
      <w:r w:rsidRPr="005356A1">
        <w:rPr>
          <w:rFonts w:ascii="Verdana" w:hAnsi="Verdana" w:cs="Times New Roman"/>
          <w:noProof/>
          <w:sz w:val="16"/>
          <w:szCs w:val="24"/>
        </w:rPr>
        <w:t xml:space="preserve">24. </w:t>
      </w:r>
      <w:r w:rsidRPr="005356A1">
        <w:rPr>
          <w:rFonts w:ascii="Verdana" w:hAnsi="Verdana" w:cs="Times New Roman"/>
          <w:noProof/>
          <w:sz w:val="16"/>
          <w:szCs w:val="24"/>
        </w:rPr>
        <w:tab/>
        <w:t xml:space="preserve">Efthimiou O, Debray TP a, van Valkenhoef G, Trelle S, Panayidou K, Moons KGM, Reitsma JB, Shang A, Salanti G. GetReal in network meta-analysis: a review of the methodology. </w:t>
      </w:r>
      <w:r w:rsidRPr="005356A1">
        <w:rPr>
          <w:rFonts w:ascii="Verdana" w:hAnsi="Verdana" w:cs="Times New Roman"/>
          <w:i/>
          <w:iCs/>
          <w:noProof/>
          <w:sz w:val="16"/>
          <w:szCs w:val="24"/>
        </w:rPr>
        <w:t>Res. Synth. Methods</w:t>
      </w:r>
      <w:r w:rsidRPr="005356A1">
        <w:rPr>
          <w:rFonts w:ascii="Verdana" w:hAnsi="Verdana" w:cs="Times New Roman"/>
          <w:noProof/>
          <w:sz w:val="16"/>
          <w:szCs w:val="24"/>
        </w:rPr>
        <w:t xml:space="preserve"> 2016; .</w:t>
      </w:r>
    </w:p>
    <w:p w14:paraId="179F3079" w14:textId="77777777" w:rsidR="005356A1" w:rsidRPr="005356A1" w:rsidRDefault="005356A1" w:rsidP="005356A1">
      <w:pPr>
        <w:widowControl w:val="0"/>
        <w:autoSpaceDE w:val="0"/>
        <w:autoSpaceDN w:val="0"/>
        <w:adjustRightInd w:val="0"/>
        <w:spacing w:before="100" w:after="100" w:line="240" w:lineRule="auto"/>
        <w:ind w:left="640" w:hanging="640"/>
        <w:rPr>
          <w:rFonts w:ascii="Verdana" w:hAnsi="Verdana" w:cs="Times New Roman"/>
          <w:noProof/>
          <w:sz w:val="16"/>
          <w:szCs w:val="24"/>
        </w:rPr>
      </w:pPr>
      <w:r w:rsidRPr="005356A1">
        <w:rPr>
          <w:rFonts w:ascii="Verdana" w:hAnsi="Verdana" w:cs="Times New Roman"/>
          <w:noProof/>
          <w:sz w:val="16"/>
          <w:szCs w:val="24"/>
        </w:rPr>
        <w:t xml:space="preserve">25. </w:t>
      </w:r>
      <w:r w:rsidRPr="005356A1">
        <w:rPr>
          <w:rFonts w:ascii="Verdana" w:hAnsi="Verdana" w:cs="Times New Roman"/>
          <w:noProof/>
          <w:sz w:val="16"/>
          <w:szCs w:val="24"/>
        </w:rPr>
        <w:tab/>
        <w:t xml:space="preserve">Berkey CS, Hoaglin DC, Antczak-Bouckoms A, Mosteller F, Colditz GA. Meta-analysis of multiple outcomes by regression with random effects. </w:t>
      </w:r>
      <w:r w:rsidRPr="005356A1">
        <w:rPr>
          <w:rFonts w:ascii="Verdana" w:hAnsi="Verdana" w:cs="Times New Roman"/>
          <w:i/>
          <w:iCs/>
          <w:noProof/>
          <w:sz w:val="16"/>
          <w:szCs w:val="24"/>
        </w:rPr>
        <w:t>Stat. Med.</w:t>
      </w:r>
      <w:r w:rsidRPr="005356A1">
        <w:rPr>
          <w:rFonts w:ascii="Verdana" w:hAnsi="Verdana" w:cs="Times New Roman"/>
          <w:noProof/>
          <w:sz w:val="16"/>
          <w:szCs w:val="24"/>
        </w:rPr>
        <w:t xml:space="preserve"> 1998; 17: 2537–2550.</w:t>
      </w:r>
    </w:p>
    <w:p w14:paraId="511343A2" w14:textId="77777777" w:rsidR="005356A1" w:rsidRPr="005356A1" w:rsidRDefault="005356A1" w:rsidP="005356A1">
      <w:pPr>
        <w:widowControl w:val="0"/>
        <w:autoSpaceDE w:val="0"/>
        <w:autoSpaceDN w:val="0"/>
        <w:adjustRightInd w:val="0"/>
        <w:spacing w:before="100" w:after="100" w:line="240" w:lineRule="auto"/>
        <w:ind w:left="640" w:hanging="640"/>
        <w:rPr>
          <w:rFonts w:ascii="Verdana" w:hAnsi="Verdana" w:cs="Times New Roman"/>
          <w:noProof/>
          <w:sz w:val="16"/>
          <w:szCs w:val="24"/>
        </w:rPr>
      </w:pPr>
      <w:r w:rsidRPr="005356A1">
        <w:rPr>
          <w:rFonts w:ascii="Verdana" w:hAnsi="Verdana" w:cs="Times New Roman"/>
          <w:noProof/>
          <w:sz w:val="16"/>
          <w:szCs w:val="24"/>
        </w:rPr>
        <w:t xml:space="preserve">26. </w:t>
      </w:r>
      <w:r w:rsidRPr="005356A1">
        <w:rPr>
          <w:rFonts w:ascii="Verdana" w:hAnsi="Verdana" w:cs="Times New Roman"/>
          <w:noProof/>
          <w:sz w:val="16"/>
          <w:szCs w:val="24"/>
        </w:rPr>
        <w:tab/>
        <w:t xml:space="preserve">Lu G, Welton NJ, Higgins J, White IR, Ades AE. Linear inference for mixed treatment comparison meta-analysis: A two-stage approach. </w:t>
      </w:r>
      <w:r w:rsidRPr="005356A1">
        <w:rPr>
          <w:rFonts w:ascii="Verdana" w:hAnsi="Verdana" w:cs="Times New Roman"/>
          <w:i/>
          <w:iCs/>
          <w:noProof/>
          <w:sz w:val="16"/>
          <w:szCs w:val="24"/>
        </w:rPr>
        <w:t>Res. Synth. Methods</w:t>
      </w:r>
      <w:r w:rsidRPr="005356A1">
        <w:rPr>
          <w:rFonts w:ascii="Verdana" w:hAnsi="Verdana" w:cs="Times New Roman"/>
          <w:noProof/>
          <w:sz w:val="16"/>
          <w:szCs w:val="24"/>
        </w:rPr>
        <w:t xml:space="preserve"> 2011; 2: 43–60.</w:t>
      </w:r>
    </w:p>
    <w:p w14:paraId="6B168819" w14:textId="77777777" w:rsidR="005356A1" w:rsidRPr="005356A1" w:rsidRDefault="005356A1" w:rsidP="005356A1">
      <w:pPr>
        <w:widowControl w:val="0"/>
        <w:autoSpaceDE w:val="0"/>
        <w:autoSpaceDN w:val="0"/>
        <w:adjustRightInd w:val="0"/>
        <w:spacing w:before="100" w:after="100" w:line="240" w:lineRule="auto"/>
        <w:ind w:left="640" w:hanging="640"/>
        <w:rPr>
          <w:rFonts w:ascii="Verdana" w:hAnsi="Verdana" w:cs="Times New Roman"/>
          <w:noProof/>
          <w:sz w:val="16"/>
          <w:szCs w:val="24"/>
        </w:rPr>
      </w:pPr>
      <w:r w:rsidRPr="005356A1">
        <w:rPr>
          <w:rFonts w:ascii="Verdana" w:hAnsi="Verdana" w:cs="Times New Roman"/>
          <w:noProof/>
          <w:sz w:val="16"/>
          <w:szCs w:val="24"/>
        </w:rPr>
        <w:t xml:space="preserve">27. </w:t>
      </w:r>
      <w:r w:rsidRPr="005356A1">
        <w:rPr>
          <w:rFonts w:ascii="Verdana" w:hAnsi="Verdana" w:cs="Times New Roman"/>
          <w:noProof/>
          <w:sz w:val="16"/>
          <w:szCs w:val="24"/>
        </w:rPr>
        <w:tab/>
        <w:t xml:space="preserve">Jackson D, Barrett JK, Rice S, White IR, Higgins J. A design-by-treatment interaction model for network meta-analysis with random inconsistency effects. </w:t>
      </w:r>
      <w:r w:rsidRPr="005356A1">
        <w:rPr>
          <w:rFonts w:ascii="Verdana" w:hAnsi="Verdana" w:cs="Times New Roman"/>
          <w:i/>
          <w:iCs/>
          <w:noProof/>
          <w:sz w:val="16"/>
          <w:szCs w:val="24"/>
        </w:rPr>
        <w:t>Stat. Med.</w:t>
      </w:r>
      <w:r w:rsidRPr="005356A1">
        <w:rPr>
          <w:rFonts w:ascii="Verdana" w:hAnsi="Verdana" w:cs="Times New Roman"/>
          <w:noProof/>
          <w:sz w:val="16"/>
          <w:szCs w:val="24"/>
        </w:rPr>
        <w:t xml:space="preserve"> 2014; 33: 3639–3654.</w:t>
      </w:r>
    </w:p>
    <w:p w14:paraId="5A7016A6" w14:textId="77777777" w:rsidR="005356A1" w:rsidRPr="005356A1" w:rsidRDefault="005356A1" w:rsidP="005356A1">
      <w:pPr>
        <w:widowControl w:val="0"/>
        <w:autoSpaceDE w:val="0"/>
        <w:autoSpaceDN w:val="0"/>
        <w:adjustRightInd w:val="0"/>
        <w:spacing w:before="100" w:after="100" w:line="240" w:lineRule="auto"/>
        <w:ind w:left="640" w:hanging="640"/>
        <w:rPr>
          <w:rFonts w:ascii="Verdana" w:hAnsi="Verdana" w:cs="Times New Roman"/>
          <w:noProof/>
          <w:sz w:val="16"/>
          <w:szCs w:val="24"/>
        </w:rPr>
      </w:pPr>
      <w:r w:rsidRPr="005356A1">
        <w:rPr>
          <w:rFonts w:ascii="Verdana" w:hAnsi="Verdana" w:cs="Times New Roman"/>
          <w:noProof/>
          <w:sz w:val="16"/>
          <w:szCs w:val="24"/>
        </w:rPr>
        <w:t xml:space="preserve">28. </w:t>
      </w:r>
      <w:r w:rsidRPr="005356A1">
        <w:rPr>
          <w:rFonts w:ascii="Verdana" w:hAnsi="Verdana" w:cs="Times New Roman"/>
          <w:noProof/>
          <w:sz w:val="16"/>
          <w:szCs w:val="24"/>
        </w:rPr>
        <w:tab/>
        <w:t xml:space="preserve">Jackson D, Boddington P, White IR. The design-by-treatment interaction model: a unifying framework for modelling loop inconsistency in network meta-analysis. </w:t>
      </w:r>
      <w:r w:rsidRPr="005356A1">
        <w:rPr>
          <w:rFonts w:ascii="Verdana" w:hAnsi="Verdana" w:cs="Times New Roman"/>
          <w:i/>
          <w:iCs/>
          <w:noProof/>
          <w:sz w:val="16"/>
          <w:szCs w:val="24"/>
        </w:rPr>
        <w:t>Res. Synth. Methods</w:t>
      </w:r>
      <w:r w:rsidRPr="005356A1">
        <w:rPr>
          <w:rFonts w:ascii="Verdana" w:hAnsi="Verdana" w:cs="Times New Roman"/>
          <w:noProof/>
          <w:sz w:val="16"/>
          <w:szCs w:val="24"/>
        </w:rPr>
        <w:t xml:space="preserve"> 2016; 7: 329–332.</w:t>
      </w:r>
    </w:p>
    <w:p w14:paraId="1921C9FB" w14:textId="77777777" w:rsidR="005356A1" w:rsidRPr="005356A1" w:rsidRDefault="005356A1" w:rsidP="005356A1">
      <w:pPr>
        <w:widowControl w:val="0"/>
        <w:autoSpaceDE w:val="0"/>
        <w:autoSpaceDN w:val="0"/>
        <w:adjustRightInd w:val="0"/>
        <w:spacing w:before="100" w:after="100" w:line="240" w:lineRule="auto"/>
        <w:ind w:left="640" w:hanging="640"/>
        <w:rPr>
          <w:rFonts w:ascii="Verdana" w:hAnsi="Verdana" w:cs="Times New Roman"/>
          <w:noProof/>
          <w:sz w:val="16"/>
          <w:szCs w:val="24"/>
        </w:rPr>
      </w:pPr>
      <w:r w:rsidRPr="005356A1">
        <w:rPr>
          <w:rFonts w:ascii="Verdana" w:hAnsi="Verdana" w:cs="Times New Roman"/>
          <w:noProof/>
          <w:sz w:val="16"/>
          <w:szCs w:val="24"/>
        </w:rPr>
        <w:t xml:space="preserve">29. </w:t>
      </w:r>
      <w:r w:rsidRPr="005356A1">
        <w:rPr>
          <w:rFonts w:ascii="Verdana" w:hAnsi="Verdana" w:cs="Times New Roman"/>
          <w:noProof/>
          <w:sz w:val="16"/>
          <w:szCs w:val="24"/>
        </w:rPr>
        <w:tab/>
        <w:t xml:space="preserve">Higgins J, Jackson D, Barrett JK, Lu G, Ades AE, White IR. Consistency and inconsistency in network meta-analysis: concepts and models for multi-arm studies. </w:t>
      </w:r>
      <w:r w:rsidRPr="005356A1">
        <w:rPr>
          <w:rFonts w:ascii="Verdana" w:hAnsi="Verdana" w:cs="Times New Roman"/>
          <w:i/>
          <w:iCs/>
          <w:noProof/>
          <w:sz w:val="16"/>
          <w:szCs w:val="24"/>
        </w:rPr>
        <w:t>Res. Synth. Methods</w:t>
      </w:r>
      <w:r w:rsidRPr="005356A1">
        <w:rPr>
          <w:rFonts w:ascii="Verdana" w:hAnsi="Verdana" w:cs="Times New Roman"/>
          <w:noProof/>
          <w:sz w:val="16"/>
          <w:szCs w:val="24"/>
        </w:rPr>
        <w:t xml:space="preserve"> 2012; 3: 98–110.</w:t>
      </w:r>
    </w:p>
    <w:p w14:paraId="404E5656" w14:textId="77777777" w:rsidR="005356A1" w:rsidRPr="005356A1" w:rsidRDefault="005356A1" w:rsidP="005356A1">
      <w:pPr>
        <w:widowControl w:val="0"/>
        <w:autoSpaceDE w:val="0"/>
        <w:autoSpaceDN w:val="0"/>
        <w:adjustRightInd w:val="0"/>
        <w:spacing w:before="100" w:after="100" w:line="240" w:lineRule="auto"/>
        <w:ind w:left="640" w:hanging="640"/>
        <w:rPr>
          <w:rFonts w:ascii="Verdana" w:hAnsi="Verdana" w:cs="Times New Roman"/>
          <w:noProof/>
          <w:sz w:val="16"/>
          <w:szCs w:val="24"/>
        </w:rPr>
      </w:pPr>
      <w:r w:rsidRPr="005356A1">
        <w:rPr>
          <w:rFonts w:ascii="Verdana" w:hAnsi="Verdana" w:cs="Times New Roman"/>
          <w:noProof/>
          <w:sz w:val="16"/>
          <w:szCs w:val="24"/>
        </w:rPr>
        <w:t xml:space="preserve">30. </w:t>
      </w:r>
      <w:r w:rsidRPr="005356A1">
        <w:rPr>
          <w:rFonts w:ascii="Verdana" w:hAnsi="Verdana" w:cs="Times New Roman"/>
          <w:noProof/>
          <w:sz w:val="16"/>
          <w:szCs w:val="24"/>
        </w:rPr>
        <w:tab/>
        <w:t xml:space="preserve">Kessels AG, Riet G, Puhan MA, Kleijnen J, Bachmann LM, Minder C. A simple regression model for network meta-analysis. </w:t>
      </w:r>
      <w:r w:rsidRPr="005356A1">
        <w:rPr>
          <w:rFonts w:ascii="Verdana" w:hAnsi="Verdana" w:cs="Times New Roman"/>
          <w:i/>
          <w:iCs/>
          <w:noProof/>
          <w:sz w:val="16"/>
          <w:szCs w:val="24"/>
        </w:rPr>
        <w:t>OA Epidemiol.</w:t>
      </w:r>
      <w:r w:rsidRPr="005356A1">
        <w:rPr>
          <w:rFonts w:ascii="Verdana" w:hAnsi="Verdana" w:cs="Times New Roman"/>
          <w:noProof/>
          <w:sz w:val="16"/>
          <w:szCs w:val="24"/>
        </w:rPr>
        <w:t xml:space="preserve"> 2013; : 1–8.</w:t>
      </w:r>
    </w:p>
    <w:p w14:paraId="1852E4E8" w14:textId="77777777" w:rsidR="005356A1" w:rsidRPr="00E66929" w:rsidRDefault="005356A1" w:rsidP="005356A1">
      <w:pPr>
        <w:widowControl w:val="0"/>
        <w:autoSpaceDE w:val="0"/>
        <w:autoSpaceDN w:val="0"/>
        <w:adjustRightInd w:val="0"/>
        <w:spacing w:before="100" w:after="100" w:line="240" w:lineRule="auto"/>
        <w:ind w:left="640" w:hanging="640"/>
        <w:rPr>
          <w:rFonts w:ascii="Verdana" w:hAnsi="Verdana" w:cs="Times New Roman"/>
          <w:noProof/>
          <w:sz w:val="16"/>
          <w:szCs w:val="24"/>
          <w:lang w:val="de-CH"/>
        </w:rPr>
      </w:pPr>
      <w:r w:rsidRPr="005356A1">
        <w:rPr>
          <w:rFonts w:ascii="Verdana" w:hAnsi="Verdana" w:cs="Times New Roman"/>
          <w:noProof/>
          <w:sz w:val="16"/>
          <w:szCs w:val="24"/>
        </w:rPr>
        <w:t xml:space="preserve">31. </w:t>
      </w:r>
      <w:r w:rsidRPr="005356A1">
        <w:rPr>
          <w:rFonts w:ascii="Verdana" w:hAnsi="Verdana" w:cs="Times New Roman"/>
          <w:noProof/>
          <w:sz w:val="16"/>
          <w:szCs w:val="24"/>
        </w:rPr>
        <w:tab/>
        <w:t xml:space="preserve">Dias S, Welton NJ, Caldwell DM, Ades  a. E. Checking consistency in mixed treatment comparison meta-analysis. </w:t>
      </w:r>
      <w:r w:rsidRPr="00E66929">
        <w:rPr>
          <w:rFonts w:ascii="Verdana" w:hAnsi="Verdana" w:cs="Times New Roman"/>
          <w:i/>
          <w:iCs/>
          <w:noProof/>
          <w:sz w:val="16"/>
          <w:szCs w:val="24"/>
          <w:lang w:val="de-CH"/>
        </w:rPr>
        <w:t>Stat. Med.</w:t>
      </w:r>
      <w:r w:rsidRPr="00E66929">
        <w:rPr>
          <w:rFonts w:ascii="Verdana" w:hAnsi="Verdana" w:cs="Times New Roman"/>
          <w:noProof/>
          <w:sz w:val="16"/>
          <w:szCs w:val="24"/>
          <w:lang w:val="de-CH"/>
        </w:rPr>
        <w:t xml:space="preserve"> 2010; 29: 932–944.</w:t>
      </w:r>
    </w:p>
    <w:p w14:paraId="3F244C95" w14:textId="77777777" w:rsidR="005356A1" w:rsidRPr="00E66929" w:rsidRDefault="005356A1" w:rsidP="005356A1">
      <w:pPr>
        <w:widowControl w:val="0"/>
        <w:autoSpaceDE w:val="0"/>
        <w:autoSpaceDN w:val="0"/>
        <w:adjustRightInd w:val="0"/>
        <w:spacing w:before="100" w:after="100" w:line="240" w:lineRule="auto"/>
        <w:ind w:left="640" w:hanging="640"/>
        <w:rPr>
          <w:rFonts w:ascii="Verdana" w:hAnsi="Verdana" w:cs="Times New Roman"/>
          <w:noProof/>
          <w:sz w:val="16"/>
          <w:szCs w:val="24"/>
          <w:lang w:val="de-CH"/>
        </w:rPr>
      </w:pPr>
      <w:r w:rsidRPr="00E66929">
        <w:rPr>
          <w:rFonts w:ascii="Verdana" w:hAnsi="Verdana" w:cs="Times New Roman"/>
          <w:noProof/>
          <w:sz w:val="16"/>
          <w:szCs w:val="24"/>
          <w:lang w:val="de-CH"/>
        </w:rPr>
        <w:t xml:space="preserve">32. </w:t>
      </w:r>
      <w:r w:rsidRPr="00E66929">
        <w:rPr>
          <w:rFonts w:ascii="Verdana" w:hAnsi="Verdana" w:cs="Times New Roman"/>
          <w:noProof/>
          <w:sz w:val="16"/>
          <w:szCs w:val="24"/>
          <w:lang w:val="de-CH"/>
        </w:rPr>
        <w:tab/>
        <w:t xml:space="preserve">Bucher HC, Guyatt GH, Griffith LE, Walter SD. </w:t>
      </w:r>
      <w:r w:rsidRPr="005356A1">
        <w:rPr>
          <w:rFonts w:ascii="Verdana" w:hAnsi="Verdana" w:cs="Times New Roman"/>
          <w:noProof/>
          <w:sz w:val="16"/>
          <w:szCs w:val="24"/>
        </w:rPr>
        <w:t xml:space="preserve">The results of direct and indirect treatment comparisons in meta-analysis of randomized controlled trials. </w:t>
      </w:r>
      <w:r w:rsidRPr="00E66929">
        <w:rPr>
          <w:rFonts w:ascii="Verdana" w:hAnsi="Verdana" w:cs="Times New Roman"/>
          <w:i/>
          <w:iCs/>
          <w:noProof/>
          <w:sz w:val="16"/>
          <w:szCs w:val="24"/>
          <w:lang w:val="de-CH"/>
        </w:rPr>
        <w:t>J. Clin. Epidemiol.</w:t>
      </w:r>
      <w:r w:rsidRPr="00E66929">
        <w:rPr>
          <w:rFonts w:ascii="Verdana" w:hAnsi="Verdana" w:cs="Times New Roman"/>
          <w:noProof/>
          <w:sz w:val="16"/>
          <w:szCs w:val="24"/>
          <w:lang w:val="de-CH"/>
        </w:rPr>
        <w:t xml:space="preserve"> 1997; 50: 683–691.</w:t>
      </w:r>
    </w:p>
    <w:p w14:paraId="6E9AC1B9" w14:textId="77777777" w:rsidR="005356A1" w:rsidRPr="005356A1" w:rsidRDefault="005356A1" w:rsidP="005356A1">
      <w:pPr>
        <w:widowControl w:val="0"/>
        <w:autoSpaceDE w:val="0"/>
        <w:autoSpaceDN w:val="0"/>
        <w:adjustRightInd w:val="0"/>
        <w:spacing w:before="100" w:after="100" w:line="240" w:lineRule="auto"/>
        <w:ind w:left="640" w:hanging="640"/>
        <w:rPr>
          <w:rFonts w:ascii="Verdana" w:hAnsi="Verdana" w:cs="Times New Roman"/>
          <w:noProof/>
          <w:sz w:val="16"/>
          <w:szCs w:val="24"/>
        </w:rPr>
      </w:pPr>
      <w:r w:rsidRPr="00E66929">
        <w:rPr>
          <w:rFonts w:ascii="Verdana" w:hAnsi="Verdana" w:cs="Times New Roman"/>
          <w:noProof/>
          <w:sz w:val="16"/>
          <w:szCs w:val="24"/>
          <w:lang w:val="de-CH"/>
        </w:rPr>
        <w:t xml:space="preserve">33. </w:t>
      </w:r>
      <w:r w:rsidRPr="00E66929">
        <w:rPr>
          <w:rFonts w:ascii="Verdana" w:hAnsi="Verdana" w:cs="Times New Roman"/>
          <w:noProof/>
          <w:sz w:val="16"/>
          <w:szCs w:val="24"/>
          <w:lang w:val="de-CH"/>
        </w:rPr>
        <w:tab/>
        <w:t xml:space="preserve">Rücker G, Schwarzer G, Krahn U, König J. netmeta: Network Meta-Analysis using Frequentist Methods. </w:t>
      </w:r>
      <w:r w:rsidRPr="005356A1">
        <w:rPr>
          <w:rFonts w:ascii="Verdana" w:hAnsi="Verdana" w:cs="Times New Roman"/>
          <w:noProof/>
          <w:sz w:val="16"/>
          <w:szCs w:val="24"/>
        </w:rPr>
        <w:t>2016.</w:t>
      </w:r>
    </w:p>
    <w:p w14:paraId="4206CEFE" w14:textId="77777777" w:rsidR="005356A1" w:rsidRPr="005356A1" w:rsidRDefault="005356A1" w:rsidP="005356A1">
      <w:pPr>
        <w:widowControl w:val="0"/>
        <w:autoSpaceDE w:val="0"/>
        <w:autoSpaceDN w:val="0"/>
        <w:adjustRightInd w:val="0"/>
        <w:spacing w:before="100" w:after="100" w:line="240" w:lineRule="auto"/>
        <w:ind w:left="640" w:hanging="640"/>
        <w:rPr>
          <w:rFonts w:ascii="Verdana" w:hAnsi="Verdana" w:cs="Times New Roman"/>
          <w:noProof/>
          <w:sz w:val="16"/>
          <w:szCs w:val="24"/>
        </w:rPr>
      </w:pPr>
      <w:r w:rsidRPr="005356A1">
        <w:rPr>
          <w:rFonts w:ascii="Verdana" w:hAnsi="Verdana" w:cs="Times New Roman"/>
          <w:noProof/>
          <w:sz w:val="16"/>
          <w:szCs w:val="24"/>
        </w:rPr>
        <w:t xml:space="preserve">34. </w:t>
      </w:r>
      <w:r w:rsidRPr="005356A1">
        <w:rPr>
          <w:rFonts w:ascii="Verdana" w:hAnsi="Verdana" w:cs="Times New Roman"/>
          <w:noProof/>
          <w:sz w:val="16"/>
          <w:szCs w:val="24"/>
        </w:rPr>
        <w:tab/>
        <w:t>R Core Team. R: A language and environment for statistical computing. Vienna, Austria: R Foundation for Statistical Computing; 2016.</w:t>
      </w:r>
    </w:p>
    <w:p w14:paraId="1A3FB89F" w14:textId="77777777" w:rsidR="005356A1" w:rsidRPr="005356A1" w:rsidRDefault="005356A1" w:rsidP="005356A1">
      <w:pPr>
        <w:widowControl w:val="0"/>
        <w:autoSpaceDE w:val="0"/>
        <w:autoSpaceDN w:val="0"/>
        <w:adjustRightInd w:val="0"/>
        <w:spacing w:before="100" w:after="100" w:line="240" w:lineRule="auto"/>
        <w:ind w:left="640" w:hanging="640"/>
        <w:rPr>
          <w:rFonts w:ascii="Verdana" w:hAnsi="Verdana" w:cs="Times New Roman"/>
          <w:noProof/>
          <w:sz w:val="16"/>
          <w:szCs w:val="24"/>
        </w:rPr>
      </w:pPr>
      <w:r w:rsidRPr="005356A1">
        <w:rPr>
          <w:rFonts w:ascii="Verdana" w:hAnsi="Verdana" w:cs="Times New Roman"/>
          <w:noProof/>
          <w:sz w:val="16"/>
          <w:szCs w:val="24"/>
        </w:rPr>
        <w:t xml:space="preserve">35. </w:t>
      </w:r>
      <w:r w:rsidRPr="005356A1">
        <w:rPr>
          <w:rFonts w:ascii="Verdana" w:hAnsi="Verdana" w:cs="Times New Roman"/>
          <w:noProof/>
          <w:sz w:val="16"/>
          <w:szCs w:val="24"/>
        </w:rPr>
        <w:tab/>
        <w:t>StataCorp. Stata Statistical Software: Release 13. College Station, TX: StataCorp LP; 2013.</w:t>
      </w:r>
    </w:p>
    <w:p w14:paraId="199A7724" w14:textId="77777777" w:rsidR="005356A1" w:rsidRPr="005356A1" w:rsidRDefault="005356A1" w:rsidP="005356A1">
      <w:pPr>
        <w:widowControl w:val="0"/>
        <w:autoSpaceDE w:val="0"/>
        <w:autoSpaceDN w:val="0"/>
        <w:adjustRightInd w:val="0"/>
        <w:spacing w:before="100" w:after="100" w:line="240" w:lineRule="auto"/>
        <w:ind w:left="640" w:hanging="640"/>
        <w:rPr>
          <w:rFonts w:ascii="Verdana" w:hAnsi="Verdana" w:cs="Times New Roman"/>
          <w:noProof/>
          <w:sz w:val="16"/>
          <w:szCs w:val="24"/>
        </w:rPr>
      </w:pPr>
      <w:r w:rsidRPr="005356A1">
        <w:rPr>
          <w:rFonts w:ascii="Verdana" w:hAnsi="Verdana" w:cs="Times New Roman"/>
          <w:noProof/>
          <w:sz w:val="16"/>
          <w:szCs w:val="24"/>
        </w:rPr>
        <w:t xml:space="preserve">36. </w:t>
      </w:r>
      <w:r w:rsidRPr="005356A1">
        <w:rPr>
          <w:rFonts w:ascii="Verdana" w:hAnsi="Verdana" w:cs="Times New Roman"/>
          <w:noProof/>
          <w:sz w:val="16"/>
          <w:szCs w:val="24"/>
        </w:rPr>
        <w:tab/>
        <w:t xml:space="preserve">White IR. Multivariate random-effects meta-regression: Updates to mvmeta. </w:t>
      </w:r>
      <w:r w:rsidRPr="005356A1">
        <w:rPr>
          <w:rFonts w:ascii="Verdana" w:hAnsi="Verdana" w:cs="Times New Roman"/>
          <w:i/>
          <w:iCs/>
          <w:noProof/>
          <w:sz w:val="16"/>
          <w:szCs w:val="24"/>
        </w:rPr>
        <w:t>Stata J.</w:t>
      </w:r>
      <w:r w:rsidRPr="005356A1">
        <w:rPr>
          <w:rFonts w:ascii="Verdana" w:hAnsi="Verdana" w:cs="Times New Roman"/>
          <w:noProof/>
          <w:sz w:val="16"/>
          <w:szCs w:val="24"/>
        </w:rPr>
        <w:t xml:space="preserve"> 2011; 11: 255–270.</w:t>
      </w:r>
    </w:p>
    <w:p w14:paraId="55D96F93" w14:textId="77777777" w:rsidR="005356A1" w:rsidRPr="005356A1" w:rsidRDefault="005356A1" w:rsidP="005356A1">
      <w:pPr>
        <w:widowControl w:val="0"/>
        <w:autoSpaceDE w:val="0"/>
        <w:autoSpaceDN w:val="0"/>
        <w:adjustRightInd w:val="0"/>
        <w:spacing w:before="100" w:after="100" w:line="240" w:lineRule="auto"/>
        <w:ind w:left="640" w:hanging="640"/>
        <w:rPr>
          <w:rFonts w:ascii="Verdana" w:hAnsi="Verdana" w:cs="Times New Roman"/>
          <w:noProof/>
          <w:sz w:val="16"/>
          <w:szCs w:val="24"/>
        </w:rPr>
      </w:pPr>
      <w:r w:rsidRPr="005356A1">
        <w:rPr>
          <w:rFonts w:ascii="Verdana" w:hAnsi="Verdana" w:cs="Times New Roman"/>
          <w:noProof/>
          <w:sz w:val="16"/>
          <w:szCs w:val="24"/>
        </w:rPr>
        <w:t xml:space="preserve">37. </w:t>
      </w:r>
      <w:r w:rsidRPr="005356A1">
        <w:rPr>
          <w:rFonts w:ascii="Verdana" w:hAnsi="Verdana" w:cs="Times New Roman"/>
          <w:noProof/>
          <w:sz w:val="16"/>
          <w:szCs w:val="24"/>
        </w:rPr>
        <w:tab/>
        <w:t xml:space="preserve">Soriano JB, Lamprecht B, Ramírez AS, Martinez-Camblor P, Kaiser B, Alfageme I, Almagro P, Casanova C, Esteban C, Soler-Cataluña JJ, De-Torres JP, Miravitlles M, Celli BR, Marin JM, Puhan MA, Sobradillo P, Lange P, Sternberg AL, Garcia-Aymerich J, Turner AM, Han MK, Langhammer A, Leivseth L, Bakke P, Johannessen A, Roche N, Sin DD. Mortality prediction in chronic obstructive pulmonary disease comparing the GOLD 2007 and 2011 staging systems: a pooled analysis of individual patient data. </w:t>
      </w:r>
      <w:r w:rsidRPr="005356A1">
        <w:rPr>
          <w:rFonts w:ascii="Verdana" w:hAnsi="Verdana" w:cs="Times New Roman"/>
          <w:i/>
          <w:iCs/>
          <w:noProof/>
          <w:sz w:val="16"/>
          <w:szCs w:val="24"/>
        </w:rPr>
        <w:t>Lancet Respir. Med.</w:t>
      </w:r>
      <w:r w:rsidRPr="005356A1">
        <w:rPr>
          <w:rFonts w:ascii="Verdana" w:hAnsi="Verdana" w:cs="Times New Roman"/>
          <w:noProof/>
          <w:sz w:val="16"/>
          <w:szCs w:val="24"/>
        </w:rPr>
        <w:t xml:space="preserve"> 2015; 3: 443–450.</w:t>
      </w:r>
    </w:p>
    <w:p w14:paraId="119A4FE5" w14:textId="77777777" w:rsidR="005356A1" w:rsidRPr="005356A1" w:rsidRDefault="005356A1" w:rsidP="005356A1">
      <w:pPr>
        <w:widowControl w:val="0"/>
        <w:autoSpaceDE w:val="0"/>
        <w:autoSpaceDN w:val="0"/>
        <w:adjustRightInd w:val="0"/>
        <w:spacing w:before="100" w:after="100" w:line="240" w:lineRule="auto"/>
        <w:ind w:left="640" w:hanging="640"/>
        <w:rPr>
          <w:rFonts w:ascii="Verdana" w:hAnsi="Verdana" w:cs="Times New Roman"/>
          <w:noProof/>
          <w:sz w:val="16"/>
          <w:szCs w:val="24"/>
        </w:rPr>
      </w:pPr>
      <w:r w:rsidRPr="005356A1">
        <w:rPr>
          <w:rFonts w:ascii="Verdana" w:hAnsi="Verdana" w:cs="Times New Roman"/>
          <w:noProof/>
          <w:sz w:val="16"/>
          <w:szCs w:val="24"/>
        </w:rPr>
        <w:t xml:space="preserve">38. </w:t>
      </w:r>
      <w:r w:rsidRPr="005356A1">
        <w:rPr>
          <w:rFonts w:ascii="Verdana" w:hAnsi="Verdana" w:cs="Times New Roman"/>
          <w:noProof/>
          <w:sz w:val="16"/>
          <w:szCs w:val="24"/>
        </w:rPr>
        <w:tab/>
        <w:t xml:space="preserve">Cipriani A, Barbui C, Salanti G, Rendell J, Brown R, Stockton S, Purgato M, Spineli LM, Goodwin GM, Geddes JR. Comparative efficacy and acceptability of antimanic drugs in acute mania: A multiple-treatments meta-analysis. </w:t>
      </w:r>
      <w:r w:rsidRPr="005356A1">
        <w:rPr>
          <w:rFonts w:ascii="Verdana" w:hAnsi="Verdana" w:cs="Times New Roman"/>
          <w:i/>
          <w:iCs/>
          <w:noProof/>
          <w:sz w:val="16"/>
          <w:szCs w:val="24"/>
        </w:rPr>
        <w:t>Lancet</w:t>
      </w:r>
      <w:r w:rsidRPr="005356A1">
        <w:rPr>
          <w:rFonts w:ascii="Verdana" w:hAnsi="Verdana" w:cs="Times New Roman"/>
          <w:noProof/>
          <w:sz w:val="16"/>
          <w:szCs w:val="24"/>
        </w:rPr>
        <w:t xml:space="preserve"> Elsevier Ltd; 2011; 378: 1306–1315.</w:t>
      </w:r>
    </w:p>
    <w:p w14:paraId="67F7B079" w14:textId="77777777" w:rsidR="005356A1" w:rsidRPr="005356A1" w:rsidRDefault="005356A1" w:rsidP="005356A1">
      <w:pPr>
        <w:widowControl w:val="0"/>
        <w:autoSpaceDE w:val="0"/>
        <w:autoSpaceDN w:val="0"/>
        <w:adjustRightInd w:val="0"/>
        <w:spacing w:before="100" w:after="100" w:line="240" w:lineRule="auto"/>
        <w:ind w:left="640" w:hanging="640"/>
        <w:rPr>
          <w:rFonts w:ascii="Verdana" w:hAnsi="Verdana" w:cs="Times New Roman"/>
          <w:noProof/>
          <w:sz w:val="16"/>
          <w:szCs w:val="24"/>
        </w:rPr>
      </w:pPr>
      <w:r w:rsidRPr="005356A1">
        <w:rPr>
          <w:rFonts w:ascii="Verdana" w:hAnsi="Verdana" w:cs="Times New Roman"/>
          <w:noProof/>
          <w:sz w:val="16"/>
          <w:szCs w:val="24"/>
        </w:rPr>
        <w:t xml:space="preserve">39. </w:t>
      </w:r>
      <w:r w:rsidRPr="005356A1">
        <w:rPr>
          <w:rFonts w:ascii="Verdana" w:hAnsi="Verdana" w:cs="Times New Roman"/>
          <w:noProof/>
          <w:sz w:val="16"/>
          <w:szCs w:val="24"/>
        </w:rPr>
        <w:tab/>
        <w:t xml:space="preserve">Puhan MA, Schunemann HJ, Murad MH, Li T, Brignardello-Petersen R, Singh J a., Kessels AG, Guyatt GH. A GRADE Working Group approach for rating the quality of treatment effect estimates from network meta-analysis. </w:t>
      </w:r>
      <w:r w:rsidRPr="005356A1">
        <w:rPr>
          <w:rFonts w:ascii="Verdana" w:hAnsi="Verdana" w:cs="Times New Roman"/>
          <w:i/>
          <w:iCs/>
          <w:noProof/>
          <w:sz w:val="16"/>
          <w:szCs w:val="24"/>
        </w:rPr>
        <w:t>Bmj</w:t>
      </w:r>
      <w:r w:rsidRPr="005356A1">
        <w:rPr>
          <w:rFonts w:ascii="Verdana" w:hAnsi="Verdana" w:cs="Times New Roman"/>
          <w:noProof/>
          <w:sz w:val="16"/>
          <w:szCs w:val="24"/>
        </w:rPr>
        <w:t xml:space="preserve"> 2014; 349: g5630–g5630.</w:t>
      </w:r>
    </w:p>
    <w:p w14:paraId="2439F936" w14:textId="77777777" w:rsidR="005356A1" w:rsidRPr="005356A1" w:rsidRDefault="005356A1" w:rsidP="005356A1">
      <w:pPr>
        <w:widowControl w:val="0"/>
        <w:autoSpaceDE w:val="0"/>
        <w:autoSpaceDN w:val="0"/>
        <w:adjustRightInd w:val="0"/>
        <w:spacing w:before="100" w:after="100" w:line="240" w:lineRule="auto"/>
        <w:ind w:left="640" w:hanging="640"/>
        <w:rPr>
          <w:rFonts w:ascii="Verdana" w:hAnsi="Verdana" w:cs="Times New Roman"/>
          <w:noProof/>
          <w:sz w:val="16"/>
          <w:szCs w:val="24"/>
        </w:rPr>
      </w:pPr>
      <w:r w:rsidRPr="005356A1">
        <w:rPr>
          <w:rFonts w:ascii="Verdana" w:hAnsi="Verdana" w:cs="Times New Roman"/>
          <w:noProof/>
          <w:sz w:val="16"/>
          <w:szCs w:val="24"/>
        </w:rPr>
        <w:t xml:space="preserve">40. </w:t>
      </w:r>
      <w:r w:rsidRPr="005356A1">
        <w:rPr>
          <w:rFonts w:ascii="Verdana" w:hAnsi="Verdana" w:cs="Times New Roman"/>
          <w:noProof/>
          <w:sz w:val="16"/>
          <w:szCs w:val="24"/>
        </w:rPr>
        <w:tab/>
        <w:t xml:space="preserve">Palmer SC, Mavridis D, Nicolucci A, Johnson DW, Tonelli M, Craig JC, Maggo J, Gray V, Berardis G De, Ruospo M, Natale P, Saglimbene V, Badve S V, Cho Y, Burke M, Faruque L, Lloyd A. Comparison of Clinical Outcomes and Adverse Events Associated With Glucose-Lowering Drugs in Patients With Type 2 Diabetes A Meta-analysis. </w:t>
      </w:r>
      <w:r w:rsidRPr="005356A1">
        <w:rPr>
          <w:rFonts w:ascii="Verdana" w:hAnsi="Verdana" w:cs="Times New Roman"/>
          <w:i/>
          <w:iCs/>
          <w:noProof/>
          <w:sz w:val="16"/>
          <w:szCs w:val="24"/>
        </w:rPr>
        <w:t>JAMA - J. Am. Med. Assoc.</w:t>
      </w:r>
      <w:r w:rsidRPr="005356A1">
        <w:rPr>
          <w:rFonts w:ascii="Verdana" w:hAnsi="Verdana" w:cs="Times New Roman"/>
          <w:noProof/>
          <w:sz w:val="16"/>
          <w:szCs w:val="24"/>
        </w:rPr>
        <w:t xml:space="preserve"> 2016; 316: 313–324.</w:t>
      </w:r>
    </w:p>
    <w:p w14:paraId="5F1A4BA1" w14:textId="77777777" w:rsidR="005356A1" w:rsidRPr="005356A1" w:rsidRDefault="005356A1" w:rsidP="005356A1">
      <w:pPr>
        <w:widowControl w:val="0"/>
        <w:autoSpaceDE w:val="0"/>
        <w:autoSpaceDN w:val="0"/>
        <w:adjustRightInd w:val="0"/>
        <w:spacing w:before="100" w:after="100" w:line="240" w:lineRule="auto"/>
        <w:ind w:left="640" w:hanging="640"/>
        <w:rPr>
          <w:rFonts w:ascii="Verdana" w:hAnsi="Verdana" w:cs="Times New Roman"/>
          <w:noProof/>
          <w:sz w:val="16"/>
          <w:szCs w:val="24"/>
        </w:rPr>
      </w:pPr>
      <w:r w:rsidRPr="005356A1">
        <w:rPr>
          <w:rFonts w:ascii="Verdana" w:hAnsi="Verdana" w:cs="Times New Roman"/>
          <w:noProof/>
          <w:sz w:val="16"/>
          <w:szCs w:val="24"/>
        </w:rPr>
        <w:t xml:space="preserve">41. </w:t>
      </w:r>
      <w:r w:rsidRPr="005356A1">
        <w:rPr>
          <w:rFonts w:ascii="Verdana" w:hAnsi="Verdana" w:cs="Times New Roman"/>
          <w:noProof/>
          <w:sz w:val="16"/>
          <w:szCs w:val="24"/>
        </w:rPr>
        <w:tab/>
        <w:t xml:space="preserve">Cipriani A, Furukawa TA, Salanti G, Geddes JR, Higgins J, Churchill R, Watanabe N, Nakagawa A, Omori IM, McGuire H, Tansella M, Barbui C. Comparative efficacy and acceptability of 12 new-generation antidepressants: a multiple-treatments meta-analysis. </w:t>
      </w:r>
      <w:r w:rsidRPr="005356A1">
        <w:rPr>
          <w:rFonts w:ascii="Verdana" w:hAnsi="Verdana" w:cs="Times New Roman"/>
          <w:i/>
          <w:iCs/>
          <w:noProof/>
          <w:sz w:val="16"/>
          <w:szCs w:val="24"/>
        </w:rPr>
        <w:t>Lancet</w:t>
      </w:r>
      <w:r w:rsidRPr="005356A1">
        <w:rPr>
          <w:rFonts w:ascii="Verdana" w:hAnsi="Verdana" w:cs="Times New Roman"/>
          <w:noProof/>
          <w:sz w:val="16"/>
          <w:szCs w:val="24"/>
        </w:rPr>
        <w:t xml:space="preserve"> Elsevier Ltd; 2009; 373: 746–758.</w:t>
      </w:r>
    </w:p>
    <w:p w14:paraId="0ED4567A" w14:textId="77777777" w:rsidR="005356A1" w:rsidRPr="005356A1" w:rsidRDefault="005356A1" w:rsidP="005356A1">
      <w:pPr>
        <w:widowControl w:val="0"/>
        <w:autoSpaceDE w:val="0"/>
        <w:autoSpaceDN w:val="0"/>
        <w:adjustRightInd w:val="0"/>
        <w:spacing w:before="100" w:after="100" w:line="240" w:lineRule="auto"/>
        <w:ind w:left="640" w:hanging="640"/>
        <w:rPr>
          <w:rFonts w:ascii="Verdana" w:hAnsi="Verdana" w:cs="Times New Roman"/>
          <w:noProof/>
          <w:sz w:val="16"/>
          <w:szCs w:val="24"/>
        </w:rPr>
      </w:pPr>
      <w:r w:rsidRPr="005356A1">
        <w:rPr>
          <w:rFonts w:ascii="Verdana" w:hAnsi="Verdana" w:cs="Times New Roman"/>
          <w:noProof/>
          <w:sz w:val="16"/>
          <w:szCs w:val="24"/>
        </w:rPr>
        <w:t xml:space="preserve">42. </w:t>
      </w:r>
      <w:r w:rsidRPr="005356A1">
        <w:rPr>
          <w:rFonts w:ascii="Verdana" w:hAnsi="Verdana" w:cs="Times New Roman"/>
          <w:noProof/>
          <w:sz w:val="16"/>
          <w:szCs w:val="24"/>
        </w:rPr>
        <w:tab/>
        <w:t>Wickham H. ggplot2: Elegant Graphics for Data Analysis. New York: Springer-Verlag; 2009.</w:t>
      </w:r>
    </w:p>
    <w:p w14:paraId="03064AE2" w14:textId="77777777" w:rsidR="005356A1" w:rsidRPr="005356A1" w:rsidRDefault="005356A1" w:rsidP="005356A1">
      <w:pPr>
        <w:widowControl w:val="0"/>
        <w:autoSpaceDE w:val="0"/>
        <w:autoSpaceDN w:val="0"/>
        <w:adjustRightInd w:val="0"/>
        <w:spacing w:before="100" w:after="100" w:line="240" w:lineRule="auto"/>
        <w:ind w:left="640" w:hanging="640"/>
        <w:rPr>
          <w:rFonts w:ascii="Verdana" w:hAnsi="Verdana" w:cs="Times New Roman"/>
          <w:noProof/>
          <w:sz w:val="16"/>
          <w:szCs w:val="24"/>
        </w:rPr>
      </w:pPr>
      <w:r w:rsidRPr="005356A1">
        <w:rPr>
          <w:rFonts w:ascii="Verdana" w:hAnsi="Verdana" w:cs="Times New Roman"/>
          <w:noProof/>
          <w:sz w:val="16"/>
          <w:szCs w:val="24"/>
        </w:rPr>
        <w:t xml:space="preserve">43. </w:t>
      </w:r>
      <w:r w:rsidRPr="005356A1">
        <w:rPr>
          <w:rFonts w:ascii="Verdana" w:hAnsi="Verdana" w:cs="Times New Roman"/>
          <w:noProof/>
          <w:sz w:val="16"/>
          <w:szCs w:val="24"/>
        </w:rPr>
        <w:tab/>
        <w:t xml:space="preserve">Caldwell DM, Ades  a E, Higgins J. Simultaneous comparison of multiple treatments: combining direct and indirect evidence. </w:t>
      </w:r>
      <w:r w:rsidRPr="005356A1">
        <w:rPr>
          <w:rFonts w:ascii="Verdana" w:hAnsi="Verdana" w:cs="Times New Roman"/>
          <w:i/>
          <w:iCs/>
          <w:noProof/>
          <w:sz w:val="16"/>
          <w:szCs w:val="24"/>
        </w:rPr>
        <w:t>Bmj</w:t>
      </w:r>
      <w:r w:rsidRPr="005356A1">
        <w:rPr>
          <w:rFonts w:ascii="Verdana" w:hAnsi="Verdana" w:cs="Times New Roman"/>
          <w:noProof/>
          <w:sz w:val="16"/>
          <w:szCs w:val="24"/>
        </w:rPr>
        <w:t xml:space="preserve"> 2005; 331: 897–900.</w:t>
      </w:r>
    </w:p>
    <w:p w14:paraId="23737B4C" w14:textId="77777777" w:rsidR="005356A1" w:rsidRPr="005356A1" w:rsidRDefault="005356A1" w:rsidP="005356A1">
      <w:pPr>
        <w:widowControl w:val="0"/>
        <w:autoSpaceDE w:val="0"/>
        <w:autoSpaceDN w:val="0"/>
        <w:adjustRightInd w:val="0"/>
        <w:spacing w:before="100" w:after="100" w:line="240" w:lineRule="auto"/>
        <w:ind w:left="640" w:hanging="640"/>
        <w:rPr>
          <w:rFonts w:ascii="Verdana" w:hAnsi="Verdana" w:cs="Times New Roman"/>
          <w:noProof/>
          <w:sz w:val="16"/>
          <w:szCs w:val="24"/>
        </w:rPr>
      </w:pPr>
      <w:r w:rsidRPr="005356A1">
        <w:rPr>
          <w:rFonts w:ascii="Verdana" w:hAnsi="Verdana" w:cs="Times New Roman"/>
          <w:noProof/>
          <w:sz w:val="16"/>
          <w:szCs w:val="24"/>
        </w:rPr>
        <w:t xml:space="preserve">44. </w:t>
      </w:r>
      <w:r w:rsidRPr="005356A1">
        <w:rPr>
          <w:rFonts w:ascii="Verdana" w:hAnsi="Verdana" w:cs="Times New Roman"/>
          <w:noProof/>
          <w:sz w:val="16"/>
          <w:szCs w:val="24"/>
        </w:rPr>
        <w:tab/>
        <w:t>Borenstein M, Hedges LV., Higgins J, R. RH. Introduction to Meta-Analysis. Wiley; 2011.</w:t>
      </w:r>
    </w:p>
    <w:p w14:paraId="204DD91F" w14:textId="77777777" w:rsidR="005356A1" w:rsidRPr="005356A1" w:rsidRDefault="005356A1" w:rsidP="005356A1">
      <w:pPr>
        <w:widowControl w:val="0"/>
        <w:autoSpaceDE w:val="0"/>
        <w:autoSpaceDN w:val="0"/>
        <w:adjustRightInd w:val="0"/>
        <w:spacing w:before="100" w:after="100" w:line="240" w:lineRule="auto"/>
        <w:ind w:left="640" w:hanging="640"/>
        <w:rPr>
          <w:rFonts w:ascii="Verdana" w:hAnsi="Verdana" w:cs="Times New Roman"/>
          <w:noProof/>
          <w:sz w:val="16"/>
          <w:szCs w:val="24"/>
        </w:rPr>
      </w:pPr>
      <w:r w:rsidRPr="005356A1">
        <w:rPr>
          <w:rFonts w:ascii="Verdana" w:hAnsi="Verdana" w:cs="Times New Roman"/>
          <w:noProof/>
          <w:sz w:val="16"/>
          <w:szCs w:val="24"/>
        </w:rPr>
        <w:t xml:space="preserve">45. </w:t>
      </w:r>
      <w:r w:rsidRPr="005356A1">
        <w:rPr>
          <w:rFonts w:ascii="Verdana" w:hAnsi="Verdana" w:cs="Times New Roman"/>
          <w:noProof/>
          <w:sz w:val="16"/>
          <w:szCs w:val="24"/>
        </w:rPr>
        <w:tab/>
        <w:t>Cipriani A, Higgins J, Geddes JR, Salanti G. Research and Reporting Methods Annals of Internal Medicine Conceptual and Technical Challenges in Network Meta-analysis. 2013; .</w:t>
      </w:r>
    </w:p>
    <w:p w14:paraId="658F41D1" w14:textId="77777777" w:rsidR="005356A1" w:rsidRPr="005356A1" w:rsidRDefault="005356A1" w:rsidP="005356A1">
      <w:pPr>
        <w:widowControl w:val="0"/>
        <w:autoSpaceDE w:val="0"/>
        <w:autoSpaceDN w:val="0"/>
        <w:adjustRightInd w:val="0"/>
        <w:spacing w:before="100" w:after="100" w:line="240" w:lineRule="auto"/>
        <w:ind w:left="640" w:hanging="640"/>
        <w:rPr>
          <w:rFonts w:ascii="Verdana" w:hAnsi="Verdana" w:cs="Times New Roman"/>
          <w:noProof/>
          <w:sz w:val="16"/>
          <w:szCs w:val="24"/>
        </w:rPr>
      </w:pPr>
      <w:r w:rsidRPr="005356A1">
        <w:rPr>
          <w:rFonts w:ascii="Verdana" w:hAnsi="Verdana" w:cs="Times New Roman"/>
          <w:noProof/>
          <w:sz w:val="16"/>
          <w:szCs w:val="24"/>
        </w:rPr>
        <w:t xml:space="preserve">46. </w:t>
      </w:r>
      <w:r w:rsidRPr="005356A1">
        <w:rPr>
          <w:rFonts w:ascii="Verdana" w:hAnsi="Verdana" w:cs="Times New Roman"/>
          <w:noProof/>
          <w:sz w:val="16"/>
          <w:szCs w:val="24"/>
        </w:rPr>
        <w:tab/>
        <w:t xml:space="preserve">Donegan S, Williamson P, Gamble C, Tudur-Smith C. Indirect Comparisons: A Review of Reporting and Methodological Quality. </w:t>
      </w:r>
      <w:r w:rsidRPr="005356A1">
        <w:rPr>
          <w:rFonts w:ascii="Verdana" w:hAnsi="Verdana" w:cs="Times New Roman"/>
          <w:i/>
          <w:iCs/>
          <w:noProof/>
          <w:sz w:val="16"/>
          <w:szCs w:val="24"/>
        </w:rPr>
        <w:t>PLoS One</w:t>
      </w:r>
      <w:r w:rsidRPr="005356A1">
        <w:rPr>
          <w:rFonts w:ascii="Verdana" w:hAnsi="Verdana" w:cs="Times New Roman"/>
          <w:noProof/>
          <w:sz w:val="16"/>
          <w:szCs w:val="24"/>
        </w:rPr>
        <w:t xml:space="preserve"> 2010; 5: e11054.</w:t>
      </w:r>
    </w:p>
    <w:p w14:paraId="43DCDAAC" w14:textId="77777777" w:rsidR="005356A1" w:rsidRPr="005356A1" w:rsidRDefault="005356A1" w:rsidP="005356A1">
      <w:pPr>
        <w:widowControl w:val="0"/>
        <w:autoSpaceDE w:val="0"/>
        <w:autoSpaceDN w:val="0"/>
        <w:adjustRightInd w:val="0"/>
        <w:spacing w:before="100" w:after="100" w:line="240" w:lineRule="auto"/>
        <w:ind w:left="640" w:hanging="640"/>
        <w:rPr>
          <w:rFonts w:ascii="Verdana" w:hAnsi="Verdana" w:cs="Times New Roman"/>
          <w:noProof/>
          <w:sz w:val="16"/>
          <w:szCs w:val="24"/>
        </w:rPr>
      </w:pPr>
      <w:r w:rsidRPr="005356A1">
        <w:rPr>
          <w:rFonts w:ascii="Verdana" w:hAnsi="Verdana" w:cs="Times New Roman"/>
          <w:noProof/>
          <w:sz w:val="16"/>
          <w:szCs w:val="24"/>
        </w:rPr>
        <w:t xml:space="preserve">47. </w:t>
      </w:r>
      <w:r w:rsidRPr="005356A1">
        <w:rPr>
          <w:rFonts w:ascii="Verdana" w:hAnsi="Verdana" w:cs="Times New Roman"/>
          <w:noProof/>
          <w:sz w:val="16"/>
          <w:szCs w:val="24"/>
        </w:rPr>
        <w:tab/>
        <w:t xml:space="preserve">Song F, Loke YK, Walsh T, Glenny A-M, Eastwood AJ, Altman DG. Methodological problems in the use of indirect comparisons for evaluating healthcare interventions: survey of published systematic reviews. </w:t>
      </w:r>
      <w:r w:rsidRPr="005356A1">
        <w:rPr>
          <w:rFonts w:ascii="Verdana" w:hAnsi="Verdana" w:cs="Times New Roman"/>
          <w:i/>
          <w:iCs/>
          <w:noProof/>
          <w:sz w:val="16"/>
          <w:szCs w:val="24"/>
        </w:rPr>
        <w:t>Bmj</w:t>
      </w:r>
      <w:r w:rsidRPr="005356A1">
        <w:rPr>
          <w:rFonts w:ascii="Verdana" w:hAnsi="Verdana" w:cs="Times New Roman"/>
          <w:noProof/>
          <w:sz w:val="16"/>
          <w:szCs w:val="24"/>
        </w:rPr>
        <w:t xml:space="preserve"> 2009; 338: 1–7.</w:t>
      </w:r>
    </w:p>
    <w:p w14:paraId="0ABDD9F8" w14:textId="77777777" w:rsidR="005356A1" w:rsidRPr="005356A1" w:rsidRDefault="005356A1" w:rsidP="005356A1">
      <w:pPr>
        <w:widowControl w:val="0"/>
        <w:autoSpaceDE w:val="0"/>
        <w:autoSpaceDN w:val="0"/>
        <w:adjustRightInd w:val="0"/>
        <w:spacing w:before="100" w:after="100" w:line="240" w:lineRule="auto"/>
        <w:ind w:left="640" w:hanging="640"/>
        <w:rPr>
          <w:rFonts w:ascii="Verdana" w:hAnsi="Verdana" w:cs="Times New Roman"/>
          <w:noProof/>
          <w:sz w:val="16"/>
          <w:szCs w:val="24"/>
        </w:rPr>
      </w:pPr>
      <w:r w:rsidRPr="005356A1">
        <w:rPr>
          <w:rFonts w:ascii="Verdana" w:hAnsi="Verdana" w:cs="Times New Roman"/>
          <w:noProof/>
          <w:sz w:val="16"/>
          <w:szCs w:val="24"/>
        </w:rPr>
        <w:t xml:space="preserve">48. </w:t>
      </w:r>
      <w:r w:rsidRPr="005356A1">
        <w:rPr>
          <w:rFonts w:ascii="Verdana" w:hAnsi="Verdana" w:cs="Times New Roman"/>
          <w:noProof/>
          <w:sz w:val="16"/>
          <w:szCs w:val="24"/>
        </w:rPr>
        <w:tab/>
        <w:t xml:space="preserve">Salanti G. Indirect and mixed-treatment comparison, network, or multiple-treatments meta-analysis: many names, many benefits, many concerns for the next generation evidence synthesis tool. </w:t>
      </w:r>
      <w:r w:rsidRPr="005356A1">
        <w:rPr>
          <w:rFonts w:ascii="Verdana" w:hAnsi="Verdana" w:cs="Times New Roman"/>
          <w:i/>
          <w:iCs/>
          <w:noProof/>
          <w:sz w:val="16"/>
          <w:szCs w:val="24"/>
        </w:rPr>
        <w:t>Res. Synth. Methods</w:t>
      </w:r>
      <w:r w:rsidRPr="005356A1">
        <w:rPr>
          <w:rFonts w:ascii="Verdana" w:hAnsi="Verdana" w:cs="Times New Roman"/>
          <w:noProof/>
          <w:sz w:val="16"/>
          <w:szCs w:val="24"/>
        </w:rPr>
        <w:t xml:space="preserve"> 2012; 3: 80–97.</w:t>
      </w:r>
    </w:p>
    <w:p w14:paraId="305FBEA2" w14:textId="77777777" w:rsidR="005356A1" w:rsidRPr="005356A1" w:rsidRDefault="005356A1" w:rsidP="005356A1">
      <w:pPr>
        <w:widowControl w:val="0"/>
        <w:autoSpaceDE w:val="0"/>
        <w:autoSpaceDN w:val="0"/>
        <w:adjustRightInd w:val="0"/>
        <w:spacing w:before="100" w:after="100" w:line="240" w:lineRule="auto"/>
        <w:ind w:left="640" w:hanging="640"/>
        <w:rPr>
          <w:rFonts w:ascii="Verdana" w:hAnsi="Verdana" w:cs="Times New Roman"/>
          <w:noProof/>
          <w:sz w:val="16"/>
          <w:szCs w:val="24"/>
        </w:rPr>
      </w:pPr>
      <w:r w:rsidRPr="005356A1">
        <w:rPr>
          <w:rFonts w:ascii="Verdana" w:hAnsi="Verdana" w:cs="Times New Roman"/>
          <w:noProof/>
          <w:sz w:val="16"/>
          <w:szCs w:val="24"/>
        </w:rPr>
        <w:t xml:space="preserve">49. </w:t>
      </w:r>
      <w:r w:rsidRPr="005356A1">
        <w:rPr>
          <w:rFonts w:ascii="Verdana" w:hAnsi="Verdana" w:cs="Times New Roman"/>
          <w:noProof/>
          <w:sz w:val="16"/>
          <w:szCs w:val="24"/>
        </w:rPr>
        <w:tab/>
        <w:t xml:space="preserve">Dias S, Welton NJ, Sutton AJ, Caldwell DM, Lu G, Ades  a E. Evidence synthesis for decision making 4: inconsistency in networks of evidence based on randomized controlled trials. </w:t>
      </w:r>
      <w:r w:rsidRPr="005356A1">
        <w:rPr>
          <w:rFonts w:ascii="Verdana" w:hAnsi="Verdana" w:cs="Times New Roman"/>
          <w:i/>
          <w:iCs/>
          <w:noProof/>
          <w:sz w:val="16"/>
          <w:szCs w:val="24"/>
        </w:rPr>
        <w:t>Med. Decis. Making</w:t>
      </w:r>
      <w:r w:rsidRPr="005356A1">
        <w:rPr>
          <w:rFonts w:ascii="Verdana" w:hAnsi="Verdana" w:cs="Times New Roman"/>
          <w:noProof/>
          <w:sz w:val="16"/>
          <w:szCs w:val="24"/>
        </w:rPr>
        <w:t xml:space="preserve"> 2013; 33: 641–656.</w:t>
      </w:r>
    </w:p>
    <w:p w14:paraId="642127E3" w14:textId="77777777" w:rsidR="005356A1" w:rsidRPr="005356A1" w:rsidRDefault="005356A1" w:rsidP="005356A1">
      <w:pPr>
        <w:widowControl w:val="0"/>
        <w:autoSpaceDE w:val="0"/>
        <w:autoSpaceDN w:val="0"/>
        <w:adjustRightInd w:val="0"/>
        <w:spacing w:before="100" w:after="100" w:line="240" w:lineRule="auto"/>
        <w:ind w:left="640" w:hanging="640"/>
        <w:rPr>
          <w:rFonts w:ascii="Verdana" w:hAnsi="Verdana" w:cs="Times New Roman"/>
          <w:noProof/>
          <w:sz w:val="16"/>
          <w:szCs w:val="24"/>
        </w:rPr>
      </w:pPr>
      <w:r w:rsidRPr="005356A1">
        <w:rPr>
          <w:rFonts w:ascii="Verdana" w:hAnsi="Verdana" w:cs="Times New Roman"/>
          <w:noProof/>
          <w:sz w:val="16"/>
          <w:szCs w:val="24"/>
        </w:rPr>
        <w:t xml:space="preserve">50. </w:t>
      </w:r>
      <w:r w:rsidRPr="005356A1">
        <w:rPr>
          <w:rFonts w:ascii="Verdana" w:hAnsi="Verdana" w:cs="Times New Roman"/>
          <w:noProof/>
          <w:sz w:val="16"/>
          <w:szCs w:val="24"/>
        </w:rPr>
        <w:tab/>
        <w:t xml:space="preserve">Debray TPA, Vergouwe Y, Koffijberg H, Nieboer D, Steyerberg EW, Moons KGM. A new framework to enhance the interpretation of external validation studies of clinical prediction models. </w:t>
      </w:r>
      <w:r w:rsidRPr="005356A1">
        <w:rPr>
          <w:rFonts w:ascii="Verdana" w:hAnsi="Verdana" w:cs="Times New Roman"/>
          <w:i/>
          <w:iCs/>
          <w:noProof/>
          <w:sz w:val="16"/>
          <w:szCs w:val="24"/>
        </w:rPr>
        <w:t>J. Clin. Epidemiol.</w:t>
      </w:r>
      <w:r w:rsidRPr="005356A1">
        <w:rPr>
          <w:rFonts w:ascii="Verdana" w:hAnsi="Verdana" w:cs="Times New Roman"/>
          <w:noProof/>
          <w:sz w:val="16"/>
          <w:szCs w:val="24"/>
        </w:rPr>
        <w:t xml:space="preserve"> Elsevier Inc; 2015; 68: 279–289.</w:t>
      </w:r>
    </w:p>
    <w:p w14:paraId="670423E7" w14:textId="77777777" w:rsidR="005356A1" w:rsidRPr="005356A1" w:rsidRDefault="005356A1" w:rsidP="005356A1">
      <w:pPr>
        <w:widowControl w:val="0"/>
        <w:autoSpaceDE w:val="0"/>
        <w:autoSpaceDN w:val="0"/>
        <w:adjustRightInd w:val="0"/>
        <w:spacing w:before="100" w:after="100" w:line="240" w:lineRule="auto"/>
        <w:ind w:left="640" w:hanging="640"/>
        <w:rPr>
          <w:rFonts w:ascii="Verdana" w:hAnsi="Verdana" w:cs="Times New Roman"/>
          <w:noProof/>
          <w:sz w:val="16"/>
          <w:szCs w:val="24"/>
        </w:rPr>
      </w:pPr>
      <w:r w:rsidRPr="005356A1">
        <w:rPr>
          <w:rFonts w:ascii="Verdana" w:hAnsi="Verdana" w:cs="Times New Roman"/>
          <w:noProof/>
          <w:sz w:val="16"/>
          <w:szCs w:val="24"/>
        </w:rPr>
        <w:t xml:space="preserve">51. </w:t>
      </w:r>
      <w:r w:rsidRPr="005356A1">
        <w:rPr>
          <w:rFonts w:ascii="Verdana" w:hAnsi="Verdana" w:cs="Times New Roman"/>
          <w:noProof/>
          <w:sz w:val="16"/>
          <w:szCs w:val="24"/>
        </w:rPr>
        <w:tab/>
        <w:t xml:space="preserve">Evaluation T. Academia and Clinic Spectrum Bias or Spectrum Effect ? Subgroup Variation in Diagnostic. </w:t>
      </w:r>
      <w:r w:rsidRPr="005356A1">
        <w:rPr>
          <w:rFonts w:ascii="Verdana" w:hAnsi="Verdana" w:cs="Times New Roman"/>
          <w:i/>
          <w:iCs/>
          <w:noProof/>
          <w:sz w:val="16"/>
          <w:szCs w:val="24"/>
        </w:rPr>
        <w:t>Ann. Intern. Med.</w:t>
      </w:r>
      <w:r w:rsidRPr="005356A1">
        <w:rPr>
          <w:rFonts w:ascii="Verdana" w:hAnsi="Verdana" w:cs="Times New Roman"/>
          <w:noProof/>
          <w:sz w:val="16"/>
          <w:szCs w:val="24"/>
        </w:rPr>
        <w:t xml:space="preserve"> 2002; : 598–603.</w:t>
      </w:r>
    </w:p>
    <w:p w14:paraId="24E23919" w14:textId="77777777" w:rsidR="005356A1" w:rsidRPr="005356A1" w:rsidRDefault="005356A1" w:rsidP="005356A1">
      <w:pPr>
        <w:widowControl w:val="0"/>
        <w:autoSpaceDE w:val="0"/>
        <w:autoSpaceDN w:val="0"/>
        <w:adjustRightInd w:val="0"/>
        <w:spacing w:before="100" w:after="100" w:line="240" w:lineRule="auto"/>
        <w:ind w:left="640" w:hanging="640"/>
        <w:rPr>
          <w:rFonts w:ascii="Verdana" w:hAnsi="Verdana" w:cs="Times New Roman"/>
          <w:noProof/>
          <w:sz w:val="16"/>
          <w:szCs w:val="24"/>
        </w:rPr>
      </w:pPr>
      <w:r w:rsidRPr="005356A1">
        <w:rPr>
          <w:rFonts w:ascii="Verdana" w:hAnsi="Verdana" w:cs="Times New Roman"/>
          <w:noProof/>
          <w:sz w:val="16"/>
          <w:szCs w:val="24"/>
        </w:rPr>
        <w:t xml:space="preserve">52. </w:t>
      </w:r>
      <w:r w:rsidRPr="005356A1">
        <w:rPr>
          <w:rFonts w:ascii="Verdana" w:hAnsi="Verdana" w:cs="Times New Roman"/>
          <w:noProof/>
          <w:sz w:val="16"/>
          <w:szCs w:val="24"/>
        </w:rPr>
        <w:tab/>
        <w:t xml:space="preserve">Ransohoff D, Feinstein A. Problems of spectrum and bias in evaluating the efficacy of diagnostic tests. </w:t>
      </w:r>
      <w:r w:rsidRPr="005356A1">
        <w:rPr>
          <w:rFonts w:ascii="Verdana" w:hAnsi="Verdana" w:cs="Times New Roman"/>
          <w:i/>
          <w:iCs/>
          <w:noProof/>
          <w:sz w:val="16"/>
          <w:szCs w:val="24"/>
        </w:rPr>
        <w:t>N. Engl. J. Med.</w:t>
      </w:r>
      <w:r w:rsidRPr="005356A1">
        <w:rPr>
          <w:rFonts w:ascii="Verdana" w:hAnsi="Verdana" w:cs="Times New Roman"/>
          <w:noProof/>
          <w:sz w:val="16"/>
          <w:szCs w:val="24"/>
        </w:rPr>
        <w:t xml:space="preserve"> 2010; .</w:t>
      </w:r>
    </w:p>
    <w:p w14:paraId="15B5484E" w14:textId="77777777" w:rsidR="005356A1" w:rsidRPr="005356A1" w:rsidRDefault="005356A1" w:rsidP="005356A1">
      <w:pPr>
        <w:widowControl w:val="0"/>
        <w:autoSpaceDE w:val="0"/>
        <w:autoSpaceDN w:val="0"/>
        <w:adjustRightInd w:val="0"/>
        <w:spacing w:before="100" w:after="100" w:line="240" w:lineRule="auto"/>
        <w:ind w:left="640" w:hanging="640"/>
        <w:rPr>
          <w:rFonts w:ascii="Verdana" w:hAnsi="Verdana" w:cs="Times New Roman"/>
          <w:noProof/>
          <w:sz w:val="16"/>
          <w:szCs w:val="24"/>
        </w:rPr>
      </w:pPr>
      <w:r w:rsidRPr="005356A1">
        <w:rPr>
          <w:rFonts w:ascii="Verdana" w:hAnsi="Verdana" w:cs="Times New Roman"/>
          <w:noProof/>
          <w:sz w:val="16"/>
          <w:szCs w:val="24"/>
        </w:rPr>
        <w:t xml:space="preserve">53. </w:t>
      </w:r>
      <w:r w:rsidRPr="005356A1">
        <w:rPr>
          <w:rFonts w:ascii="Verdana" w:hAnsi="Verdana" w:cs="Times New Roman"/>
          <w:noProof/>
          <w:sz w:val="16"/>
          <w:szCs w:val="24"/>
        </w:rPr>
        <w:tab/>
        <w:t xml:space="preserve">Riley RD, Ensor J, Snell KIE, Debray TPA, Altman DG, Moons KGM, Collins GS. External validation of clinical prediction models using big datasets from e-health records or IPD meta-analysis: opportunities and challenges. </w:t>
      </w:r>
      <w:r w:rsidRPr="005356A1">
        <w:rPr>
          <w:rFonts w:ascii="Verdana" w:hAnsi="Verdana" w:cs="Times New Roman"/>
          <w:i/>
          <w:iCs/>
          <w:noProof/>
          <w:sz w:val="16"/>
          <w:szCs w:val="24"/>
        </w:rPr>
        <w:t>Bmj</w:t>
      </w:r>
      <w:r w:rsidRPr="005356A1">
        <w:rPr>
          <w:rFonts w:ascii="Verdana" w:hAnsi="Verdana" w:cs="Times New Roman"/>
          <w:noProof/>
          <w:sz w:val="16"/>
          <w:szCs w:val="24"/>
        </w:rPr>
        <w:t xml:space="preserve"> 2016; 353: i3140.</w:t>
      </w:r>
    </w:p>
    <w:p w14:paraId="66A3921B" w14:textId="77777777" w:rsidR="005356A1" w:rsidRPr="005356A1" w:rsidRDefault="005356A1" w:rsidP="005356A1">
      <w:pPr>
        <w:widowControl w:val="0"/>
        <w:autoSpaceDE w:val="0"/>
        <w:autoSpaceDN w:val="0"/>
        <w:adjustRightInd w:val="0"/>
        <w:spacing w:before="100" w:after="100" w:line="240" w:lineRule="auto"/>
        <w:ind w:left="640" w:hanging="640"/>
        <w:rPr>
          <w:rFonts w:ascii="Verdana" w:hAnsi="Verdana" w:cs="Times New Roman"/>
          <w:noProof/>
          <w:sz w:val="16"/>
          <w:szCs w:val="24"/>
        </w:rPr>
      </w:pPr>
      <w:r w:rsidRPr="005356A1">
        <w:rPr>
          <w:rFonts w:ascii="Verdana" w:hAnsi="Verdana" w:cs="Times New Roman"/>
          <w:noProof/>
          <w:sz w:val="16"/>
          <w:szCs w:val="24"/>
        </w:rPr>
        <w:t xml:space="preserve">54. </w:t>
      </w:r>
      <w:r w:rsidRPr="005356A1">
        <w:rPr>
          <w:rFonts w:ascii="Verdana" w:hAnsi="Verdana" w:cs="Times New Roman"/>
          <w:noProof/>
          <w:sz w:val="16"/>
          <w:szCs w:val="24"/>
        </w:rPr>
        <w:tab/>
        <w:t xml:space="preserve">Vergouwe Y, Moons KGM, Steyerberg EW. External validity of risk models: Use of benchmark values to disentangle a case-mix effect from incorrect coefficients. </w:t>
      </w:r>
      <w:r w:rsidRPr="005356A1">
        <w:rPr>
          <w:rFonts w:ascii="Verdana" w:hAnsi="Verdana" w:cs="Times New Roman"/>
          <w:i/>
          <w:iCs/>
          <w:noProof/>
          <w:sz w:val="16"/>
          <w:szCs w:val="24"/>
        </w:rPr>
        <w:t>AJE (American J. Epidemiol.</w:t>
      </w:r>
      <w:r w:rsidRPr="005356A1">
        <w:rPr>
          <w:rFonts w:ascii="Verdana" w:hAnsi="Verdana" w:cs="Times New Roman"/>
          <w:noProof/>
          <w:sz w:val="16"/>
          <w:szCs w:val="24"/>
        </w:rPr>
        <w:t xml:space="preserve"> 2010; 172: 971–980.</w:t>
      </w:r>
    </w:p>
    <w:p w14:paraId="2C28F15F" w14:textId="77777777" w:rsidR="005356A1" w:rsidRPr="005356A1" w:rsidRDefault="005356A1" w:rsidP="005356A1">
      <w:pPr>
        <w:widowControl w:val="0"/>
        <w:autoSpaceDE w:val="0"/>
        <w:autoSpaceDN w:val="0"/>
        <w:adjustRightInd w:val="0"/>
        <w:spacing w:before="100" w:after="100" w:line="240" w:lineRule="auto"/>
        <w:ind w:left="640" w:hanging="640"/>
        <w:rPr>
          <w:rFonts w:ascii="Verdana" w:hAnsi="Verdana" w:cs="Times New Roman"/>
          <w:noProof/>
          <w:sz w:val="16"/>
          <w:szCs w:val="24"/>
        </w:rPr>
      </w:pPr>
      <w:r w:rsidRPr="005356A1">
        <w:rPr>
          <w:rFonts w:ascii="Verdana" w:hAnsi="Verdana" w:cs="Times New Roman"/>
          <w:noProof/>
          <w:sz w:val="16"/>
          <w:szCs w:val="24"/>
        </w:rPr>
        <w:t xml:space="preserve">55. </w:t>
      </w:r>
      <w:r w:rsidRPr="005356A1">
        <w:rPr>
          <w:rFonts w:ascii="Verdana" w:hAnsi="Verdana" w:cs="Times New Roman"/>
          <w:noProof/>
          <w:sz w:val="16"/>
          <w:szCs w:val="24"/>
        </w:rPr>
        <w:tab/>
        <w:t xml:space="preserve">Cox DR. Two Further Applications of a Model for Binary Regression. </w:t>
      </w:r>
      <w:r w:rsidRPr="005356A1">
        <w:rPr>
          <w:rFonts w:ascii="Verdana" w:hAnsi="Verdana" w:cs="Times New Roman"/>
          <w:i/>
          <w:iCs/>
          <w:noProof/>
          <w:sz w:val="16"/>
          <w:szCs w:val="24"/>
        </w:rPr>
        <w:t>Biometrika</w:t>
      </w:r>
      <w:r w:rsidRPr="005356A1">
        <w:rPr>
          <w:rFonts w:ascii="Verdana" w:hAnsi="Verdana" w:cs="Times New Roman"/>
          <w:noProof/>
          <w:sz w:val="16"/>
          <w:szCs w:val="24"/>
        </w:rPr>
        <w:t xml:space="preserve"> 1958; 45: 562–565.</w:t>
      </w:r>
    </w:p>
    <w:p w14:paraId="39C0A201" w14:textId="77777777" w:rsidR="005356A1" w:rsidRPr="005356A1" w:rsidRDefault="005356A1" w:rsidP="005356A1">
      <w:pPr>
        <w:widowControl w:val="0"/>
        <w:autoSpaceDE w:val="0"/>
        <w:autoSpaceDN w:val="0"/>
        <w:adjustRightInd w:val="0"/>
        <w:spacing w:before="100" w:after="100" w:line="240" w:lineRule="auto"/>
        <w:ind w:left="640" w:hanging="640"/>
        <w:rPr>
          <w:rFonts w:ascii="Verdana" w:hAnsi="Verdana" w:cs="Times New Roman"/>
          <w:noProof/>
          <w:sz w:val="16"/>
          <w:szCs w:val="24"/>
        </w:rPr>
      </w:pPr>
      <w:r w:rsidRPr="005356A1">
        <w:rPr>
          <w:rFonts w:ascii="Verdana" w:hAnsi="Verdana" w:cs="Times New Roman"/>
          <w:noProof/>
          <w:sz w:val="16"/>
          <w:szCs w:val="24"/>
        </w:rPr>
        <w:t xml:space="preserve">56. </w:t>
      </w:r>
      <w:r w:rsidRPr="005356A1">
        <w:rPr>
          <w:rFonts w:ascii="Verdana" w:hAnsi="Verdana" w:cs="Times New Roman"/>
          <w:noProof/>
          <w:sz w:val="16"/>
          <w:szCs w:val="24"/>
        </w:rPr>
        <w:tab/>
        <w:t xml:space="preserve">Hanley JA, McNeil BJ. The Meaning and Use of the Area under a Receiver Operating ( ROC ) Curvel Characteristic. </w:t>
      </w:r>
      <w:r w:rsidRPr="005356A1">
        <w:rPr>
          <w:rFonts w:ascii="Verdana" w:hAnsi="Verdana" w:cs="Times New Roman"/>
          <w:i/>
          <w:iCs/>
          <w:noProof/>
          <w:sz w:val="16"/>
          <w:szCs w:val="24"/>
        </w:rPr>
        <w:t>Radiology</w:t>
      </w:r>
      <w:r w:rsidRPr="005356A1">
        <w:rPr>
          <w:rFonts w:ascii="Verdana" w:hAnsi="Verdana" w:cs="Times New Roman"/>
          <w:noProof/>
          <w:sz w:val="16"/>
          <w:szCs w:val="24"/>
        </w:rPr>
        <w:t xml:space="preserve"> 1982; 143: 29–36.</w:t>
      </w:r>
    </w:p>
    <w:p w14:paraId="2E13C7B2" w14:textId="77777777" w:rsidR="005356A1" w:rsidRPr="005356A1" w:rsidRDefault="005356A1" w:rsidP="005356A1">
      <w:pPr>
        <w:widowControl w:val="0"/>
        <w:autoSpaceDE w:val="0"/>
        <w:autoSpaceDN w:val="0"/>
        <w:adjustRightInd w:val="0"/>
        <w:spacing w:before="100" w:after="100" w:line="240" w:lineRule="auto"/>
        <w:ind w:left="640" w:hanging="640"/>
        <w:rPr>
          <w:rFonts w:ascii="Verdana" w:hAnsi="Verdana" w:cs="Times New Roman"/>
          <w:noProof/>
          <w:sz w:val="16"/>
          <w:szCs w:val="24"/>
        </w:rPr>
      </w:pPr>
      <w:r w:rsidRPr="005356A1">
        <w:rPr>
          <w:rFonts w:ascii="Verdana" w:hAnsi="Verdana" w:cs="Times New Roman"/>
          <w:noProof/>
          <w:sz w:val="16"/>
          <w:szCs w:val="24"/>
        </w:rPr>
        <w:t xml:space="preserve">57. </w:t>
      </w:r>
      <w:r w:rsidRPr="005356A1">
        <w:rPr>
          <w:rFonts w:ascii="Verdana" w:hAnsi="Verdana" w:cs="Times New Roman"/>
          <w:noProof/>
          <w:sz w:val="16"/>
          <w:szCs w:val="24"/>
        </w:rPr>
        <w:tab/>
        <w:t xml:space="preserve">Thompson SG, Higgins J. How should meta-regression analyses be undertaken and interpreted? </w:t>
      </w:r>
      <w:r w:rsidRPr="005356A1">
        <w:rPr>
          <w:rFonts w:ascii="Verdana" w:hAnsi="Verdana" w:cs="Times New Roman"/>
          <w:i/>
          <w:iCs/>
          <w:noProof/>
          <w:sz w:val="16"/>
          <w:szCs w:val="24"/>
        </w:rPr>
        <w:t>Stat. Med.</w:t>
      </w:r>
      <w:r w:rsidRPr="005356A1">
        <w:rPr>
          <w:rFonts w:ascii="Verdana" w:hAnsi="Verdana" w:cs="Times New Roman"/>
          <w:noProof/>
          <w:sz w:val="16"/>
          <w:szCs w:val="24"/>
        </w:rPr>
        <w:t xml:space="preserve"> 2002; 21: 1559–1573.</w:t>
      </w:r>
    </w:p>
    <w:p w14:paraId="47E0CE81" w14:textId="77777777" w:rsidR="005356A1" w:rsidRPr="005356A1" w:rsidRDefault="005356A1" w:rsidP="005356A1">
      <w:pPr>
        <w:widowControl w:val="0"/>
        <w:autoSpaceDE w:val="0"/>
        <w:autoSpaceDN w:val="0"/>
        <w:adjustRightInd w:val="0"/>
        <w:spacing w:before="100" w:after="100" w:line="240" w:lineRule="auto"/>
        <w:ind w:left="640" w:hanging="640"/>
        <w:rPr>
          <w:rFonts w:ascii="Verdana" w:hAnsi="Verdana" w:cs="Times New Roman"/>
          <w:noProof/>
          <w:sz w:val="16"/>
          <w:szCs w:val="24"/>
        </w:rPr>
      </w:pPr>
      <w:r w:rsidRPr="005356A1">
        <w:rPr>
          <w:rFonts w:ascii="Verdana" w:hAnsi="Verdana" w:cs="Times New Roman"/>
          <w:noProof/>
          <w:sz w:val="16"/>
          <w:szCs w:val="24"/>
        </w:rPr>
        <w:t xml:space="preserve">58. </w:t>
      </w:r>
      <w:r w:rsidRPr="005356A1">
        <w:rPr>
          <w:rFonts w:ascii="Verdana" w:hAnsi="Verdana" w:cs="Times New Roman"/>
          <w:noProof/>
          <w:sz w:val="16"/>
          <w:szCs w:val="24"/>
        </w:rPr>
        <w:tab/>
        <w:t>Rubin DB. Multiple Imputation for Nonresponse in Surveys. Harvard Univ. Wiley Serie in Probability and Mathematical Statistics; 1987.</w:t>
      </w:r>
    </w:p>
    <w:p w14:paraId="165F18B6" w14:textId="77777777" w:rsidR="005356A1" w:rsidRPr="005356A1" w:rsidRDefault="005356A1" w:rsidP="005356A1">
      <w:pPr>
        <w:widowControl w:val="0"/>
        <w:autoSpaceDE w:val="0"/>
        <w:autoSpaceDN w:val="0"/>
        <w:adjustRightInd w:val="0"/>
        <w:spacing w:before="100" w:after="100" w:line="240" w:lineRule="auto"/>
        <w:ind w:left="640" w:hanging="640"/>
        <w:rPr>
          <w:rFonts w:ascii="Verdana" w:hAnsi="Verdana" w:cs="Times New Roman"/>
          <w:noProof/>
          <w:sz w:val="16"/>
          <w:szCs w:val="24"/>
        </w:rPr>
      </w:pPr>
      <w:r w:rsidRPr="005356A1">
        <w:rPr>
          <w:rFonts w:ascii="Verdana" w:hAnsi="Verdana" w:cs="Times New Roman"/>
          <w:noProof/>
          <w:sz w:val="16"/>
          <w:szCs w:val="24"/>
        </w:rPr>
        <w:t xml:space="preserve">59. </w:t>
      </w:r>
      <w:r w:rsidRPr="005356A1">
        <w:rPr>
          <w:rFonts w:ascii="Verdana" w:hAnsi="Verdana" w:cs="Times New Roman"/>
          <w:noProof/>
          <w:sz w:val="16"/>
          <w:szCs w:val="24"/>
        </w:rPr>
        <w:tab/>
        <w:t>Harrell FE. Regression Modeling Strategies. Springer; 2015.</w:t>
      </w:r>
    </w:p>
    <w:p w14:paraId="5943BC88" w14:textId="77777777" w:rsidR="005356A1" w:rsidRPr="005356A1" w:rsidRDefault="005356A1" w:rsidP="005356A1">
      <w:pPr>
        <w:widowControl w:val="0"/>
        <w:autoSpaceDE w:val="0"/>
        <w:autoSpaceDN w:val="0"/>
        <w:adjustRightInd w:val="0"/>
        <w:spacing w:before="100" w:after="100" w:line="240" w:lineRule="auto"/>
        <w:ind w:left="640" w:hanging="640"/>
        <w:rPr>
          <w:rFonts w:ascii="Verdana" w:hAnsi="Verdana" w:cs="Times New Roman"/>
          <w:noProof/>
          <w:sz w:val="16"/>
          <w:szCs w:val="24"/>
        </w:rPr>
      </w:pPr>
      <w:r w:rsidRPr="005356A1">
        <w:rPr>
          <w:rFonts w:ascii="Verdana" w:hAnsi="Verdana" w:cs="Times New Roman"/>
          <w:noProof/>
          <w:sz w:val="16"/>
          <w:szCs w:val="24"/>
        </w:rPr>
        <w:t xml:space="preserve">60. </w:t>
      </w:r>
      <w:r w:rsidRPr="005356A1">
        <w:rPr>
          <w:rFonts w:ascii="Verdana" w:hAnsi="Verdana" w:cs="Times New Roman"/>
          <w:noProof/>
          <w:sz w:val="16"/>
          <w:szCs w:val="24"/>
        </w:rPr>
        <w:tab/>
        <w:t xml:space="preserve">Van Buuren S, Groothuis-Oudshoorn K. Multivariate Imputation by Chained Equations. </w:t>
      </w:r>
      <w:r w:rsidRPr="005356A1">
        <w:rPr>
          <w:rFonts w:ascii="Verdana" w:hAnsi="Verdana" w:cs="Times New Roman"/>
          <w:i/>
          <w:iCs/>
          <w:noProof/>
          <w:sz w:val="16"/>
          <w:szCs w:val="24"/>
        </w:rPr>
        <w:t>J. Stat. Softw.</w:t>
      </w:r>
      <w:r w:rsidRPr="005356A1">
        <w:rPr>
          <w:rFonts w:ascii="Verdana" w:hAnsi="Verdana" w:cs="Times New Roman"/>
          <w:noProof/>
          <w:sz w:val="16"/>
          <w:szCs w:val="24"/>
        </w:rPr>
        <w:t xml:space="preserve"> 2011; 45: 1–67.</w:t>
      </w:r>
    </w:p>
    <w:p w14:paraId="16A49303" w14:textId="77777777" w:rsidR="005356A1" w:rsidRPr="005356A1" w:rsidRDefault="005356A1" w:rsidP="005356A1">
      <w:pPr>
        <w:widowControl w:val="0"/>
        <w:autoSpaceDE w:val="0"/>
        <w:autoSpaceDN w:val="0"/>
        <w:adjustRightInd w:val="0"/>
        <w:spacing w:before="100" w:after="100" w:line="240" w:lineRule="auto"/>
        <w:ind w:left="640" w:hanging="640"/>
        <w:rPr>
          <w:rFonts w:ascii="Verdana" w:hAnsi="Verdana" w:cs="Times New Roman"/>
          <w:noProof/>
          <w:sz w:val="16"/>
          <w:szCs w:val="24"/>
        </w:rPr>
      </w:pPr>
      <w:r w:rsidRPr="005356A1">
        <w:rPr>
          <w:rFonts w:ascii="Verdana" w:hAnsi="Verdana" w:cs="Times New Roman"/>
          <w:noProof/>
          <w:sz w:val="16"/>
          <w:szCs w:val="24"/>
        </w:rPr>
        <w:t xml:space="preserve">61. </w:t>
      </w:r>
      <w:r w:rsidRPr="005356A1">
        <w:rPr>
          <w:rFonts w:ascii="Verdana" w:hAnsi="Verdana" w:cs="Times New Roman"/>
          <w:noProof/>
          <w:sz w:val="16"/>
          <w:szCs w:val="24"/>
        </w:rPr>
        <w:tab/>
        <w:t xml:space="preserve">Jolani S, Debray TPA, Koffijberg H, van Buuren S, Moons KGM. Imputation of systematically missing predictors in an individual participant data meta-analysis: A generalized approach using MICE. </w:t>
      </w:r>
      <w:r w:rsidRPr="005356A1">
        <w:rPr>
          <w:rFonts w:ascii="Verdana" w:hAnsi="Verdana" w:cs="Times New Roman"/>
          <w:i/>
          <w:iCs/>
          <w:noProof/>
          <w:sz w:val="16"/>
          <w:szCs w:val="24"/>
        </w:rPr>
        <w:t>Stat. Med.</w:t>
      </w:r>
      <w:r w:rsidRPr="005356A1">
        <w:rPr>
          <w:rFonts w:ascii="Verdana" w:hAnsi="Verdana" w:cs="Times New Roman"/>
          <w:noProof/>
          <w:sz w:val="16"/>
          <w:szCs w:val="24"/>
        </w:rPr>
        <w:t xml:space="preserve"> 2015; 34: 1841–1863.</w:t>
      </w:r>
    </w:p>
    <w:p w14:paraId="42A89941" w14:textId="77777777" w:rsidR="005356A1" w:rsidRPr="005356A1" w:rsidRDefault="005356A1" w:rsidP="005356A1">
      <w:pPr>
        <w:widowControl w:val="0"/>
        <w:autoSpaceDE w:val="0"/>
        <w:autoSpaceDN w:val="0"/>
        <w:adjustRightInd w:val="0"/>
        <w:spacing w:before="100" w:after="100" w:line="240" w:lineRule="auto"/>
        <w:ind w:left="640" w:hanging="640"/>
        <w:rPr>
          <w:rFonts w:ascii="Verdana" w:hAnsi="Verdana" w:cs="Times New Roman"/>
          <w:noProof/>
          <w:sz w:val="16"/>
          <w:szCs w:val="24"/>
        </w:rPr>
      </w:pPr>
      <w:r w:rsidRPr="005356A1">
        <w:rPr>
          <w:rFonts w:ascii="Verdana" w:hAnsi="Verdana" w:cs="Times New Roman"/>
          <w:noProof/>
          <w:sz w:val="16"/>
          <w:szCs w:val="24"/>
        </w:rPr>
        <w:t xml:space="preserve">62. </w:t>
      </w:r>
      <w:r w:rsidRPr="005356A1">
        <w:rPr>
          <w:rFonts w:ascii="Verdana" w:hAnsi="Verdana" w:cs="Times New Roman"/>
          <w:noProof/>
          <w:sz w:val="16"/>
          <w:szCs w:val="24"/>
        </w:rPr>
        <w:tab/>
        <w:t xml:space="preserve">Decramer M, Vogelmeier C, Agustí AG, Bourbeau J, Celli BR, Chen R, Criner GJ, Frith P, Halpin D, Varela MVL, Nishimura M. Global Strategy for the Diagnosis, Management, and Prevention of Chronic Obrstructive Pulmonary Disease (updated 2017). </w:t>
      </w:r>
      <w:r w:rsidRPr="005356A1">
        <w:rPr>
          <w:rFonts w:ascii="Verdana" w:hAnsi="Verdana" w:cs="Times New Roman"/>
          <w:i/>
          <w:iCs/>
          <w:noProof/>
          <w:sz w:val="16"/>
          <w:szCs w:val="24"/>
        </w:rPr>
        <w:t>Glob. Initiat. Chronic Obstr. Lung Dis.</w:t>
      </w:r>
      <w:r w:rsidRPr="005356A1">
        <w:rPr>
          <w:rFonts w:ascii="Verdana" w:hAnsi="Verdana" w:cs="Times New Roman"/>
          <w:noProof/>
          <w:sz w:val="16"/>
          <w:szCs w:val="24"/>
        </w:rPr>
        <w:t xml:space="preserve"> 2011; .</w:t>
      </w:r>
    </w:p>
    <w:p w14:paraId="590C312C" w14:textId="77777777" w:rsidR="005356A1" w:rsidRPr="005356A1" w:rsidRDefault="005356A1" w:rsidP="005356A1">
      <w:pPr>
        <w:widowControl w:val="0"/>
        <w:autoSpaceDE w:val="0"/>
        <w:autoSpaceDN w:val="0"/>
        <w:adjustRightInd w:val="0"/>
        <w:spacing w:before="100" w:after="100" w:line="240" w:lineRule="auto"/>
        <w:ind w:left="640" w:hanging="640"/>
        <w:rPr>
          <w:rFonts w:ascii="Verdana" w:hAnsi="Verdana" w:cs="Times New Roman"/>
          <w:noProof/>
          <w:sz w:val="16"/>
          <w:szCs w:val="24"/>
        </w:rPr>
      </w:pPr>
      <w:r w:rsidRPr="005356A1">
        <w:rPr>
          <w:rFonts w:ascii="Verdana" w:hAnsi="Verdana" w:cs="Times New Roman"/>
          <w:noProof/>
          <w:sz w:val="16"/>
          <w:szCs w:val="24"/>
        </w:rPr>
        <w:t xml:space="preserve">63. </w:t>
      </w:r>
      <w:r w:rsidRPr="005356A1">
        <w:rPr>
          <w:rFonts w:ascii="Verdana" w:hAnsi="Verdana" w:cs="Times New Roman"/>
          <w:noProof/>
          <w:sz w:val="16"/>
          <w:szCs w:val="24"/>
        </w:rPr>
        <w:tab/>
        <w:t xml:space="preserve">Celli BR, Cote CG, Marin JM, Casanova C, Montes de Oca M, Mendez R a, Pinto Plata V, Cabral HJ. The body-mass index, airflow obstruction, dyspnea, and exercise capacity index in chronic obstructive pulmonary disease. </w:t>
      </w:r>
      <w:r w:rsidRPr="005356A1">
        <w:rPr>
          <w:rFonts w:ascii="Verdana" w:hAnsi="Verdana" w:cs="Times New Roman"/>
          <w:i/>
          <w:iCs/>
          <w:noProof/>
          <w:sz w:val="16"/>
          <w:szCs w:val="24"/>
        </w:rPr>
        <w:t>N. Engl. J. Med.</w:t>
      </w:r>
      <w:r w:rsidRPr="005356A1">
        <w:rPr>
          <w:rFonts w:ascii="Verdana" w:hAnsi="Verdana" w:cs="Times New Roman"/>
          <w:noProof/>
          <w:sz w:val="16"/>
          <w:szCs w:val="24"/>
        </w:rPr>
        <w:t xml:space="preserve"> 2004; 350: 1005–1012.</w:t>
      </w:r>
    </w:p>
    <w:p w14:paraId="43C747AA" w14:textId="77777777" w:rsidR="005356A1" w:rsidRPr="005356A1" w:rsidRDefault="005356A1" w:rsidP="005356A1">
      <w:pPr>
        <w:widowControl w:val="0"/>
        <w:autoSpaceDE w:val="0"/>
        <w:autoSpaceDN w:val="0"/>
        <w:adjustRightInd w:val="0"/>
        <w:spacing w:before="100" w:after="100" w:line="240" w:lineRule="auto"/>
        <w:ind w:left="640" w:hanging="640"/>
        <w:rPr>
          <w:rFonts w:ascii="Verdana" w:hAnsi="Verdana" w:cs="Times New Roman"/>
          <w:noProof/>
          <w:sz w:val="16"/>
          <w:szCs w:val="24"/>
        </w:rPr>
      </w:pPr>
      <w:r w:rsidRPr="005356A1">
        <w:rPr>
          <w:rFonts w:ascii="Verdana" w:hAnsi="Verdana" w:cs="Times New Roman"/>
          <w:noProof/>
          <w:sz w:val="16"/>
          <w:szCs w:val="24"/>
        </w:rPr>
        <w:t xml:space="preserve">64. </w:t>
      </w:r>
      <w:r w:rsidRPr="005356A1">
        <w:rPr>
          <w:rFonts w:ascii="Verdana" w:hAnsi="Verdana" w:cs="Times New Roman"/>
          <w:noProof/>
          <w:sz w:val="16"/>
          <w:szCs w:val="24"/>
        </w:rPr>
        <w:tab/>
        <w:t xml:space="preserve">Puhan MA, Garcia-Aymerich J, Frey M, ter Riet G, Antó JM, Agusti A, Gómez FP, Rodríguez-Roisín R, Moons KGM, Kessels AG, Held U. Expansion of the prognostic assessment of patients with chronic obstructive pulmonary disease: the updated BODE index and the ADO index_Puhan_2009_210. </w:t>
      </w:r>
      <w:r w:rsidRPr="005356A1">
        <w:rPr>
          <w:rFonts w:ascii="Verdana" w:hAnsi="Verdana" w:cs="Times New Roman"/>
          <w:i/>
          <w:iCs/>
          <w:noProof/>
          <w:sz w:val="16"/>
          <w:szCs w:val="24"/>
        </w:rPr>
        <w:t>Lancet</w:t>
      </w:r>
      <w:r w:rsidRPr="005356A1">
        <w:rPr>
          <w:rFonts w:ascii="Verdana" w:hAnsi="Verdana" w:cs="Times New Roman"/>
          <w:noProof/>
          <w:sz w:val="16"/>
          <w:szCs w:val="24"/>
        </w:rPr>
        <w:t xml:space="preserve"> Elsevier Ltd; 2009; 374: 704–711.</w:t>
      </w:r>
    </w:p>
    <w:p w14:paraId="4F152710" w14:textId="77777777" w:rsidR="005356A1" w:rsidRPr="00E66929" w:rsidRDefault="005356A1" w:rsidP="005356A1">
      <w:pPr>
        <w:widowControl w:val="0"/>
        <w:autoSpaceDE w:val="0"/>
        <w:autoSpaceDN w:val="0"/>
        <w:adjustRightInd w:val="0"/>
        <w:spacing w:before="100" w:after="100" w:line="240" w:lineRule="auto"/>
        <w:ind w:left="640" w:hanging="640"/>
        <w:rPr>
          <w:rFonts w:ascii="Verdana" w:hAnsi="Verdana" w:cs="Times New Roman"/>
          <w:noProof/>
          <w:sz w:val="16"/>
          <w:szCs w:val="24"/>
          <w:lang w:val="it-IT"/>
        </w:rPr>
      </w:pPr>
      <w:r w:rsidRPr="005356A1">
        <w:rPr>
          <w:rFonts w:ascii="Verdana" w:hAnsi="Verdana" w:cs="Times New Roman"/>
          <w:noProof/>
          <w:sz w:val="16"/>
          <w:szCs w:val="24"/>
        </w:rPr>
        <w:t xml:space="preserve">65. </w:t>
      </w:r>
      <w:r w:rsidRPr="005356A1">
        <w:rPr>
          <w:rFonts w:ascii="Verdana" w:hAnsi="Verdana" w:cs="Times New Roman"/>
          <w:noProof/>
          <w:sz w:val="16"/>
          <w:szCs w:val="24"/>
        </w:rPr>
        <w:tab/>
        <w:t xml:space="preserve">Puhan MA, Hansel NN, Sobradillo P, Enright P, Lange P, Hickson D, Menezes AM, Riet G Ter, Held U, Domingo-Salvany A, Mosenifar Z, Antó JM, Moons KGM, Kessels AG, Garcia-Aymerich J. Large-scale international validation of the ADO index in subjects with COPD: an individual subject data analysis of 10 cohorts_PUHAN_BMJ_2012_9. </w:t>
      </w:r>
      <w:r w:rsidRPr="00E66929">
        <w:rPr>
          <w:rFonts w:ascii="Verdana" w:hAnsi="Verdana" w:cs="Times New Roman"/>
          <w:i/>
          <w:iCs/>
          <w:noProof/>
          <w:sz w:val="16"/>
          <w:szCs w:val="24"/>
          <w:lang w:val="it-IT"/>
        </w:rPr>
        <w:t>Bmj</w:t>
      </w:r>
      <w:r w:rsidRPr="00E66929">
        <w:rPr>
          <w:rFonts w:ascii="Verdana" w:hAnsi="Verdana" w:cs="Times New Roman"/>
          <w:noProof/>
          <w:sz w:val="16"/>
          <w:szCs w:val="24"/>
          <w:lang w:val="it-IT"/>
        </w:rPr>
        <w:t xml:space="preserve"> 2012; 2: e002152.</w:t>
      </w:r>
    </w:p>
    <w:p w14:paraId="798876A3" w14:textId="77777777" w:rsidR="005356A1" w:rsidRPr="00E66929" w:rsidRDefault="005356A1" w:rsidP="005356A1">
      <w:pPr>
        <w:widowControl w:val="0"/>
        <w:autoSpaceDE w:val="0"/>
        <w:autoSpaceDN w:val="0"/>
        <w:adjustRightInd w:val="0"/>
        <w:spacing w:before="100" w:after="100" w:line="240" w:lineRule="auto"/>
        <w:ind w:left="640" w:hanging="640"/>
        <w:rPr>
          <w:rFonts w:ascii="Verdana" w:hAnsi="Verdana" w:cs="Times New Roman"/>
          <w:noProof/>
          <w:sz w:val="16"/>
          <w:szCs w:val="24"/>
          <w:lang w:val="it-IT"/>
        </w:rPr>
      </w:pPr>
      <w:r w:rsidRPr="00E66929">
        <w:rPr>
          <w:rFonts w:ascii="Verdana" w:hAnsi="Verdana" w:cs="Times New Roman"/>
          <w:noProof/>
          <w:sz w:val="16"/>
          <w:szCs w:val="24"/>
          <w:lang w:val="it-IT"/>
        </w:rPr>
        <w:t xml:space="preserve">66. </w:t>
      </w:r>
      <w:r w:rsidRPr="00E66929">
        <w:rPr>
          <w:rFonts w:ascii="Verdana" w:hAnsi="Verdana" w:cs="Times New Roman"/>
          <w:noProof/>
          <w:sz w:val="16"/>
          <w:szCs w:val="24"/>
          <w:lang w:val="it-IT"/>
        </w:rPr>
        <w:tab/>
        <w:t xml:space="preserve">Soler-Cataluña JJ, Martinez-Garcia MA, Sanchez LS, Tordera MP, Sanchez PR. </w:t>
      </w:r>
      <w:r w:rsidRPr="005356A1">
        <w:rPr>
          <w:rFonts w:ascii="Verdana" w:hAnsi="Verdana" w:cs="Times New Roman"/>
          <w:noProof/>
          <w:sz w:val="16"/>
          <w:szCs w:val="24"/>
        </w:rPr>
        <w:t xml:space="preserve">Severe exacerbations and BODE index: two independent risk factors for death in male COPD patients. </w:t>
      </w:r>
      <w:r w:rsidRPr="00E66929">
        <w:rPr>
          <w:rFonts w:ascii="Verdana" w:hAnsi="Verdana" w:cs="Times New Roman"/>
          <w:i/>
          <w:iCs/>
          <w:noProof/>
          <w:sz w:val="16"/>
          <w:szCs w:val="24"/>
          <w:lang w:val="it-IT"/>
        </w:rPr>
        <w:t>Respir. Med.</w:t>
      </w:r>
      <w:r w:rsidRPr="00E66929">
        <w:rPr>
          <w:rFonts w:ascii="Verdana" w:hAnsi="Verdana" w:cs="Times New Roman"/>
          <w:noProof/>
          <w:sz w:val="16"/>
          <w:szCs w:val="24"/>
          <w:lang w:val="it-IT"/>
        </w:rPr>
        <w:t xml:space="preserve"> Hospital General de Requena, Unidad de Neumologia, Servicio de Medicina Interna, Paraje Casablanca s/n., 46340 Requena, Valencia, Spain. jjsoler@telefonica.net; 2009; 103: 692–699.</w:t>
      </w:r>
    </w:p>
    <w:p w14:paraId="033C45A7" w14:textId="77777777" w:rsidR="005356A1" w:rsidRPr="005356A1" w:rsidRDefault="005356A1" w:rsidP="005356A1">
      <w:pPr>
        <w:widowControl w:val="0"/>
        <w:autoSpaceDE w:val="0"/>
        <w:autoSpaceDN w:val="0"/>
        <w:adjustRightInd w:val="0"/>
        <w:spacing w:before="100" w:after="100" w:line="240" w:lineRule="auto"/>
        <w:ind w:left="640" w:hanging="640"/>
        <w:rPr>
          <w:rFonts w:ascii="Verdana" w:hAnsi="Verdana" w:cs="Times New Roman"/>
          <w:noProof/>
          <w:sz w:val="16"/>
          <w:szCs w:val="24"/>
        </w:rPr>
      </w:pPr>
      <w:r w:rsidRPr="005356A1">
        <w:rPr>
          <w:rFonts w:ascii="Verdana" w:hAnsi="Verdana" w:cs="Times New Roman"/>
          <w:noProof/>
          <w:sz w:val="16"/>
          <w:szCs w:val="24"/>
        </w:rPr>
        <w:t xml:space="preserve">67. </w:t>
      </w:r>
      <w:r w:rsidRPr="005356A1">
        <w:rPr>
          <w:rFonts w:ascii="Verdana" w:hAnsi="Verdana" w:cs="Times New Roman"/>
          <w:noProof/>
          <w:sz w:val="16"/>
          <w:szCs w:val="24"/>
        </w:rPr>
        <w:tab/>
        <w:t xml:space="preserve">Jones RC, Donaldson GC, Chavannes NH, Kida K, Dickson-Spillmann M, Harding S, Wedzicha JA, Price D, Hyland ME. Derivation and validation of a composite index of severity in chronic obstructive pulmonary disease: the DOSE Index. </w:t>
      </w:r>
      <w:r w:rsidRPr="005356A1">
        <w:rPr>
          <w:rFonts w:ascii="Verdana" w:hAnsi="Verdana" w:cs="Times New Roman"/>
          <w:i/>
          <w:iCs/>
          <w:noProof/>
          <w:sz w:val="16"/>
          <w:szCs w:val="24"/>
        </w:rPr>
        <w:t>Am. J. Respir. Crit. Care Med.</w:t>
      </w:r>
      <w:r w:rsidRPr="005356A1">
        <w:rPr>
          <w:rFonts w:ascii="Verdana" w:hAnsi="Verdana" w:cs="Times New Roman"/>
          <w:noProof/>
          <w:sz w:val="16"/>
          <w:szCs w:val="24"/>
        </w:rPr>
        <w:t xml:space="preserve"> 2009; 180: 1189–1195.</w:t>
      </w:r>
    </w:p>
    <w:p w14:paraId="3A48C3A7" w14:textId="77777777" w:rsidR="005356A1" w:rsidRPr="005356A1" w:rsidRDefault="005356A1" w:rsidP="005356A1">
      <w:pPr>
        <w:widowControl w:val="0"/>
        <w:autoSpaceDE w:val="0"/>
        <w:autoSpaceDN w:val="0"/>
        <w:adjustRightInd w:val="0"/>
        <w:spacing w:before="100" w:after="100" w:line="240" w:lineRule="auto"/>
        <w:ind w:left="640" w:hanging="640"/>
        <w:rPr>
          <w:rFonts w:ascii="Verdana" w:hAnsi="Verdana" w:cs="Times New Roman"/>
          <w:noProof/>
          <w:sz w:val="16"/>
          <w:szCs w:val="24"/>
        </w:rPr>
      </w:pPr>
      <w:r w:rsidRPr="005356A1">
        <w:rPr>
          <w:rFonts w:ascii="Verdana" w:hAnsi="Verdana" w:cs="Times New Roman"/>
          <w:noProof/>
          <w:sz w:val="16"/>
          <w:szCs w:val="24"/>
        </w:rPr>
        <w:t xml:space="preserve">68. </w:t>
      </w:r>
      <w:r w:rsidRPr="005356A1">
        <w:rPr>
          <w:rFonts w:ascii="Verdana" w:hAnsi="Verdana" w:cs="Times New Roman"/>
          <w:noProof/>
          <w:sz w:val="16"/>
          <w:szCs w:val="24"/>
        </w:rPr>
        <w:tab/>
        <w:t xml:space="preserve">Azarisman MS, Fauzi MA, Faizal MP, Azami Z, Roslina AM, Roslan H. The SAFE (SGRQ score, air-flow limitation and exercise tolerance) Index: a new composite score for the stratification of severity in chronic obstructive pulmonary disease. </w:t>
      </w:r>
      <w:r w:rsidRPr="005356A1">
        <w:rPr>
          <w:rFonts w:ascii="Verdana" w:hAnsi="Verdana" w:cs="Times New Roman"/>
          <w:i/>
          <w:iCs/>
          <w:noProof/>
          <w:sz w:val="16"/>
          <w:szCs w:val="24"/>
        </w:rPr>
        <w:t>Postgrad. Med. J.</w:t>
      </w:r>
      <w:r w:rsidRPr="005356A1">
        <w:rPr>
          <w:rFonts w:ascii="Verdana" w:hAnsi="Verdana" w:cs="Times New Roman"/>
          <w:noProof/>
          <w:sz w:val="16"/>
          <w:szCs w:val="24"/>
        </w:rPr>
        <w:t xml:space="preserve"> Department of Medicine, International Islamic University Malaysia, Jalan Hospital Campus, Kuantan, Pahang, Malaysia. risman1973@hotmail.com; 2007; 83: 492–497.</w:t>
      </w:r>
    </w:p>
    <w:p w14:paraId="1486A90D" w14:textId="77777777" w:rsidR="005356A1" w:rsidRPr="005356A1" w:rsidRDefault="005356A1" w:rsidP="005356A1">
      <w:pPr>
        <w:widowControl w:val="0"/>
        <w:autoSpaceDE w:val="0"/>
        <w:autoSpaceDN w:val="0"/>
        <w:adjustRightInd w:val="0"/>
        <w:spacing w:before="100" w:after="100" w:line="240" w:lineRule="auto"/>
        <w:ind w:left="640" w:hanging="640"/>
        <w:rPr>
          <w:rFonts w:ascii="Verdana" w:hAnsi="Verdana"/>
          <w:noProof/>
          <w:sz w:val="16"/>
        </w:rPr>
      </w:pPr>
      <w:r w:rsidRPr="005356A1">
        <w:rPr>
          <w:rFonts w:ascii="Verdana" w:hAnsi="Verdana" w:cs="Times New Roman"/>
          <w:noProof/>
          <w:sz w:val="16"/>
          <w:szCs w:val="24"/>
        </w:rPr>
        <w:t xml:space="preserve">69. </w:t>
      </w:r>
      <w:r w:rsidRPr="005356A1">
        <w:rPr>
          <w:rFonts w:ascii="Verdana" w:hAnsi="Verdana" w:cs="Times New Roman"/>
          <w:noProof/>
          <w:sz w:val="16"/>
          <w:szCs w:val="24"/>
        </w:rPr>
        <w:tab/>
        <w:t xml:space="preserve">Boeck L, Soriano JB, Brusse-Keizer M, Blasi F, Kostikas K, Boersma W, Milenkovic B, Louis R, Lacoma A, Djamin R, Aerts J, Torres A, Rohde G, Welte T, Martinez-Camblor P, Rakic J, Scherr A, Koller M, Van Der Palen J, Marin JM, Alfageme I, Almagro P, Casanova C, Esteban C, Soler-Cataluña JJ, De-Torres JP, Miravitlles M, Celli BR, Tamm M, Stolz D. Prognostic assessment in COPD without lung function: The B-AE-D indices. </w:t>
      </w:r>
      <w:r w:rsidRPr="005356A1">
        <w:rPr>
          <w:rFonts w:ascii="Verdana" w:hAnsi="Verdana" w:cs="Times New Roman"/>
          <w:i/>
          <w:iCs/>
          <w:noProof/>
          <w:sz w:val="16"/>
          <w:szCs w:val="24"/>
        </w:rPr>
        <w:t>Eur. Respir. J.</w:t>
      </w:r>
      <w:r w:rsidRPr="005356A1">
        <w:rPr>
          <w:rFonts w:ascii="Verdana" w:hAnsi="Verdana" w:cs="Times New Roman"/>
          <w:noProof/>
          <w:sz w:val="16"/>
          <w:szCs w:val="24"/>
        </w:rPr>
        <w:t xml:space="preserve"> 2016; 47: 1635–1644.</w:t>
      </w:r>
    </w:p>
    <w:p w14:paraId="0D1017DD" w14:textId="77777777" w:rsidR="00342E07" w:rsidRDefault="005356A1">
      <w:pPr>
        <w:widowControl w:val="0"/>
        <w:spacing w:before="100" w:after="100" w:line="240" w:lineRule="auto"/>
        <w:ind w:left="640" w:hanging="640"/>
      </w:pPr>
      <w:r>
        <w:fldChar w:fldCharType="end"/>
      </w:r>
    </w:p>
    <w:p w14:paraId="3D703F58" w14:textId="77777777" w:rsidR="00342E07" w:rsidRDefault="00342E07">
      <w:pPr>
        <w:widowControl w:val="0"/>
        <w:spacing w:before="100" w:after="100" w:line="240" w:lineRule="auto"/>
        <w:ind w:left="480" w:hanging="480"/>
      </w:pPr>
    </w:p>
    <w:sectPr w:rsidR="00342E07">
      <w:footerReference w:type="default" r:id="rId29"/>
      <w:pgSz w:w="12240" w:h="15840"/>
      <w:pgMar w:top="1417" w:right="1417" w:bottom="1134" w:left="1417" w:header="0" w:footer="708" w:gutter="0"/>
      <w:cols w:space="720"/>
      <w:formProt w:val="0"/>
      <w:docGrid w:linePitch="360" w:charSpace="-20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8AD8324" w14:textId="77777777" w:rsidR="00911A46" w:rsidRDefault="00911A46">
      <w:pPr>
        <w:spacing w:after="0" w:line="240" w:lineRule="auto"/>
      </w:pPr>
      <w:r>
        <w:separator/>
      </w:r>
    </w:p>
  </w:endnote>
  <w:endnote w:type="continuationSeparator" w:id="0">
    <w:p w14:paraId="59E3CD7A" w14:textId="77777777" w:rsidR="00911A46" w:rsidRDefault="00911A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DejaVu Sans">
    <w:altName w:val="Times New Roman"/>
    <w:panose1 w:val="020B0603030804020204"/>
    <w:charset w:val="00"/>
    <w:family w:val="swiss"/>
    <w:pitch w:val="variable"/>
    <w:sig w:usb0="E7002EFF" w:usb1="D200FDFF" w:usb2="0A04602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Liberation Serif">
    <w:altName w:val="Times New Roman"/>
    <w:charset w:val="01"/>
    <w:family w:val="roman"/>
    <w:pitch w:val="variable"/>
  </w:font>
  <w:font w:name="Noto Sans CJK SC Regular">
    <w:altName w:val="Times New Roman"/>
    <w:panose1 w:val="00000000000000000000"/>
    <w:charset w:val="00"/>
    <w:family w:val="roman"/>
    <w:notTrueType/>
    <w:pitch w:val="default"/>
  </w:font>
  <w:font w:name="FreeSans">
    <w:altName w:val="Times New Roman"/>
    <w:panose1 w:val="00000000000000000000"/>
    <w:charset w:val="00"/>
    <w:family w:val="roman"/>
    <w:notTrueType/>
    <w:pitch w:val="default"/>
  </w:font>
  <w:font w:name="Liberation Sans">
    <w:altName w:val="Arial"/>
    <w:charset w:val="01"/>
    <w:family w:val="roman"/>
    <w:pitch w:val="variable"/>
  </w:font>
  <w:font w:name="Cambria Math">
    <w:panose1 w:val="02040503050406030204"/>
    <w:charset w:val="00"/>
    <w:family w:val="roman"/>
    <w:pitch w:val="variable"/>
    <w:sig w:usb0="E00002FF" w:usb1="420024FF" w:usb2="00000000" w:usb3="00000000" w:csb0="0000019F" w:csb1="00000000"/>
  </w:font>
  <w:font w:name="Lucida Console">
    <w:panose1 w:val="020B0609040504020204"/>
    <w:charset w:val="00"/>
    <w:family w:val="modern"/>
    <w:pitch w:val="fixed"/>
    <w:sig w:usb0="8000028F" w:usb1="00001800" w:usb2="00000000" w:usb3="00000000" w:csb0="0000001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1029A2" w14:textId="77777777" w:rsidR="00911A46" w:rsidRDefault="00911A46">
    <w:pPr>
      <w:ind w:right="260"/>
    </w:pPr>
    <w:r>
      <w:rPr>
        <w:noProof/>
      </w:rPr>
      <mc:AlternateContent>
        <mc:Choice Requires="wps">
          <w:drawing>
            <wp:anchor distT="0" distB="0" distL="114300" distR="116205" simplePos="0" relativeHeight="39" behindDoc="1" locked="0" layoutInCell="1" allowOverlap="1" wp14:anchorId="6C3A29C0" wp14:editId="0E60A0C4">
              <wp:simplePos x="0" y="0"/>
              <wp:positionH relativeFrom="page">
                <wp:posOffset>4533900</wp:posOffset>
              </wp:positionH>
              <wp:positionV relativeFrom="page">
                <wp:posOffset>50934620</wp:posOffset>
              </wp:positionV>
              <wp:extent cx="2495550" cy="421005"/>
              <wp:effectExtent l="0" t="0" r="0" b="0"/>
              <wp:wrapNone/>
              <wp:docPr id="26" name="Textfeld 49"/>
              <wp:cNvGraphicFramePr/>
              <a:graphic xmlns:a="http://schemas.openxmlformats.org/drawingml/2006/main">
                <a:graphicData uri="http://schemas.microsoft.com/office/word/2010/wordprocessingShape">
                  <wps:wsp>
                    <wps:cNvSpPr/>
                    <wps:spPr>
                      <a:xfrm>
                        <a:off x="0" y="0"/>
                        <a:ext cx="2495550" cy="421005"/>
                      </a:xfrm>
                      <a:prstGeom prst="rect">
                        <a:avLst/>
                      </a:prstGeom>
                      <a:solidFill>
                        <a:srgbClr val="FFFFFF"/>
                      </a:solidFill>
                      <a:ln w="6480">
                        <a:noFill/>
                      </a:ln>
                    </wps:spPr>
                    <wps:style>
                      <a:lnRef idx="0">
                        <a:scrgbClr r="0" g="0" b="0"/>
                      </a:lnRef>
                      <a:fillRef idx="0">
                        <a:scrgbClr r="0" g="0" b="0"/>
                      </a:fillRef>
                      <a:effectRef idx="0">
                        <a:scrgbClr r="0" g="0" b="0"/>
                      </a:effectRef>
                      <a:fontRef idx="minor"/>
                    </wps:style>
                    <wps:txbx>
                      <w:txbxContent>
                        <w:p w14:paraId="7861F1EB" w14:textId="77777777" w:rsidR="00911A46" w:rsidRDefault="00911A46">
                          <w:pPr>
                            <w:pStyle w:val="FrameContents"/>
                            <w:rPr>
                              <w:color w:val="000000"/>
                            </w:rPr>
                          </w:pPr>
                        </w:p>
                      </w:txbxContent>
                    </wps:txbx>
                    <wps:bodyPr lIns="0" rIns="0" anchor="ctr">
                      <a:spAutoFit/>
                    </wps:bodyPr>
                  </wps:wsp>
                </a:graphicData>
              </a:graphic>
              <wp14:sizeRelV relativeFrom="page">
                <wp14:pctHeight>5000</wp14:pctHeight>
              </wp14:sizeRelV>
            </wp:anchor>
          </w:drawing>
        </mc:Choice>
        <mc:Fallback xmlns:mv="urn:schemas-microsoft-com:mac:vml" xmlns:mo="http://schemas.microsoft.com/office/mac/office/2008/main">
          <w:pict>
            <v:rect id="Textfeld 49" o:spid="_x0000_s1026" style="position:absolute;margin-left:357pt;margin-top:4010.6pt;width:196.5pt;height:33.15pt;z-index:-503316441;visibility:visible;mso-wrap-style:square;mso-height-percent:50;mso-wrap-distance-left:9pt;mso-wrap-distance-top:0;mso-wrap-distance-right:9.15pt;mso-wrap-distance-bottom:0;mso-position-horizontal:absolute;mso-position-horizontal-relative:page;mso-position-vertical:absolute;mso-position-vertical-relative:page;mso-height-percent:50;mso-height-relative:pag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KlGq/ABAAA/BAAADgAAAGRycy9lMm9Eb2MueG1srFPLbtswELwX6D8QvNeSDdtIDMtB0cBFgaIN&#10;mvQDaIq0CPCFJWPJf9/lSnbS9pSiPtBLcWeWM7vc3g3OspOCZIJv+HxWc6a8DK3xx4b/fNp/uOEs&#10;ZeFbYYNXDT+rxO92799t+7hRi9AF2ypgSOLTpo8N73KOm6pKslNOpFmIyuOhDuBExi0cqxZEj+zO&#10;Vou6Xld9gDZCkCol/Ho/HvId8WutZP6udVKZ2Ybj3TKtQOuhrNVuKzZHELEzcrqG+IdbOGE8Fr1S&#10;3Yss2DOYv6ickRBS0Hkmg6uC1kYq0oBq5vUfah47ERVpQXNSvNqU/h+t/HZ6AGbahi/WnHnhsEdP&#10;asha2ZYtb4s/fUwbTHuMDzDtEoZF7KDBlX+UwQby9Hz1FDmYxI+L5e1qtULrJZ4tF/O6XhXS6gUd&#10;IeXPKjhWgoYD9oysFKevKY+pl5RSLAVr2r2xljZwPHyywE4C+7un38T+W5r1rG/4enlTE7MPBT9S&#10;W4+XKRJHURTls1WF3fofSqM5pI3KyaneOEE44ijsMkcoiQAlUSP/G7ETpKAVDe4b8VcQ1Q8+X/HO&#10;+ABkyyt1JczDYZhaegjtGQfBfvE4XCgKLoHwsgsoV2Yg71L8+JzRP+pMIRmRk4k4pdTb6UWVZ/B6&#10;T1kv7373CwAA//8DAFBLAwQUAAYACAAAACEA2W71ReAAAAAOAQAADwAAAGRycy9kb3ducmV2Lnht&#10;bEyPwU7DMBBE70j8g7VI3KjtCEgU4lSIihMC2gJ311mSCHsdxU4b+HqcExx3djTzplrPzrIjjqH3&#10;pECuBDAk45ueWgXvb49XBbAQNTXaekIF3xhgXZ+fVbps/Il2eNzHlqUQCqVW0MU4lJwH06HTYeUH&#10;pPT79KPTMZ1jy5tRn1K4szwT4pY73VNq6PSADx2ar/3kFGx+th/u2Uu02+IlmOnJ7F43RqnLi/n+&#10;DljEOf6ZYcFP6FAnpoOfqAnMKsjlddoSFRQikxmwxSJFnrTDohX5DfC64v9n1L8AAAD//wMAUEsB&#10;Ai0AFAAGAAgAAAAhAOSZw8D7AAAA4QEAABMAAAAAAAAAAAAAAAAAAAAAAFtDb250ZW50X1R5cGVz&#10;XS54bWxQSwECLQAUAAYACAAAACEAI7Jq4dcAAACUAQAACwAAAAAAAAAAAAAAAAAsAQAAX3JlbHMv&#10;LnJlbHNQSwECLQAUAAYACAAAACEAsKlGq/ABAAA/BAAADgAAAAAAAAAAAAAAAAAsAgAAZHJzL2Uy&#10;b0RvYy54bWxQSwECLQAUAAYACAAAACEA2W71ReAAAAAOAQAADwAAAAAAAAAAAAAAAABIBAAAZHJz&#10;L2Rvd25yZXYueG1sUEsFBgAAAAAEAAQA8wAAAFUFAAAAAA==&#10;" stroked="f" strokeweight=".18mm">
              <v:textbox style="mso-fit-shape-to-text:t" inset="0,,0">
                <w:txbxContent>
                  <w:p w14:paraId="7861F1EB" w14:textId="77777777" w:rsidR="00911A46" w:rsidRDefault="00911A46">
                    <w:pPr>
                      <w:pStyle w:val="FrameContents"/>
                      <w:rPr>
                        <w:color w:val="000000"/>
                      </w:rPr>
                    </w:pPr>
                  </w:p>
                </w:txbxContent>
              </v:textbox>
              <w10:wrap anchorx="page" anchory="page"/>
            </v:rect>
          </w:pict>
        </mc:Fallback>
      </mc:AlternateContent>
    </w:r>
    <w:r>
      <w:rPr>
        <w:rFonts w:ascii="Arial" w:hAnsi="Arial" w:cs="Arial"/>
        <w:i/>
        <w:iCs/>
        <w:color w:val="0F243E"/>
        <w:sz w:val="26"/>
        <w:szCs w:val="26"/>
      </w:rPr>
      <w:t>Multiple Score Comparison</w:t>
    </w:r>
    <w:r>
      <w:rPr>
        <w:rFonts w:ascii="Arial" w:hAnsi="Arial" w:cs="Arial"/>
        <w:color w:val="0F243E"/>
        <w:sz w:val="26"/>
        <w:szCs w:val="26"/>
      </w:rPr>
      <w:tab/>
    </w:r>
    <w:r>
      <w:rPr>
        <w:rFonts w:ascii="Arial" w:hAnsi="Arial" w:cs="Arial"/>
        <w:color w:val="0F243E"/>
        <w:sz w:val="26"/>
        <w:szCs w:val="26"/>
      </w:rPr>
      <w:tab/>
    </w:r>
    <w:r>
      <w:rPr>
        <w:rFonts w:ascii="Arial" w:hAnsi="Arial" w:cs="Arial"/>
        <w:color w:val="0F243E"/>
        <w:sz w:val="26"/>
        <w:szCs w:val="26"/>
      </w:rPr>
      <w:tab/>
    </w:r>
    <w:r>
      <w:rPr>
        <w:rFonts w:ascii="Arial" w:hAnsi="Arial" w:cs="Arial"/>
        <w:color w:val="0F243E"/>
        <w:sz w:val="26"/>
        <w:szCs w:val="26"/>
      </w:rPr>
      <w:tab/>
    </w:r>
    <w:r>
      <w:rPr>
        <w:rFonts w:ascii="Arial" w:hAnsi="Arial" w:cs="Arial"/>
        <w:color w:val="0F243E"/>
        <w:sz w:val="26"/>
        <w:szCs w:val="26"/>
      </w:rPr>
      <w:tab/>
    </w:r>
    <w:r>
      <w:rPr>
        <w:rFonts w:ascii="Arial" w:hAnsi="Arial" w:cs="Arial"/>
        <w:color w:val="0F243E"/>
        <w:sz w:val="26"/>
        <w:szCs w:val="26"/>
      </w:rPr>
      <w:fldChar w:fldCharType="begin"/>
    </w:r>
    <w:r>
      <w:instrText>PAGE</w:instrText>
    </w:r>
    <w:r>
      <w:fldChar w:fldCharType="separate"/>
    </w:r>
    <w:r w:rsidR="00BD61D6">
      <w:rPr>
        <w:noProof/>
      </w:rPr>
      <w:t>2</w:t>
    </w:r>
    <w:r>
      <w:fldChar w:fldCharType="end"/>
    </w:r>
    <w:r>
      <w:rPr>
        <w:color w:val="0F243E"/>
        <w:sz w:val="26"/>
        <w:szCs w:val="26"/>
      </w:rPr>
      <w:t>/</w:t>
    </w:r>
    <w:r>
      <w:rPr>
        <w:color w:val="0F243E"/>
        <w:sz w:val="26"/>
        <w:szCs w:val="26"/>
      </w:rPr>
      <w:fldChar w:fldCharType="begin"/>
    </w:r>
    <w:r>
      <w:instrText>NUMPAGES</w:instrText>
    </w:r>
    <w:r>
      <w:fldChar w:fldCharType="separate"/>
    </w:r>
    <w:r w:rsidR="00BD61D6">
      <w:rPr>
        <w:noProof/>
      </w:rPr>
      <w:t>51</w:t>
    </w:r>
    <w:r>
      <w:fldChar w:fldCharType="end"/>
    </w:r>
  </w:p>
  <w:p w14:paraId="2319FD73" w14:textId="77777777" w:rsidR="00911A46" w:rsidRDefault="00911A46">
    <w:pPr>
      <w:pStyle w:val="Footer"/>
      <w:jc w:val="right"/>
      <w:rPr>
        <w:lang w:val="de-CH"/>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850B704" w14:textId="77777777" w:rsidR="00911A46" w:rsidRDefault="00911A46">
      <w:pPr>
        <w:spacing w:after="0" w:line="240" w:lineRule="auto"/>
      </w:pPr>
      <w:r>
        <w:separator/>
      </w:r>
    </w:p>
  </w:footnote>
  <w:footnote w:type="continuationSeparator" w:id="0">
    <w:p w14:paraId="2434542E" w14:textId="77777777" w:rsidR="00911A46" w:rsidRDefault="00911A4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3B13D7"/>
    <w:multiLevelType w:val="hybridMultilevel"/>
    <w:tmpl w:val="27FC68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F701829"/>
    <w:multiLevelType w:val="multilevel"/>
    <w:tmpl w:val="0C463E34"/>
    <w:lvl w:ilvl="0">
      <w:start w:val="1"/>
      <w:numFmt w:val="bullet"/>
      <w:lvlText w:val="-"/>
      <w:lvlJc w:val="left"/>
      <w:pPr>
        <w:ind w:left="360" w:hanging="360"/>
      </w:pPr>
      <w:rPr>
        <w:rFonts w:ascii="Calibri" w:hAnsi="Calibri" w:cs="DejaVu Sans" w:hint="default"/>
        <w:b/>
        <w:sz w:val="60"/>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2">
    <w:nsid w:val="65E668C5"/>
    <w:multiLevelType w:val="multilevel"/>
    <w:tmpl w:val="55900C94"/>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2E07"/>
    <w:rsid w:val="000F0F05"/>
    <w:rsid w:val="001A1BC1"/>
    <w:rsid w:val="001F7410"/>
    <w:rsid w:val="00342E07"/>
    <w:rsid w:val="003A6033"/>
    <w:rsid w:val="00442CA0"/>
    <w:rsid w:val="0052622B"/>
    <w:rsid w:val="005356A1"/>
    <w:rsid w:val="007C278A"/>
    <w:rsid w:val="00841DFD"/>
    <w:rsid w:val="008455B1"/>
    <w:rsid w:val="00911A46"/>
    <w:rsid w:val="00A76186"/>
    <w:rsid w:val="00BD61D6"/>
    <w:rsid w:val="00E66929"/>
    <w:rsid w:val="00EA62C1"/>
    <w:rsid w:val="00FC16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BE42A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DejaVu Sans"/>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color w:val="00000A"/>
      <w:sz w:val="22"/>
    </w:rPr>
  </w:style>
  <w:style w:type="paragraph" w:styleId="Heading1">
    <w:name w:val="heading 1"/>
    <w:basedOn w:val="Normal"/>
    <w:qFormat/>
    <w:pPr>
      <w:keepNext/>
      <w:keepLines/>
      <w:spacing w:before="480" w:after="0"/>
      <w:outlineLvl w:val="0"/>
    </w:pPr>
    <w:rPr>
      <w:rFonts w:ascii="Cambria" w:hAnsi="Cambria"/>
      <w:b/>
      <w:bCs/>
      <w:color w:val="365F91"/>
      <w:sz w:val="28"/>
      <w:szCs w:val="28"/>
    </w:rPr>
  </w:style>
  <w:style w:type="paragraph" w:styleId="Heading2">
    <w:name w:val="heading 2"/>
    <w:basedOn w:val="Normal"/>
    <w:qFormat/>
    <w:pPr>
      <w:keepNext/>
      <w:keepLines/>
      <w:spacing w:before="200" w:after="0"/>
      <w:outlineLvl w:val="1"/>
    </w:pPr>
    <w:rPr>
      <w:rFonts w:ascii="Cambria" w:hAnsi="Cambria"/>
      <w:b/>
      <w:bCs/>
      <w:color w:val="4F81BD"/>
      <w:sz w:val="26"/>
      <w:szCs w:val="26"/>
    </w:rPr>
  </w:style>
  <w:style w:type="paragraph" w:styleId="Heading3">
    <w:name w:val="heading 3"/>
    <w:basedOn w:val="Normal"/>
    <w:qFormat/>
    <w:pPr>
      <w:keepNext/>
      <w:keepLines/>
      <w:spacing w:before="200" w:after="0"/>
      <w:outlineLvl w:val="2"/>
    </w:pPr>
    <w:rPr>
      <w:rFonts w:ascii="Cambria" w:hAnsi="Cambria"/>
      <w:b/>
      <w:bCs/>
      <w:color w:val="4F81BD"/>
    </w:rPr>
  </w:style>
  <w:style w:type="paragraph" w:styleId="Heading4">
    <w:name w:val="heading 4"/>
    <w:basedOn w:val="Normal"/>
    <w:qFormat/>
    <w:pPr>
      <w:keepNext/>
      <w:keepLines/>
      <w:spacing w:before="200" w:after="0"/>
      <w:outlineLvl w:val="3"/>
    </w:pPr>
    <w:rPr>
      <w:rFonts w:ascii="Cambria" w:hAnsi="Cambria"/>
      <w:b/>
      <w:bCs/>
      <w:i/>
      <w:iCs/>
      <w:color w:val="4F81BD"/>
    </w:rPr>
  </w:style>
  <w:style w:type="paragraph" w:styleId="Heading5">
    <w:name w:val="heading 5"/>
    <w:basedOn w:val="Normal"/>
    <w:qFormat/>
    <w:pPr>
      <w:keepNext/>
      <w:keepLines/>
      <w:spacing w:before="200" w:after="0"/>
      <w:outlineLvl w:val="4"/>
    </w:pPr>
    <w:rPr>
      <w:rFonts w:ascii="Cambria" w:hAnsi="Cambria"/>
      <w:color w:val="243F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prechblasentextZchn">
    <w:name w:val="Sprechblasentext Zchn"/>
    <w:basedOn w:val="DefaultParagraphFont"/>
    <w:qFormat/>
    <w:rPr>
      <w:rFonts w:ascii="Tahoma" w:hAnsi="Tahoma" w:cs="Tahoma"/>
      <w:sz w:val="16"/>
      <w:szCs w:val="16"/>
    </w:rPr>
  </w:style>
  <w:style w:type="character" w:customStyle="1" w:styleId="KopfzeileZchn">
    <w:name w:val="Kopfzeile Zchn"/>
    <w:basedOn w:val="DefaultParagraphFont"/>
    <w:qFormat/>
  </w:style>
  <w:style w:type="character" w:customStyle="1" w:styleId="FuzeileZchn">
    <w:name w:val="Fußzeile Zchn"/>
    <w:basedOn w:val="DefaultParagraphFont"/>
    <w:qFormat/>
  </w:style>
  <w:style w:type="character" w:customStyle="1" w:styleId="berschrift1Zchn">
    <w:name w:val="Überschrift 1 Zchn"/>
    <w:basedOn w:val="DefaultParagraphFont"/>
    <w:qFormat/>
    <w:rPr>
      <w:rFonts w:ascii="Cambria" w:eastAsia="Calibri" w:hAnsi="Cambria" w:cs="DejaVu Sans"/>
      <w:b/>
      <w:bCs/>
      <w:color w:val="365F91"/>
      <w:sz w:val="28"/>
      <w:szCs w:val="28"/>
    </w:rPr>
  </w:style>
  <w:style w:type="character" w:customStyle="1" w:styleId="InternetLink">
    <w:name w:val="Internet Link"/>
    <w:basedOn w:val="DefaultParagraphFont"/>
    <w:uiPriority w:val="99"/>
    <w:unhideWhenUsed/>
    <w:rsid w:val="008D4604"/>
    <w:rPr>
      <w:color w:val="0000FF" w:themeColor="hyperlink"/>
      <w:u w:val="single"/>
    </w:rPr>
  </w:style>
  <w:style w:type="character" w:styleId="Strong">
    <w:name w:val="Strong"/>
    <w:basedOn w:val="DefaultParagraphFont"/>
    <w:qFormat/>
    <w:rPr>
      <w:b/>
      <w:bCs/>
    </w:rPr>
  </w:style>
  <w:style w:type="character" w:customStyle="1" w:styleId="EndnotentextZchn">
    <w:name w:val="Endnotentext Zchn"/>
    <w:basedOn w:val="DefaultParagraphFont"/>
    <w:qFormat/>
    <w:rPr>
      <w:rFonts w:ascii="Arial" w:eastAsia="Times New Roman" w:hAnsi="Arial" w:cs="Times New Roman"/>
      <w:szCs w:val="20"/>
      <w:lang w:val="en-GB"/>
    </w:rPr>
  </w:style>
  <w:style w:type="character" w:customStyle="1" w:styleId="berschrift2Zchn">
    <w:name w:val="Überschrift 2 Zchn"/>
    <w:basedOn w:val="DefaultParagraphFont"/>
    <w:qFormat/>
    <w:rPr>
      <w:rFonts w:ascii="Cambria" w:eastAsia="Calibri" w:hAnsi="Cambria" w:cs="DejaVu Sans"/>
      <w:b/>
      <w:bCs/>
      <w:color w:val="4F81BD"/>
      <w:sz w:val="26"/>
      <w:szCs w:val="26"/>
    </w:rPr>
  </w:style>
  <w:style w:type="character" w:customStyle="1" w:styleId="TitelZchn">
    <w:name w:val="Titel Zchn"/>
    <w:basedOn w:val="DefaultParagraphFont"/>
    <w:qFormat/>
    <w:rPr>
      <w:rFonts w:ascii="Times New Roman" w:eastAsia="Times New Roman" w:hAnsi="Times New Roman" w:cs="Times New Roman"/>
      <w:b/>
      <w:bCs/>
      <w:sz w:val="24"/>
      <w:szCs w:val="24"/>
      <w:lang w:val="de-CH"/>
    </w:rPr>
  </w:style>
  <w:style w:type="character" w:customStyle="1" w:styleId="berschrift3Zchn">
    <w:name w:val="Überschrift 3 Zchn"/>
    <w:basedOn w:val="DefaultParagraphFont"/>
    <w:qFormat/>
    <w:rPr>
      <w:rFonts w:ascii="Cambria" w:eastAsia="Calibri" w:hAnsi="Cambria" w:cs="DejaVu Sans"/>
      <w:b/>
      <w:bCs/>
      <w:color w:val="4F81BD"/>
    </w:rPr>
  </w:style>
  <w:style w:type="character" w:styleId="EndnoteReference">
    <w:name w:val="endnote reference"/>
    <w:basedOn w:val="DefaultParagraphFont"/>
    <w:qFormat/>
    <w:rPr>
      <w:vertAlign w:val="superscript"/>
    </w:rPr>
  </w:style>
  <w:style w:type="character" w:styleId="FollowedHyperlink">
    <w:name w:val="FollowedHyperlink"/>
    <w:basedOn w:val="DefaultParagraphFont"/>
    <w:qFormat/>
    <w:rPr>
      <w:color w:val="800080"/>
      <w:u w:val="single"/>
    </w:rPr>
  </w:style>
  <w:style w:type="character" w:styleId="LineNumber">
    <w:name w:val="line number"/>
    <w:basedOn w:val="DefaultParagraphFont"/>
    <w:qFormat/>
  </w:style>
  <w:style w:type="character" w:styleId="CommentReference">
    <w:name w:val="annotation reference"/>
    <w:basedOn w:val="DefaultParagraphFont"/>
    <w:qFormat/>
    <w:rPr>
      <w:sz w:val="18"/>
      <w:szCs w:val="18"/>
    </w:rPr>
  </w:style>
  <w:style w:type="character" w:customStyle="1" w:styleId="KommentartextZchn">
    <w:name w:val="Kommentartext Zchn"/>
    <w:basedOn w:val="DefaultParagraphFont"/>
    <w:qFormat/>
    <w:rPr>
      <w:sz w:val="24"/>
      <w:szCs w:val="24"/>
    </w:rPr>
  </w:style>
  <w:style w:type="character" w:customStyle="1" w:styleId="KommentarthemaZchn">
    <w:name w:val="Kommentarthema Zchn"/>
    <w:basedOn w:val="KommentartextZchn"/>
    <w:qFormat/>
    <w:rPr>
      <w:b/>
      <w:bCs/>
      <w:sz w:val="20"/>
      <w:szCs w:val="20"/>
    </w:rPr>
  </w:style>
  <w:style w:type="character" w:customStyle="1" w:styleId="st">
    <w:name w:val="st"/>
    <w:basedOn w:val="DefaultParagraphFont"/>
    <w:qFormat/>
  </w:style>
  <w:style w:type="character" w:customStyle="1" w:styleId="apple-converted-space">
    <w:name w:val="apple-converted-space"/>
    <w:basedOn w:val="DefaultParagraphFont"/>
    <w:qFormat/>
  </w:style>
  <w:style w:type="character" w:customStyle="1" w:styleId="figpopup-sensitive-area">
    <w:name w:val="figpopup-sensitive-area"/>
    <w:basedOn w:val="DefaultParagraphFont"/>
    <w:qFormat/>
  </w:style>
  <w:style w:type="character" w:styleId="PlaceholderText">
    <w:name w:val="Placeholder Text"/>
    <w:basedOn w:val="DefaultParagraphFont"/>
    <w:qFormat/>
    <w:rPr>
      <w:color w:val="808080"/>
    </w:rPr>
  </w:style>
  <w:style w:type="character" w:customStyle="1" w:styleId="TextkrperZchn">
    <w:name w:val="Textkörper Zchn"/>
    <w:basedOn w:val="DefaultParagraphFont"/>
    <w:qFormat/>
    <w:rPr>
      <w:rFonts w:ascii="Liberation Serif" w:eastAsia="Noto Sans CJK SC Regular" w:hAnsi="Liberation Serif" w:cs="FreeSans"/>
      <w:color w:val="00000A"/>
      <w:sz w:val="24"/>
      <w:szCs w:val="24"/>
      <w:lang w:val="en-GB" w:eastAsia="zh-CN" w:bidi="hi-IN"/>
    </w:rPr>
  </w:style>
  <w:style w:type="character" w:customStyle="1" w:styleId="HTMLVorformatiertZchn">
    <w:name w:val="HTML Vorformatiert Zchn"/>
    <w:basedOn w:val="DefaultParagraphFont"/>
    <w:qFormat/>
    <w:rPr>
      <w:rFonts w:ascii="Courier New" w:eastAsia="Times New Roman" w:hAnsi="Courier New" w:cs="Courier New"/>
      <w:sz w:val="20"/>
      <w:szCs w:val="20"/>
    </w:rPr>
  </w:style>
  <w:style w:type="character" w:customStyle="1" w:styleId="godmdahbbpb">
    <w:name w:val="godmdahbbpb"/>
    <w:basedOn w:val="DefaultParagraphFont"/>
    <w:qFormat/>
  </w:style>
  <w:style w:type="character" w:customStyle="1" w:styleId="godmdahbbob">
    <w:name w:val="godmdahbbob"/>
    <w:basedOn w:val="DefaultParagraphFont"/>
    <w:qFormat/>
  </w:style>
  <w:style w:type="character" w:customStyle="1" w:styleId="berschrift5Zchn">
    <w:name w:val="Überschrift 5 Zchn"/>
    <w:basedOn w:val="DefaultParagraphFont"/>
    <w:qFormat/>
    <w:rPr>
      <w:rFonts w:ascii="Cambria" w:eastAsia="Calibri" w:hAnsi="Cambria" w:cs="DejaVu Sans"/>
      <w:color w:val="243F60"/>
    </w:rPr>
  </w:style>
  <w:style w:type="character" w:customStyle="1" w:styleId="berschrift4Zchn">
    <w:name w:val="Überschrift 4 Zchn"/>
    <w:basedOn w:val="DefaultParagraphFont"/>
    <w:qFormat/>
    <w:rPr>
      <w:rFonts w:ascii="Cambria" w:eastAsia="Calibri" w:hAnsi="Cambria" w:cs="DejaVu Sans"/>
      <w:b/>
      <w:bCs/>
      <w:i/>
      <w:iCs/>
      <w:color w:val="4F81BD"/>
    </w:rPr>
  </w:style>
  <w:style w:type="character" w:styleId="Emphasis">
    <w:name w:val="Emphasis"/>
    <w:basedOn w:val="DefaultParagraphFont"/>
    <w:uiPriority w:val="20"/>
    <w:qFormat/>
    <w:rPr>
      <w:i/>
      <w:iCs/>
    </w:rPr>
  </w:style>
  <w:style w:type="character" w:customStyle="1" w:styleId="ListLabel1">
    <w:name w:val="ListLabel 1"/>
    <w:qFormat/>
    <w:rPr>
      <w:rFonts w:eastAsia="Calibri" w:cs="DejaVu Sans"/>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eastAsia="Calibri" w:cs="Courier New"/>
    </w:rPr>
  </w:style>
  <w:style w:type="character" w:customStyle="1" w:styleId="ListLabel6">
    <w:name w:val="ListLabel 6"/>
    <w:qFormat/>
    <w:rPr>
      <w:rFonts w:cs="Courier New"/>
    </w:rPr>
  </w:style>
  <w:style w:type="character" w:customStyle="1" w:styleId="ListLabel7">
    <w:name w:val="ListLabel 7"/>
    <w:qFormat/>
    <w:rPr>
      <w:rFonts w:cs="Courier New"/>
    </w:rPr>
  </w:style>
  <w:style w:type="character" w:customStyle="1" w:styleId="ListLabel8">
    <w:name w:val="ListLabel 8"/>
    <w:qFormat/>
    <w:rPr>
      <w:rFonts w:cs="Courier New"/>
    </w:rPr>
  </w:style>
  <w:style w:type="character" w:customStyle="1" w:styleId="ListLabel9">
    <w:name w:val="ListLabel 9"/>
    <w:qFormat/>
    <w:rPr>
      <w:rFonts w:eastAsia="Calibri" w:cs="Courier New"/>
    </w:rPr>
  </w:style>
  <w:style w:type="character" w:customStyle="1" w:styleId="ListLabel10">
    <w:name w:val="ListLabel 10"/>
    <w:qFormat/>
    <w:rPr>
      <w:rFonts w:cs="Courier New"/>
    </w:rPr>
  </w:style>
  <w:style w:type="character" w:customStyle="1" w:styleId="ListLabel11">
    <w:name w:val="ListLabel 11"/>
    <w:qFormat/>
    <w:rPr>
      <w:rFonts w:cs="Courier New"/>
    </w:rPr>
  </w:style>
  <w:style w:type="character" w:customStyle="1" w:styleId="ListLabel12">
    <w:name w:val="ListLabel 12"/>
    <w:qFormat/>
    <w:rPr>
      <w:rFonts w:cs="Courier New"/>
    </w:rPr>
  </w:style>
  <w:style w:type="character" w:customStyle="1" w:styleId="ListLabel13">
    <w:name w:val="ListLabel 13"/>
    <w:qFormat/>
    <w:rPr>
      <w:rFonts w:cs="Courier New"/>
    </w:rPr>
  </w:style>
  <w:style w:type="character" w:customStyle="1" w:styleId="ListLabel14">
    <w:name w:val="ListLabel 14"/>
    <w:qFormat/>
    <w:rPr>
      <w:rFonts w:cs="Courier New"/>
    </w:rPr>
  </w:style>
  <w:style w:type="character" w:customStyle="1" w:styleId="ListLabel15">
    <w:name w:val="ListLabel 15"/>
    <w:qFormat/>
    <w:rPr>
      <w:rFonts w:cs="Courier New"/>
    </w:rPr>
  </w:style>
  <w:style w:type="character" w:customStyle="1" w:styleId="ListLabel16">
    <w:name w:val="ListLabel 16"/>
    <w:qFormat/>
    <w:rPr>
      <w:rFonts w:eastAsia="Calibri" w:cs="DejaVu Sans"/>
      <w:b/>
      <w:sz w:val="60"/>
    </w:rPr>
  </w:style>
  <w:style w:type="character" w:customStyle="1" w:styleId="ListLabel17">
    <w:name w:val="ListLabel 17"/>
    <w:qFormat/>
    <w:rPr>
      <w:rFonts w:cs="Courier New"/>
    </w:rPr>
  </w:style>
  <w:style w:type="character" w:customStyle="1" w:styleId="ListLabel18">
    <w:name w:val="ListLabel 18"/>
    <w:qFormat/>
    <w:rPr>
      <w:rFonts w:cs="Courier New"/>
    </w:rPr>
  </w:style>
  <w:style w:type="character" w:customStyle="1" w:styleId="ListLabel19">
    <w:name w:val="ListLabel 19"/>
    <w:qFormat/>
    <w:rPr>
      <w:rFonts w:cs="Courier New"/>
    </w:rPr>
  </w:style>
  <w:style w:type="character" w:customStyle="1" w:styleId="ListLabel20">
    <w:name w:val="ListLabel 20"/>
    <w:qFormat/>
    <w:rPr>
      <w:rFonts w:eastAsia="Calibri" w:cs="Calibri"/>
    </w:rPr>
  </w:style>
  <w:style w:type="character" w:customStyle="1" w:styleId="ListLabel21">
    <w:name w:val="ListLabel 21"/>
    <w:qFormat/>
    <w:rPr>
      <w:rFonts w:cs="Courier New"/>
    </w:rPr>
  </w:style>
  <w:style w:type="character" w:customStyle="1" w:styleId="ListLabel22">
    <w:name w:val="ListLabel 22"/>
    <w:qFormat/>
    <w:rPr>
      <w:rFonts w:cs="Courier New"/>
    </w:rPr>
  </w:style>
  <w:style w:type="character" w:customStyle="1" w:styleId="ListLabel23">
    <w:name w:val="ListLabel 23"/>
    <w:qFormat/>
    <w:rPr>
      <w:rFonts w:cs="Courier New"/>
    </w:rPr>
  </w:style>
  <w:style w:type="character" w:customStyle="1" w:styleId="ListLabel24">
    <w:name w:val="ListLabel 24"/>
    <w:qFormat/>
    <w:rPr>
      <w:rFonts w:eastAsia="Calibri" w:cs="Calibri"/>
    </w:rPr>
  </w:style>
  <w:style w:type="character" w:customStyle="1" w:styleId="ListLabel25">
    <w:name w:val="ListLabel 25"/>
    <w:qFormat/>
    <w:rPr>
      <w:rFonts w:cs="Courier New"/>
    </w:rPr>
  </w:style>
  <w:style w:type="character" w:customStyle="1" w:styleId="ListLabel26">
    <w:name w:val="ListLabel 26"/>
    <w:qFormat/>
    <w:rPr>
      <w:rFonts w:cs="Courier New"/>
    </w:rPr>
  </w:style>
  <w:style w:type="character" w:customStyle="1" w:styleId="ListLabel27">
    <w:name w:val="ListLabel 27"/>
    <w:qFormat/>
    <w:rPr>
      <w:rFonts w:cs="Courier New"/>
    </w:rPr>
  </w:style>
  <w:style w:type="character" w:customStyle="1" w:styleId="ListLabel28">
    <w:name w:val="ListLabel 28"/>
    <w:qFormat/>
    <w:rPr>
      <w:rFonts w:cs="Courier New"/>
    </w:rPr>
  </w:style>
  <w:style w:type="character" w:customStyle="1" w:styleId="ListLabel29">
    <w:name w:val="ListLabel 29"/>
    <w:qFormat/>
    <w:rPr>
      <w:rFonts w:cs="Courier New"/>
    </w:rPr>
  </w:style>
  <w:style w:type="character" w:customStyle="1" w:styleId="ListLabel30">
    <w:name w:val="ListLabel 30"/>
    <w:qFormat/>
    <w:rPr>
      <w:rFonts w:cs="Courier New"/>
    </w:rPr>
  </w:style>
  <w:style w:type="character" w:customStyle="1" w:styleId="ListLabel31">
    <w:name w:val="ListLabel 31"/>
    <w:qFormat/>
    <w:rPr>
      <w:rFonts w:cs="Courier New"/>
    </w:rPr>
  </w:style>
  <w:style w:type="character" w:customStyle="1" w:styleId="ListLabel32">
    <w:name w:val="ListLabel 32"/>
    <w:qFormat/>
    <w:rPr>
      <w:rFonts w:cs="Courier New"/>
    </w:rPr>
  </w:style>
  <w:style w:type="character" w:customStyle="1" w:styleId="ListLabel33">
    <w:name w:val="ListLabel 33"/>
    <w:qFormat/>
    <w:rPr>
      <w:rFonts w:cs="Courier New"/>
    </w:rPr>
  </w:style>
  <w:style w:type="character" w:customStyle="1" w:styleId="ListLabel34">
    <w:name w:val="ListLabel 34"/>
    <w:qFormat/>
    <w:rPr>
      <w:rFonts w:cs="Courier New"/>
    </w:rPr>
  </w:style>
  <w:style w:type="character" w:customStyle="1" w:styleId="ListLabel35">
    <w:name w:val="ListLabel 35"/>
    <w:qFormat/>
    <w:rPr>
      <w:rFonts w:cs="Courier New"/>
    </w:rPr>
  </w:style>
  <w:style w:type="character" w:customStyle="1" w:styleId="ListLabel36">
    <w:name w:val="ListLabel 36"/>
    <w:qFormat/>
    <w:rPr>
      <w:rFonts w:cs="Courier New"/>
    </w:rPr>
  </w:style>
  <w:style w:type="character" w:customStyle="1" w:styleId="ListLabel37">
    <w:name w:val="ListLabel 37"/>
    <w:qFormat/>
    <w:rPr>
      <w:rFonts w:cs="Courier New"/>
    </w:rPr>
  </w:style>
  <w:style w:type="character" w:customStyle="1" w:styleId="ListLabel38">
    <w:name w:val="ListLabel 38"/>
    <w:qFormat/>
    <w:rPr>
      <w:rFonts w:cs="Courier New"/>
    </w:rPr>
  </w:style>
  <w:style w:type="character" w:customStyle="1" w:styleId="ListLabel39">
    <w:name w:val="ListLabel 39"/>
    <w:qFormat/>
    <w:rPr>
      <w:rFonts w:cs="Courier New"/>
    </w:rPr>
  </w:style>
  <w:style w:type="character" w:customStyle="1" w:styleId="ListLabel40">
    <w:name w:val="ListLabel 40"/>
    <w:qFormat/>
    <w:rPr>
      <w:rFonts w:cs="Courier New"/>
    </w:rPr>
  </w:style>
  <w:style w:type="character" w:customStyle="1" w:styleId="ListLabel41">
    <w:name w:val="ListLabel 41"/>
    <w:qFormat/>
    <w:rPr>
      <w:rFonts w:cs="Courier New"/>
    </w:rPr>
  </w:style>
  <w:style w:type="character" w:customStyle="1" w:styleId="ListLabel42">
    <w:name w:val="ListLabel 42"/>
    <w:qFormat/>
    <w:rPr>
      <w:rFonts w:cs="Courier New"/>
    </w:rPr>
  </w:style>
  <w:style w:type="character" w:customStyle="1" w:styleId="ListLabel43">
    <w:name w:val="ListLabel 43"/>
    <w:qFormat/>
    <w:rPr>
      <w:rFonts w:cs="Courier New"/>
    </w:rPr>
  </w:style>
  <w:style w:type="character" w:customStyle="1" w:styleId="ListLabel44">
    <w:name w:val="ListLabel 44"/>
    <w:qFormat/>
    <w:rPr>
      <w:rFonts w:cs="Courier New"/>
    </w:rPr>
  </w:style>
  <w:style w:type="character" w:customStyle="1" w:styleId="ListLabel45">
    <w:name w:val="ListLabel 45"/>
    <w:qFormat/>
    <w:rPr>
      <w:rFonts w:cs="Courier New"/>
    </w:rPr>
  </w:style>
  <w:style w:type="character" w:customStyle="1" w:styleId="ListLabel46">
    <w:name w:val="ListLabel 46"/>
    <w:qFormat/>
    <w:rPr>
      <w:rFonts w:cs="Courier New"/>
    </w:rPr>
  </w:style>
  <w:style w:type="character" w:customStyle="1" w:styleId="ListLabel47">
    <w:name w:val="ListLabel 47"/>
    <w:qFormat/>
    <w:rPr>
      <w:rFonts w:cs="Courier New"/>
    </w:rPr>
  </w:style>
  <w:style w:type="character" w:customStyle="1" w:styleId="ListLabel48">
    <w:name w:val="ListLabel 48"/>
    <w:qFormat/>
    <w:rPr>
      <w:rFonts w:cs="Courier New"/>
    </w:rPr>
  </w:style>
  <w:style w:type="character" w:customStyle="1" w:styleId="ListLabel49">
    <w:name w:val="ListLabel 49"/>
    <w:qFormat/>
    <w:rPr>
      <w:rFonts w:cs="Courier New"/>
    </w:rPr>
  </w:style>
  <w:style w:type="character" w:customStyle="1" w:styleId="ListLabel50">
    <w:name w:val="ListLabel 50"/>
    <w:qFormat/>
    <w:rPr>
      <w:rFonts w:cs="Courier New"/>
    </w:rPr>
  </w:style>
  <w:style w:type="character" w:customStyle="1" w:styleId="ListLabel51">
    <w:name w:val="ListLabel 51"/>
    <w:qFormat/>
    <w:rPr>
      <w:rFonts w:cs="Courier New"/>
    </w:rPr>
  </w:style>
  <w:style w:type="character" w:customStyle="1" w:styleId="ListLabel52">
    <w:name w:val="ListLabel 52"/>
    <w:qFormat/>
    <w:rPr>
      <w:rFonts w:cs="Courier New"/>
    </w:rPr>
  </w:style>
  <w:style w:type="character" w:customStyle="1" w:styleId="ListLabel53">
    <w:name w:val="ListLabel 53"/>
    <w:qFormat/>
    <w:rPr>
      <w:rFonts w:cs="Courier New"/>
    </w:rPr>
  </w:style>
  <w:style w:type="character" w:customStyle="1" w:styleId="ListLabel54">
    <w:name w:val="ListLabel 54"/>
    <w:qFormat/>
    <w:rPr>
      <w:rFonts w:cs="Courier New"/>
    </w:rPr>
  </w:style>
  <w:style w:type="character" w:customStyle="1" w:styleId="ListLabel55">
    <w:name w:val="ListLabel 55"/>
    <w:qFormat/>
    <w:rPr>
      <w:rFonts w:cs="Courier New"/>
    </w:rPr>
  </w:style>
  <w:style w:type="character" w:customStyle="1" w:styleId="ListLabel56">
    <w:name w:val="ListLabel 56"/>
    <w:qFormat/>
    <w:rPr>
      <w:rFonts w:cs="Courier New"/>
    </w:rPr>
  </w:style>
  <w:style w:type="character" w:customStyle="1" w:styleId="ListLabel57">
    <w:name w:val="ListLabel 57"/>
    <w:qFormat/>
    <w:rPr>
      <w:rFonts w:cs="Courier New"/>
    </w:rPr>
  </w:style>
  <w:style w:type="character" w:customStyle="1" w:styleId="ListLabel58">
    <w:name w:val="ListLabel 58"/>
    <w:qFormat/>
    <w:rPr>
      <w:rFonts w:cs="Courier New"/>
    </w:rPr>
  </w:style>
  <w:style w:type="character" w:customStyle="1" w:styleId="ListLabel59">
    <w:name w:val="ListLabel 59"/>
    <w:qFormat/>
    <w:rPr>
      <w:rFonts w:cs="Courier New"/>
    </w:rPr>
  </w:style>
  <w:style w:type="character" w:customStyle="1" w:styleId="ListLabel60">
    <w:name w:val="ListLabel 60"/>
    <w:qFormat/>
    <w:rPr>
      <w:rFonts w:cs="Courier New"/>
    </w:rPr>
  </w:style>
  <w:style w:type="character" w:customStyle="1" w:styleId="ListLabel61">
    <w:name w:val="ListLabel 61"/>
    <w:qFormat/>
    <w:rPr>
      <w:rFonts w:eastAsia="Calibri" w:cs="Times New Roman"/>
    </w:rPr>
  </w:style>
  <w:style w:type="character" w:customStyle="1" w:styleId="ListLabel62">
    <w:name w:val="ListLabel 62"/>
    <w:qFormat/>
    <w:rPr>
      <w:rFonts w:cs="Courier New"/>
    </w:rPr>
  </w:style>
  <w:style w:type="character" w:customStyle="1" w:styleId="ListLabel63">
    <w:name w:val="ListLabel 63"/>
    <w:qFormat/>
    <w:rPr>
      <w:rFonts w:cs="Courier New"/>
    </w:rPr>
  </w:style>
  <w:style w:type="character" w:customStyle="1" w:styleId="ListLabel64">
    <w:name w:val="ListLabel 64"/>
    <w:qFormat/>
    <w:rPr>
      <w:rFonts w:cs="Courier New"/>
    </w:rPr>
  </w:style>
  <w:style w:type="character" w:customStyle="1" w:styleId="ListLabel65">
    <w:name w:val="ListLabel 65"/>
    <w:qFormat/>
    <w:rPr>
      <w:rFonts w:eastAsia="Calibri" w:cs="Calibri"/>
      <w:color w:val="00000A"/>
    </w:rPr>
  </w:style>
  <w:style w:type="character" w:customStyle="1" w:styleId="ListLabel66">
    <w:name w:val="ListLabel 66"/>
    <w:qFormat/>
    <w:rPr>
      <w:rFonts w:cs="Courier New"/>
    </w:rPr>
  </w:style>
  <w:style w:type="character" w:customStyle="1" w:styleId="ListLabel67">
    <w:name w:val="ListLabel 67"/>
    <w:qFormat/>
    <w:rPr>
      <w:rFonts w:cs="Courier New"/>
    </w:rPr>
  </w:style>
  <w:style w:type="character" w:customStyle="1" w:styleId="ListLabel68">
    <w:name w:val="ListLabel 68"/>
    <w:qFormat/>
    <w:rPr>
      <w:rFonts w:cs="Courier New"/>
    </w:rPr>
  </w:style>
  <w:style w:type="character" w:customStyle="1" w:styleId="ListLabel69">
    <w:name w:val="ListLabel 69"/>
    <w:qFormat/>
    <w:rPr>
      <w:rFonts w:cs="Courier New"/>
    </w:rPr>
  </w:style>
  <w:style w:type="character" w:customStyle="1" w:styleId="ListLabel70">
    <w:name w:val="ListLabel 70"/>
    <w:qFormat/>
    <w:rPr>
      <w:rFonts w:cs="Courier New"/>
    </w:rPr>
  </w:style>
  <w:style w:type="character" w:customStyle="1" w:styleId="ListLabel71">
    <w:name w:val="ListLabel 71"/>
    <w:qFormat/>
    <w:rPr>
      <w:rFonts w:cs="Courier New"/>
    </w:rPr>
  </w:style>
  <w:style w:type="character" w:customStyle="1" w:styleId="ListLabel72">
    <w:name w:val="ListLabel 72"/>
    <w:qFormat/>
    <w:rPr>
      <w:rFonts w:cs="Courier New"/>
    </w:rPr>
  </w:style>
  <w:style w:type="character" w:customStyle="1" w:styleId="ListLabel73">
    <w:name w:val="ListLabel 73"/>
    <w:qFormat/>
    <w:rPr>
      <w:rFonts w:cs="Courier New"/>
    </w:rPr>
  </w:style>
  <w:style w:type="character" w:customStyle="1" w:styleId="ListLabel74">
    <w:name w:val="ListLabel 74"/>
    <w:qFormat/>
    <w:rPr>
      <w:rFonts w:cs="Courier New"/>
    </w:rPr>
  </w:style>
  <w:style w:type="character" w:customStyle="1" w:styleId="IndexLink">
    <w:name w:val="Index Link"/>
    <w:qFormat/>
  </w:style>
  <w:style w:type="character" w:customStyle="1" w:styleId="ListLabel75">
    <w:name w:val="ListLabel 75"/>
    <w:qFormat/>
    <w:rPr>
      <w:rFonts w:cs="DejaVu Sans"/>
      <w:b/>
      <w:sz w:val="60"/>
    </w:rPr>
  </w:style>
  <w:style w:type="character" w:customStyle="1" w:styleId="ListLabel76">
    <w:name w:val="ListLabel 76"/>
    <w:qFormat/>
    <w:rPr>
      <w:rFonts w:cs="Courier New"/>
    </w:rPr>
  </w:style>
  <w:style w:type="character" w:customStyle="1" w:styleId="ListLabel77">
    <w:name w:val="ListLabel 77"/>
    <w:qFormat/>
    <w:rPr>
      <w:rFonts w:cs="Wingdings"/>
    </w:rPr>
  </w:style>
  <w:style w:type="character" w:customStyle="1" w:styleId="ListLabel78">
    <w:name w:val="ListLabel 78"/>
    <w:qFormat/>
    <w:rPr>
      <w:rFonts w:cs="Symbol"/>
    </w:rPr>
  </w:style>
  <w:style w:type="character" w:customStyle="1" w:styleId="ListLabel79">
    <w:name w:val="ListLabel 79"/>
    <w:qFormat/>
    <w:rPr>
      <w:rFonts w:cs="Courier New"/>
    </w:rPr>
  </w:style>
  <w:style w:type="character" w:customStyle="1" w:styleId="ListLabel80">
    <w:name w:val="ListLabel 80"/>
    <w:qFormat/>
    <w:rPr>
      <w:rFonts w:cs="Wingdings"/>
    </w:rPr>
  </w:style>
  <w:style w:type="character" w:customStyle="1" w:styleId="ListLabel81">
    <w:name w:val="ListLabel 81"/>
    <w:qFormat/>
    <w:rPr>
      <w:rFonts w:cs="Symbol"/>
    </w:rPr>
  </w:style>
  <w:style w:type="character" w:customStyle="1" w:styleId="ListLabel82">
    <w:name w:val="ListLabel 82"/>
    <w:qFormat/>
    <w:rPr>
      <w:rFonts w:cs="Courier New"/>
    </w:rPr>
  </w:style>
  <w:style w:type="character" w:customStyle="1" w:styleId="ListLabel83">
    <w:name w:val="ListLabel 83"/>
    <w:qFormat/>
    <w:rPr>
      <w:rFonts w:cs="Wingdings"/>
    </w:rPr>
  </w:style>
  <w:style w:type="character" w:customStyle="1" w:styleId="ListLabel84">
    <w:name w:val="ListLabel 84"/>
    <w:qFormat/>
    <w:rPr>
      <w:rFonts w:cs="DejaVu Sans"/>
      <w:b/>
      <w:sz w:val="60"/>
    </w:rPr>
  </w:style>
  <w:style w:type="character" w:customStyle="1" w:styleId="ListLabel85">
    <w:name w:val="ListLabel 85"/>
    <w:qFormat/>
    <w:rPr>
      <w:rFonts w:cs="Courier New"/>
    </w:rPr>
  </w:style>
  <w:style w:type="character" w:customStyle="1" w:styleId="ListLabel86">
    <w:name w:val="ListLabel 86"/>
    <w:qFormat/>
    <w:rPr>
      <w:rFonts w:cs="Wingdings"/>
    </w:rPr>
  </w:style>
  <w:style w:type="character" w:customStyle="1" w:styleId="ListLabel87">
    <w:name w:val="ListLabel 87"/>
    <w:qFormat/>
    <w:rPr>
      <w:rFonts w:cs="Symbol"/>
    </w:rPr>
  </w:style>
  <w:style w:type="character" w:customStyle="1" w:styleId="ListLabel88">
    <w:name w:val="ListLabel 88"/>
    <w:qFormat/>
    <w:rPr>
      <w:rFonts w:cs="Courier New"/>
    </w:rPr>
  </w:style>
  <w:style w:type="character" w:customStyle="1" w:styleId="ListLabel89">
    <w:name w:val="ListLabel 89"/>
    <w:qFormat/>
    <w:rPr>
      <w:rFonts w:cs="Wingdings"/>
    </w:rPr>
  </w:style>
  <w:style w:type="character" w:customStyle="1" w:styleId="ListLabel90">
    <w:name w:val="ListLabel 90"/>
    <w:qFormat/>
    <w:rPr>
      <w:rFonts w:cs="Symbol"/>
    </w:rPr>
  </w:style>
  <w:style w:type="character" w:customStyle="1" w:styleId="ListLabel91">
    <w:name w:val="ListLabel 91"/>
    <w:qFormat/>
    <w:rPr>
      <w:rFonts w:cs="Courier New"/>
    </w:rPr>
  </w:style>
  <w:style w:type="character" w:customStyle="1" w:styleId="ListLabel92">
    <w:name w:val="ListLabel 92"/>
    <w:qFormat/>
    <w:rPr>
      <w:rFonts w:cs="Wingdings"/>
    </w:rPr>
  </w:style>
  <w:style w:type="paragraph" w:customStyle="1" w:styleId="Heading">
    <w:name w:val="Heading"/>
    <w:basedOn w:val="Normal"/>
    <w:next w:val="BodyText"/>
    <w:qFormat/>
    <w:pPr>
      <w:keepNext/>
      <w:spacing w:before="240" w:after="120"/>
    </w:pPr>
    <w:rPr>
      <w:rFonts w:ascii="Liberation Sans" w:eastAsia="Noto Sans CJK SC Regular" w:hAnsi="Liberation Sans" w:cs="FreeSans"/>
      <w:sz w:val="28"/>
      <w:szCs w:val="28"/>
    </w:rPr>
  </w:style>
  <w:style w:type="paragraph" w:styleId="BodyText">
    <w:name w:val="Body Text"/>
    <w:basedOn w:val="Normal"/>
    <w:pPr>
      <w:spacing w:after="140" w:line="288" w:lineRule="auto"/>
    </w:pPr>
    <w:rPr>
      <w:rFonts w:ascii="Liberation Serif" w:eastAsia="Noto Sans CJK SC Regular" w:hAnsi="Liberation Serif" w:cs="FreeSans"/>
      <w:sz w:val="24"/>
      <w:szCs w:val="24"/>
      <w:lang w:val="en-GB" w:eastAsia="zh-CN" w:bidi="hi-IN"/>
    </w:rPr>
  </w:style>
  <w:style w:type="paragraph" w:styleId="List">
    <w:name w:val="List"/>
    <w:basedOn w:val="BodyText"/>
    <w:rPr>
      <w:rFonts w:ascii="Arial" w:hAnsi="Arial"/>
    </w:rPr>
  </w:style>
  <w:style w:type="paragraph" w:styleId="Caption">
    <w:name w:val="caption"/>
    <w:basedOn w:val="Normal"/>
    <w:uiPriority w:val="35"/>
    <w:qFormat/>
    <w:pPr>
      <w:spacing w:line="240" w:lineRule="auto"/>
    </w:pPr>
    <w:rPr>
      <w:b/>
      <w:bCs/>
      <w:color w:val="4F81BD"/>
      <w:sz w:val="18"/>
      <w:szCs w:val="18"/>
    </w:rPr>
  </w:style>
  <w:style w:type="paragraph" w:customStyle="1" w:styleId="Index">
    <w:name w:val="Index"/>
    <w:basedOn w:val="Normal"/>
    <w:qFormat/>
    <w:pPr>
      <w:suppressLineNumbers/>
    </w:pPr>
    <w:rPr>
      <w:rFonts w:cs="FreeSans"/>
    </w:rPr>
  </w:style>
  <w:style w:type="paragraph" w:styleId="ListParagraph">
    <w:name w:val="List Paragraph"/>
    <w:basedOn w:val="Normal"/>
    <w:uiPriority w:val="34"/>
    <w:qFormat/>
    <w:pPr>
      <w:ind w:left="720"/>
      <w:contextualSpacing/>
    </w:pPr>
  </w:style>
  <w:style w:type="paragraph" w:styleId="BalloonText">
    <w:name w:val="Balloon Text"/>
    <w:basedOn w:val="Normal"/>
    <w:qFormat/>
    <w:pPr>
      <w:spacing w:after="0" w:line="240" w:lineRule="auto"/>
    </w:pPr>
    <w:rPr>
      <w:rFonts w:ascii="Tahoma" w:hAnsi="Tahoma" w:cs="Tahoma"/>
      <w:sz w:val="16"/>
      <w:szCs w:val="16"/>
    </w:rPr>
  </w:style>
  <w:style w:type="paragraph" w:styleId="NormalWeb">
    <w:name w:val="Normal (Web)"/>
    <w:basedOn w:val="Normal"/>
    <w:qFormat/>
    <w:pPr>
      <w:spacing w:before="280" w:after="280" w:line="240" w:lineRule="auto"/>
    </w:pPr>
    <w:rPr>
      <w:rFonts w:ascii="Times New Roman" w:eastAsia="Times New Roman" w:hAnsi="Times New Roman" w:cs="Times New Roman"/>
      <w:sz w:val="24"/>
      <w:szCs w:val="24"/>
    </w:rPr>
  </w:style>
  <w:style w:type="paragraph" w:styleId="Header">
    <w:name w:val="header"/>
    <w:basedOn w:val="Normal"/>
    <w:pPr>
      <w:tabs>
        <w:tab w:val="center" w:pos="4703"/>
        <w:tab w:val="right" w:pos="9406"/>
      </w:tabs>
      <w:spacing w:after="0" w:line="240" w:lineRule="auto"/>
    </w:pPr>
  </w:style>
  <w:style w:type="paragraph" w:styleId="Footer">
    <w:name w:val="footer"/>
    <w:basedOn w:val="Normal"/>
    <w:pPr>
      <w:tabs>
        <w:tab w:val="center" w:pos="4703"/>
        <w:tab w:val="right" w:pos="9406"/>
      </w:tabs>
      <w:spacing w:after="0" w:line="240" w:lineRule="auto"/>
    </w:pPr>
  </w:style>
  <w:style w:type="paragraph" w:styleId="TOCHeading">
    <w:name w:val="TOC Heading"/>
    <w:basedOn w:val="Heading1"/>
    <w:uiPriority w:val="39"/>
    <w:qFormat/>
  </w:style>
  <w:style w:type="paragraph" w:styleId="TOC1">
    <w:name w:val="toc 1"/>
    <w:basedOn w:val="Normal"/>
    <w:autoRedefine/>
    <w:uiPriority w:val="39"/>
    <w:pPr>
      <w:spacing w:before="120" w:after="0"/>
    </w:pPr>
    <w:rPr>
      <w:rFonts w:asciiTheme="minorHAnsi" w:hAnsiTheme="minorHAnsi"/>
      <w:b/>
      <w:sz w:val="24"/>
      <w:szCs w:val="24"/>
    </w:rPr>
  </w:style>
  <w:style w:type="paragraph" w:styleId="TOC2">
    <w:name w:val="toc 2"/>
    <w:basedOn w:val="Normal"/>
    <w:autoRedefine/>
    <w:uiPriority w:val="39"/>
    <w:pPr>
      <w:spacing w:after="0"/>
      <w:ind w:left="220"/>
    </w:pPr>
    <w:rPr>
      <w:rFonts w:asciiTheme="minorHAnsi" w:hAnsiTheme="minorHAnsi"/>
      <w:b/>
    </w:rPr>
  </w:style>
  <w:style w:type="paragraph" w:styleId="EndnoteText">
    <w:name w:val="endnote text"/>
    <w:basedOn w:val="Normal"/>
    <w:qFormat/>
    <w:pPr>
      <w:widowControl w:val="0"/>
      <w:spacing w:after="0" w:line="360" w:lineRule="auto"/>
    </w:pPr>
    <w:rPr>
      <w:rFonts w:ascii="Arial" w:eastAsia="Times New Roman" w:hAnsi="Arial" w:cs="Times New Roman"/>
      <w:szCs w:val="20"/>
      <w:lang w:val="en-GB"/>
    </w:rPr>
  </w:style>
  <w:style w:type="paragraph" w:styleId="Title">
    <w:name w:val="Title"/>
    <w:basedOn w:val="Normal"/>
    <w:qFormat/>
    <w:pPr>
      <w:spacing w:after="0" w:line="240" w:lineRule="auto"/>
      <w:jc w:val="center"/>
    </w:pPr>
    <w:rPr>
      <w:rFonts w:ascii="Times New Roman" w:eastAsia="Times New Roman" w:hAnsi="Times New Roman" w:cs="Times New Roman"/>
      <w:b/>
      <w:bCs/>
      <w:sz w:val="24"/>
      <w:szCs w:val="24"/>
      <w:lang w:val="de-CH"/>
    </w:rPr>
  </w:style>
  <w:style w:type="paragraph" w:styleId="TOC3">
    <w:name w:val="toc 3"/>
    <w:basedOn w:val="Normal"/>
    <w:autoRedefine/>
    <w:pPr>
      <w:spacing w:after="0"/>
      <w:ind w:left="440"/>
    </w:pPr>
    <w:rPr>
      <w:rFonts w:asciiTheme="minorHAnsi" w:hAnsiTheme="minorHAnsi"/>
    </w:rPr>
  </w:style>
  <w:style w:type="paragraph" w:customStyle="1" w:styleId="font0">
    <w:name w:val="font0"/>
    <w:basedOn w:val="Normal"/>
    <w:qFormat/>
    <w:pPr>
      <w:spacing w:before="280" w:after="280" w:line="240" w:lineRule="auto"/>
    </w:pPr>
    <w:rPr>
      <w:rFonts w:eastAsia="Times New Roman" w:cs="Times New Roman"/>
      <w:color w:val="000000"/>
    </w:rPr>
  </w:style>
  <w:style w:type="paragraph" w:customStyle="1" w:styleId="font5">
    <w:name w:val="font5"/>
    <w:basedOn w:val="Normal"/>
    <w:qFormat/>
    <w:pPr>
      <w:spacing w:before="280" w:after="280" w:line="240" w:lineRule="auto"/>
    </w:pPr>
    <w:rPr>
      <w:rFonts w:eastAsia="Times New Roman" w:cs="Times New Roman"/>
    </w:rPr>
  </w:style>
  <w:style w:type="paragraph" w:customStyle="1" w:styleId="font6">
    <w:name w:val="font6"/>
    <w:basedOn w:val="Normal"/>
    <w:qFormat/>
    <w:pPr>
      <w:spacing w:before="280" w:after="280" w:line="240" w:lineRule="auto"/>
    </w:pPr>
    <w:rPr>
      <w:rFonts w:eastAsia="Times New Roman" w:cs="Times New Roman"/>
      <w:color w:val="000000"/>
    </w:rPr>
  </w:style>
  <w:style w:type="paragraph" w:customStyle="1" w:styleId="font7">
    <w:name w:val="font7"/>
    <w:basedOn w:val="Normal"/>
    <w:qFormat/>
    <w:pPr>
      <w:spacing w:before="280" w:after="280" w:line="240" w:lineRule="auto"/>
    </w:pPr>
    <w:rPr>
      <w:rFonts w:eastAsia="Times New Roman" w:cs="Times New Roman"/>
    </w:rPr>
  </w:style>
  <w:style w:type="paragraph" w:customStyle="1" w:styleId="xl63">
    <w:name w:val="xl63"/>
    <w:basedOn w:val="Normal"/>
    <w:qFormat/>
    <w:pPr>
      <w:shd w:val="clear" w:color="auto" w:fill="EEECE1"/>
      <w:spacing w:before="280" w:after="280" w:line="240" w:lineRule="auto"/>
    </w:pPr>
    <w:rPr>
      <w:rFonts w:ascii="Times New Roman" w:eastAsia="Times New Roman" w:hAnsi="Times New Roman" w:cs="Times New Roman"/>
      <w:b/>
      <w:bCs/>
      <w:sz w:val="24"/>
      <w:szCs w:val="24"/>
    </w:rPr>
  </w:style>
  <w:style w:type="paragraph" w:customStyle="1" w:styleId="xl64">
    <w:name w:val="xl64"/>
    <w:basedOn w:val="Normal"/>
    <w:qFormat/>
    <w:pPr>
      <w:shd w:val="clear" w:color="auto" w:fill="EEECE1"/>
      <w:spacing w:before="280" w:after="280" w:line="240" w:lineRule="auto"/>
    </w:pPr>
    <w:rPr>
      <w:rFonts w:ascii="Times New Roman" w:eastAsia="Times New Roman" w:hAnsi="Times New Roman" w:cs="Times New Roman"/>
      <w:sz w:val="24"/>
      <w:szCs w:val="24"/>
    </w:rPr>
  </w:style>
  <w:style w:type="paragraph" w:customStyle="1" w:styleId="xl65">
    <w:name w:val="xl65"/>
    <w:basedOn w:val="Normal"/>
    <w:qFormat/>
    <w:pPr>
      <w:pBdr>
        <w:left w:val="single" w:sz="8" w:space="0" w:color="00000A"/>
      </w:pBdr>
      <w:shd w:val="clear" w:color="auto" w:fill="EEECE1"/>
      <w:spacing w:before="280" w:after="280" w:line="240" w:lineRule="auto"/>
    </w:pPr>
    <w:rPr>
      <w:rFonts w:ascii="Times New Roman" w:eastAsia="Times New Roman" w:hAnsi="Times New Roman" w:cs="Times New Roman"/>
      <w:b/>
      <w:bCs/>
      <w:sz w:val="24"/>
      <w:szCs w:val="24"/>
    </w:rPr>
  </w:style>
  <w:style w:type="paragraph" w:customStyle="1" w:styleId="xl66">
    <w:name w:val="xl66"/>
    <w:basedOn w:val="Normal"/>
    <w:qFormat/>
    <w:pPr>
      <w:shd w:val="clear" w:color="auto" w:fill="EEECE1"/>
      <w:spacing w:before="280" w:after="280" w:line="240" w:lineRule="auto"/>
    </w:pPr>
    <w:rPr>
      <w:rFonts w:ascii="Times New Roman" w:eastAsia="Times New Roman" w:hAnsi="Times New Roman" w:cs="Times New Roman"/>
      <w:sz w:val="24"/>
      <w:szCs w:val="24"/>
    </w:rPr>
  </w:style>
  <w:style w:type="paragraph" w:customStyle="1" w:styleId="xl67">
    <w:name w:val="xl67"/>
    <w:basedOn w:val="Normal"/>
    <w:qFormat/>
    <w:pPr>
      <w:shd w:val="clear" w:color="auto" w:fill="EEECE1"/>
      <w:spacing w:before="280" w:after="280" w:line="240" w:lineRule="auto"/>
      <w:jc w:val="right"/>
    </w:pPr>
    <w:rPr>
      <w:rFonts w:ascii="Times New Roman" w:eastAsia="Times New Roman" w:hAnsi="Times New Roman" w:cs="Times New Roman"/>
      <w:sz w:val="24"/>
      <w:szCs w:val="24"/>
    </w:rPr>
  </w:style>
  <w:style w:type="paragraph" w:customStyle="1" w:styleId="xl68">
    <w:name w:val="xl68"/>
    <w:basedOn w:val="Normal"/>
    <w:qFormat/>
    <w:pPr>
      <w:shd w:val="clear" w:color="auto" w:fill="EEECE1"/>
      <w:spacing w:before="280" w:after="280" w:line="240" w:lineRule="auto"/>
      <w:jc w:val="right"/>
    </w:pPr>
    <w:rPr>
      <w:rFonts w:ascii="Times New Roman" w:eastAsia="Times New Roman" w:hAnsi="Times New Roman" w:cs="Times New Roman"/>
      <w:color w:val="F79646"/>
      <w:sz w:val="24"/>
      <w:szCs w:val="24"/>
    </w:rPr>
  </w:style>
  <w:style w:type="paragraph" w:customStyle="1" w:styleId="xl69">
    <w:name w:val="xl69"/>
    <w:basedOn w:val="Normal"/>
    <w:qFormat/>
    <w:pPr>
      <w:pBdr>
        <w:right w:val="single" w:sz="8" w:space="0" w:color="00000A"/>
      </w:pBdr>
      <w:shd w:val="clear" w:color="auto" w:fill="EEECE1"/>
      <w:spacing w:before="280" w:after="280" w:line="240" w:lineRule="auto"/>
      <w:jc w:val="right"/>
    </w:pPr>
    <w:rPr>
      <w:rFonts w:ascii="Times New Roman" w:eastAsia="Times New Roman" w:hAnsi="Times New Roman" w:cs="Times New Roman"/>
      <w:sz w:val="24"/>
      <w:szCs w:val="24"/>
    </w:rPr>
  </w:style>
  <w:style w:type="paragraph" w:customStyle="1" w:styleId="xl70">
    <w:name w:val="xl70"/>
    <w:basedOn w:val="Normal"/>
    <w:qFormat/>
    <w:pPr>
      <w:pBdr>
        <w:left w:val="single" w:sz="8" w:space="0" w:color="00000A"/>
      </w:pBdr>
      <w:shd w:val="clear" w:color="auto" w:fill="EEECE1"/>
      <w:spacing w:before="280" w:after="280" w:line="240" w:lineRule="auto"/>
    </w:pPr>
    <w:rPr>
      <w:rFonts w:ascii="Times New Roman" w:eastAsia="Times New Roman" w:hAnsi="Times New Roman" w:cs="Times New Roman"/>
      <w:b/>
      <w:bCs/>
      <w:sz w:val="24"/>
      <w:szCs w:val="24"/>
    </w:rPr>
  </w:style>
  <w:style w:type="paragraph" w:customStyle="1" w:styleId="xl71">
    <w:name w:val="xl71"/>
    <w:basedOn w:val="Normal"/>
    <w:qFormat/>
    <w:pPr>
      <w:shd w:val="clear" w:color="auto" w:fill="EEECE1"/>
      <w:spacing w:before="280" w:after="280" w:line="240" w:lineRule="auto"/>
      <w:jc w:val="right"/>
    </w:pPr>
    <w:rPr>
      <w:rFonts w:ascii="Times New Roman" w:eastAsia="Times New Roman" w:hAnsi="Times New Roman" w:cs="Times New Roman"/>
      <w:sz w:val="24"/>
      <w:szCs w:val="24"/>
    </w:rPr>
  </w:style>
  <w:style w:type="paragraph" w:customStyle="1" w:styleId="xl72">
    <w:name w:val="xl72"/>
    <w:basedOn w:val="Normal"/>
    <w:qFormat/>
    <w:pPr>
      <w:shd w:val="clear" w:color="auto" w:fill="EEECE1"/>
      <w:spacing w:before="280" w:after="280" w:line="240" w:lineRule="auto"/>
      <w:jc w:val="right"/>
    </w:pPr>
    <w:rPr>
      <w:rFonts w:ascii="Times New Roman" w:eastAsia="Times New Roman" w:hAnsi="Times New Roman" w:cs="Times New Roman"/>
      <w:sz w:val="24"/>
      <w:szCs w:val="24"/>
    </w:rPr>
  </w:style>
  <w:style w:type="paragraph" w:customStyle="1" w:styleId="xl73">
    <w:name w:val="xl73"/>
    <w:basedOn w:val="Normal"/>
    <w:qFormat/>
    <w:pPr>
      <w:pBdr>
        <w:right w:val="single" w:sz="8" w:space="0" w:color="00000A"/>
      </w:pBdr>
      <w:shd w:val="clear" w:color="auto" w:fill="EEECE1"/>
      <w:spacing w:before="280" w:after="280" w:line="240" w:lineRule="auto"/>
      <w:jc w:val="right"/>
    </w:pPr>
    <w:rPr>
      <w:rFonts w:ascii="Times New Roman" w:eastAsia="Times New Roman" w:hAnsi="Times New Roman" w:cs="Times New Roman"/>
      <w:sz w:val="24"/>
      <w:szCs w:val="24"/>
    </w:rPr>
  </w:style>
  <w:style w:type="paragraph" w:customStyle="1" w:styleId="xl74">
    <w:name w:val="xl74"/>
    <w:basedOn w:val="Normal"/>
    <w:qFormat/>
    <w:pPr>
      <w:shd w:val="clear" w:color="auto" w:fill="EEECE1"/>
      <w:spacing w:before="280" w:after="280" w:line="240" w:lineRule="auto"/>
      <w:jc w:val="right"/>
    </w:pPr>
    <w:rPr>
      <w:rFonts w:ascii="Times New Roman" w:eastAsia="Times New Roman" w:hAnsi="Times New Roman" w:cs="Times New Roman"/>
      <w:sz w:val="24"/>
      <w:szCs w:val="24"/>
    </w:rPr>
  </w:style>
  <w:style w:type="paragraph" w:customStyle="1" w:styleId="xl75">
    <w:name w:val="xl75"/>
    <w:basedOn w:val="Normal"/>
    <w:qFormat/>
    <w:pPr>
      <w:shd w:val="clear" w:color="auto" w:fill="EEECE1"/>
      <w:spacing w:before="280" w:after="280" w:line="240" w:lineRule="auto"/>
      <w:jc w:val="right"/>
    </w:pPr>
    <w:rPr>
      <w:rFonts w:ascii="Times New Roman" w:eastAsia="Times New Roman" w:hAnsi="Times New Roman" w:cs="Times New Roman"/>
      <w:sz w:val="24"/>
      <w:szCs w:val="24"/>
    </w:rPr>
  </w:style>
  <w:style w:type="paragraph" w:customStyle="1" w:styleId="xl76">
    <w:name w:val="xl76"/>
    <w:basedOn w:val="Normal"/>
    <w:qFormat/>
    <w:pPr>
      <w:shd w:val="clear" w:color="auto" w:fill="EEECE1"/>
      <w:spacing w:before="280" w:after="280" w:line="240" w:lineRule="auto"/>
      <w:jc w:val="right"/>
    </w:pPr>
    <w:rPr>
      <w:rFonts w:ascii="Times New Roman" w:eastAsia="Times New Roman" w:hAnsi="Times New Roman" w:cs="Times New Roman"/>
      <w:sz w:val="24"/>
      <w:szCs w:val="24"/>
    </w:rPr>
  </w:style>
  <w:style w:type="paragraph" w:customStyle="1" w:styleId="xl77">
    <w:name w:val="xl77"/>
    <w:basedOn w:val="Normal"/>
    <w:qFormat/>
    <w:pPr>
      <w:shd w:val="clear" w:color="auto" w:fill="EEECE1"/>
      <w:spacing w:before="280" w:after="280" w:line="240" w:lineRule="auto"/>
      <w:jc w:val="right"/>
    </w:pPr>
    <w:rPr>
      <w:rFonts w:ascii="Times New Roman" w:eastAsia="Times New Roman" w:hAnsi="Times New Roman" w:cs="Times New Roman"/>
      <w:sz w:val="24"/>
      <w:szCs w:val="24"/>
    </w:rPr>
  </w:style>
  <w:style w:type="paragraph" w:customStyle="1" w:styleId="xl78">
    <w:name w:val="xl78"/>
    <w:basedOn w:val="Normal"/>
    <w:qFormat/>
    <w:pPr>
      <w:pBdr>
        <w:right w:val="single" w:sz="8" w:space="0" w:color="00000A"/>
      </w:pBdr>
      <w:shd w:val="clear" w:color="auto" w:fill="EEECE1"/>
      <w:spacing w:before="280" w:after="280" w:line="240" w:lineRule="auto"/>
      <w:jc w:val="right"/>
    </w:pPr>
    <w:rPr>
      <w:rFonts w:ascii="Times New Roman" w:eastAsia="Times New Roman" w:hAnsi="Times New Roman" w:cs="Times New Roman"/>
      <w:color w:val="FF0000"/>
      <w:sz w:val="24"/>
      <w:szCs w:val="24"/>
    </w:rPr>
  </w:style>
  <w:style w:type="paragraph" w:customStyle="1" w:styleId="xl79">
    <w:name w:val="xl79"/>
    <w:basedOn w:val="Normal"/>
    <w:qFormat/>
    <w:pPr>
      <w:pBdr>
        <w:left w:val="single" w:sz="8" w:space="0" w:color="00000A"/>
        <w:bottom w:val="single" w:sz="8" w:space="0" w:color="00000A"/>
      </w:pBdr>
      <w:shd w:val="clear" w:color="auto" w:fill="EEECE1"/>
      <w:spacing w:before="280" w:after="280" w:line="240" w:lineRule="auto"/>
    </w:pPr>
    <w:rPr>
      <w:rFonts w:ascii="Times New Roman" w:eastAsia="Times New Roman" w:hAnsi="Times New Roman" w:cs="Times New Roman"/>
      <w:b/>
      <w:bCs/>
      <w:sz w:val="24"/>
      <w:szCs w:val="24"/>
    </w:rPr>
  </w:style>
  <w:style w:type="paragraph" w:customStyle="1" w:styleId="xl80">
    <w:name w:val="xl80"/>
    <w:basedOn w:val="Normal"/>
    <w:qFormat/>
    <w:pPr>
      <w:pBdr>
        <w:bottom w:val="single" w:sz="8" w:space="0" w:color="00000A"/>
      </w:pBdr>
      <w:shd w:val="clear" w:color="auto" w:fill="EEECE1"/>
      <w:spacing w:before="280" w:after="280" w:line="240" w:lineRule="auto"/>
      <w:jc w:val="right"/>
    </w:pPr>
    <w:rPr>
      <w:rFonts w:ascii="Times New Roman" w:eastAsia="Times New Roman" w:hAnsi="Times New Roman" w:cs="Times New Roman"/>
      <w:sz w:val="24"/>
      <w:szCs w:val="24"/>
    </w:rPr>
  </w:style>
  <w:style w:type="paragraph" w:customStyle="1" w:styleId="xl81">
    <w:name w:val="xl81"/>
    <w:basedOn w:val="Normal"/>
    <w:qFormat/>
    <w:pPr>
      <w:pBdr>
        <w:bottom w:val="single" w:sz="8" w:space="0" w:color="00000A"/>
        <w:right w:val="single" w:sz="8" w:space="0" w:color="00000A"/>
      </w:pBdr>
      <w:shd w:val="clear" w:color="auto" w:fill="EEECE1"/>
      <w:spacing w:before="280" w:after="280" w:line="240" w:lineRule="auto"/>
      <w:jc w:val="right"/>
    </w:pPr>
    <w:rPr>
      <w:rFonts w:ascii="Times New Roman" w:eastAsia="Times New Roman" w:hAnsi="Times New Roman" w:cs="Times New Roman"/>
      <w:sz w:val="24"/>
      <w:szCs w:val="24"/>
    </w:rPr>
  </w:style>
  <w:style w:type="paragraph" w:customStyle="1" w:styleId="xl82">
    <w:name w:val="xl82"/>
    <w:basedOn w:val="Normal"/>
    <w:qFormat/>
    <w:pPr>
      <w:pBdr>
        <w:bottom w:val="single" w:sz="8" w:space="0" w:color="00000A"/>
      </w:pBdr>
      <w:shd w:val="clear" w:color="auto" w:fill="EEECE1"/>
      <w:spacing w:before="280" w:after="280" w:line="240" w:lineRule="auto"/>
      <w:jc w:val="right"/>
    </w:pPr>
    <w:rPr>
      <w:rFonts w:ascii="Times New Roman" w:eastAsia="Times New Roman" w:hAnsi="Times New Roman" w:cs="Times New Roman"/>
      <w:sz w:val="24"/>
      <w:szCs w:val="24"/>
    </w:rPr>
  </w:style>
  <w:style w:type="paragraph" w:customStyle="1" w:styleId="xl83">
    <w:name w:val="xl83"/>
    <w:basedOn w:val="Normal"/>
    <w:qFormat/>
    <w:pPr>
      <w:pBdr>
        <w:top w:val="single" w:sz="8" w:space="0" w:color="00000A"/>
        <w:left w:val="single" w:sz="8" w:space="0" w:color="00000A"/>
        <w:bottom w:val="single" w:sz="8" w:space="0" w:color="00000A"/>
      </w:pBdr>
      <w:shd w:val="clear" w:color="auto" w:fill="EEECE1"/>
      <w:spacing w:before="280" w:after="280" w:line="240" w:lineRule="auto"/>
      <w:jc w:val="center"/>
      <w:textAlignment w:val="center"/>
    </w:pPr>
    <w:rPr>
      <w:rFonts w:ascii="Times New Roman" w:eastAsia="Times New Roman" w:hAnsi="Times New Roman" w:cs="Times New Roman"/>
      <w:b/>
      <w:bCs/>
      <w:sz w:val="24"/>
      <w:szCs w:val="24"/>
    </w:rPr>
  </w:style>
  <w:style w:type="paragraph" w:customStyle="1" w:styleId="xl84">
    <w:name w:val="xl84"/>
    <w:basedOn w:val="Normal"/>
    <w:qFormat/>
    <w:pPr>
      <w:pBdr>
        <w:top w:val="single" w:sz="8" w:space="0" w:color="00000A"/>
        <w:bottom w:val="single" w:sz="8" w:space="0" w:color="00000A"/>
      </w:pBdr>
      <w:shd w:val="clear" w:color="auto" w:fill="EEECE1"/>
      <w:spacing w:before="280" w:after="280" w:line="240" w:lineRule="auto"/>
      <w:jc w:val="center"/>
      <w:textAlignment w:val="center"/>
    </w:pPr>
    <w:rPr>
      <w:rFonts w:ascii="Times New Roman" w:eastAsia="Times New Roman" w:hAnsi="Times New Roman" w:cs="Times New Roman"/>
      <w:b/>
      <w:bCs/>
      <w:sz w:val="24"/>
      <w:szCs w:val="24"/>
    </w:rPr>
  </w:style>
  <w:style w:type="paragraph" w:customStyle="1" w:styleId="xl85">
    <w:name w:val="xl85"/>
    <w:basedOn w:val="Normal"/>
    <w:qFormat/>
    <w:pPr>
      <w:pBdr>
        <w:top w:val="single" w:sz="8" w:space="0" w:color="00000A"/>
        <w:bottom w:val="single" w:sz="8" w:space="0" w:color="00000A"/>
      </w:pBdr>
      <w:shd w:val="clear" w:color="auto" w:fill="EEECE1"/>
      <w:spacing w:before="280" w:after="280" w:line="240" w:lineRule="auto"/>
      <w:jc w:val="center"/>
      <w:textAlignment w:val="center"/>
    </w:pPr>
    <w:rPr>
      <w:rFonts w:ascii="Times New Roman" w:eastAsia="Times New Roman" w:hAnsi="Times New Roman" w:cs="Times New Roman"/>
      <w:b/>
      <w:bCs/>
      <w:sz w:val="24"/>
      <w:szCs w:val="24"/>
    </w:rPr>
  </w:style>
  <w:style w:type="paragraph" w:customStyle="1" w:styleId="xl86">
    <w:name w:val="xl86"/>
    <w:basedOn w:val="Normal"/>
    <w:qFormat/>
    <w:pPr>
      <w:pBdr>
        <w:top w:val="single" w:sz="8" w:space="0" w:color="00000A"/>
        <w:bottom w:val="single" w:sz="8" w:space="0" w:color="00000A"/>
        <w:right w:val="single" w:sz="8" w:space="0" w:color="00000A"/>
      </w:pBdr>
      <w:shd w:val="clear" w:color="auto" w:fill="EEECE1"/>
      <w:spacing w:before="280" w:after="280" w:line="240" w:lineRule="auto"/>
      <w:jc w:val="center"/>
      <w:textAlignment w:val="center"/>
    </w:pPr>
    <w:rPr>
      <w:rFonts w:ascii="Times New Roman" w:eastAsia="Times New Roman" w:hAnsi="Times New Roman" w:cs="Times New Roman"/>
      <w:b/>
      <w:bCs/>
      <w:sz w:val="24"/>
      <w:szCs w:val="24"/>
    </w:rPr>
  </w:style>
  <w:style w:type="paragraph" w:customStyle="1" w:styleId="xl87">
    <w:name w:val="xl87"/>
    <w:basedOn w:val="Normal"/>
    <w:qFormat/>
    <w:pPr>
      <w:shd w:val="clear" w:color="auto" w:fill="EEECE1"/>
      <w:spacing w:before="280" w:after="280" w:line="240" w:lineRule="auto"/>
    </w:pPr>
    <w:rPr>
      <w:rFonts w:ascii="Times New Roman" w:eastAsia="Times New Roman" w:hAnsi="Times New Roman" w:cs="Times New Roman"/>
      <w:color w:val="F79646"/>
      <w:sz w:val="24"/>
      <w:szCs w:val="24"/>
    </w:rPr>
  </w:style>
  <w:style w:type="paragraph" w:styleId="CommentText">
    <w:name w:val="annotation text"/>
    <w:basedOn w:val="Normal"/>
    <w:qFormat/>
    <w:pPr>
      <w:spacing w:line="240" w:lineRule="auto"/>
    </w:pPr>
    <w:rPr>
      <w:sz w:val="24"/>
      <w:szCs w:val="24"/>
    </w:rPr>
  </w:style>
  <w:style w:type="paragraph" w:styleId="CommentSubject">
    <w:name w:val="annotation subject"/>
    <w:basedOn w:val="CommentText"/>
    <w:qFormat/>
    <w:rPr>
      <w:b/>
      <w:bCs/>
      <w:sz w:val="20"/>
      <w:szCs w:val="20"/>
    </w:rPr>
  </w:style>
  <w:style w:type="paragraph" w:styleId="Revision">
    <w:name w:val="Revision"/>
    <w:qFormat/>
    <w:rPr>
      <w:color w:val="00000A"/>
      <w:sz w:val="22"/>
    </w:rPr>
  </w:style>
  <w:style w:type="paragraph" w:customStyle="1" w:styleId="Default">
    <w:name w:val="Default"/>
    <w:qFormat/>
    <w:rPr>
      <w:rFonts w:cs="Calibri"/>
      <w:color w:val="000000"/>
      <w:sz w:val="24"/>
      <w:szCs w:val="24"/>
      <w:lang w:val="de-CH"/>
    </w:rPr>
  </w:style>
  <w:style w:type="paragraph" w:customStyle="1" w:styleId="p">
    <w:name w:val="p"/>
    <w:basedOn w:val="Normal"/>
    <w:qFormat/>
    <w:pPr>
      <w:spacing w:before="280" w:after="280" w:line="240" w:lineRule="auto"/>
    </w:pPr>
    <w:rPr>
      <w:rFonts w:ascii="Times New Roman" w:eastAsia="Times New Roman" w:hAnsi="Times New Roman" w:cs="Times New Roman"/>
      <w:sz w:val="24"/>
      <w:szCs w:val="24"/>
    </w:rPr>
  </w:style>
  <w:style w:type="paragraph" w:styleId="HTMLPreformatted">
    <w:name w:val="HTML Preformatted"/>
    <w:basedOn w:val="Normal"/>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paragraph" w:styleId="ListBullet">
    <w:name w:val="List Bullet"/>
    <w:basedOn w:val="Normal"/>
    <w:qFormat/>
    <w:pPr>
      <w:contextualSpacing/>
    </w:pPr>
  </w:style>
  <w:style w:type="paragraph" w:customStyle="1" w:styleId="FrameContents">
    <w:name w:val="Frame Contents"/>
    <w:basedOn w:val="Normal"/>
    <w:qFormat/>
  </w:style>
  <w:style w:type="paragraph" w:customStyle="1" w:styleId="TableContents">
    <w:name w:val="Table Contents"/>
    <w:basedOn w:val="Normal"/>
    <w:qFormat/>
  </w:style>
  <w:style w:type="table" w:styleId="TableGrid">
    <w:name w:val="Table Grid"/>
    <w:basedOn w:val="TableNormal"/>
    <w:uiPriority w:val="59"/>
    <w:rsid w:val="007C278A"/>
    <w:rPr>
      <w:rFonts w:asciiTheme="minorHAnsi" w:eastAsiaTheme="minorHAnsi" w:hAnsiTheme="minorHAnsi" w:cstheme="minorBid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Normal"/>
    <w:next w:val="Normal"/>
    <w:autoRedefine/>
    <w:uiPriority w:val="39"/>
    <w:semiHidden/>
    <w:unhideWhenUsed/>
    <w:rsid w:val="00911A46"/>
    <w:pPr>
      <w:spacing w:after="0"/>
      <w:ind w:left="660"/>
    </w:pPr>
    <w:rPr>
      <w:rFonts w:asciiTheme="minorHAnsi" w:hAnsiTheme="minorHAnsi"/>
      <w:sz w:val="20"/>
      <w:szCs w:val="20"/>
    </w:rPr>
  </w:style>
  <w:style w:type="paragraph" w:styleId="TOC5">
    <w:name w:val="toc 5"/>
    <w:basedOn w:val="Normal"/>
    <w:next w:val="Normal"/>
    <w:autoRedefine/>
    <w:uiPriority w:val="39"/>
    <w:semiHidden/>
    <w:unhideWhenUsed/>
    <w:rsid w:val="00911A46"/>
    <w:pPr>
      <w:spacing w:after="0"/>
      <w:ind w:left="880"/>
    </w:pPr>
    <w:rPr>
      <w:rFonts w:asciiTheme="minorHAnsi" w:hAnsiTheme="minorHAnsi"/>
      <w:sz w:val="20"/>
      <w:szCs w:val="20"/>
    </w:rPr>
  </w:style>
  <w:style w:type="paragraph" w:styleId="TOC6">
    <w:name w:val="toc 6"/>
    <w:basedOn w:val="Normal"/>
    <w:next w:val="Normal"/>
    <w:autoRedefine/>
    <w:uiPriority w:val="39"/>
    <w:semiHidden/>
    <w:unhideWhenUsed/>
    <w:rsid w:val="00911A46"/>
    <w:pPr>
      <w:spacing w:after="0"/>
      <w:ind w:left="1100"/>
    </w:pPr>
    <w:rPr>
      <w:rFonts w:asciiTheme="minorHAnsi" w:hAnsiTheme="minorHAnsi"/>
      <w:sz w:val="20"/>
      <w:szCs w:val="20"/>
    </w:rPr>
  </w:style>
  <w:style w:type="paragraph" w:styleId="TOC7">
    <w:name w:val="toc 7"/>
    <w:basedOn w:val="Normal"/>
    <w:next w:val="Normal"/>
    <w:autoRedefine/>
    <w:uiPriority w:val="39"/>
    <w:semiHidden/>
    <w:unhideWhenUsed/>
    <w:rsid w:val="00911A46"/>
    <w:pPr>
      <w:spacing w:after="0"/>
      <w:ind w:left="1320"/>
    </w:pPr>
    <w:rPr>
      <w:rFonts w:asciiTheme="minorHAnsi" w:hAnsiTheme="minorHAnsi"/>
      <w:sz w:val="20"/>
      <w:szCs w:val="20"/>
    </w:rPr>
  </w:style>
  <w:style w:type="paragraph" w:styleId="TOC8">
    <w:name w:val="toc 8"/>
    <w:basedOn w:val="Normal"/>
    <w:next w:val="Normal"/>
    <w:autoRedefine/>
    <w:uiPriority w:val="39"/>
    <w:semiHidden/>
    <w:unhideWhenUsed/>
    <w:rsid w:val="00911A46"/>
    <w:pPr>
      <w:spacing w:after="0"/>
      <w:ind w:left="1540"/>
    </w:pPr>
    <w:rPr>
      <w:rFonts w:asciiTheme="minorHAnsi" w:hAnsiTheme="minorHAnsi"/>
      <w:sz w:val="20"/>
      <w:szCs w:val="20"/>
    </w:rPr>
  </w:style>
  <w:style w:type="paragraph" w:styleId="TOC9">
    <w:name w:val="toc 9"/>
    <w:basedOn w:val="Normal"/>
    <w:next w:val="Normal"/>
    <w:autoRedefine/>
    <w:uiPriority w:val="39"/>
    <w:semiHidden/>
    <w:unhideWhenUsed/>
    <w:rsid w:val="00911A46"/>
    <w:pPr>
      <w:spacing w:after="0"/>
      <w:ind w:left="1760"/>
    </w:pPr>
    <w:rPr>
      <w:rFonts w:asciiTheme="minorHAnsi" w:hAnsiTheme="minorHAnsi"/>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DejaVu Sans"/>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color w:val="00000A"/>
      <w:sz w:val="22"/>
    </w:rPr>
  </w:style>
  <w:style w:type="paragraph" w:styleId="Heading1">
    <w:name w:val="heading 1"/>
    <w:basedOn w:val="Normal"/>
    <w:qFormat/>
    <w:pPr>
      <w:keepNext/>
      <w:keepLines/>
      <w:spacing w:before="480" w:after="0"/>
      <w:outlineLvl w:val="0"/>
    </w:pPr>
    <w:rPr>
      <w:rFonts w:ascii="Cambria" w:hAnsi="Cambria"/>
      <w:b/>
      <w:bCs/>
      <w:color w:val="365F91"/>
      <w:sz w:val="28"/>
      <w:szCs w:val="28"/>
    </w:rPr>
  </w:style>
  <w:style w:type="paragraph" w:styleId="Heading2">
    <w:name w:val="heading 2"/>
    <w:basedOn w:val="Normal"/>
    <w:qFormat/>
    <w:pPr>
      <w:keepNext/>
      <w:keepLines/>
      <w:spacing w:before="200" w:after="0"/>
      <w:outlineLvl w:val="1"/>
    </w:pPr>
    <w:rPr>
      <w:rFonts w:ascii="Cambria" w:hAnsi="Cambria"/>
      <w:b/>
      <w:bCs/>
      <w:color w:val="4F81BD"/>
      <w:sz w:val="26"/>
      <w:szCs w:val="26"/>
    </w:rPr>
  </w:style>
  <w:style w:type="paragraph" w:styleId="Heading3">
    <w:name w:val="heading 3"/>
    <w:basedOn w:val="Normal"/>
    <w:qFormat/>
    <w:pPr>
      <w:keepNext/>
      <w:keepLines/>
      <w:spacing w:before="200" w:after="0"/>
      <w:outlineLvl w:val="2"/>
    </w:pPr>
    <w:rPr>
      <w:rFonts w:ascii="Cambria" w:hAnsi="Cambria"/>
      <w:b/>
      <w:bCs/>
      <w:color w:val="4F81BD"/>
    </w:rPr>
  </w:style>
  <w:style w:type="paragraph" w:styleId="Heading4">
    <w:name w:val="heading 4"/>
    <w:basedOn w:val="Normal"/>
    <w:qFormat/>
    <w:pPr>
      <w:keepNext/>
      <w:keepLines/>
      <w:spacing w:before="200" w:after="0"/>
      <w:outlineLvl w:val="3"/>
    </w:pPr>
    <w:rPr>
      <w:rFonts w:ascii="Cambria" w:hAnsi="Cambria"/>
      <w:b/>
      <w:bCs/>
      <w:i/>
      <w:iCs/>
      <w:color w:val="4F81BD"/>
    </w:rPr>
  </w:style>
  <w:style w:type="paragraph" w:styleId="Heading5">
    <w:name w:val="heading 5"/>
    <w:basedOn w:val="Normal"/>
    <w:qFormat/>
    <w:pPr>
      <w:keepNext/>
      <w:keepLines/>
      <w:spacing w:before="200" w:after="0"/>
      <w:outlineLvl w:val="4"/>
    </w:pPr>
    <w:rPr>
      <w:rFonts w:ascii="Cambria" w:hAnsi="Cambria"/>
      <w:color w:val="243F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prechblasentextZchn">
    <w:name w:val="Sprechblasentext Zchn"/>
    <w:basedOn w:val="DefaultParagraphFont"/>
    <w:qFormat/>
    <w:rPr>
      <w:rFonts w:ascii="Tahoma" w:hAnsi="Tahoma" w:cs="Tahoma"/>
      <w:sz w:val="16"/>
      <w:szCs w:val="16"/>
    </w:rPr>
  </w:style>
  <w:style w:type="character" w:customStyle="1" w:styleId="KopfzeileZchn">
    <w:name w:val="Kopfzeile Zchn"/>
    <w:basedOn w:val="DefaultParagraphFont"/>
    <w:qFormat/>
  </w:style>
  <w:style w:type="character" w:customStyle="1" w:styleId="FuzeileZchn">
    <w:name w:val="Fußzeile Zchn"/>
    <w:basedOn w:val="DefaultParagraphFont"/>
    <w:qFormat/>
  </w:style>
  <w:style w:type="character" w:customStyle="1" w:styleId="berschrift1Zchn">
    <w:name w:val="Überschrift 1 Zchn"/>
    <w:basedOn w:val="DefaultParagraphFont"/>
    <w:qFormat/>
    <w:rPr>
      <w:rFonts w:ascii="Cambria" w:eastAsia="Calibri" w:hAnsi="Cambria" w:cs="DejaVu Sans"/>
      <w:b/>
      <w:bCs/>
      <w:color w:val="365F91"/>
      <w:sz w:val="28"/>
      <w:szCs w:val="28"/>
    </w:rPr>
  </w:style>
  <w:style w:type="character" w:customStyle="1" w:styleId="InternetLink">
    <w:name w:val="Internet Link"/>
    <w:basedOn w:val="DefaultParagraphFont"/>
    <w:uiPriority w:val="99"/>
    <w:unhideWhenUsed/>
    <w:rsid w:val="008D4604"/>
    <w:rPr>
      <w:color w:val="0000FF" w:themeColor="hyperlink"/>
      <w:u w:val="single"/>
    </w:rPr>
  </w:style>
  <w:style w:type="character" w:styleId="Strong">
    <w:name w:val="Strong"/>
    <w:basedOn w:val="DefaultParagraphFont"/>
    <w:qFormat/>
    <w:rPr>
      <w:b/>
      <w:bCs/>
    </w:rPr>
  </w:style>
  <w:style w:type="character" w:customStyle="1" w:styleId="EndnotentextZchn">
    <w:name w:val="Endnotentext Zchn"/>
    <w:basedOn w:val="DefaultParagraphFont"/>
    <w:qFormat/>
    <w:rPr>
      <w:rFonts w:ascii="Arial" w:eastAsia="Times New Roman" w:hAnsi="Arial" w:cs="Times New Roman"/>
      <w:szCs w:val="20"/>
      <w:lang w:val="en-GB"/>
    </w:rPr>
  </w:style>
  <w:style w:type="character" w:customStyle="1" w:styleId="berschrift2Zchn">
    <w:name w:val="Überschrift 2 Zchn"/>
    <w:basedOn w:val="DefaultParagraphFont"/>
    <w:qFormat/>
    <w:rPr>
      <w:rFonts w:ascii="Cambria" w:eastAsia="Calibri" w:hAnsi="Cambria" w:cs="DejaVu Sans"/>
      <w:b/>
      <w:bCs/>
      <w:color w:val="4F81BD"/>
      <w:sz w:val="26"/>
      <w:szCs w:val="26"/>
    </w:rPr>
  </w:style>
  <w:style w:type="character" w:customStyle="1" w:styleId="TitelZchn">
    <w:name w:val="Titel Zchn"/>
    <w:basedOn w:val="DefaultParagraphFont"/>
    <w:qFormat/>
    <w:rPr>
      <w:rFonts w:ascii="Times New Roman" w:eastAsia="Times New Roman" w:hAnsi="Times New Roman" w:cs="Times New Roman"/>
      <w:b/>
      <w:bCs/>
      <w:sz w:val="24"/>
      <w:szCs w:val="24"/>
      <w:lang w:val="de-CH"/>
    </w:rPr>
  </w:style>
  <w:style w:type="character" w:customStyle="1" w:styleId="berschrift3Zchn">
    <w:name w:val="Überschrift 3 Zchn"/>
    <w:basedOn w:val="DefaultParagraphFont"/>
    <w:qFormat/>
    <w:rPr>
      <w:rFonts w:ascii="Cambria" w:eastAsia="Calibri" w:hAnsi="Cambria" w:cs="DejaVu Sans"/>
      <w:b/>
      <w:bCs/>
      <w:color w:val="4F81BD"/>
    </w:rPr>
  </w:style>
  <w:style w:type="character" w:styleId="EndnoteReference">
    <w:name w:val="endnote reference"/>
    <w:basedOn w:val="DefaultParagraphFont"/>
    <w:qFormat/>
    <w:rPr>
      <w:vertAlign w:val="superscript"/>
    </w:rPr>
  </w:style>
  <w:style w:type="character" w:styleId="FollowedHyperlink">
    <w:name w:val="FollowedHyperlink"/>
    <w:basedOn w:val="DefaultParagraphFont"/>
    <w:qFormat/>
    <w:rPr>
      <w:color w:val="800080"/>
      <w:u w:val="single"/>
    </w:rPr>
  </w:style>
  <w:style w:type="character" w:styleId="LineNumber">
    <w:name w:val="line number"/>
    <w:basedOn w:val="DefaultParagraphFont"/>
    <w:qFormat/>
  </w:style>
  <w:style w:type="character" w:styleId="CommentReference">
    <w:name w:val="annotation reference"/>
    <w:basedOn w:val="DefaultParagraphFont"/>
    <w:qFormat/>
    <w:rPr>
      <w:sz w:val="18"/>
      <w:szCs w:val="18"/>
    </w:rPr>
  </w:style>
  <w:style w:type="character" w:customStyle="1" w:styleId="KommentartextZchn">
    <w:name w:val="Kommentartext Zchn"/>
    <w:basedOn w:val="DefaultParagraphFont"/>
    <w:qFormat/>
    <w:rPr>
      <w:sz w:val="24"/>
      <w:szCs w:val="24"/>
    </w:rPr>
  </w:style>
  <w:style w:type="character" w:customStyle="1" w:styleId="KommentarthemaZchn">
    <w:name w:val="Kommentarthema Zchn"/>
    <w:basedOn w:val="KommentartextZchn"/>
    <w:qFormat/>
    <w:rPr>
      <w:b/>
      <w:bCs/>
      <w:sz w:val="20"/>
      <w:szCs w:val="20"/>
    </w:rPr>
  </w:style>
  <w:style w:type="character" w:customStyle="1" w:styleId="st">
    <w:name w:val="st"/>
    <w:basedOn w:val="DefaultParagraphFont"/>
    <w:qFormat/>
  </w:style>
  <w:style w:type="character" w:customStyle="1" w:styleId="apple-converted-space">
    <w:name w:val="apple-converted-space"/>
    <w:basedOn w:val="DefaultParagraphFont"/>
    <w:qFormat/>
  </w:style>
  <w:style w:type="character" w:customStyle="1" w:styleId="figpopup-sensitive-area">
    <w:name w:val="figpopup-sensitive-area"/>
    <w:basedOn w:val="DefaultParagraphFont"/>
    <w:qFormat/>
  </w:style>
  <w:style w:type="character" w:styleId="PlaceholderText">
    <w:name w:val="Placeholder Text"/>
    <w:basedOn w:val="DefaultParagraphFont"/>
    <w:qFormat/>
    <w:rPr>
      <w:color w:val="808080"/>
    </w:rPr>
  </w:style>
  <w:style w:type="character" w:customStyle="1" w:styleId="TextkrperZchn">
    <w:name w:val="Textkörper Zchn"/>
    <w:basedOn w:val="DefaultParagraphFont"/>
    <w:qFormat/>
    <w:rPr>
      <w:rFonts w:ascii="Liberation Serif" w:eastAsia="Noto Sans CJK SC Regular" w:hAnsi="Liberation Serif" w:cs="FreeSans"/>
      <w:color w:val="00000A"/>
      <w:sz w:val="24"/>
      <w:szCs w:val="24"/>
      <w:lang w:val="en-GB" w:eastAsia="zh-CN" w:bidi="hi-IN"/>
    </w:rPr>
  </w:style>
  <w:style w:type="character" w:customStyle="1" w:styleId="HTMLVorformatiertZchn">
    <w:name w:val="HTML Vorformatiert Zchn"/>
    <w:basedOn w:val="DefaultParagraphFont"/>
    <w:qFormat/>
    <w:rPr>
      <w:rFonts w:ascii="Courier New" w:eastAsia="Times New Roman" w:hAnsi="Courier New" w:cs="Courier New"/>
      <w:sz w:val="20"/>
      <w:szCs w:val="20"/>
    </w:rPr>
  </w:style>
  <w:style w:type="character" w:customStyle="1" w:styleId="godmdahbbpb">
    <w:name w:val="godmdahbbpb"/>
    <w:basedOn w:val="DefaultParagraphFont"/>
    <w:qFormat/>
  </w:style>
  <w:style w:type="character" w:customStyle="1" w:styleId="godmdahbbob">
    <w:name w:val="godmdahbbob"/>
    <w:basedOn w:val="DefaultParagraphFont"/>
    <w:qFormat/>
  </w:style>
  <w:style w:type="character" w:customStyle="1" w:styleId="berschrift5Zchn">
    <w:name w:val="Überschrift 5 Zchn"/>
    <w:basedOn w:val="DefaultParagraphFont"/>
    <w:qFormat/>
    <w:rPr>
      <w:rFonts w:ascii="Cambria" w:eastAsia="Calibri" w:hAnsi="Cambria" w:cs="DejaVu Sans"/>
      <w:color w:val="243F60"/>
    </w:rPr>
  </w:style>
  <w:style w:type="character" w:customStyle="1" w:styleId="berschrift4Zchn">
    <w:name w:val="Überschrift 4 Zchn"/>
    <w:basedOn w:val="DefaultParagraphFont"/>
    <w:qFormat/>
    <w:rPr>
      <w:rFonts w:ascii="Cambria" w:eastAsia="Calibri" w:hAnsi="Cambria" w:cs="DejaVu Sans"/>
      <w:b/>
      <w:bCs/>
      <w:i/>
      <w:iCs/>
      <w:color w:val="4F81BD"/>
    </w:rPr>
  </w:style>
  <w:style w:type="character" w:styleId="Emphasis">
    <w:name w:val="Emphasis"/>
    <w:basedOn w:val="DefaultParagraphFont"/>
    <w:uiPriority w:val="20"/>
    <w:qFormat/>
    <w:rPr>
      <w:i/>
      <w:iCs/>
    </w:rPr>
  </w:style>
  <w:style w:type="character" w:customStyle="1" w:styleId="ListLabel1">
    <w:name w:val="ListLabel 1"/>
    <w:qFormat/>
    <w:rPr>
      <w:rFonts w:eastAsia="Calibri" w:cs="DejaVu Sans"/>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eastAsia="Calibri" w:cs="Courier New"/>
    </w:rPr>
  </w:style>
  <w:style w:type="character" w:customStyle="1" w:styleId="ListLabel6">
    <w:name w:val="ListLabel 6"/>
    <w:qFormat/>
    <w:rPr>
      <w:rFonts w:cs="Courier New"/>
    </w:rPr>
  </w:style>
  <w:style w:type="character" w:customStyle="1" w:styleId="ListLabel7">
    <w:name w:val="ListLabel 7"/>
    <w:qFormat/>
    <w:rPr>
      <w:rFonts w:cs="Courier New"/>
    </w:rPr>
  </w:style>
  <w:style w:type="character" w:customStyle="1" w:styleId="ListLabel8">
    <w:name w:val="ListLabel 8"/>
    <w:qFormat/>
    <w:rPr>
      <w:rFonts w:cs="Courier New"/>
    </w:rPr>
  </w:style>
  <w:style w:type="character" w:customStyle="1" w:styleId="ListLabel9">
    <w:name w:val="ListLabel 9"/>
    <w:qFormat/>
    <w:rPr>
      <w:rFonts w:eastAsia="Calibri" w:cs="Courier New"/>
    </w:rPr>
  </w:style>
  <w:style w:type="character" w:customStyle="1" w:styleId="ListLabel10">
    <w:name w:val="ListLabel 10"/>
    <w:qFormat/>
    <w:rPr>
      <w:rFonts w:cs="Courier New"/>
    </w:rPr>
  </w:style>
  <w:style w:type="character" w:customStyle="1" w:styleId="ListLabel11">
    <w:name w:val="ListLabel 11"/>
    <w:qFormat/>
    <w:rPr>
      <w:rFonts w:cs="Courier New"/>
    </w:rPr>
  </w:style>
  <w:style w:type="character" w:customStyle="1" w:styleId="ListLabel12">
    <w:name w:val="ListLabel 12"/>
    <w:qFormat/>
    <w:rPr>
      <w:rFonts w:cs="Courier New"/>
    </w:rPr>
  </w:style>
  <w:style w:type="character" w:customStyle="1" w:styleId="ListLabel13">
    <w:name w:val="ListLabel 13"/>
    <w:qFormat/>
    <w:rPr>
      <w:rFonts w:cs="Courier New"/>
    </w:rPr>
  </w:style>
  <w:style w:type="character" w:customStyle="1" w:styleId="ListLabel14">
    <w:name w:val="ListLabel 14"/>
    <w:qFormat/>
    <w:rPr>
      <w:rFonts w:cs="Courier New"/>
    </w:rPr>
  </w:style>
  <w:style w:type="character" w:customStyle="1" w:styleId="ListLabel15">
    <w:name w:val="ListLabel 15"/>
    <w:qFormat/>
    <w:rPr>
      <w:rFonts w:cs="Courier New"/>
    </w:rPr>
  </w:style>
  <w:style w:type="character" w:customStyle="1" w:styleId="ListLabel16">
    <w:name w:val="ListLabel 16"/>
    <w:qFormat/>
    <w:rPr>
      <w:rFonts w:eastAsia="Calibri" w:cs="DejaVu Sans"/>
      <w:b/>
      <w:sz w:val="60"/>
    </w:rPr>
  </w:style>
  <w:style w:type="character" w:customStyle="1" w:styleId="ListLabel17">
    <w:name w:val="ListLabel 17"/>
    <w:qFormat/>
    <w:rPr>
      <w:rFonts w:cs="Courier New"/>
    </w:rPr>
  </w:style>
  <w:style w:type="character" w:customStyle="1" w:styleId="ListLabel18">
    <w:name w:val="ListLabel 18"/>
    <w:qFormat/>
    <w:rPr>
      <w:rFonts w:cs="Courier New"/>
    </w:rPr>
  </w:style>
  <w:style w:type="character" w:customStyle="1" w:styleId="ListLabel19">
    <w:name w:val="ListLabel 19"/>
    <w:qFormat/>
    <w:rPr>
      <w:rFonts w:cs="Courier New"/>
    </w:rPr>
  </w:style>
  <w:style w:type="character" w:customStyle="1" w:styleId="ListLabel20">
    <w:name w:val="ListLabel 20"/>
    <w:qFormat/>
    <w:rPr>
      <w:rFonts w:eastAsia="Calibri" w:cs="Calibri"/>
    </w:rPr>
  </w:style>
  <w:style w:type="character" w:customStyle="1" w:styleId="ListLabel21">
    <w:name w:val="ListLabel 21"/>
    <w:qFormat/>
    <w:rPr>
      <w:rFonts w:cs="Courier New"/>
    </w:rPr>
  </w:style>
  <w:style w:type="character" w:customStyle="1" w:styleId="ListLabel22">
    <w:name w:val="ListLabel 22"/>
    <w:qFormat/>
    <w:rPr>
      <w:rFonts w:cs="Courier New"/>
    </w:rPr>
  </w:style>
  <w:style w:type="character" w:customStyle="1" w:styleId="ListLabel23">
    <w:name w:val="ListLabel 23"/>
    <w:qFormat/>
    <w:rPr>
      <w:rFonts w:cs="Courier New"/>
    </w:rPr>
  </w:style>
  <w:style w:type="character" w:customStyle="1" w:styleId="ListLabel24">
    <w:name w:val="ListLabel 24"/>
    <w:qFormat/>
    <w:rPr>
      <w:rFonts w:eastAsia="Calibri" w:cs="Calibri"/>
    </w:rPr>
  </w:style>
  <w:style w:type="character" w:customStyle="1" w:styleId="ListLabel25">
    <w:name w:val="ListLabel 25"/>
    <w:qFormat/>
    <w:rPr>
      <w:rFonts w:cs="Courier New"/>
    </w:rPr>
  </w:style>
  <w:style w:type="character" w:customStyle="1" w:styleId="ListLabel26">
    <w:name w:val="ListLabel 26"/>
    <w:qFormat/>
    <w:rPr>
      <w:rFonts w:cs="Courier New"/>
    </w:rPr>
  </w:style>
  <w:style w:type="character" w:customStyle="1" w:styleId="ListLabel27">
    <w:name w:val="ListLabel 27"/>
    <w:qFormat/>
    <w:rPr>
      <w:rFonts w:cs="Courier New"/>
    </w:rPr>
  </w:style>
  <w:style w:type="character" w:customStyle="1" w:styleId="ListLabel28">
    <w:name w:val="ListLabel 28"/>
    <w:qFormat/>
    <w:rPr>
      <w:rFonts w:cs="Courier New"/>
    </w:rPr>
  </w:style>
  <w:style w:type="character" w:customStyle="1" w:styleId="ListLabel29">
    <w:name w:val="ListLabel 29"/>
    <w:qFormat/>
    <w:rPr>
      <w:rFonts w:cs="Courier New"/>
    </w:rPr>
  </w:style>
  <w:style w:type="character" w:customStyle="1" w:styleId="ListLabel30">
    <w:name w:val="ListLabel 30"/>
    <w:qFormat/>
    <w:rPr>
      <w:rFonts w:cs="Courier New"/>
    </w:rPr>
  </w:style>
  <w:style w:type="character" w:customStyle="1" w:styleId="ListLabel31">
    <w:name w:val="ListLabel 31"/>
    <w:qFormat/>
    <w:rPr>
      <w:rFonts w:cs="Courier New"/>
    </w:rPr>
  </w:style>
  <w:style w:type="character" w:customStyle="1" w:styleId="ListLabel32">
    <w:name w:val="ListLabel 32"/>
    <w:qFormat/>
    <w:rPr>
      <w:rFonts w:cs="Courier New"/>
    </w:rPr>
  </w:style>
  <w:style w:type="character" w:customStyle="1" w:styleId="ListLabel33">
    <w:name w:val="ListLabel 33"/>
    <w:qFormat/>
    <w:rPr>
      <w:rFonts w:cs="Courier New"/>
    </w:rPr>
  </w:style>
  <w:style w:type="character" w:customStyle="1" w:styleId="ListLabel34">
    <w:name w:val="ListLabel 34"/>
    <w:qFormat/>
    <w:rPr>
      <w:rFonts w:cs="Courier New"/>
    </w:rPr>
  </w:style>
  <w:style w:type="character" w:customStyle="1" w:styleId="ListLabel35">
    <w:name w:val="ListLabel 35"/>
    <w:qFormat/>
    <w:rPr>
      <w:rFonts w:cs="Courier New"/>
    </w:rPr>
  </w:style>
  <w:style w:type="character" w:customStyle="1" w:styleId="ListLabel36">
    <w:name w:val="ListLabel 36"/>
    <w:qFormat/>
    <w:rPr>
      <w:rFonts w:cs="Courier New"/>
    </w:rPr>
  </w:style>
  <w:style w:type="character" w:customStyle="1" w:styleId="ListLabel37">
    <w:name w:val="ListLabel 37"/>
    <w:qFormat/>
    <w:rPr>
      <w:rFonts w:cs="Courier New"/>
    </w:rPr>
  </w:style>
  <w:style w:type="character" w:customStyle="1" w:styleId="ListLabel38">
    <w:name w:val="ListLabel 38"/>
    <w:qFormat/>
    <w:rPr>
      <w:rFonts w:cs="Courier New"/>
    </w:rPr>
  </w:style>
  <w:style w:type="character" w:customStyle="1" w:styleId="ListLabel39">
    <w:name w:val="ListLabel 39"/>
    <w:qFormat/>
    <w:rPr>
      <w:rFonts w:cs="Courier New"/>
    </w:rPr>
  </w:style>
  <w:style w:type="character" w:customStyle="1" w:styleId="ListLabel40">
    <w:name w:val="ListLabel 40"/>
    <w:qFormat/>
    <w:rPr>
      <w:rFonts w:cs="Courier New"/>
    </w:rPr>
  </w:style>
  <w:style w:type="character" w:customStyle="1" w:styleId="ListLabel41">
    <w:name w:val="ListLabel 41"/>
    <w:qFormat/>
    <w:rPr>
      <w:rFonts w:cs="Courier New"/>
    </w:rPr>
  </w:style>
  <w:style w:type="character" w:customStyle="1" w:styleId="ListLabel42">
    <w:name w:val="ListLabel 42"/>
    <w:qFormat/>
    <w:rPr>
      <w:rFonts w:cs="Courier New"/>
    </w:rPr>
  </w:style>
  <w:style w:type="character" w:customStyle="1" w:styleId="ListLabel43">
    <w:name w:val="ListLabel 43"/>
    <w:qFormat/>
    <w:rPr>
      <w:rFonts w:cs="Courier New"/>
    </w:rPr>
  </w:style>
  <w:style w:type="character" w:customStyle="1" w:styleId="ListLabel44">
    <w:name w:val="ListLabel 44"/>
    <w:qFormat/>
    <w:rPr>
      <w:rFonts w:cs="Courier New"/>
    </w:rPr>
  </w:style>
  <w:style w:type="character" w:customStyle="1" w:styleId="ListLabel45">
    <w:name w:val="ListLabel 45"/>
    <w:qFormat/>
    <w:rPr>
      <w:rFonts w:cs="Courier New"/>
    </w:rPr>
  </w:style>
  <w:style w:type="character" w:customStyle="1" w:styleId="ListLabel46">
    <w:name w:val="ListLabel 46"/>
    <w:qFormat/>
    <w:rPr>
      <w:rFonts w:cs="Courier New"/>
    </w:rPr>
  </w:style>
  <w:style w:type="character" w:customStyle="1" w:styleId="ListLabel47">
    <w:name w:val="ListLabel 47"/>
    <w:qFormat/>
    <w:rPr>
      <w:rFonts w:cs="Courier New"/>
    </w:rPr>
  </w:style>
  <w:style w:type="character" w:customStyle="1" w:styleId="ListLabel48">
    <w:name w:val="ListLabel 48"/>
    <w:qFormat/>
    <w:rPr>
      <w:rFonts w:cs="Courier New"/>
    </w:rPr>
  </w:style>
  <w:style w:type="character" w:customStyle="1" w:styleId="ListLabel49">
    <w:name w:val="ListLabel 49"/>
    <w:qFormat/>
    <w:rPr>
      <w:rFonts w:cs="Courier New"/>
    </w:rPr>
  </w:style>
  <w:style w:type="character" w:customStyle="1" w:styleId="ListLabel50">
    <w:name w:val="ListLabel 50"/>
    <w:qFormat/>
    <w:rPr>
      <w:rFonts w:cs="Courier New"/>
    </w:rPr>
  </w:style>
  <w:style w:type="character" w:customStyle="1" w:styleId="ListLabel51">
    <w:name w:val="ListLabel 51"/>
    <w:qFormat/>
    <w:rPr>
      <w:rFonts w:cs="Courier New"/>
    </w:rPr>
  </w:style>
  <w:style w:type="character" w:customStyle="1" w:styleId="ListLabel52">
    <w:name w:val="ListLabel 52"/>
    <w:qFormat/>
    <w:rPr>
      <w:rFonts w:cs="Courier New"/>
    </w:rPr>
  </w:style>
  <w:style w:type="character" w:customStyle="1" w:styleId="ListLabel53">
    <w:name w:val="ListLabel 53"/>
    <w:qFormat/>
    <w:rPr>
      <w:rFonts w:cs="Courier New"/>
    </w:rPr>
  </w:style>
  <w:style w:type="character" w:customStyle="1" w:styleId="ListLabel54">
    <w:name w:val="ListLabel 54"/>
    <w:qFormat/>
    <w:rPr>
      <w:rFonts w:cs="Courier New"/>
    </w:rPr>
  </w:style>
  <w:style w:type="character" w:customStyle="1" w:styleId="ListLabel55">
    <w:name w:val="ListLabel 55"/>
    <w:qFormat/>
    <w:rPr>
      <w:rFonts w:cs="Courier New"/>
    </w:rPr>
  </w:style>
  <w:style w:type="character" w:customStyle="1" w:styleId="ListLabel56">
    <w:name w:val="ListLabel 56"/>
    <w:qFormat/>
    <w:rPr>
      <w:rFonts w:cs="Courier New"/>
    </w:rPr>
  </w:style>
  <w:style w:type="character" w:customStyle="1" w:styleId="ListLabel57">
    <w:name w:val="ListLabel 57"/>
    <w:qFormat/>
    <w:rPr>
      <w:rFonts w:cs="Courier New"/>
    </w:rPr>
  </w:style>
  <w:style w:type="character" w:customStyle="1" w:styleId="ListLabel58">
    <w:name w:val="ListLabel 58"/>
    <w:qFormat/>
    <w:rPr>
      <w:rFonts w:cs="Courier New"/>
    </w:rPr>
  </w:style>
  <w:style w:type="character" w:customStyle="1" w:styleId="ListLabel59">
    <w:name w:val="ListLabel 59"/>
    <w:qFormat/>
    <w:rPr>
      <w:rFonts w:cs="Courier New"/>
    </w:rPr>
  </w:style>
  <w:style w:type="character" w:customStyle="1" w:styleId="ListLabel60">
    <w:name w:val="ListLabel 60"/>
    <w:qFormat/>
    <w:rPr>
      <w:rFonts w:cs="Courier New"/>
    </w:rPr>
  </w:style>
  <w:style w:type="character" w:customStyle="1" w:styleId="ListLabel61">
    <w:name w:val="ListLabel 61"/>
    <w:qFormat/>
    <w:rPr>
      <w:rFonts w:eastAsia="Calibri" w:cs="Times New Roman"/>
    </w:rPr>
  </w:style>
  <w:style w:type="character" w:customStyle="1" w:styleId="ListLabel62">
    <w:name w:val="ListLabel 62"/>
    <w:qFormat/>
    <w:rPr>
      <w:rFonts w:cs="Courier New"/>
    </w:rPr>
  </w:style>
  <w:style w:type="character" w:customStyle="1" w:styleId="ListLabel63">
    <w:name w:val="ListLabel 63"/>
    <w:qFormat/>
    <w:rPr>
      <w:rFonts w:cs="Courier New"/>
    </w:rPr>
  </w:style>
  <w:style w:type="character" w:customStyle="1" w:styleId="ListLabel64">
    <w:name w:val="ListLabel 64"/>
    <w:qFormat/>
    <w:rPr>
      <w:rFonts w:cs="Courier New"/>
    </w:rPr>
  </w:style>
  <w:style w:type="character" w:customStyle="1" w:styleId="ListLabel65">
    <w:name w:val="ListLabel 65"/>
    <w:qFormat/>
    <w:rPr>
      <w:rFonts w:eastAsia="Calibri" w:cs="Calibri"/>
      <w:color w:val="00000A"/>
    </w:rPr>
  </w:style>
  <w:style w:type="character" w:customStyle="1" w:styleId="ListLabel66">
    <w:name w:val="ListLabel 66"/>
    <w:qFormat/>
    <w:rPr>
      <w:rFonts w:cs="Courier New"/>
    </w:rPr>
  </w:style>
  <w:style w:type="character" w:customStyle="1" w:styleId="ListLabel67">
    <w:name w:val="ListLabel 67"/>
    <w:qFormat/>
    <w:rPr>
      <w:rFonts w:cs="Courier New"/>
    </w:rPr>
  </w:style>
  <w:style w:type="character" w:customStyle="1" w:styleId="ListLabel68">
    <w:name w:val="ListLabel 68"/>
    <w:qFormat/>
    <w:rPr>
      <w:rFonts w:cs="Courier New"/>
    </w:rPr>
  </w:style>
  <w:style w:type="character" w:customStyle="1" w:styleId="ListLabel69">
    <w:name w:val="ListLabel 69"/>
    <w:qFormat/>
    <w:rPr>
      <w:rFonts w:cs="Courier New"/>
    </w:rPr>
  </w:style>
  <w:style w:type="character" w:customStyle="1" w:styleId="ListLabel70">
    <w:name w:val="ListLabel 70"/>
    <w:qFormat/>
    <w:rPr>
      <w:rFonts w:cs="Courier New"/>
    </w:rPr>
  </w:style>
  <w:style w:type="character" w:customStyle="1" w:styleId="ListLabel71">
    <w:name w:val="ListLabel 71"/>
    <w:qFormat/>
    <w:rPr>
      <w:rFonts w:cs="Courier New"/>
    </w:rPr>
  </w:style>
  <w:style w:type="character" w:customStyle="1" w:styleId="ListLabel72">
    <w:name w:val="ListLabel 72"/>
    <w:qFormat/>
    <w:rPr>
      <w:rFonts w:cs="Courier New"/>
    </w:rPr>
  </w:style>
  <w:style w:type="character" w:customStyle="1" w:styleId="ListLabel73">
    <w:name w:val="ListLabel 73"/>
    <w:qFormat/>
    <w:rPr>
      <w:rFonts w:cs="Courier New"/>
    </w:rPr>
  </w:style>
  <w:style w:type="character" w:customStyle="1" w:styleId="ListLabel74">
    <w:name w:val="ListLabel 74"/>
    <w:qFormat/>
    <w:rPr>
      <w:rFonts w:cs="Courier New"/>
    </w:rPr>
  </w:style>
  <w:style w:type="character" w:customStyle="1" w:styleId="IndexLink">
    <w:name w:val="Index Link"/>
    <w:qFormat/>
  </w:style>
  <w:style w:type="character" w:customStyle="1" w:styleId="ListLabel75">
    <w:name w:val="ListLabel 75"/>
    <w:qFormat/>
    <w:rPr>
      <w:rFonts w:cs="DejaVu Sans"/>
      <w:b/>
      <w:sz w:val="60"/>
    </w:rPr>
  </w:style>
  <w:style w:type="character" w:customStyle="1" w:styleId="ListLabel76">
    <w:name w:val="ListLabel 76"/>
    <w:qFormat/>
    <w:rPr>
      <w:rFonts w:cs="Courier New"/>
    </w:rPr>
  </w:style>
  <w:style w:type="character" w:customStyle="1" w:styleId="ListLabel77">
    <w:name w:val="ListLabel 77"/>
    <w:qFormat/>
    <w:rPr>
      <w:rFonts w:cs="Wingdings"/>
    </w:rPr>
  </w:style>
  <w:style w:type="character" w:customStyle="1" w:styleId="ListLabel78">
    <w:name w:val="ListLabel 78"/>
    <w:qFormat/>
    <w:rPr>
      <w:rFonts w:cs="Symbol"/>
    </w:rPr>
  </w:style>
  <w:style w:type="character" w:customStyle="1" w:styleId="ListLabel79">
    <w:name w:val="ListLabel 79"/>
    <w:qFormat/>
    <w:rPr>
      <w:rFonts w:cs="Courier New"/>
    </w:rPr>
  </w:style>
  <w:style w:type="character" w:customStyle="1" w:styleId="ListLabel80">
    <w:name w:val="ListLabel 80"/>
    <w:qFormat/>
    <w:rPr>
      <w:rFonts w:cs="Wingdings"/>
    </w:rPr>
  </w:style>
  <w:style w:type="character" w:customStyle="1" w:styleId="ListLabel81">
    <w:name w:val="ListLabel 81"/>
    <w:qFormat/>
    <w:rPr>
      <w:rFonts w:cs="Symbol"/>
    </w:rPr>
  </w:style>
  <w:style w:type="character" w:customStyle="1" w:styleId="ListLabel82">
    <w:name w:val="ListLabel 82"/>
    <w:qFormat/>
    <w:rPr>
      <w:rFonts w:cs="Courier New"/>
    </w:rPr>
  </w:style>
  <w:style w:type="character" w:customStyle="1" w:styleId="ListLabel83">
    <w:name w:val="ListLabel 83"/>
    <w:qFormat/>
    <w:rPr>
      <w:rFonts w:cs="Wingdings"/>
    </w:rPr>
  </w:style>
  <w:style w:type="character" w:customStyle="1" w:styleId="ListLabel84">
    <w:name w:val="ListLabel 84"/>
    <w:qFormat/>
    <w:rPr>
      <w:rFonts w:cs="DejaVu Sans"/>
      <w:b/>
      <w:sz w:val="60"/>
    </w:rPr>
  </w:style>
  <w:style w:type="character" w:customStyle="1" w:styleId="ListLabel85">
    <w:name w:val="ListLabel 85"/>
    <w:qFormat/>
    <w:rPr>
      <w:rFonts w:cs="Courier New"/>
    </w:rPr>
  </w:style>
  <w:style w:type="character" w:customStyle="1" w:styleId="ListLabel86">
    <w:name w:val="ListLabel 86"/>
    <w:qFormat/>
    <w:rPr>
      <w:rFonts w:cs="Wingdings"/>
    </w:rPr>
  </w:style>
  <w:style w:type="character" w:customStyle="1" w:styleId="ListLabel87">
    <w:name w:val="ListLabel 87"/>
    <w:qFormat/>
    <w:rPr>
      <w:rFonts w:cs="Symbol"/>
    </w:rPr>
  </w:style>
  <w:style w:type="character" w:customStyle="1" w:styleId="ListLabel88">
    <w:name w:val="ListLabel 88"/>
    <w:qFormat/>
    <w:rPr>
      <w:rFonts w:cs="Courier New"/>
    </w:rPr>
  </w:style>
  <w:style w:type="character" w:customStyle="1" w:styleId="ListLabel89">
    <w:name w:val="ListLabel 89"/>
    <w:qFormat/>
    <w:rPr>
      <w:rFonts w:cs="Wingdings"/>
    </w:rPr>
  </w:style>
  <w:style w:type="character" w:customStyle="1" w:styleId="ListLabel90">
    <w:name w:val="ListLabel 90"/>
    <w:qFormat/>
    <w:rPr>
      <w:rFonts w:cs="Symbol"/>
    </w:rPr>
  </w:style>
  <w:style w:type="character" w:customStyle="1" w:styleId="ListLabel91">
    <w:name w:val="ListLabel 91"/>
    <w:qFormat/>
    <w:rPr>
      <w:rFonts w:cs="Courier New"/>
    </w:rPr>
  </w:style>
  <w:style w:type="character" w:customStyle="1" w:styleId="ListLabel92">
    <w:name w:val="ListLabel 92"/>
    <w:qFormat/>
    <w:rPr>
      <w:rFonts w:cs="Wingdings"/>
    </w:rPr>
  </w:style>
  <w:style w:type="paragraph" w:customStyle="1" w:styleId="Heading">
    <w:name w:val="Heading"/>
    <w:basedOn w:val="Normal"/>
    <w:next w:val="BodyText"/>
    <w:qFormat/>
    <w:pPr>
      <w:keepNext/>
      <w:spacing w:before="240" w:after="120"/>
    </w:pPr>
    <w:rPr>
      <w:rFonts w:ascii="Liberation Sans" w:eastAsia="Noto Sans CJK SC Regular" w:hAnsi="Liberation Sans" w:cs="FreeSans"/>
      <w:sz w:val="28"/>
      <w:szCs w:val="28"/>
    </w:rPr>
  </w:style>
  <w:style w:type="paragraph" w:styleId="BodyText">
    <w:name w:val="Body Text"/>
    <w:basedOn w:val="Normal"/>
    <w:pPr>
      <w:spacing w:after="140" w:line="288" w:lineRule="auto"/>
    </w:pPr>
    <w:rPr>
      <w:rFonts w:ascii="Liberation Serif" w:eastAsia="Noto Sans CJK SC Regular" w:hAnsi="Liberation Serif" w:cs="FreeSans"/>
      <w:sz w:val="24"/>
      <w:szCs w:val="24"/>
      <w:lang w:val="en-GB" w:eastAsia="zh-CN" w:bidi="hi-IN"/>
    </w:rPr>
  </w:style>
  <w:style w:type="paragraph" w:styleId="List">
    <w:name w:val="List"/>
    <w:basedOn w:val="BodyText"/>
    <w:rPr>
      <w:rFonts w:ascii="Arial" w:hAnsi="Arial"/>
    </w:rPr>
  </w:style>
  <w:style w:type="paragraph" w:styleId="Caption">
    <w:name w:val="caption"/>
    <w:basedOn w:val="Normal"/>
    <w:uiPriority w:val="35"/>
    <w:qFormat/>
    <w:pPr>
      <w:spacing w:line="240" w:lineRule="auto"/>
    </w:pPr>
    <w:rPr>
      <w:b/>
      <w:bCs/>
      <w:color w:val="4F81BD"/>
      <w:sz w:val="18"/>
      <w:szCs w:val="18"/>
    </w:rPr>
  </w:style>
  <w:style w:type="paragraph" w:customStyle="1" w:styleId="Index">
    <w:name w:val="Index"/>
    <w:basedOn w:val="Normal"/>
    <w:qFormat/>
    <w:pPr>
      <w:suppressLineNumbers/>
    </w:pPr>
    <w:rPr>
      <w:rFonts w:cs="FreeSans"/>
    </w:rPr>
  </w:style>
  <w:style w:type="paragraph" w:styleId="ListParagraph">
    <w:name w:val="List Paragraph"/>
    <w:basedOn w:val="Normal"/>
    <w:uiPriority w:val="34"/>
    <w:qFormat/>
    <w:pPr>
      <w:ind w:left="720"/>
      <w:contextualSpacing/>
    </w:pPr>
  </w:style>
  <w:style w:type="paragraph" w:styleId="BalloonText">
    <w:name w:val="Balloon Text"/>
    <w:basedOn w:val="Normal"/>
    <w:qFormat/>
    <w:pPr>
      <w:spacing w:after="0" w:line="240" w:lineRule="auto"/>
    </w:pPr>
    <w:rPr>
      <w:rFonts w:ascii="Tahoma" w:hAnsi="Tahoma" w:cs="Tahoma"/>
      <w:sz w:val="16"/>
      <w:szCs w:val="16"/>
    </w:rPr>
  </w:style>
  <w:style w:type="paragraph" w:styleId="NormalWeb">
    <w:name w:val="Normal (Web)"/>
    <w:basedOn w:val="Normal"/>
    <w:qFormat/>
    <w:pPr>
      <w:spacing w:before="280" w:after="280" w:line="240" w:lineRule="auto"/>
    </w:pPr>
    <w:rPr>
      <w:rFonts w:ascii="Times New Roman" w:eastAsia="Times New Roman" w:hAnsi="Times New Roman" w:cs="Times New Roman"/>
      <w:sz w:val="24"/>
      <w:szCs w:val="24"/>
    </w:rPr>
  </w:style>
  <w:style w:type="paragraph" w:styleId="Header">
    <w:name w:val="header"/>
    <w:basedOn w:val="Normal"/>
    <w:pPr>
      <w:tabs>
        <w:tab w:val="center" w:pos="4703"/>
        <w:tab w:val="right" w:pos="9406"/>
      </w:tabs>
      <w:spacing w:after="0" w:line="240" w:lineRule="auto"/>
    </w:pPr>
  </w:style>
  <w:style w:type="paragraph" w:styleId="Footer">
    <w:name w:val="footer"/>
    <w:basedOn w:val="Normal"/>
    <w:pPr>
      <w:tabs>
        <w:tab w:val="center" w:pos="4703"/>
        <w:tab w:val="right" w:pos="9406"/>
      </w:tabs>
      <w:spacing w:after="0" w:line="240" w:lineRule="auto"/>
    </w:pPr>
  </w:style>
  <w:style w:type="paragraph" w:styleId="TOCHeading">
    <w:name w:val="TOC Heading"/>
    <w:basedOn w:val="Heading1"/>
    <w:uiPriority w:val="39"/>
    <w:qFormat/>
  </w:style>
  <w:style w:type="paragraph" w:styleId="TOC1">
    <w:name w:val="toc 1"/>
    <w:basedOn w:val="Normal"/>
    <w:autoRedefine/>
    <w:uiPriority w:val="39"/>
    <w:pPr>
      <w:spacing w:before="120" w:after="0"/>
    </w:pPr>
    <w:rPr>
      <w:rFonts w:asciiTheme="minorHAnsi" w:hAnsiTheme="minorHAnsi"/>
      <w:b/>
      <w:sz w:val="24"/>
      <w:szCs w:val="24"/>
    </w:rPr>
  </w:style>
  <w:style w:type="paragraph" w:styleId="TOC2">
    <w:name w:val="toc 2"/>
    <w:basedOn w:val="Normal"/>
    <w:autoRedefine/>
    <w:uiPriority w:val="39"/>
    <w:pPr>
      <w:spacing w:after="0"/>
      <w:ind w:left="220"/>
    </w:pPr>
    <w:rPr>
      <w:rFonts w:asciiTheme="minorHAnsi" w:hAnsiTheme="minorHAnsi"/>
      <w:b/>
    </w:rPr>
  </w:style>
  <w:style w:type="paragraph" w:styleId="EndnoteText">
    <w:name w:val="endnote text"/>
    <w:basedOn w:val="Normal"/>
    <w:qFormat/>
    <w:pPr>
      <w:widowControl w:val="0"/>
      <w:spacing w:after="0" w:line="360" w:lineRule="auto"/>
    </w:pPr>
    <w:rPr>
      <w:rFonts w:ascii="Arial" w:eastAsia="Times New Roman" w:hAnsi="Arial" w:cs="Times New Roman"/>
      <w:szCs w:val="20"/>
      <w:lang w:val="en-GB"/>
    </w:rPr>
  </w:style>
  <w:style w:type="paragraph" w:styleId="Title">
    <w:name w:val="Title"/>
    <w:basedOn w:val="Normal"/>
    <w:qFormat/>
    <w:pPr>
      <w:spacing w:after="0" w:line="240" w:lineRule="auto"/>
      <w:jc w:val="center"/>
    </w:pPr>
    <w:rPr>
      <w:rFonts w:ascii="Times New Roman" w:eastAsia="Times New Roman" w:hAnsi="Times New Roman" w:cs="Times New Roman"/>
      <w:b/>
      <w:bCs/>
      <w:sz w:val="24"/>
      <w:szCs w:val="24"/>
      <w:lang w:val="de-CH"/>
    </w:rPr>
  </w:style>
  <w:style w:type="paragraph" w:styleId="TOC3">
    <w:name w:val="toc 3"/>
    <w:basedOn w:val="Normal"/>
    <w:autoRedefine/>
    <w:pPr>
      <w:spacing w:after="0"/>
      <w:ind w:left="440"/>
    </w:pPr>
    <w:rPr>
      <w:rFonts w:asciiTheme="minorHAnsi" w:hAnsiTheme="minorHAnsi"/>
    </w:rPr>
  </w:style>
  <w:style w:type="paragraph" w:customStyle="1" w:styleId="font0">
    <w:name w:val="font0"/>
    <w:basedOn w:val="Normal"/>
    <w:qFormat/>
    <w:pPr>
      <w:spacing w:before="280" w:after="280" w:line="240" w:lineRule="auto"/>
    </w:pPr>
    <w:rPr>
      <w:rFonts w:eastAsia="Times New Roman" w:cs="Times New Roman"/>
      <w:color w:val="000000"/>
    </w:rPr>
  </w:style>
  <w:style w:type="paragraph" w:customStyle="1" w:styleId="font5">
    <w:name w:val="font5"/>
    <w:basedOn w:val="Normal"/>
    <w:qFormat/>
    <w:pPr>
      <w:spacing w:before="280" w:after="280" w:line="240" w:lineRule="auto"/>
    </w:pPr>
    <w:rPr>
      <w:rFonts w:eastAsia="Times New Roman" w:cs="Times New Roman"/>
    </w:rPr>
  </w:style>
  <w:style w:type="paragraph" w:customStyle="1" w:styleId="font6">
    <w:name w:val="font6"/>
    <w:basedOn w:val="Normal"/>
    <w:qFormat/>
    <w:pPr>
      <w:spacing w:before="280" w:after="280" w:line="240" w:lineRule="auto"/>
    </w:pPr>
    <w:rPr>
      <w:rFonts w:eastAsia="Times New Roman" w:cs="Times New Roman"/>
      <w:color w:val="000000"/>
    </w:rPr>
  </w:style>
  <w:style w:type="paragraph" w:customStyle="1" w:styleId="font7">
    <w:name w:val="font7"/>
    <w:basedOn w:val="Normal"/>
    <w:qFormat/>
    <w:pPr>
      <w:spacing w:before="280" w:after="280" w:line="240" w:lineRule="auto"/>
    </w:pPr>
    <w:rPr>
      <w:rFonts w:eastAsia="Times New Roman" w:cs="Times New Roman"/>
    </w:rPr>
  </w:style>
  <w:style w:type="paragraph" w:customStyle="1" w:styleId="xl63">
    <w:name w:val="xl63"/>
    <w:basedOn w:val="Normal"/>
    <w:qFormat/>
    <w:pPr>
      <w:shd w:val="clear" w:color="auto" w:fill="EEECE1"/>
      <w:spacing w:before="280" w:after="280" w:line="240" w:lineRule="auto"/>
    </w:pPr>
    <w:rPr>
      <w:rFonts w:ascii="Times New Roman" w:eastAsia="Times New Roman" w:hAnsi="Times New Roman" w:cs="Times New Roman"/>
      <w:b/>
      <w:bCs/>
      <w:sz w:val="24"/>
      <w:szCs w:val="24"/>
    </w:rPr>
  </w:style>
  <w:style w:type="paragraph" w:customStyle="1" w:styleId="xl64">
    <w:name w:val="xl64"/>
    <w:basedOn w:val="Normal"/>
    <w:qFormat/>
    <w:pPr>
      <w:shd w:val="clear" w:color="auto" w:fill="EEECE1"/>
      <w:spacing w:before="280" w:after="280" w:line="240" w:lineRule="auto"/>
    </w:pPr>
    <w:rPr>
      <w:rFonts w:ascii="Times New Roman" w:eastAsia="Times New Roman" w:hAnsi="Times New Roman" w:cs="Times New Roman"/>
      <w:sz w:val="24"/>
      <w:szCs w:val="24"/>
    </w:rPr>
  </w:style>
  <w:style w:type="paragraph" w:customStyle="1" w:styleId="xl65">
    <w:name w:val="xl65"/>
    <w:basedOn w:val="Normal"/>
    <w:qFormat/>
    <w:pPr>
      <w:pBdr>
        <w:left w:val="single" w:sz="8" w:space="0" w:color="00000A"/>
      </w:pBdr>
      <w:shd w:val="clear" w:color="auto" w:fill="EEECE1"/>
      <w:spacing w:before="280" w:after="280" w:line="240" w:lineRule="auto"/>
    </w:pPr>
    <w:rPr>
      <w:rFonts w:ascii="Times New Roman" w:eastAsia="Times New Roman" w:hAnsi="Times New Roman" w:cs="Times New Roman"/>
      <w:b/>
      <w:bCs/>
      <w:sz w:val="24"/>
      <w:szCs w:val="24"/>
    </w:rPr>
  </w:style>
  <w:style w:type="paragraph" w:customStyle="1" w:styleId="xl66">
    <w:name w:val="xl66"/>
    <w:basedOn w:val="Normal"/>
    <w:qFormat/>
    <w:pPr>
      <w:shd w:val="clear" w:color="auto" w:fill="EEECE1"/>
      <w:spacing w:before="280" w:after="280" w:line="240" w:lineRule="auto"/>
    </w:pPr>
    <w:rPr>
      <w:rFonts w:ascii="Times New Roman" w:eastAsia="Times New Roman" w:hAnsi="Times New Roman" w:cs="Times New Roman"/>
      <w:sz w:val="24"/>
      <w:szCs w:val="24"/>
    </w:rPr>
  </w:style>
  <w:style w:type="paragraph" w:customStyle="1" w:styleId="xl67">
    <w:name w:val="xl67"/>
    <w:basedOn w:val="Normal"/>
    <w:qFormat/>
    <w:pPr>
      <w:shd w:val="clear" w:color="auto" w:fill="EEECE1"/>
      <w:spacing w:before="280" w:after="280" w:line="240" w:lineRule="auto"/>
      <w:jc w:val="right"/>
    </w:pPr>
    <w:rPr>
      <w:rFonts w:ascii="Times New Roman" w:eastAsia="Times New Roman" w:hAnsi="Times New Roman" w:cs="Times New Roman"/>
      <w:sz w:val="24"/>
      <w:szCs w:val="24"/>
    </w:rPr>
  </w:style>
  <w:style w:type="paragraph" w:customStyle="1" w:styleId="xl68">
    <w:name w:val="xl68"/>
    <w:basedOn w:val="Normal"/>
    <w:qFormat/>
    <w:pPr>
      <w:shd w:val="clear" w:color="auto" w:fill="EEECE1"/>
      <w:spacing w:before="280" w:after="280" w:line="240" w:lineRule="auto"/>
      <w:jc w:val="right"/>
    </w:pPr>
    <w:rPr>
      <w:rFonts w:ascii="Times New Roman" w:eastAsia="Times New Roman" w:hAnsi="Times New Roman" w:cs="Times New Roman"/>
      <w:color w:val="F79646"/>
      <w:sz w:val="24"/>
      <w:szCs w:val="24"/>
    </w:rPr>
  </w:style>
  <w:style w:type="paragraph" w:customStyle="1" w:styleId="xl69">
    <w:name w:val="xl69"/>
    <w:basedOn w:val="Normal"/>
    <w:qFormat/>
    <w:pPr>
      <w:pBdr>
        <w:right w:val="single" w:sz="8" w:space="0" w:color="00000A"/>
      </w:pBdr>
      <w:shd w:val="clear" w:color="auto" w:fill="EEECE1"/>
      <w:spacing w:before="280" w:after="280" w:line="240" w:lineRule="auto"/>
      <w:jc w:val="right"/>
    </w:pPr>
    <w:rPr>
      <w:rFonts w:ascii="Times New Roman" w:eastAsia="Times New Roman" w:hAnsi="Times New Roman" w:cs="Times New Roman"/>
      <w:sz w:val="24"/>
      <w:szCs w:val="24"/>
    </w:rPr>
  </w:style>
  <w:style w:type="paragraph" w:customStyle="1" w:styleId="xl70">
    <w:name w:val="xl70"/>
    <w:basedOn w:val="Normal"/>
    <w:qFormat/>
    <w:pPr>
      <w:pBdr>
        <w:left w:val="single" w:sz="8" w:space="0" w:color="00000A"/>
      </w:pBdr>
      <w:shd w:val="clear" w:color="auto" w:fill="EEECE1"/>
      <w:spacing w:before="280" w:after="280" w:line="240" w:lineRule="auto"/>
    </w:pPr>
    <w:rPr>
      <w:rFonts w:ascii="Times New Roman" w:eastAsia="Times New Roman" w:hAnsi="Times New Roman" w:cs="Times New Roman"/>
      <w:b/>
      <w:bCs/>
      <w:sz w:val="24"/>
      <w:szCs w:val="24"/>
    </w:rPr>
  </w:style>
  <w:style w:type="paragraph" w:customStyle="1" w:styleId="xl71">
    <w:name w:val="xl71"/>
    <w:basedOn w:val="Normal"/>
    <w:qFormat/>
    <w:pPr>
      <w:shd w:val="clear" w:color="auto" w:fill="EEECE1"/>
      <w:spacing w:before="280" w:after="280" w:line="240" w:lineRule="auto"/>
      <w:jc w:val="right"/>
    </w:pPr>
    <w:rPr>
      <w:rFonts w:ascii="Times New Roman" w:eastAsia="Times New Roman" w:hAnsi="Times New Roman" w:cs="Times New Roman"/>
      <w:sz w:val="24"/>
      <w:szCs w:val="24"/>
    </w:rPr>
  </w:style>
  <w:style w:type="paragraph" w:customStyle="1" w:styleId="xl72">
    <w:name w:val="xl72"/>
    <w:basedOn w:val="Normal"/>
    <w:qFormat/>
    <w:pPr>
      <w:shd w:val="clear" w:color="auto" w:fill="EEECE1"/>
      <w:spacing w:before="280" w:after="280" w:line="240" w:lineRule="auto"/>
      <w:jc w:val="right"/>
    </w:pPr>
    <w:rPr>
      <w:rFonts w:ascii="Times New Roman" w:eastAsia="Times New Roman" w:hAnsi="Times New Roman" w:cs="Times New Roman"/>
      <w:sz w:val="24"/>
      <w:szCs w:val="24"/>
    </w:rPr>
  </w:style>
  <w:style w:type="paragraph" w:customStyle="1" w:styleId="xl73">
    <w:name w:val="xl73"/>
    <w:basedOn w:val="Normal"/>
    <w:qFormat/>
    <w:pPr>
      <w:pBdr>
        <w:right w:val="single" w:sz="8" w:space="0" w:color="00000A"/>
      </w:pBdr>
      <w:shd w:val="clear" w:color="auto" w:fill="EEECE1"/>
      <w:spacing w:before="280" w:after="280" w:line="240" w:lineRule="auto"/>
      <w:jc w:val="right"/>
    </w:pPr>
    <w:rPr>
      <w:rFonts w:ascii="Times New Roman" w:eastAsia="Times New Roman" w:hAnsi="Times New Roman" w:cs="Times New Roman"/>
      <w:sz w:val="24"/>
      <w:szCs w:val="24"/>
    </w:rPr>
  </w:style>
  <w:style w:type="paragraph" w:customStyle="1" w:styleId="xl74">
    <w:name w:val="xl74"/>
    <w:basedOn w:val="Normal"/>
    <w:qFormat/>
    <w:pPr>
      <w:shd w:val="clear" w:color="auto" w:fill="EEECE1"/>
      <w:spacing w:before="280" w:after="280" w:line="240" w:lineRule="auto"/>
      <w:jc w:val="right"/>
    </w:pPr>
    <w:rPr>
      <w:rFonts w:ascii="Times New Roman" w:eastAsia="Times New Roman" w:hAnsi="Times New Roman" w:cs="Times New Roman"/>
      <w:sz w:val="24"/>
      <w:szCs w:val="24"/>
    </w:rPr>
  </w:style>
  <w:style w:type="paragraph" w:customStyle="1" w:styleId="xl75">
    <w:name w:val="xl75"/>
    <w:basedOn w:val="Normal"/>
    <w:qFormat/>
    <w:pPr>
      <w:shd w:val="clear" w:color="auto" w:fill="EEECE1"/>
      <w:spacing w:before="280" w:after="280" w:line="240" w:lineRule="auto"/>
      <w:jc w:val="right"/>
    </w:pPr>
    <w:rPr>
      <w:rFonts w:ascii="Times New Roman" w:eastAsia="Times New Roman" w:hAnsi="Times New Roman" w:cs="Times New Roman"/>
      <w:sz w:val="24"/>
      <w:szCs w:val="24"/>
    </w:rPr>
  </w:style>
  <w:style w:type="paragraph" w:customStyle="1" w:styleId="xl76">
    <w:name w:val="xl76"/>
    <w:basedOn w:val="Normal"/>
    <w:qFormat/>
    <w:pPr>
      <w:shd w:val="clear" w:color="auto" w:fill="EEECE1"/>
      <w:spacing w:before="280" w:after="280" w:line="240" w:lineRule="auto"/>
      <w:jc w:val="right"/>
    </w:pPr>
    <w:rPr>
      <w:rFonts w:ascii="Times New Roman" w:eastAsia="Times New Roman" w:hAnsi="Times New Roman" w:cs="Times New Roman"/>
      <w:sz w:val="24"/>
      <w:szCs w:val="24"/>
    </w:rPr>
  </w:style>
  <w:style w:type="paragraph" w:customStyle="1" w:styleId="xl77">
    <w:name w:val="xl77"/>
    <w:basedOn w:val="Normal"/>
    <w:qFormat/>
    <w:pPr>
      <w:shd w:val="clear" w:color="auto" w:fill="EEECE1"/>
      <w:spacing w:before="280" w:after="280" w:line="240" w:lineRule="auto"/>
      <w:jc w:val="right"/>
    </w:pPr>
    <w:rPr>
      <w:rFonts w:ascii="Times New Roman" w:eastAsia="Times New Roman" w:hAnsi="Times New Roman" w:cs="Times New Roman"/>
      <w:sz w:val="24"/>
      <w:szCs w:val="24"/>
    </w:rPr>
  </w:style>
  <w:style w:type="paragraph" w:customStyle="1" w:styleId="xl78">
    <w:name w:val="xl78"/>
    <w:basedOn w:val="Normal"/>
    <w:qFormat/>
    <w:pPr>
      <w:pBdr>
        <w:right w:val="single" w:sz="8" w:space="0" w:color="00000A"/>
      </w:pBdr>
      <w:shd w:val="clear" w:color="auto" w:fill="EEECE1"/>
      <w:spacing w:before="280" w:after="280" w:line="240" w:lineRule="auto"/>
      <w:jc w:val="right"/>
    </w:pPr>
    <w:rPr>
      <w:rFonts w:ascii="Times New Roman" w:eastAsia="Times New Roman" w:hAnsi="Times New Roman" w:cs="Times New Roman"/>
      <w:color w:val="FF0000"/>
      <w:sz w:val="24"/>
      <w:szCs w:val="24"/>
    </w:rPr>
  </w:style>
  <w:style w:type="paragraph" w:customStyle="1" w:styleId="xl79">
    <w:name w:val="xl79"/>
    <w:basedOn w:val="Normal"/>
    <w:qFormat/>
    <w:pPr>
      <w:pBdr>
        <w:left w:val="single" w:sz="8" w:space="0" w:color="00000A"/>
        <w:bottom w:val="single" w:sz="8" w:space="0" w:color="00000A"/>
      </w:pBdr>
      <w:shd w:val="clear" w:color="auto" w:fill="EEECE1"/>
      <w:spacing w:before="280" w:after="280" w:line="240" w:lineRule="auto"/>
    </w:pPr>
    <w:rPr>
      <w:rFonts w:ascii="Times New Roman" w:eastAsia="Times New Roman" w:hAnsi="Times New Roman" w:cs="Times New Roman"/>
      <w:b/>
      <w:bCs/>
      <w:sz w:val="24"/>
      <w:szCs w:val="24"/>
    </w:rPr>
  </w:style>
  <w:style w:type="paragraph" w:customStyle="1" w:styleId="xl80">
    <w:name w:val="xl80"/>
    <w:basedOn w:val="Normal"/>
    <w:qFormat/>
    <w:pPr>
      <w:pBdr>
        <w:bottom w:val="single" w:sz="8" w:space="0" w:color="00000A"/>
      </w:pBdr>
      <w:shd w:val="clear" w:color="auto" w:fill="EEECE1"/>
      <w:spacing w:before="280" w:after="280" w:line="240" w:lineRule="auto"/>
      <w:jc w:val="right"/>
    </w:pPr>
    <w:rPr>
      <w:rFonts w:ascii="Times New Roman" w:eastAsia="Times New Roman" w:hAnsi="Times New Roman" w:cs="Times New Roman"/>
      <w:sz w:val="24"/>
      <w:szCs w:val="24"/>
    </w:rPr>
  </w:style>
  <w:style w:type="paragraph" w:customStyle="1" w:styleId="xl81">
    <w:name w:val="xl81"/>
    <w:basedOn w:val="Normal"/>
    <w:qFormat/>
    <w:pPr>
      <w:pBdr>
        <w:bottom w:val="single" w:sz="8" w:space="0" w:color="00000A"/>
        <w:right w:val="single" w:sz="8" w:space="0" w:color="00000A"/>
      </w:pBdr>
      <w:shd w:val="clear" w:color="auto" w:fill="EEECE1"/>
      <w:spacing w:before="280" w:after="280" w:line="240" w:lineRule="auto"/>
      <w:jc w:val="right"/>
    </w:pPr>
    <w:rPr>
      <w:rFonts w:ascii="Times New Roman" w:eastAsia="Times New Roman" w:hAnsi="Times New Roman" w:cs="Times New Roman"/>
      <w:sz w:val="24"/>
      <w:szCs w:val="24"/>
    </w:rPr>
  </w:style>
  <w:style w:type="paragraph" w:customStyle="1" w:styleId="xl82">
    <w:name w:val="xl82"/>
    <w:basedOn w:val="Normal"/>
    <w:qFormat/>
    <w:pPr>
      <w:pBdr>
        <w:bottom w:val="single" w:sz="8" w:space="0" w:color="00000A"/>
      </w:pBdr>
      <w:shd w:val="clear" w:color="auto" w:fill="EEECE1"/>
      <w:spacing w:before="280" w:after="280" w:line="240" w:lineRule="auto"/>
      <w:jc w:val="right"/>
    </w:pPr>
    <w:rPr>
      <w:rFonts w:ascii="Times New Roman" w:eastAsia="Times New Roman" w:hAnsi="Times New Roman" w:cs="Times New Roman"/>
      <w:sz w:val="24"/>
      <w:szCs w:val="24"/>
    </w:rPr>
  </w:style>
  <w:style w:type="paragraph" w:customStyle="1" w:styleId="xl83">
    <w:name w:val="xl83"/>
    <w:basedOn w:val="Normal"/>
    <w:qFormat/>
    <w:pPr>
      <w:pBdr>
        <w:top w:val="single" w:sz="8" w:space="0" w:color="00000A"/>
        <w:left w:val="single" w:sz="8" w:space="0" w:color="00000A"/>
        <w:bottom w:val="single" w:sz="8" w:space="0" w:color="00000A"/>
      </w:pBdr>
      <w:shd w:val="clear" w:color="auto" w:fill="EEECE1"/>
      <w:spacing w:before="280" w:after="280" w:line="240" w:lineRule="auto"/>
      <w:jc w:val="center"/>
      <w:textAlignment w:val="center"/>
    </w:pPr>
    <w:rPr>
      <w:rFonts w:ascii="Times New Roman" w:eastAsia="Times New Roman" w:hAnsi="Times New Roman" w:cs="Times New Roman"/>
      <w:b/>
      <w:bCs/>
      <w:sz w:val="24"/>
      <w:szCs w:val="24"/>
    </w:rPr>
  </w:style>
  <w:style w:type="paragraph" w:customStyle="1" w:styleId="xl84">
    <w:name w:val="xl84"/>
    <w:basedOn w:val="Normal"/>
    <w:qFormat/>
    <w:pPr>
      <w:pBdr>
        <w:top w:val="single" w:sz="8" w:space="0" w:color="00000A"/>
        <w:bottom w:val="single" w:sz="8" w:space="0" w:color="00000A"/>
      </w:pBdr>
      <w:shd w:val="clear" w:color="auto" w:fill="EEECE1"/>
      <w:spacing w:before="280" w:after="280" w:line="240" w:lineRule="auto"/>
      <w:jc w:val="center"/>
      <w:textAlignment w:val="center"/>
    </w:pPr>
    <w:rPr>
      <w:rFonts w:ascii="Times New Roman" w:eastAsia="Times New Roman" w:hAnsi="Times New Roman" w:cs="Times New Roman"/>
      <w:b/>
      <w:bCs/>
      <w:sz w:val="24"/>
      <w:szCs w:val="24"/>
    </w:rPr>
  </w:style>
  <w:style w:type="paragraph" w:customStyle="1" w:styleId="xl85">
    <w:name w:val="xl85"/>
    <w:basedOn w:val="Normal"/>
    <w:qFormat/>
    <w:pPr>
      <w:pBdr>
        <w:top w:val="single" w:sz="8" w:space="0" w:color="00000A"/>
        <w:bottom w:val="single" w:sz="8" w:space="0" w:color="00000A"/>
      </w:pBdr>
      <w:shd w:val="clear" w:color="auto" w:fill="EEECE1"/>
      <w:spacing w:before="280" w:after="280" w:line="240" w:lineRule="auto"/>
      <w:jc w:val="center"/>
      <w:textAlignment w:val="center"/>
    </w:pPr>
    <w:rPr>
      <w:rFonts w:ascii="Times New Roman" w:eastAsia="Times New Roman" w:hAnsi="Times New Roman" w:cs="Times New Roman"/>
      <w:b/>
      <w:bCs/>
      <w:sz w:val="24"/>
      <w:szCs w:val="24"/>
    </w:rPr>
  </w:style>
  <w:style w:type="paragraph" w:customStyle="1" w:styleId="xl86">
    <w:name w:val="xl86"/>
    <w:basedOn w:val="Normal"/>
    <w:qFormat/>
    <w:pPr>
      <w:pBdr>
        <w:top w:val="single" w:sz="8" w:space="0" w:color="00000A"/>
        <w:bottom w:val="single" w:sz="8" w:space="0" w:color="00000A"/>
        <w:right w:val="single" w:sz="8" w:space="0" w:color="00000A"/>
      </w:pBdr>
      <w:shd w:val="clear" w:color="auto" w:fill="EEECE1"/>
      <w:spacing w:before="280" w:after="280" w:line="240" w:lineRule="auto"/>
      <w:jc w:val="center"/>
      <w:textAlignment w:val="center"/>
    </w:pPr>
    <w:rPr>
      <w:rFonts w:ascii="Times New Roman" w:eastAsia="Times New Roman" w:hAnsi="Times New Roman" w:cs="Times New Roman"/>
      <w:b/>
      <w:bCs/>
      <w:sz w:val="24"/>
      <w:szCs w:val="24"/>
    </w:rPr>
  </w:style>
  <w:style w:type="paragraph" w:customStyle="1" w:styleId="xl87">
    <w:name w:val="xl87"/>
    <w:basedOn w:val="Normal"/>
    <w:qFormat/>
    <w:pPr>
      <w:shd w:val="clear" w:color="auto" w:fill="EEECE1"/>
      <w:spacing w:before="280" w:after="280" w:line="240" w:lineRule="auto"/>
    </w:pPr>
    <w:rPr>
      <w:rFonts w:ascii="Times New Roman" w:eastAsia="Times New Roman" w:hAnsi="Times New Roman" w:cs="Times New Roman"/>
      <w:color w:val="F79646"/>
      <w:sz w:val="24"/>
      <w:szCs w:val="24"/>
    </w:rPr>
  </w:style>
  <w:style w:type="paragraph" w:styleId="CommentText">
    <w:name w:val="annotation text"/>
    <w:basedOn w:val="Normal"/>
    <w:qFormat/>
    <w:pPr>
      <w:spacing w:line="240" w:lineRule="auto"/>
    </w:pPr>
    <w:rPr>
      <w:sz w:val="24"/>
      <w:szCs w:val="24"/>
    </w:rPr>
  </w:style>
  <w:style w:type="paragraph" w:styleId="CommentSubject">
    <w:name w:val="annotation subject"/>
    <w:basedOn w:val="CommentText"/>
    <w:qFormat/>
    <w:rPr>
      <w:b/>
      <w:bCs/>
      <w:sz w:val="20"/>
      <w:szCs w:val="20"/>
    </w:rPr>
  </w:style>
  <w:style w:type="paragraph" w:styleId="Revision">
    <w:name w:val="Revision"/>
    <w:qFormat/>
    <w:rPr>
      <w:color w:val="00000A"/>
      <w:sz w:val="22"/>
    </w:rPr>
  </w:style>
  <w:style w:type="paragraph" w:customStyle="1" w:styleId="Default">
    <w:name w:val="Default"/>
    <w:qFormat/>
    <w:rPr>
      <w:rFonts w:cs="Calibri"/>
      <w:color w:val="000000"/>
      <w:sz w:val="24"/>
      <w:szCs w:val="24"/>
      <w:lang w:val="de-CH"/>
    </w:rPr>
  </w:style>
  <w:style w:type="paragraph" w:customStyle="1" w:styleId="p">
    <w:name w:val="p"/>
    <w:basedOn w:val="Normal"/>
    <w:qFormat/>
    <w:pPr>
      <w:spacing w:before="280" w:after="280" w:line="240" w:lineRule="auto"/>
    </w:pPr>
    <w:rPr>
      <w:rFonts w:ascii="Times New Roman" w:eastAsia="Times New Roman" w:hAnsi="Times New Roman" w:cs="Times New Roman"/>
      <w:sz w:val="24"/>
      <w:szCs w:val="24"/>
    </w:rPr>
  </w:style>
  <w:style w:type="paragraph" w:styleId="HTMLPreformatted">
    <w:name w:val="HTML Preformatted"/>
    <w:basedOn w:val="Normal"/>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paragraph" w:styleId="ListBullet">
    <w:name w:val="List Bullet"/>
    <w:basedOn w:val="Normal"/>
    <w:qFormat/>
    <w:pPr>
      <w:contextualSpacing/>
    </w:pPr>
  </w:style>
  <w:style w:type="paragraph" w:customStyle="1" w:styleId="FrameContents">
    <w:name w:val="Frame Contents"/>
    <w:basedOn w:val="Normal"/>
    <w:qFormat/>
  </w:style>
  <w:style w:type="paragraph" w:customStyle="1" w:styleId="TableContents">
    <w:name w:val="Table Contents"/>
    <w:basedOn w:val="Normal"/>
    <w:qFormat/>
  </w:style>
  <w:style w:type="table" w:styleId="TableGrid">
    <w:name w:val="Table Grid"/>
    <w:basedOn w:val="TableNormal"/>
    <w:uiPriority w:val="59"/>
    <w:rsid w:val="007C278A"/>
    <w:rPr>
      <w:rFonts w:asciiTheme="minorHAnsi" w:eastAsiaTheme="minorHAnsi" w:hAnsiTheme="minorHAnsi" w:cstheme="minorBid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Normal"/>
    <w:next w:val="Normal"/>
    <w:autoRedefine/>
    <w:uiPriority w:val="39"/>
    <w:semiHidden/>
    <w:unhideWhenUsed/>
    <w:rsid w:val="00911A46"/>
    <w:pPr>
      <w:spacing w:after="0"/>
      <w:ind w:left="660"/>
    </w:pPr>
    <w:rPr>
      <w:rFonts w:asciiTheme="minorHAnsi" w:hAnsiTheme="minorHAnsi"/>
      <w:sz w:val="20"/>
      <w:szCs w:val="20"/>
    </w:rPr>
  </w:style>
  <w:style w:type="paragraph" w:styleId="TOC5">
    <w:name w:val="toc 5"/>
    <w:basedOn w:val="Normal"/>
    <w:next w:val="Normal"/>
    <w:autoRedefine/>
    <w:uiPriority w:val="39"/>
    <w:semiHidden/>
    <w:unhideWhenUsed/>
    <w:rsid w:val="00911A46"/>
    <w:pPr>
      <w:spacing w:after="0"/>
      <w:ind w:left="880"/>
    </w:pPr>
    <w:rPr>
      <w:rFonts w:asciiTheme="minorHAnsi" w:hAnsiTheme="minorHAnsi"/>
      <w:sz w:val="20"/>
      <w:szCs w:val="20"/>
    </w:rPr>
  </w:style>
  <w:style w:type="paragraph" w:styleId="TOC6">
    <w:name w:val="toc 6"/>
    <w:basedOn w:val="Normal"/>
    <w:next w:val="Normal"/>
    <w:autoRedefine/>
    <w:uiPriority w:val="39"/>
    <w:semiHidden/>
    <w:unhideWhenUsed/>
    <w:rsid w:val="00911A46"/>
    <w:pPr>
      <w:spacing w:after="0"/>
      <w:ind w:left="1100"/>
    </w:pPr>
    <w:rPr>
      <w:rFonts w:asciiTheme="minorHAnsi" w:hAnsiTheme="minorHAnsi"/>
      <w:sz w:val="20"/>
      <w:szCs w:val="20"/>
    </w:rPr>
  </w:style>
  <w:style w:type="paragraph" w:styleId="TOC7">
    <w:name w:val="toc 7"/>
    <w:basedOn w:val="Normal"/>
    <w:next w:val="Normal"/>
    <w:autoRedefine/>
    <w:uiPriority w:val="39"/>
    <w:semiHidden/>
    <w:unhideWhenUsed/>
    <w:rsid w:val="00911A46"/>
    <w:pPr>
      <w:spacing w:after="0"/>
      <w:ind w:left="1320"/>
    </w:pPr>
    <w:rPr>
      <w:rFonts w:asciiTheme="minorHAnsi" w:hAnsiTheme="minorHAnsi"/>
      <w:sz w:val="20"/>
      <w:szCs w:val="20"/>
    </w:rPr>
  </w:style>
  <w:style w:type="paragraph" w:styleId="TOC8">
    <w:name w:val="toc 8"/>
    <w:basedOn w:val="Normal"/>
    <w:next w:val="Normal"/>
    <w:autoRedefine/>
    <w:uiPriority w:val="39"/>
    <w:semiHidden/>
    <w:unhideWhenUsed/>
    <w:rsid w:val="00911A46"/>
    <w:pPr>
      <w:spacing w:after="0"/>
      <w:ind w:left="1540"/>
    </w:pPr>
    <w:rPr>
      <w:rFonts w:asciiTheme="minorHAnsi" w:hAnsiTheme="minorHAnsi"/>
      <w:sz w:val="20"/>
      <w:szCs w:val="20"/>
    </w:rPr>
  </w:style>
  <w:style w:type="paragraph" w:styleId="TOC9">
    <w:name w:val="toc 9"/>
    <w:basedOn w:val="Normal"/>
    <w:next w:val="Normal"/>
    <w:autoRedefine/>
    <w:uiPriority w:val="39"/>
    <w:semiHidden/>
    <w:unhideWhenUsed/>
    <w:rsid w:val="00911A46"/>
    <w:pPr>
      <w:spacing w:after="0"/>
      <w:ind w:left="1760"/>
    </w:pPr>
    <w:rPr>
      <w:rFonts w:asciiTheme="minorHAnsi" w:hAnsiTheme="min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6.png"/><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oleObject" Target="embeddings/oleObject1.bin"/><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emf"/><Relationship Id="rId30"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2008"/>
</file>

<file path=customXml/itemProps1.xml><?xml version="1.0" encoding="utf-8"?>
<ds:datastoreItem xmlns:ds="http://schemas.openxmlformats.org/officeDocument/2006/customXml" ds:itemID="{37F19C2A-73E6-44FB-BF9A-FEAFFD75DA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51</Pages>
  <Words>44233</Words>
  <Characters>252134</Characters>
  <Application>Microsoft Office Word</Application>
  <DocSecurity>0</DocSecurity>
  <Lines>2101</Lines>
  <Paragraphs>591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295776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Beniamino Guerra</dc:creator>
  <cp:lastModifiedBy>Calumpang, Mario Jade</cp:lastModifiedBy>
  <cp:revision>8</cp:revision>
  <cp:lastPrinted>2017-09-04T06:28:00Z</cp:lastPrinted>
  <dcterms:created xsi:type="dcterms:W3CDTF">2017-09-04T06:25:00Z</dcterms:created>
  <dcterms:modified xsi:type="dcterms:W3CDTF">2017-12-06T19:23:00Z</dcterms:modified>
  <dc:language>de-CH</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Mendeley Citation Style_1">
    <vt:lpwstr>http://www.zotero.org/styles/european-respiratory-journal</vt:lpwstr>
  </property>
  <property fmtid="{D5CDD505-2E9C-101B-9397-08002B2CF9AE}" pid="7" name="Mendeley Document_1">
    <vt:lpwstr>True</vt:lpwstr>
  </property>
  <property fmtid="{D5CDD505-2E9C-101B-9397-08002B2CF9AE}" pid="8" name="Mendeley Recent Style Id 0_1">
    <vt:lpwstr>http://www.zotero.org/styles/american-medical-association</vt:lpwstr>
  </property>
  <property fmtid="{D5CDD505-2E9C-101B-9397-08002B2CF9AE}" pid="9" name="Mendeley Recent Style Id 1_1">
    <vt:lpwstr>http://www.zotero.org/styles/american-political-science-association</vt:lpwstr>
  </property>
  <property fmtid="{D5CDD505-2E9C-101B-9397-08002B2CF9AE}" pid="10" name="Mendeley Recent Style Id 2_1">
    <vt:lpwstr>http://www.zotero.org/styles/american-sociological-association</vt:lpwstr>
  </property>
  <property fmtid="{D5CDD505-2E9C-101B-9397-08002B2CF9AE}" pid="11" name="Mendeley Recent Style Id 3_1">
    <vt:lpwstr>http://www.zotero.org/styles/european-respiratory-journal</vt:lpwstr>
  </property>
  <property fmtid="{D5CDD505-2E9C-101B-9397-08002B2CF9AE}" pid="12" name="Mendeley Recent Style Id 4_1">
    <vt:lpwstr>http://www.zotero.org/styles/harvard1</vt:lpwstr>
  </property>
  <property fmtid="{D5CDD505-2E9C-101B-9397-08002B2CF9AE}" pid="13" name="Mendeley Recent Style Id 5_1">
    <vt:lpwstr>http://www.zotero.org/styles/ieee</vt:lpwstr>
  </property>
  <property fmtid="{D5CDD505-2E9C-101B-9397-08002B2CF9AE}" pid="14" name="Mendeley Recent Style Id 6_1">
    <vt:lpwstr>http://www.zotero.org/styles/modern-humanities-research-association</vt:lpwstr>
  </property>
  <property fmtid="{D5CDD505-2E9C-101B-9397-08002B2CF9AE}" pid="15" name="Mendeley Recent Style Id 7_1">
    <vt:lpwstr>http://www.zotero.org/styles/modern-language-association</vt:lpwstr>
  </property>
  <property fmtid="{D5CDD505-2E9C-101B-9397-08002B2CF9AE}" pid="16" name="Mendeley Recent Style Id 8_1">
    <vt:lpwstr>http://www.zotero.org/styles/nature</vt:lpwstr>
  </property>
  <property fmtid="{D5CDD505-2E9C-101B-9397-08002B2CF9AE}" pid="17" name="Mendeley Recent Style Id 9_1">
    <vt:lpwstr>http://www.zotero.org/styles/vancouver</vt:lpwstr>
  </property>
  <property fmtid="{D5CDD505-2E9C-101B-9397-08002B2CF9AE}" pid="18" name="Mendeley Recent Style Name 0_1">
    <vt:lpwstr>American Medical Association</vt:lpwstr>
  </property>
  <property fmtid="{D5CDD505-2E9C-101B-9397-08002B2CF9AE}" pid="19" name="Mendeley Recent Style Name 1_1">
    <vt:lpwstr>American Political Science Association</vt:lpwstr>
  </property>
  <property fmtid="{D5CDD505-2E9C-101B-9397-08002B2CF9AE}" pid="20" name="Mendeley Recent Style Name 2_1">
    <vt:lpwstr>American Sociological Association</vt:lpwstr>
  </property>
  <property fmtid="{D5CDD505-2E9C-101B-9397-08002B2CF9AE}" pid="21" name="Mendeley Recent Style Name 3_1">
    <vt:lpwstr>European Respiratory Journal</vt:lpwstr>
  </property>
  <property fmtid="{D5CDD505-2E9C-101B-9397-08002B2CF9AE}" pid="22" name="Mendeley Recent Style Name 4_1">
    <vt:lpwstr>Harvard Reference format 1 (author-date)</vt:lpwstr>
  </property>
  <property fmtid="{D5CDD505-2E9C-101B-9397-08002B2CF9AE}" pid="23" name="Mendeley Recent Style Name 5_1">
    <vt:lpwstr>IEEE</vt:lpwstr>
  </property>
  <property fmtid="{D5CDD505-2E9C-101B-9397-08002B2CF9AE}" pid="24" name="Mendeley Recent Style Name 6_1">
    <vt:lpwstr>Modern Humanities Research Association 3rd edition (note with bibliography)</vt:lpwstr>
  </property>
  <property fmtid="{D5CDD505-2E9C-101B-9397-08002B2CF9AE}" pid="25" name="Mendeley Recent Style Name 7_1">
    <vt:lpwstr>Modern Language Association 7th edition</vt:lpwstr>
  </property>
  <property fmtid="{D5CDD505-2E9C-101B-9397-08002B2CF9AE}" pid="26" name="Mendeley Recent Style Name 8_1">
    <vt:lpwstr>Nature</vt:lpwstr>
  </property>
  <property fmtid="{D5CDD505-2E9C-101B-9397-08002B2CF9AE}" pid="27" name="Mendeley Recent Style Name 9_1">
    <vt:lpwstr>Vancouver</vt:lpwstr>
  </property>
  <property fmtid="{D5CDD505-2E9C-101B-9397-08002B2CF9AE}" pid="28" name="Mendeley Unique User Id_1">
    <vt:lpwstr>84a6a63f-0a9c-3e1a-a5ce-c1684ca72258</vt:lpwstr>
  </property>
  <property fmtid="{D5CDD505-2E9C-101B-9397-08002B2CF9AE}" pid="29" name="ScaleCrop">
    <vt:bool>false</vt:bool>
  </property>
  <property fmtid="{D5CDD505-2E9C-101B-9397-08002B2CF9AE}" pid="30" name="ShareDoc">
    <vt:bool>false</vt:bool>
  </property>
</Properties>
</file>