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412" w:rsidRPr="005464F3" w:rsidRDefault="00850B00" w:rsidP="000F4379">
      <w:pPr>
        <w:spacing w:after="0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Appendix C</w:t>
      </w:r>
      <w:bookmarkStart w:id="0" w:name="_GoBack"/>
      <w:bookmarkEnd w:id="0"/>
      <w:r w:rsidR="000E7BC7" w:rsidRPr="005464F3">
        <w:rPr>
          <w:rFonts w:ascii="Times New Roman" w:hAnsi="Times New Roman" w:cs="Times New Roman"/>
          <w:b/>
          <w:sz w:val="24"/>
          <w:lang w:val="en-US"/>
        </w:rPr>
        <w:t xml:space="preserve">. </w:t>
      </w:r>
      <w:r w:rsidR="0030038B" w:rsidRPr="00981450">
        <w:rPr>
          <w:rFonts w:ascii="Times New Roman" w:hAnsi="Times New Roman" w:cs="Times New Roman"/>
          <w:sz w:val="24"/>
          <w:lang w:val="en-US"/>
        </w:rPr>
        <w:t xml:space="preserve">List of </w:t>
      </w:r>
      <w:r w:rsidR="00CA5D43" w:rsidRPr="00981450">
        <w:rPr>
          <w:rFonts w:ascii="Times New Roman" w:hAnsi="Times New Roman" w:cs="Times New Roman"/>
          <w:sz w:val="24"/>
          <w:lang w:val="en-US"/>
        </w:rPr>
        <w:t>verbatim</w:t>
      </w:r>
      <w:r w:rsidR="000E7BC7" w:rsidRPr="00981450">
        <w:rPr>
          <w:rFonts w:ascii="Times New Roman" w:hAnsi="Times New Roman" w:cs="Times New Roman"/>
          <w:sz w:val="24"/>
          <w:lang w:val="en-US"/>
        </w:rPr>
        <w:t xml:space="preserve"> definition</w:t>
      </w:r>
      <w:r w:rsidR="005975AF" w:rsidRPr="00981450">
        <w:rPr>
          <w:rFonts w:ascii="Times New Roman" w:hAnsi="Times New Roman" w:cs="Times New Roman"/>
          <w:sz w:val="24"/>
          <w:lang w:val="en-US"/>
        </w:rPr>
        <w:t>s</w:t>
      </w:r>
      <w:r w:rsidR="000E7BC7" w:rsidRPr="00981450">
        <w:rPr>
          <w:rFonts w:ascii="Times New Roman" w:hAnsi="Times New Roman" w:cs="Times New Roman"/>
          <w:sz w:val="24"/>
          <w:lang w:val="en-US"/>
        </w:rPr>
        <w:t xml:space="preserve"> of missing outcome data</w:t>
      </w:r>
      <w:r w:rsidR="000E3A3B" w:rsidRPr="00981450">
        <w:rPr>
          <w:rFonts w:ascii="Agency FB" w:hAnsi="Agency FB" w:cs="Times New Roman"/>
          <w:sz w:val="24"/>
          <w:vertAlign w:val="superscript"/>
          <w:lang w:val="en-US"/>
        </w:rPr>
        <w:t>†</w:t>
      </w:r>
    </w:p>
    <w:tbl>
      <w:tblPr>
        <w:tblStyle w:val="Tabellenraster"/>
        <w:tblW w:w="949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2268"/>
        <w:gridCol w:w="6662"/>
      </w:tblGrid>
      <w:tr w:rsidR="00F5253A" w:rsidRPr="005B6E9B" w:rsidTr="00E2244A">
        <w:tc>
          <w:tcPr>
            <w:tcW w:w="56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5253A" w:rsidRPr="001A014E" w:rsidRDefault="001A014E" w:rsidP="001A014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ID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5253A" w:rsidRPr="001A014E" w:rsidRDefault="00695780" w:rsidP="001A014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Found in</w:t>
            </w:r>
          </w:p>
        </w:tc>
        <w:tc>
          <w:tcPr>
            <w:tcW w:w="666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5253A" w:rsidRPr="001A014E" w:rsidRDefault="00F5253A" w:rsidP="001A014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A014E">
              <w:rPr>
                <w:rFonts w:ascii="Times New Roman" w:hAnsi="Times New Roman" w:cs="Times New Roman"/>
                <w:b/>
                <w:lang w:val="en-US"/>
              </w:rPr>
              <w:t>Quotation</w:t>
            </w:r>
          </w:p>
        </w:tc>
      </w:tr>
      <w:tr w:rsidR="007F6349" w:rsidRPr="00981450" w:rsidTr="00E2244A">
        <w:tc>
          <w:tcPr>
            <w:tcW w:w="568" w:type="dxa"/>
            <w:tcBorders>
              <w:top w:val="single" w:sz="6" w:space="0" w:color="auto"/>
            </w:tcBorders>
            <w:vAlign w:val="center"/>
          </w:tcPr>
          <w:p w:rsidR="007F6349" w:rsidRPr="00C87D41" w:rsidRDefault="007F6349" w:rsidP="001B78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87D4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7F6349" w:rsidRPr="0002749C" w:rsidRDefault="007F6349" w:rsidP="006577A2">
            <w:pPr>
              <w:rPr>
                <w:rFonts w:ascii="Times New Roman" w:hAnsi="Times New Roman" w:cs="Times New Roman"/>
                <w:lang w:val="en-US"/>
              </w:rPr>
            </w:pPr>
            <w:r w:rsidRPr="0002749C">
              <w:rPr>
                <w:rFonts w:ascii="Times New Roman" w:hAnsi="Times New Roman" w:cs="Times New Roman"/>
                <w:b/>
                <w:lang w:val="en-US"/>
              </w:rPr>
              <w:t>Outcome measures</w:t>
            </w:r>
            <w:r w:rsidRPr="0002749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D33B1" w:rsidRPr="0002749C">
              <w:rPr>
                <w:rFonts w:ascii="Times New Roman" w:hAnsi="Times New Roman" w:cs="Times New Roman"/>
                <w:lang w:val="en-US"/>
              </w:rPr>
              <w:t xml:space="preserve">         </w:t>
            </w:r>
            <w:r w:rsidRPr="0002749C">
              <w:rPr>
                <w:rFonts w:ascii="Times New Roman" w:hAnsi="Times New Roman" w:cs="Times New Roman"/>
                <w:lang w:val="en-US"/>
              </w:rPr>
              <w:t>(</w:t>
            </w:r>
            <w:r w:rsidRPr="0002749C">
              <w:rPr>
                <w:rFonts w:ascii="Times New Roman" w:hAnsi="Times New Roman" w:cs="Times New Roman"/>
                <w:i/>
                <w:lang w:val="en-US"/>
              </w:rPr>
              <w:t>p. 747</w:t>
            </w:r>
            <w:r w:rsidRPr="0002749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6662" w:type="dxa"/>
            <w:tcBorders>
              <w:top w:val="single" w:sz="6" w:space="0" w:color="auto"/>
            </w:tcBorders>
            <w:vAlign w:val="center"/>
          </w:tcPr>
          <w:p w:rsidR="007F6349" w:rsidRPr="0002749C" w:rsidRDefault="007F6349" w:rsidP="00E2244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2749C">
              <w:rPr>
                <w:rFonts w:ascii="Times New Roman" w:hAnsi="Times New Roman" w:cs="Times New Roman"/>
                <w:lang w:val="en-US"/>
              </w:rPr>
              <w:t>‘[...] we defined treatment discontinuation (acceptability) as the number of patients who terminated the study early for any reason during the first 8 weeks of treatment (dropouts).’</w:t>
            </w:r>
          </w:p>
        </w:tc>
      </w:tr>
      <w:tr w:rsidR="007F6349" w:rsidRPr="00981450" w:rsidTr="00E2244A">
        <w:tc>
          <w:tcPr>
            <w:tcW w:w="568" w:type="dxa"/>
            <w:vAlign w:val="center"/>
          </w:tcPr>
          <w:p w:rsidR="007F6349" w:rsidRPr="00C87D41" w:rsidRDefault="000D33B1" w:rsidP="001B78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87D4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:rsidR="007F6349" w:rsidRPr="0002749C" w:rsidRDefault="007F6349" w:rsidP="006577A2">
            <w:pPr>
              <w:rPr>
                <w:rFonts w:ascii="Times New Roman" w:hAnsi="Times New Roman" w:cs="Times New Roman"/>
                <w:lang w:val="en-US"/>
              </w:rPr>
            </w:pPr>
            <w:r w:rsidRPr="0002749C">
              <w:rPr>
                <w:rFonts w:ascii="Times New Roman" w:hAnsi="Times New Roman" w:cs="Times New Roman"/>
                <w:b/>
                <w:lang w:val="en-US"/>
              </w:rPr>
              <w:t>Study Selection</w:t>
            </w:r>
            <w:r w:rsidR="003F3B97">
              <w:rPr>
                <w:rFonts w:ascii="Times New Roman" w:hAnsi="Times New Roman" w:cs="Times New Roman"/>
                <w:lang w:val="en-US"/>
              </w:rPr>
              <w:t xml:space="preserve">      </w:t>
            </w:r>
            <w:r w:rsidR="00A9743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2749C">
              <w:rPr>
                <w:rFonts w:ascii="Times New Roman" w:hAnsi="Times New Roman" w:cs="Times New Roman"/>
                <w:lang w:val="en-US"/>
              </w:rPr>
              <w:t>(</w:t>
            </w:r>
            <w:r w:rsidRPr="0002749C">
              <w:rPr>
                <w:rFonts w:ascii="Times New Roman" w:hAnsi="Times New Roman" w:cs="Times New Roman"/>
                <w:i/>
                <w:lang w:val="en-US"/>
              </w:rPr>
              <w:t>p. 893</w:t>
            </w:r>
            <w:r w:rsidRPr="0002749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6662" w:type="dxa"/>
            <w:vAlign w:val="center"/>
          </w:tcPr>
          <w:p w:rsidR="007F6349" w:rsidRPr="0002749C" w:rsidRDefault="007F6349" w:rsidP="00E2244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2749C">
              <w:rPr>
                <w:rFonts w:ascii="Times New Roman" w:hAnsi="Times New Roman" w:cs="Times New Roman"/>
                <w:lang w:val="en-US"/>
              </w:rPr>
              <w:t>‘[…] the proportion of patients withdrawing from the trial. This included, but was not limited to, withdrawals due to adverse events, treatment failure, and disease progression.’</w:t>
            </w:r>
          </w:p>
        </w:tc>
      </w:tr>
      <w:tr w:rsidR="00F0337A" w:rsidRPr="00981450" w:rsidTr="00E2244A">
        <w:tc>
          <w:tcPr>
            <w:tcW w:w="568" w:type="dxa"/>
            <w:vAlign w:val="center"/>
          </w:tcPr>
          <w:p w:rsidR="00F0337A" w:rsidRPr="00C87D41" w:rsidRDefault="000D33B1" w:rsidP="001B78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87D4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F0337A" w:rsidRPr="0002749C" w:rsidRDefault="00F0337A" w:rsidP="006577A2">
            <w:pPr>
              <w:rPr>
                <w:rFonts w:ascii="Times New Roman" w:hAnsi="Times New Roman" w:cs="Times New Roman"/>
                <w:lang w:val="en-US"/>
              </w:rPr>
            </w:pPr>
            <w:r w:rsidRPr="0002749C">
              <w:rPr>
                <w:rFonts w:ascii="Times New Roman" w:hAnsi="Times New Roman" w:cs="Times New Roman"/>
                <w:b/>
                <w:lang w:val="en-US"/>
              </w:rPr>
              <w:t>Discussion</w:t>
            </w:r>
            <w:r w:rsidRPr="0002749C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02749C">
              <w:rPr>
                <w:rFonts w:ascii="Times New Roman" w:hAnsi="Times New Roman" w:cs="Times New Roman"/>
                <w:i/>
                <w:lang w:val="en-US"/>
              </w:rPr>
              <w:t>p. 431</w:t>
            </w:r>
            <w:r w:rsidRPr="0002749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6662" w:type="dxa"/>
            <w:vAlign w:val="center"/>
          </w:tcPr>
          <w:p w:rsidR="00F0337A" w:rsidRPr="0002749C" w:rsidRDefault="00F0337A" w:rsidP="00E2244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2749C">
              <w:rPr>
                <w:rFonts w:ascii="Times New Roman" w:hAnsi="Times New Roman" w:cs="Times New Roman"/>
                <w:lang w:val="en-US"/>
              </w:rPr>
              <w:t>‘All trials of biologic agents allowed patients who did not respond to placebo to withdraw before the primary endpoint (week 24).’</w:t>
            </w:r>
          </w:p>
        </w:tc>
      </w:tr>
      <w:tr w:rsidR="008012A4" w:rsidRPr="00981450" w:rsidTr="00E2244A">
        <w:tc>
          <w:tcPr>
            <w:tcW w:w="568" w:type="dxa"/>
            <w:vAlign w:val="center"/>
          </w:tcPr>
          <w:p w:rsidR="008012A4" w:rsidRPr="00C87D41" w:rsidRDefault="008012A4" w:rsidP="001B78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87D41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268" w:type="dxa"/>
            <w:vAlign w:val="center"/>
          </w:tcPr>
          <w:p w:rsidR="008012A4" w:rsidRPr="0002749C" w:rsidRDefault="008012A4" w:rsidP="006577A2">
            <w:pPr>
              <w:rPr>
                <w:rFonts w:ascii="Times New Roman" w:hAnsi="Times New Roman" w:cs="Times New Roman"/>
                <w:lang w:val="en-US"/>
              </w:rPr>
            </w:pPr>
            <w:r w:rsidRPr="0002749C">
              <w:rPr>
                <w:rFonts w:ascii="Times New Roman" w:hAnsi="Times New Roman" w:cs="Times New Roman"/>
                <w:b/>
                <w:lang w:val="en-US"/>
              </w:rPr>
              <w:t>Data collection and study quality assessment</w:t>
            </w:r>
            <w:r w:rsidRPr="0002749C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02749C">
              <w:rPr>
                <w:rFonts w:ascii="Times New Roman" w:hAnsi="Times New Roman" w:cs="Times New Roman"/>
                <w:i/>
                <w:lang w:val="en-US"/>
              </w:rPr>
              <w:t>p. 4</w:t>
            </w:r>
            <w:r w:rsidRPr="0002749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6662" w:type="dxa"/>
            <w:vAlign w:val="center"/>
          </w:tcPr>
          <w:p w:rsidR="008012A4" w:rsidRPr="0002749C" w:rsidRDefault="008012A4" w:rsidP="00E2244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2749C">
              <w:rPr>
                <w:rFonts w:ascii="Times New Roman" w:hAnsi="Times New Roman" w:cs="Times New Roman"/>
                <w:lang w:val="en-US"/>
              </w:rPr>
              <w:t>‘[no] completeness of follow-up, […]’</w:t>
            </w:r>
          </w:p>
        </w:tc>
      </w:tr>
      <w:tr w:rsidR="0057253C" w:rsidRPr="00981450" w:rsidTr="00E2244A">
        <w:tc>
          <w:tcPr>
            <w:tcW w:w="568" w:type="dxa"/>
            <w:vAlign w:val="center"/>
          </w:tcPr>
          <w:p w:rsidR="0057253C" w:rsidRPr="00C87D41" w:rsidRDefault="0057253C" w:rsidP="001B78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87D4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268" w:type="dxa"/>
            <w:vAlign w:val="center"/>
          </w:tcPr>
          <w:p w:rsidR="0057253C" w:rsidRPr="0002749C" w:rsidRDefault="0057253C" w:rsidP="006577A2">
            <w:pPr>
              <w:rPr>
                <w:rFonts w:ascii="Times New Roman" w:hAnsi="Times New Roman" w:cs="Times New Roman"/>
                <w:lang w:val="en-US"/>
              </w:rPr>
            </w:pPr>
            <w:r w:rsidRPr="0002749C">
              <w:rPr>
                <w:rFonts w:ascii="Times New Roman" w:hAnsi="Times New Roman" w:cs="Times New Roman"/>
                <w:b/>
                <w:lang w:val="en-US"/>
              </w:rPr>
              <w:t>Systematic review of the literature</w:t>
            </w:r>
            <w:r w:rsidRPr="0002749C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02749C">
              <w:rPr>
                <w:rFonts w:ascii="Times New Roman" w:hAnsi="Times New Roman" w:cs="Times New Roman"/>
                <w:i/>
                <w:lang w:val="en-US"/>
              </w:rPr>
              <w:t>p. 267</w:t>
            </w:r>
            <w:r w:rsidRPr="0002749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6662" w:type="dxa"/>
            <w:vAlign w:val="center"/>
          </w:tcPr>
          <w:p w:rsidR="0057253C" w:rsidRPr="0002749C" w:rsidRDefault="0057253C" w:rsidP="00E2244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2749C">
              <w:rPr>
                <w:rFonts w:ascii="Times New Roman" w:hAnsi="Times New Roman" w:cs="Times New Roman"/>
                <w:lang w:val="en-US"/>
              </w:rPr>
              <w:t>‘[…] patients who discontinued therapy for any reason or received rescue therapies were considered as non-responders.’</w:t>
            </w:r>
          </w:p>
        </w:tc>
      </w:tr>
      <w:tr w:rsidR="0077565A" w:rsidRPr="00981450" w:rsidTr="00E2244A">
        <w:tc>
          <w:tcPr>
            <w:tcW w:w="568" w:type="dxa"/>
            <w:vAlign w:val="center"/>
          </w:tcPr>
          <w:p w:rsidR="0077565A" w:rsidRPr="00C87D41" w:rsidRDefault="0077565A" w:rsidP="001B78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87D41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268" w:type="dxa"/>
            <w:vAlign w:val="center"/>
          </w:tcPr>
          <w:p w:rsidR="0077565A" w:rsidRPr="0002749C" w:rsidRDefault="0077565A" w:rsidP="006577A2">
            <w:pPr>
              <w:rPr>
                <w:rFonts w:ascii="Times New Roman" w:hAnsi="Times New Roman" w:cs="Times New Roman"/>
                <w:lang w:val="en-US"/>
              </w:rPr>
            </w:pPr>
            <w:r w:rsidRPr="0002749C">
              <w:rPr>
                <w:rFonts w:ascii="Times New Roman" w:hAnsi="Times New Roman" w:cs="Times New Roman"/>
                <w:b/>
                <w:lang w:val="en-US"/>
              </w:rPr>
              <w:t>Abstract</w:t>
            </w:r>
            <w:r w:rsidRPr="0002749C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02749C">
              <w:rPr>
                <w:rFonts w:ascii="Times New Roman" w:hAnsi="Times New Roman" w:cs="Times New Roman"/>
                <w:i/>
                <w:lang w:val="en-US"/>
              </w:rPr>
              <w:t>p. 128</w:t>
            </w:r>
            <w:r w:rsidRPr="0002749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6662" w:type="dxa"/>
            <w:vAlign w:val="center"/>
          </w:tcPr>
          <w:p w:rsidR="0077565A" w:rsidRPr="0002749C" w:rsidRDefault="0077565A" w:rsidP="00E2244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2749C">
              <w:rPr>
                <w:rFonts w:ascii="Times New Roman" w:hAnsi="Times New Roman" w:cs="Times New Roman"/>
                <w:lang w:val="en-US"/>
              </w:rPr>
              <w:t>‘[…] or withdrawal of patients because of edema […]’</w:t>
            </w:r>
          </w:p>
        </w:tc>
      </w:tr>
      <w:tr w:rsidR="004950AE" w:rsidRPr="00981450" w:rsidTr="00E2244A">
        <w:tc>
          <w:tcPr>
            <w:tcW w:w="568" w:type="dxa"/>
            <w:vAlign w:val="center"/>
          </w:tcPr>
          <w:p w:rsidR="004950AE" w:rsidRPr="00C87D41" w:rsidRDefault="00B93ED4" w:rsidP="001B78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87D41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268" w:type="dxa"/>
            <w:vAlign w:val="center"/>
          </w:tcPr>
          <w:p w:rsidR="004950AE" w:rsidRPr="0002749C" w:rsidRDefault="004950AE" w:rsidP="006577A2">
            <w:pPr>
              <w:rPr>
                <w:rFonts w:ascii="Times New Roman" w:hAnsi="Times New Roman" w:cs="Times New Roman"/>
                <w:lang w:val="en-US"/>
              </w:rPr>
            </w:pPr>
            <w:r w:rsidRPr="0002749C">
              <w:rPr>
                <w:rFonts w:ascii="Times New Roman" w:hAnsi="Times New Roman" w:cs="Times New Roman"/>
                <w:b/>
                <w:lang w:val="en-US"/>
              </w:rPr>
              <w:t xml:space="preserve">Primary outcomes </w:t>
            </w:r>
            <w:r w:rsidR="003F3B9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02749C">
              <w:rPr>
                <w:rFonts w:ascii="Times New Roman" w:hAnsi="Times New Roman" w:cs="Times New Roman"/>
                <w:lang w:val="en-US"/>
              </w:rPr>
              <w:t>(</w:t>
            </w:r>
            <w:r w:rsidRPr="0002749C">
              <w:rPr>
                <w:rFonts w:ascii="Times New Roman" w:hAnsi="Times New Roman" w:cs="Times New Roman"/>
                <w:i/>
                <w:lang w:val="en-US"/>
              </w:rPr>
              <w:t>p. 1281</w:t>
            </w:r>
            <w:r w:rsidRPr="0002749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6662" w:type="dxa"/>
            <w:vAlign w:val="center"/>
          </w:tcPr>
          <w:p w:rsidR="004950AE" w:rsidRPr="0002749C" w:rsidRDefault="004950AE" w:rsidP="00E2244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2749C">
              <w:rPr>
                <w:rFonts w:ascii="Times New Roman" w:hAnsi="Times New Roman" w:cs="Times New Roman"/>
                <w:lang w:val="en-US"/>
              </w:rPr>
              <w:t>‘[…] withdrawal rate (proportion withdrawing from treatment during treatment period).’</w:t>
            </w:r>
          </w:p>
        </w:tc>
      </w:tr>
      <w:tr w:rsidR="000822E2" w:rsidRPr="00981450" w:rsidTr="00E2244A">
        <w:tc>
          <w:tcPr>
            <w:tcW w:w="568" w:type="dxa"/>
            <w:vAlign w:val="center"/>
          </w:tcPr>
          <w:p w:rsidR="000822E2" w:rsidRPr="00C87D41" w:rsidRDefault="000822E2" w:rsidP="001B78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87D41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268" w:type="dxa"/>
            <w:vAlign w:val="center"/>
          </w:tcPr>
          <w:p w:rsidR="000822E2" w:rsidRPr="0002749C" w:rsidRDefault="000822E2" w:rsidP="006577A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2749C">
              <w:rPr>
                <w:rFonts w:ascii="Times New Roman" w:hAnsi="Times New Roman" w:cs="Times New Roman"/>
                <w:b/>
                <w:lang w:val="en-US"/>
              </w:rPr>
              <w:t xml:space="preserve">Outcome measures </w:t>
            </w:r>
            <w:r w:rsidRPr="0002749C">
              <w:rPr>
                <w:rFonts w:ascii="Times New Roman" w:hAnsi="Times New Roman" w:cs="Times New Roman"/>
                <w:lang w:val="en-US"/>
              </w:rPr>
              <w:t>(</w:t>
            </w:r>
            <w:r w:rsidRPr="0002749C">
              <w:rPr>
                <w:rFonts w:ascii="Times New Roman" w:hAnsi="Times New Roman" w:cs="Times New Roman"/>
                <w:i/>
                <w:lang w:val="en-US"/>
              </w:rPr>
              <w:t>p. 1307</w:t>
            </w:r>
            <w:r w:rsidRPr="0002749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6662" w:type="dxa"/>
            <w:vAlign w:val="center"/>
          </w:tcPr>
          <w:p w:rsidR="000822E2" w:rsidRPr="0002749C" w:rsidRDefault="000822E2" w:rsidP="00E2244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2749C">
              <w:rPr>
                <w:rFonts w:ascii="Times New Roman" w:hAnsi="Times New Roman" w:cs="Times New Roman"/>
                <w:lang w:val="en-US"/>
              </w:rPr>
              <w:t>‘Treatment discontinuation (acceptability) was defined as the number of patients who left the study early for any reason during the first 3 weeks of treatment of the total number of patients randomly assigned to each treatment group.’</w:t>
            </w:r>
            <w:r w:rsidR="00E153E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35084C" w:rsidRPr="00981450" w:rsidTr="00E2244A">
        <w:tc>
          <w:tcPr>
            <w:tcW w:w="568" w:type="dxa"/>
            <w:vAlign w:val="center"/>
          </w:tcPr>
          <w:p w:rsidR="0035084C" w:rsidRPr="00C87D41" w:rsidRDefault="00356C84" w:rsidP="001B78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87D41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268" w:type="dxa"/>
            <w:vAlign w:val="center"/>
          </w:tcPr>
          <w:p w:rsidR="0035084C" w:rsidRPr="0002749C" w:rsidRDefault="0035084C" w:rsidP="006577A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2749C">
              <w:rPr>
                <w:rFonts w:ascii="Times New Roman" w:hAnsi="Times New Roman" w:cs="Times New Roman"/>
                <w:b/>
                <w:lang w:val="en-US"/>
              </w:rPr>
              <w:t xml:space="preserve">Primary outcomes </w:t>
            </w:r>
            <w:r w:rsidR="006577A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02749C">
              <w:rPr>
                <w:rFonts w:ascii="Times New Roman" w:hAnsi="Times New Roman" w:cs="Times New Roman"/>
                <w:lang w:val="en-US"/>
              </w:rPr>
              <w:t>(</w:t>
            </w:r>
            <w:r w:rsidRPr="0002749C">
              <w:rPr>
                <w:rFonts w:ascii="Times New Roman" w:hAnsi="Times New Roman" w:cs="Times New Roman"/>
                <w:i/>
                <w:lang w:val="en-US"/>
              </w:rPr>
              <w:t>p. 18</w:t>
            </w:r>
            <w:r w:rsidRPr="0002749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6662" w:type="dxa"/>
            <w:vAlign w:val="center"/>
          </w:tcPr>
          <w:p w:rsidR="0035084C" w:rsidRPr="0002749C" w:rsidRDefault="0035084C" w:rsidP="00E2244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2749C">
              <w:rPr>
                <w:rFonts w:ascii="Times New Roman" w:hAnsi="Times New Roman" w:cs="Times New Roman"/>
                <w:lang w:val="en-US"/>
              </w:rPr>
              <w:t>‘Treatment discontinuation was used to assess acceptability and was measured by the dropout rate, that is the proportion of participants who were lost to follow-up or definitely discontinued treatment (withdrawals) but completed follow-up, out of the total number of participants randomly assigned to each treatment arm.’</w:t>
            </w:r>
          </w:p>
        </w:tc>
      </w:tr>
      <w:tr w:rsidR="00356C84" w:rsidRPr="00981450" w:rsidTr="00E2244A">
        <w:tc>
          <w:tcPr>
            <w:tcW w:w="568" w:type="dxa"/>
            <w:tcBorders>
              <w:bottom w:val="single" w:sz="12" w:space="0" w:color="auto"/>
            </w:tcBorders>
            <w:vAlign w:val="center"/>
          </w:tcPr>
          <w:p w:rsidR="00356C84" w:rsidRPr="00D70961" w:rsidRDefault="00561C0B" w:rsidP="001B78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C87D41" w:rsidRDefault="008A198E" w:rsidP="006577A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A198E">
              <w:rPr>
                <w:rFonts w:ascii="Times New Roman" w:hAnsi="Times New Roman" w:cs="Times New Roman"/>
                <w:b/>
                <w:lang w:val="en-US"/>
              </w:rPr>
              <w:t>Meta-analysis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356C84" w:rsidRPr="0002749C" w:rsidRDefault="008A198E" w:rsidP="006577A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87D41">
              <w:rPr>
                <w:rFonts w:ascii="Times New Roman" w:hAnsi="Times New Roman" w:cs="Times New Roman"/>
                <w:lang w:val="en-US"/>
              </w:rPr>
              <w:t>(</w:t>
            </w:r>
            <w:r w:rsidRPr="00C87D41">
              <w:rPr>
                <w:rFonts w:ascii="Times New Roman" w:hAnsi="Times New Roman" w:cs="Times New Roman"/>
                <w:i/>
                <w:lang w:val="en-US"/>
              </w:rPr>
              <w:t>p. 4</w:t>
            </w:r>
            <w:r w:rsidRPr="00C87D41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6662" w:type="dxa"/>
            <w:tcBorders>
              <w:bottom w:val="single" w:sz="12" w:space="0" w:color="auto"/>
            </w:tcBorders>
            <w:vAlign w:val="center"/>
          </w:tcPr>
          <w:p w:rsidR="00356C84" w:rsidRPr="0002749C" w:rsidRDefault="00911314" w:rsidP="00E2244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‘</w:t>
            </w:r>
            <w:r w:rsidR="0064609A">
              <w:rPr>
                <w:rFonts w:ascii="Times New Roman" w:hAnsi="Times New Roman" w:cs="Times New Roman"/>
                <w:lang w:val="en-US"/>
              </w:rPr>
              <w:t xml:space="preserve">[…] </w:t>
            </w:r>
            <w:r w:rsidRPr="00911314">
              <w:rPr>
                <w:rFonts w:ascii="Times New Roman" w:hAnsi="Times New Roman" w:cs="Times New Roman"/>
                <w:lang w:val="en-US"/>
              </w:rPr>
              <w:t xml:space="preserve">patients that dropped out before the first or second visit </w:t>
            </w:r>
            <w:r w:rsidR="0064609A">
              <w:rPr>
                <w:rFonts w:ascii="Times New Roman" w:hAnsi="Times New Roman" w:cs="Times New Roman"/>
                <w:lang w:val="en-US"/>
              </w:rPr>
              <w:t>[…]</w:t>
            </w:r>
            <w:r w:rsidR="0009203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046AF">
              <w:rPr>
                <w:rFonts w:ascii="Times New Roman" w:hAnsi="Times New Roman" w:cs="Times New Roman"/>
                <w:lang w:val="en-US"/>
              </w:rPr>
              <w:t>– Protocol</w:t>
            </w:r>
            <w:r w:rsidR="00D47BDE" w:rsidRPr="00D47BDE">
              <w:rPr>
                <w:rFonts w:ascii="Agency FB" w:hAnsi="Agency FB" w:cs="Times New Roman"/>
                <w:vertAlign w:val="superscript"/>
                <w:lang w:val="en-US"/>
              </w:rPr>
              <w:t>‡</w:t>
            </w:r>
          </w:p>
        </w:tc>
      </w:tr>
    </w:tbl>
    <w:p w:rsidR="00DD4AE4" w:rsidRPr="000E3A3B" w:rsidRDefault="000E3A3B" w:rsidP="004104B5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0E3A3B">
        <w:rPr>
          <w:rFonts w:ascii="Times New Roman" w:hAnsi="Times New Roman" w:cs="Times New Roman"/>
          <w:b/>
          <w:sz w:val="20"/>
          <w:vertAlign w:val="superscript"/>
          <w:lang w:val="en-US"/>
        </w:rPr>
        <w:t>†</w:t>
      </w:r>
      <w:r w:rsidRPr="000E3A3B">
        <w:rPr>
          <w:rFonts w:ascii="Times New Roman" w:hAnsi="Times New Roman" w:cs="Times New Roman"/>
          <w:sz w:val="20"/>
          <w:lang w:val="en-US"/>
        </w:rPr>
        <w:t>The re</w:t>
      </w:r>
      <w:r w:rsidR="002771DE">
        <w:rPr>
          <w:rFonts w:ascii="Times New Roman" w:hAnsi="Times New Roman" w:cs="Times New Roman"/>
          <w:sz w:val="20"/>
          <w:lang w:val="en-US"/>
        </w:rPr>
        <w:t>maining</w:t>
      </w:r>
      <w:r w:rsidR="00BA2163">
        <w:rPr>
          <w:rFonts w:ascii="Times New Roman" w:hAnsi="Times New Roman" w:cs="Times New Roman"/>
          <w:sz w:val="20"/>
          <w:lang w:val="en-US"/>
        </w:rPr>
        <w:t xml:space="preserve"> systematic</w:t>
      </w:r>
      <w:r w:rsidR="00FA288C">
        <w:rPr>
          <w:rFonts w:ascii="Times New Roman" w:hAnsi="Times New Roman" w:cs="Times New Roman"/>
          <w:sz w:val="20"/>
          <w:lang w:val="en-US"/>
        </w:rPr>
        <w:t xml:space="preserve"> </w:t>
      </w:r>
      <w:r w:rsidRPr="000E3A3B">
        <w:rPr>
          <w:rFonts w:ascii="Times New Roman" w:hAnsi="Times New Roman" w:cs="Times New Roman"/>
          <w:sz w:val="20"/>
          <w:lang w:val="en-US"/>
        </w:rPr>
        <w:t xml:space="preserve">reviews </w:t>
      </w:r>
      <w:r>
        <w:rPr>
          <w:rFonts w:ascii="Times New Roman" w:hAnsi="Times New Roman" w:cs="Times New Roman"/>
          <w:sz w:val="20"/>
          <w:lang w:val="en-US"/>
        </w:rPr>
        <w:t>used a similar definition</w:t>
      </w:r>
      <w:r w:rsidR="00206EEE">
        <w:rPr>
          <w:rFonts w:ascii="Times New Roman" w:hAnsi="Times New Roman" w:cs="Times New Roman"/>
          <w:sz w:val="20"/>
          <w:lang w:val="en-US"/>
        </w:rPr>
        <w:t xml:space="preserve"> to describe missing outcome data.</w:t>
      </w:r>
      <w:r w:rsidRPr="000E3A3B">
        <w:rPr>
          <w:rFonts w:ascii="Times New Roman" w:hAnsi="Times New Roman" w:cs="Times New Roman"/>
          <w:sz w:val="20"/>
          <w:lang w:val="en-US"/>
        </w:rPr>
        <w:t xml:space="preserve"> </w:t>
      </w:r>
    </w:p>
    <w:p w:rsidR="000E3A3B" w:rsidRPr="007E281F" w:rsidRDefault="00D47BDE">
      <w:pPr>
        <w:rPr>
          <w:rFonts w:ascii="Times New Roman" w:hAnsi="Times New Roman" w:cs="Times New Roman"/>
          <w:sz w:val="24"/>
          <w:lang w:val="en-US"/>
        </w:rPr>
      </w:pPr>
      <w:r w:rsidRPr="007E281F">
        <w:rPr>
          <w:rFonts w:ascii="Times New Roman" w:hAnsi="Times New Roman" w:cs="Times New Roman"/>
          <w:vertAlign w:val="superscript"/>
          <w:lang w:val="en-US"/>
        </w:rPr>
        <w:t>‡</w:t>
      </w:r>
      <w:r w:rsidR="00115932" w:rsidRPr="004104B5">
        <w:rPr>
          <w:rFonts w:ascii="Times New Roman" w:hAnsi="Times New Roman" w:cs="Times New Roman"/>
          <w:sz w:val="20"/>
          <w:lang w:val="en-US"/>
        </w:rPr>
        <w:t xml:space="preserve">Kriston L, von Wolff A, Hölzel L. </w:t>
      </w:r>
      <w:r w:rsidR="007E281F" w:rsidRPr="004104B5">
        <w:rPr>
          <w:rFonts w:ascii="Times New Roman" w:hAnsi="Times New Roman" w:cs="Times New Roman"/>
          <w:sz w:val="20"/>
          <w:lang w:val="en-US"/>
        </w:rPr>
        <w:t>Effectiveness of psychotherapeutic, pharmacological, and combined treatments for chronic depression: a systematic review (METACHRON)</w:t>
      </w:r>
      <w:r w:rsidR="00A505C5" w:rsidRPr="004104B5">
        <w:rPr>
          <w:rFonts w:ascii="Times New Roman" w:hAnsi="Times New Roman" w:cs="Times New Roman"/>
          <w:sz w:val="20"/>
          <w:lang w:val="en-US"/>
        </w:rPr>
        <w:t xml:space="preserve">. </w:t>
      </w:r>
      <w:r w:rsidR="004104B5" w:rsidRPr="004104B5">
        <w:rPr>
          <w:rFonts w:ascii="Times New Roman" w:hAnsi="Times New Roman" w:cs="Times New Roman"/>
          <w:sz w:val="20"/>
          <w:lang w:val="en-US"/>
        </w:rPr>
        <w:t>BMC Psychiatry 2010;10:95.</w:t>
      </w:r>
    </w:p>
    <w:p w:rsidR="003643B9" w:rsidRPr="0064609A" w:rsidRDefault="003643B9">
      <w:pPr>
        <w:rPr>
          <w:rFonts w:ascii="Times New Roman" w:hAnsi="Times New Roman" w:cs="Times New Roman"/>
          <w:b/>
          <w:sz w:val="24"/>
          <w:lang w:val="en-US"/>
        </w:rPr>
      </w:pPr>
      <w:r w:rsidRPr="0064609A">
        <w:rPr>
          <w:rFonts w:ascii="Times New Roman" w:hAnsi="Times New Roman" w:cs="Times New Roman"/>
          <w:b/>
          <w:sz w:val="24"/>
          <w:lang w:val="en-US"/>
        </w:rPr>
        <w:t>References</w:t>
      </w:r>
    </w:p>
    <w:p w:rsidR="00DC29F1" w:rsidRDefault="0064609A" w:rsidP="00070310">
      <w:pPr>
        <w:pStyle w:val="Listenabsatz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lang w:val="en-US"/>
        </w:rPr>
      </w:pPr>
      <w:r w:rsidRPr="00DC29F1">
        <w:rPr>
          <w:rFonts w:ascii="Times New Roman" w:hAnsi="Times New Roman" w:cs="Times New Roman"/>
          <w:sz w:val="24"/>
          <w:lang w:val="en-US"/>
        </w:rPr>
        <w:t xml:space="preserve">Cipriani A, Furukawa TA, Salanti G, Geddes JR, Higgins JP, Churchill R, </w:t>
      </w:r>
      <w:r w:rsidR="00EB5239">
        <w:rPr>
          <w:rFonts w:ascii="Times New Roman" w:hAnsi="Times New Roman" w:cs="Times New Roman"/>
          <w:sz w:val="24"/>
          <w:lang w:val="en-US"/>
        </w:rPr>
        <w:t>et al</w:t>
      </w:r>
      <w:r w:rsidRPr="00DC29F1">
        <w:rPr>
          <w:rFonts w:ascii="Times New Roman" w:hAnsi="Times New Roman" w:cs="Times New Roman"/>
          <w:sz w:val="24"/>
          <w:lang w:val="en-US"/>
        </w:rPr>
        <w:t>. Comparative efficacy and acceptability of 12 new-generation antidepressants: a multiple-treatments meta-analysis.</w:t>
      </w:r>
      <w:r w:rsidR="00FF0EA6" w:rsidRPr="00DC29F1">
        <w:rPr>
          <w:rFonts w:ascii="Times New Roman" w:hAnsi="Times New Roman" w:cs="Times New Roman"/>
          <w:sz w:val="24"/>
          <w:lang w:val="en-US"/>
        </w:rPr>
        <w:t xml:space="preserve"> </w:t>
      </w:r>
      <w:r w:rsidR="00850D7B">
        <w:rPr>
          <w:rFonts w:ascii="Times New Roman" w:hAnsi="Times New Roman" w:cs="Times New Roman"/>
          <w:sz w:val="24"/>
          <w:lang w:val="en-US"/>
        </w:rPr>
        <w:t>Lancet</w:t>
      </w:r>
      <w:r w:rsidR="00CA5D43">
        <w:rPr>
          <w:rFonts w:ascii="Times New Roman" w:hAnsi="Times New Roman" w:cs="Times New Roman"/>
          <w:sz w:val="24"/>
          <w:lang w:val="en-US"/>
        </w:rPr>
        <w:t xml:space="preserve"> 2009;373</w:t>
      </w:r>
      <w:r w:rsidR="00FF0EA6" w:rsidRPr="00DC29F1">
        <w:rPr>
          <w:rFonts w:ascii="Times New Roman" w:hAnsi="Times New Roman" w:cs="Times New Roman"/>
          <w:sz w:val="24"/>
          <w:lang w:val="en-US"/>
        </w:rPr>
        <w:t xml:space="preserve">:746-58. </w:t>
      </w:r>
    </w:p>
    <w:p w:rsidR="00DC29F1" w:rsidRDefault="00DC29F1" w:rsidP="00070310">
      <w:pPr>
        <w:pStyle w:val="Listenabsatz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Baker WL</w:t>
      </w:r>
      <w:r w:rsidRPr="00DC29F1">
        <w:rPr>
          <w:rFonts w:ascii="Times New Roman" w:hAnsi="Times New Roman" w:cs="Times New Roman"/>
          <w:sz w:val="24"/>
          <w:lang w:val="en-US"/>
        </w:rPr>
        <w:t>, Baker EL, Coleman CI.</w:t>
      </w:r>
      <w:r w:rsidR="00CF5DCD">
        <w:rPr>
          <w:rFonts w:ascii="Times New Roman" w:hAnsi="Times New Roman" w:cs="Times New Roman"/>
          <w:sz w:val="24"/>
          <w:lang w:val="en-US"/>
        </w:rPr>
        <w:t xml:space="preserve"> </w:t>
      </w:r>
      <w:r w:rsidR="00CF5DCD" w:rsidRPr="00CF5DCD">
        <w:rPr>
          <w:rFonts w:ascii="Times New Roman" w:hAnsi="Times New Roman" w:cs="Times New Roman"/>
          <w:sz w:val="24"/>
          <w:lang w:val="en-US"/>
        </w:rPr>
        <w:t>Pharmacologic treatments for chronic obstructive pulmonary disease: a mixed-treatment comparison meta-analysis.</w:t>
      </w:r>
      <w:r w:rsidR="003D10E8">
        <w:rPr>
          <w:rFonts w:ascii="Times New Roman" w:hAnsi="Times New Roman" w:cs="Times New Roman"/>
          <w:sz w:val="24"/>
          <w:lang w:val="en-US"/>
        </w:rPr>
        <w:t xml:space="preserve"> </w:t>
      </w:r>
      <w:r w:rsidR="00850D7B">
        <w:rPr>
          <w:rFonts w:ascii="Times New Roman" w:hAnsi="Times New Roman" w:cs="Times New Roman"/>
          <w:sz w:val="24"/>
          <w:lang w:val="en-US"/>
        </w:rPr>
        <w:t>Pharmacotherapy</w:t>
      </w:r>
      <w:r w:rsidR="003D10E8" w:rsidRPr="003D10E8">
        <w:rPr>
          <w:rFonts w:ascii="Times New Roman" w:hAnsi="Times New Roman" w:cs="Times New Roman"/>
          <w:sz w:val="24"/>
          <w:lang w:val="en-US"/>
        </w:rPr>
        <w:t xml:space="preserve"> 2009;29:891-905. </w:t>
      </w:r>
    </w:p>
    <w:p w:rsidR="0045524B" w:rsidRDefault="0045524B" w:rsidP="00070310">
      <w:pPr>
        <w:pStyle w:val="Listenabsatz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Bergman GJ</w:t>
      </w:r>
      <w:r w:rsidRPr="0045524B">
        <w:rPr>
          <w:rFonts w:ascii="Times New Roman" w:hAnsi="Times New Roman" w:cs="Times New Roman"/>
          <w:sz w:val="24"/>
        </w:rPr>
        <w:t>, Hochberg MC, Boers M, Wintfeld N, Kielhorn A, Jansen JP</w:t>
      </w:r>
      <w:r>
        <w:rPr>
          <w:rFonts w:ascii="Times New Roman" w:hAnsi="Times New Roman" w:cs="Times New Roman"/>
          <w:sz w:val="24"/>
        </w:rPr>
        <w:t xml:space="preserve">. </w:t>
      </w:r>
      <w:r w:rsidR="00CC17CB" w:rsidRPr="00CC17CB">
        <w:rPr>
          <w:rFonts w:ascii="Times New Roman" w:hAnsi="Times New Roman" w:cs="Times New Roman"/>
          <w:sz w:val="24"/>
          <w:lang w:val="en-US"/>
        </w:rPr>
        <w:t>Indirect comparison of tocilizumab and other biologic agents in patients with rheumatoid arthritis and inadequate response to disease-modifying antirheumatic drugs.</w:t>
      </w:r>
      <w:r w:rsidR="00CC17CB">
        <w:rPr>
          <w:rFonts w:ascii="Times New Roman" w:hAnsi="Times New Roman" w:cs="Times New Roman"/>
          <w:sz w:val="24"/>
          <w:lang w:val="en-US"/>
        </w:rPr>
        <w:t xml:space="preserve"> </w:t>
      </w:r>
      <w:r w:rsidR="00850D7B">
        <w:rPr>
          <w:rFonts w:ascii="Times New Roman" w:hAnsi="Times New Roman" w:cs="Times New Roman"/>
          <w:sz w:val="24"/>
          <w:lang w:val="en-US"/>
        </w:rPr>
        <w:t>Semin Arthritis Rheum</w:t>
      </w:r>
      <w:r w:rsidR="00070310">
        <w:rPr>
          <w:rFonts w:ascii="Times New Roman" w:hAnsi="Times New Roman" w:cs="Times New Roman"/>
          <w:sz w:val="24"/>
          <w:lang w:val="en-US"/>
        </w:rPr>
        <w:t xml:space="preserve"> 2010</w:t>
      </w:r>
      <w:r w:rsidR="00CA5D43">
        <w:rPr>
          <w:rFonts w:ascii="Times New Roman" w:hAnsi="Times New Roman" w:cs="Times New Roman"/>
          <w:sz w:val="24"/>
          <w:lang w:val="en-US"/>
        </w:rPr>
        <w:t>;39</w:t>
      </w:r>
      <w:r w:rsidR="00790981" w:rsidRPr="00790981">
        <w:rPr>
          <w:rFonts w:ascii="Times New Roman" w:hAnsi="Times New Roman" w:cs="Times New Roman"/>
          <w:sz w:val="24"/>
          <w:lang w:val="en-US"/>
        </w:rPr>
        <w:t>:425-41.</w:t>
      </w:r>
    </w:p>
    <w:p w:rsidR="007C4A6C" w:rsidRDefault="007C4A6C" w:rsidP="00850D7B">
      <w:pPr>
        <w:pStyle w:val="Listenabsatz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Middleton LJ</w:t>
      </w:r>
      <w:r w:rsidRPr="007C4A6C">
        <w:rPr>
          <w:rFonts w:ascii="Times New Roman" w:hAnsi="Times New Roman" w:cs="Times New Roman"/>
          <w:sz w:val="24"/>
          <w:lang w:val="en-US"/>
        </w:rPr>
        <w:t xml:space="preserve">, Champaneria R, Daniels JP, Bhattacharya S, Cooper KG, Hilken NH, </w:t>
      </w:r>
      <w:r>
        <w:rPr>
          <w:rFonts w:ascii="Times New Roman" w:hAnsi="Times New Roman" w:cs="Times New Roman"/>
          <w:sz w:val="24"/>
          <w:lang w:val="en-US"/>
        </w:rPr>
        <w:t>et a</w:t>
      </w:r>
      <w:r w:rsidR="00F27DD3">
        <w:rPr>
          <w:rFonts w:ascii="Times New Roman" w:hAnsi="Times New Roman" w:cs="Times New Roman"/>
          <w:sz w:val="24"/>
          <w:lang w:val="en-US"/>
        </w:rPr>
        <w:t>l</w:t>
      </w:r>
      <w:r>
        <w:rPr>
          <w:rFonts w:ascii="Times New Roman" w:hAnsi="Times New Roman" w:cs="Times New Roman"/>
          <w:sz w:val="24"/>
          <w:lang w:val="en-US"/>
        </w:rPr>
        <w:t>.</w:t>
      </w:r>
      <w:r w:rsidR="00F27DD3">
        <w:rPr>
          <w:rFonts w:ascii="Times New Roman" w:hAnsi="Times New Roman" w:cs="Times New Roman"/>
          <w:sz w:val="24"/>
          <w:lang w:val="en-US"/>
        </w:rPr>
        <w:t xml:space="preserve"> </w:t>
      </w:r>
      <w:r w:rsidR="00D5252B" w:rsidRPr="00D5252B">
        <w:rPr>
          <w:rFonts w:ascii="Times New Roman" w:hAnsi="Times New Roman" w:cs="Times New Roman"/>
          <w:sz w:val="24"/>
          <w:lang w:val="en-US"/>
        </w:rPr>
        <w:t>Hysterectomy, endometrial destruction, and levonorgestrel releasing intrauterine system (Mirena) for heavy menstrual bleeding: systematic review and meta-analysis of data from individual patients.</w:t>
      </w:r>
      <w:r w:rsidR="00E64930">
        <w:rPr>
          <w:rFonts w:ascii="Times New Roman" w:hAnsi="Times New Roman" w:cs="Times New Roman"/>
          <w:sz w:val="24"/>
          <w:lang w:val="en-US"/>
        </w:rPr>
        <w:t xml:space="preserve"> </w:t>
      </w:r>
      <w:r w:rsidR="00850D7B">
        <w:rPr>
          <w:rFonts w:ascii="Times New Roman" w:hAnsi="Times New Roman" w:cs="Times New Roman"/>
          <w:sz w:val="24"/>
          <w:lang w:val="en-US"/>
        </w:rPr>
        <w:t>BMJ 2010</w:t>
      </w:r>
      <w:r w:rsidR="00E64930" w:rsidRPr="00E64930">
        <w:rPr>
          <w:rFonts w:ascii="Times New Roman" w:hAnsi="Times New Roman" w:cs="Times New Roman"/>
          <w:sz w:val="24"/>
          <w:lang w:val="en-US"/>
        </w:rPr>
        <w:t>;341:c3929.</w:t>
      </w:r>
    </w:p>
    <w:p w:rsidR="00723B51" w:rsidRDefault="009A0440" w:rsidP="0091487F">
      <w:pPr>
        <w:pStyle w:val="Listenabsatz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Salliot C</w:t>
      </w:r>
      <w:r w:rsidR="00723B51" w:rsidRPr="00723B51">
        <w:rPr>
          <w:rFonts w:ascii="Times New Roman" w:hAnsi="Times New Roman" w:cs="Times New Roman"/>
          <w:sz w:val="24"/>
          <w:lang w:val="en-US"/>
        </w:rPr>
        <w:t>, Finckh A, Katchamart W, Lu Y, Sun Y, Bombardier C,</w:t>
      </w:r>
      <w:r w:rsidR="00723B51">
        <w:rPr>
          <w:rFonts w:ascii="Times New Roman" w:hAnsi="Times New Roman" w:cs="Times New Roman"/>
          <w:sz w:val="24"/>
          <w:lang w:val="en-US"/>
        </w:rPr>
        <w:t xml:space="preserve"> et al.</w:t>
      </w:r>
      <w:r w:rsidR="00B266F1">
        <w:rPr>
          <w:rFonts w:ascii="Times New Roman" w:hAnsi="Times New Roman" w:cs="Times New Roman"/>
          <w:sz w:val="24"/>
          <w:lang w:val="en-US"/>
        </w:rPr>
        <w:t xml:space="preserve"> </w:t>
      </w:r>
      <w:r w:rsidR="00B266F1" w:rsidRPr="00B266F1">
        <w:rPr>
          <w:rFonts w:ascii="Times New Roman" w:hAnsi="Times New Roman" w:cs="Times New Roman"/>
          <w:sz w:val="24"/>
          <w:lang w:val="en-US"/>
        </w:rPr>
        <w:t xml:space="preserve">Indirect comparisons of the efficacy of biological antirheumatic agents in rheumatoid arthritis in patients with an </w:t>
      </w:r>
      <w:r w:rsidR="00B266F1" w:rsidRPr="00B266F1">
        <w:rPr>
          <w:rFonts w:ascii="Times New Roman" w:hAnsi="Times New Roman" w:cs="Times New Roman"/>
          <w:sz w:val="24"/>
          <w:lang w:val="en-US"/>
        </w:rPr>
        <w:lastRenderedPageBreak/>
        <w:t>inadequate response to conventional disease-modifying antirheumatic drugs or to an anti-tumour necrosis factor agent: a meta-analysis.</w:t>
      </w:r>
      <w:r w:rsidR="0091487F">
        <w:rPr>
          <w:rFonts w:ascii="Times New Roman" w:hAnsi="Times New Roman" w:cs="Times New Roman"/>
          <w:sz w:val="24"/>
          <w:lang w:val="en-US"/>
        </w:rPr>
        <w:t xml:space="preserve"> </w:t>
      </w:r>
      <w:r w:rsidR="0091487F" w:rsidRPr="0091487F">
        <w:rPr>
          <w:rFonts w:ascii="Times New Roman" w:hAnsi="Times New Roman" w:cs="Times New Roman"/>
          <w:sz w:val="24"/>
          <w:lang w:val="en-US"/>
        </w:rPr>
        <w:t>Ann Rh</w:t>
      </w:r>
      <w:r w:rsidR="0091487F">
        <w:rPr>
          <w:rFonts w:ascii="Times New Roman" w:hAnsi="Times New Roman" w:cs="Times New Roman"/>
          <w:sz w:val="24"/>
          <w:lang w:val="en-US"/>
        </w:rPr>
        <w:t>eum Dis 2011</w:t>
      </w:r>
      <w:r w:rsidR="00CA5D43">
        <w:rPr>
          <w:rFonts w:ascii="Times New Roman" w:hAnsi="Times New Roman" w:cs="Times New Roman"/>
          <w:sz w:val="24"/>
          <w:lang w:val="en-US"/>
        </w:rPr>
        <w:t>;70</w:t>
      </w:r>
      <w:r w:rsidR="0091487F" w:rsidRPr="0091487F">
        <w:rPr>
          <w:rFonts w:ascii="Times New Roman" w:hAnsi="Times New Roman" w:cs="Times New Roman"/>
          <w:sz w:val="24"/>
          <w:lang w:val="en-US"/>
        </w:rPr>
        <w:t>:266-71.</w:t>
      </w:r>
    </w:p>
    <w:p w:rsidR="00E73F6B" w:rsidRDefault="00E73F6B" w:rsidP="00541EFD">
      <w:pPr>
        <w:pStyle w:val="Listenabsatz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Makani H</w:t>
      </w:r>
      <w:r w:rsidRPr="00E73F6B">
        <w:rPr>
          <w:rFonts w:ascii="Times New Roman" w:hAnsi="Times New Roman" w:cs="Times New Roman"/>
          <w:sz w:val="24"/>
          <w:lang w:val="en-US"/>
        </w:rPr>
        <w:t>, Bangalore S, Romero J, Wever-Pinzon O, Messerli FH.</w:t>
      </w:r>
      <w:r w:rsidR="00883F77">
        <w:rPr>
          <w:rFonts w:ascii="Times New Roman" w:hAnsi="Times New Roman" w:cs="Times New Roman"/>
          <w:sz w:val="24"/>
          <w:lang w:val="en-US"/>
        </w:rPr>
        <w:t xml:space="preserve"> </w:t>
      </w:r>
      <w:r w:rsidR="00883F77" w:rsidRPr="00883F77">
        <w:rPr>
          <w:rFonts w:ascii="Times New Roman" w:hAnsi="Times New Roman" w:cs="Times New Roman"/>
          <w:sz w:val="24"/>
          <w:lang w:val="en-US"/>
        </w:rPr>
        <w:t>Effect of renin-angiotensin system blockade on calcium channel blocker-associated peripheral edema.</w:t>
      </w:r>
      <w:r w:rsidR="00883F77">
        <w:rPr>
          <w:rFonts w:ascii="Times New Roman" w:hAnsi="Times New Roman" w:cs="Times New Roman"/>
          <w:sz w:val="24"/>
          <w:lang w:val="en-US"/>
        </w:rPr>
        <w:t xml:space="preserve"> </w:t>
      </w:r>
      <w:r w:rsidR="00720F37">
        <w:rPr>
          <w:rFonts w:ascii="Times New Roman" w:hAnsi="Times New Roman" w:cs="Times New Roman"/>
          <w:sz w:val="24"/>
          <w:lang w:val="en-US"/>
        </w:rPr>
        <w:t>Am J Med 2011</w:t>
      </w:r>
      <w:r w:rsidR="00CA5D43">
        <w:rPr>
          <w:rFonts w:ascii="Times New Roman" w:hAnsi="Times New Roman" w:cs="Times New Roman"/>
          <w:sz w:val="24"/>
          <w:lang w:val="en-US"/>
        </w:rPr>
        <w:t>;124</w:t>
      </w:r>
      <w:r w:rsidR="00720F37" w:rsidRPr="00720F37">
        <w:rPr>
          <w:rFonts w:ascii="Times New Roman" w:hAnsi="Times New Roman" w:cs="Times New Roman"/>
          <w:sz w:val="24"/>
          <w:lang w:val="en-US"/>
        </w:rPr>
        <w:t>:128-35.</w:t>
      </w:r>
    </w:p>
    <w:p w:rsidR="00AC04C8" w:rsidRDefault="005C043B" w:rsidP="00D505D7">
      <w:pPr>
        <w:pStyle w:val="Listenabsatz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Costa J</w:t>
      </w:r>
      <w:r w:rsidR="00AC04C8" w:rsidRPr="00AC04C8">
        <w:rPr>
          <w:rFonts w:ascii="Times New Roman" w:hAnsi="Times New Roman" w:cs="Times New Roman"/>
          <w:sz w:val="24"/>
          <w:lang w:val="en-US"/>
        </w:rPr>
        <w:t>, Fareleira F, Ascenção R, Borges M, Sampaio C, Vaz-Carneiro A.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5C043B">
        <w:rPr>
          <w:rFonts w:ascii="Times New Roman" w:hAnsi="Times New Roman" w:cs="Times New Roman"/>
          <w:sz w:val="24"/>
          <w:lang w:val="en-US"/>
        </w:rPr>
        <w:t>Clinical comparability of the new antiepileptic drugs in refractory partial epilepsy: a systematic review and meta-analysis.</w:t>
      </w:r>
      <w:r w:rsidR="003A4A99">
        <w:rPr>
          <w:rFonts w:ascii="Times New Roman" w:hAnsi="Times New Roman" w:cs="Times New Roman"/>
          <w:sz w:val="24"/>
          <w:lang w:val="en-US"/>
        </w:rPr>
        <w:t xml:space="preserve"> </w:t>
      </w:r>
      <w:r w:rsidR="00D505D7">
        <w:rPr>
          <w:rFonts w:ascii="Times New Roman" w:hAnsi="Times New Roman" w:cs="Times New Roman"/>
          <w:sz w:val="24"/>
          <w:lang w:val="en-US"/>
        </w:rPr>
        <w:t>Epilepsia 2011</w:t>
      </w:r>
      <w:r w:rsidR="00CA5D43">
        <w:rPr>
          <w:rFonts w:ascii="Times New Roman" w:hAnsi="Times New Roman" w:cs="Times New Roman"/>
          <w:sz w:val="24"/>
          <w:lang w:val="en-US"/>
        </w:rPr>
        <w:t>;52</w:t>
      </w:r>
      <w:r w:rsidR="003A4A99" w:rsidRPr="003A4A99">
        <w:rPr>
          <w:rFonts w:ascii="Times New Roman" w:hAnsi="Times New Roman" w:cs="Times New Roman"/>
          <w:sz w:val="24"/>
          <w:lang w:val="en-US"/>
        </w:rPr>
        <w:t>:1280-91.</w:t>
      </w:r>
    </w:p>
    <w:p w:rsidR="00F8231A" w:rsidRDefault="00E37CB3" w:rsidP="00570CCE">
      <w:pPr>
        <w:pStyle w:val="Listenabsatz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Cipriani A</w:t>
      </w:r>
      <w:r w:rsidR="00F8231A" w:rsidRPr="00F8231A">
        <w:rPr>
          <w:rFonts w:ascii="Times New Roman" w:hAnsi="Times New Roman" w:cs="Times New Roman"/>
          <w:sz w:val="24"/>
          <w:lang w:val="en-US"/>
        </w:rPr>
        <w:t>, Barbui C, Salanti G, Rendell J, Brown R, Stockton S,</w:t>
      </w:r>
      <w:r w:rsidR="00F8231A">
        <w:rPr>
          <w:rFonts w:ascii="Times New Roman" w:hAnsi="Times New Roman" w:cs="Times New Roman"/>
          <w:sz w:val="24"/>
          <w:lang w:val="en-US"/>
        </w:rPr>
        <w:t xml:space="preserve"> et al. </w:t>
      </w:r>
      <w:r w:rsidR="00735277" w:rsidRPr="00735277">
        <w:rPr>
          <w:rFonts w:ascii="Times New Roman" w:hAnsi="Times New Roman" w:cs="Times New Roman"/>
          <w:sz w:val="24"/>
          <w:lang w:val="en-US"/>
        </w:rPr>
        <w:t>Comparative efficacy and acceptability of antimanic drugs in acute mania: a multiple-treatments meta-analysis.</w:t>
      </w:r>
      <w:r w:rsidR="00DE53D6" w:rsidRPr="00DE53D6">
        <w:rPr>
          <w:lang w:val="en-US"/>
        </w:rPr>
        <w:t xml:space="preserve"> </w:t>
      </w:r>
      <w:r w:rsidR="00DE53D6">
        <w:rPr>
          <w:rFonts w:ascii="Times New Roman" w:hAnsi="Times New Roman" w:cs="Times New Roman"/>
          <w:sz w:val="24"/>
          <w:lang w:val="en-US"/>
        </w:rPr>
        <w:t>Lancet 2011</w:t>
      </w:r>
      <w:r w:rsidR="00CA5D43">
        <w:rPr>
          <w:rFonts w:ascii="Times New Roman" w:hAnsi="Times New Roman" w:cs="Times New Roman"/>
          <w:sz w:val="24"/>
          <w:lang w:val="en-US"/>
        </w:rPr>
        <w:t>;378</w:t>
      </w:r>
      <w:r w:rsidR="00DE53D6" w:rsidRPr="00DE53D6">
        <w:rPr>
          <w:rFonts w:ascii="Times New Roman" w:hAnsi="Times New Roman" w:cs="Times New Roman"/>
          <w:sz w:val="24"/>
          <w:lang w:val="en-US"/>
        </w:rPr>
        <w:t>:1306-15.</w:t>
      </w:r>
    </w:p>
    <w:p w:rsidR="00244BEF" w:rsidRDefault="00B106B3" w:rsidP="00CE14C4">
      <w:pPr>
        <w:pStyle w:val="Listenabsatz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Filippini G</w:t>
      </w:r>
      <w:r w:rsidR="00244BEF" w:rsidRPr="00244BEF">
        <w:rPr>
          <w:rFonts w:ascii="Times New Roman" w:hAnsi="Times New Roman" w:cs="Times New Roman"/>
          <w:sz w:val="24"/>
          <w:lang w:val="en-US"/>
        </w:rPr>
        <w:t>, Del Giovane C, Vacchi L, D'Amico R, Di Pietrantonj C, Beecher D,</w:t>
      </w:r>
      <w:r w:rsidR="00244BEF">
        <w:rPr>
          <w:rFonts w:ascii="Times New Roman" w:hAnsi="Times New Roman" w:cs="Times New Roman"/>
          <w:sz w:val="24"/>
          <w:lang w:val="en-US"/>
        </w:rPr>
        <w:t xml:space="preserve"> et al.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B106B3">
        <w:rPr>
          <w:rFonts w:ascii="Times New Roman" w:hAnsi="Times New Roman" w:cs="Times New Roman"/>
          <w:sz w:val="24"/>
          <w:lang w:val="en-US"/>
        </w:rPr>
        <w:t>Immunomodulators and immunosuppressants for multiple sclerosis: a network meta-analysis.</w:t>
      </w:r>
      <w:r w:rsidR="003F3B6B" w:rsidRPr="003F3B6B">
        <w:rPr>
          <w:lang w:val="en-US"/>
        </w:rPr>
        <w:t xml:space="preserve"> </w:t>
      </w:r>
      <w:r w:rsidR="003F3B6B" w:rsidRPr="003F3B6B">
        <w:rPr>
          <w:rFonts w:ascii="Times New Roman" w:hAnsi="Times New Roman" w:cs="Times New Roman"/>
          <w:sz w:val="24"/>
          <w:lang w:val="en-US"/>
        </w:rPr>
        <w:t>Cochra</w:t>
      </w:r>
      <w:r w:rsidR="003F3B6B">
        <w:rPr>
          <w:rFonts w:ascii="Times New Roman" w:hAnsi="Times New Roman" w:cs="Times New Roman"/>
          <w:sz w:val="24"/>
          <w:lang w:val="en-US"/>
        </w:rPr>
        <w:t>ne Database Syst Rev 2013</w:t>
      </w:r>
      <w:r w:rsidR="003F3B6B" w:rsidRPr="003F3B6B">
        <w:rPr>
          <w:rFonts w:ascii="Times New Roman" w:hAnsi="Times New Roman" w:cs="Times New Roman"/>
          <w:sz w:val="24"/>
          <w:lang w:val="en-US"/>
        </w:rPr>
        <w:t>;(6):CD008933.</w:t>
      </w:r>
    </w:p>
    <w:p w:rsidR="00523F86" w:rsidRPr="000128FA" w:rsidRDefault="00523F86" w:rsidP="00040957">
      <w:pPr>
        <w:pStyle w:val="Listenabsatz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lang w:val="en-US"/>
        </w:rPr>
      </w:pPr>
      <w:r w:rsidRPr="000128FA">
        <w:rPr>
          <w:rFonts w:ascii="Times New Roman" w:hAnsi="Times New Roman" w:cs="Times New Roman"/>
          <w:sz w:val="24"/>
          <w:lang w:val="en-US"/>
        </w:rPr>
        <w:t>Kriston L, von Wolff A, Westphal A, Hölzel LP, Härter M.</w:t>
      </w:r>
      <w:r w:rsidR="000128FA" w:rsidRPr="000128FA">
        <w:rPr>
          <w:rFonts w:ascii="Times New Roman" w:hAnsi="Times New Roman" w:cs="Times New Roman"/>
          <w:sz w:val="24"/>
          <w:lang w:val="en-US"/>
        </w:rPr>
        <w:t xml:space="preserve"> Efficacy and acceptability of acute treatments for persistent depressive disorder: a network meta-analysis.</w:t>
      </w:r>
      <w:r w:rsidR="00040957">
        <w:rPr>
          <w:rFonts w:ascii="Times New Roman" w:hAnsi="Times New Roman" w:cs="Times New Roman"/>
          <w:sz w:val="24"/>
          <w:lang w:val="en-US"/>
        </w:rPr>
        <w:t xml:space="preserve"> Depress Anxiety 2014</w:t>
      </w:r>
      <w:r w:rsidR="00CA5D43">
        <w:rPr>
          <w:rFonts w:ascii="Times New Roman" w:hAnsi="Times New Roman" w:cs="Times New Roman"/>
          <w:sz w:val="24"/>
          <w:lang w:val="en-US"/>
        </w:rPr>
        <w:t>;31</w:t>
      </w:r>
      <w:r w:rsidR="00040957" w:rsidRPr="00040957">
        <w:rPr>
          <w:rFonts w:ascii="Times New Roman" w:hAnsi="Times New Roman" w:cs="Times New Roman"/>
          <w:sz w:val="24"/>
          <w:lang w:val="en-US"/>
        </w:rPr>
        <w:t>:621-30.</w:t>
      </w:r>
    </w:p>
    <w:p w:rsidR="000F55DB" w:rsidRPr="003643B9" w:rsidRDefault="000F55DB">
      <w:pPr>
        <w:rPr>
          <w:rFonts w:ascii="Times New Roman" w:hAnsi="Times New Roman" w:cs="Times New Roman"/>
          <w:sz w:val="24"/>
          <w:lang w:val="en-US"/>
        </w:rPr>
      </w:pPr>
    </w:p>
    <w:sectPr w:rsidR="000F55DB" w:rsidRPr="003643B9" w:rsidSect="003F3B97">
      <w:footerReference w:type="default" r:id="rId8"/>
      <w:pgSz w:w="11906" w:h="16838"/>
      <w:pgMar w:top="1417" w:right="1133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92F" w:rsidRDefault="0023092F" w:rsidP="00126674">
      <w:pPr>
        <w:spacing w:after="0" w:line="240" w:lineRule="auto"/>
      </w:pPr>
      <w:r>
        <w:separator/>
      </w:r>
    </w:p>
  </w:endnote>
  <w:endnote w:type="continuationSeparator" w:id="0">
    <w:p w:rsidR="0023092F" w:rsidRDefault="0023092F" w:rsidP="00126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ency FB">
    <w:altName w:val="Agency FB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6790582"/>
      <w:docPartObj>
        <w:docPartGallery w:val="Page Numbers (Bottom of Page)"/>
        <w:docPartUnique/>
      </w:docPartObj>
    </w:sdtPr>
    <w:sdtEndPr/>
    <w:sdtContent>
      <w:p w:rsidR="00126674" w:rsidRDefault="00126674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0B00">
          <w:rPr>
            <w:noProof/>
          </w:rPr>
          <w:t>1</w:t>
        </w:r>
        <w:r>
          <w:fldChar w:fldCharType="end"/>
        </w:r>
      </w:p>
    </w:sdtContent>
  </w:sdt>
  <w:p w:rsidR="00126674" w:rsidRDefault="0012667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92F" w:rsidRDefault="0023092F" w:rsidP="00126674">
      <w:pPr>
        <w:spacing w:after="0" w:line="240" w:lineRule="auto"/>
      </w:pPr>
      <w:r>
        <w:separator/>
      </w:r>
    </w:p>
  </w:footnote>
  <w:footnote w:type="continuationSeparator" w:id="0">
    <w:p w:rsidR="0023092F" w:rsidRDefault="0023092F" w:rsidP="001266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770A2A"/>
    <w:multiLevelType w:val="hybridMultilevel"/>
    <w:tmpl w:val="614072D2"/>
    <w:lvl w:ilvl="0" w:tplc="7B9A61E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B18"/>
    <w:rsid w:val="00004FE9"/>
    <w:rsid w:val="00005911"/>
    <w:rsid w:val="000128FA"/>
    <w:rsid w:val="0002749C"/>
    <w:rsid w:val="00040957"/>
    <w:rsid w:val="0004297A"/>
    <w:rsid w:val="0005052A"/>
    <w:rsid w:val="00070310"/>
    <w:rsid w:val="000822E2"/>
    <w:rsid w:val="00092037"/>
    <w:rsid w:val="00092AB2"/>
    <w:rsid w:val="000A0C1D"/>
    <w:rsid w:val="000D33B1"/>
    <w:rsid w:val="000E3A3B"/>
    <w:rsid w:val="000E7BC7"/>
    <w:rsid w:val="000F4379"/>
    <w:rsid w:val="000F497D"/>
    <w:rsid w:val="000F55DB"/>
    <w:rsid w:val="00115932"/>
    <w:rsid w:val="00120A7E"/>
    <w:rsid w:val="001251A5"/>
    <w:rsid w:val="00126674"/>
    <w:rsid w:val="0015032B"/>
    <w:rsid w:val="001A014E"/>
    <w:rsid w:val="001A7158"/>
    <w:rsid w:val="001B787E"/>
    <w:rsid w:val="001D6903"/>
    <w:rsid w:val="00206EEE"/>
    <w:rsid w:val="00211E59"/>
    <w:rsid w:val="00221999"/>
    <w:rsid w:val="0023092F"/>
    <w:rsid w:val="00244412"/>
    <w:rsid w:val="00244BEF"/>
    <w:rsid w:val="00253802"/>
    <w:rsid w:val="00255CCD"/>
    <w:rsid w:val="00260E04"/>
    <w:rsid w:val="002771DE"/>
    <w:rsid w:val="002C1292"/>
    <w:rsid w:val="002C720B"/>
    <w:rsid w:val="002E3DA3"/>
    <w:rsid w:val="0030038B"/>
    <w:rsid w:val="00310FE0"/>
    <w:rsid w:val="0031606F"/>
    <w:rsid w:val="00317AE9"/>
    <w:rsid w:val="0032415D"/>
    <w:rsid w:val="0035084C"/>
    <w:rsid w:val="00356C84"/>
    <w:rsid w:val="00357B18"/>
    <w:rsid w:val="00362885"/>
    <w:rsid w:val="003643B9"/>
    <w:rsid w:val="00371947"/>
    <w:rsid w:val="00385A27"/>
    <w:rsid w:val="003A4A99"/>
    <w:rsid w:val="003B1DBC"/>
    <w:rsid w:val="003D10E8"/>
    <w:rsid w:val="003F3B6B"/>
    <w:rsid w:val="003F3B97"/>
    <w:rsid w:val="004104B5"/>
    <w:rsid w:val="00430CFB"/>
    <w:rsid w:val="004408FF"/>
    <w:rsid w:val="0045524B"/>
    <w:rsid w:val="004950AE"/>
    <w:rsid w:val="004B6036"/>
    <w:rsid w:val="004D597B"/>
    <w:rsid w:val="00523F86"/>
    <w:rsid w:val="00530FFE"/>
    <w:rsid w:val="0054126D"/>
    <w:rsid w:val="00541EFD"/>
    <w:rsid w:val="005464F3"/>
    <w:rsid w:val="00561C0B"/>
    <w:rsid w:val="00570CCE"/>
    <w:rsid w:val="0057253C"/>
    <w:rsid w:val="00586835"/>
    <w:rsid w:val="005975AF"/>
    <w:rsid w:val="005A5989"/>
    <w:rsid w:val="005B00A4"/>
    <w:rsid w:val="005B59A6"/>
    <w:rsid w:val="005B6E9B"/>
    <w:rsid w:val="005C043B"/>
    <w:rsid w:val="00615C74"/>
    <w:rsid w:val="0064609A"/>
    <w:rsid w:val="006577A2"/>
    <w:rsid w:val="0066408C"/>
    <w:rsid w:val="00695780"/>
    <w:rsid w:val="006A52C7"/>
    <w:rsid w:val="006B0723"/>
    <w:rsid w:val="006D0D07"/>
    <w:rsid w:val="0070001E"/>
    <w:rsid w:val="00720F37"/>
    <w:rsid w:val="00723B51"/>
    <w:rsid w:val="00735277"/>
    <w:rsid w:val="0075751C"/>
    <w:rsid w:val="007676F7"/>
    <w:rsid w:val="0077565A"/>
    <w:rsid w:val="00790981"/>
    <w:rsid w:val="007C4A6C"/>
    <w:rsid w:val="007C5F5A"/>
    <w:rsid w:val="007E0F89"/>
    <w:rsid w:val="007E281F"/>
    <w:rsid w:val="007F33D0"/>
    <w:rsid w:val="007F6349"/>
    <w:rsid w:val="008012A4"/>
    <w:rsid w:val="00817C2D"/>
    <w:rsid w:val="0084274F"/>
    <w:rsid w:val="00850B00"/>
    <w:rsid w:val="00850D7B"/>
    <w:rsid w:val="00883F77"/>
    <w:rsid w:val="008A198E"/>
    <w:rsid w:val="00911314"/>
    <w:rsid w:val="0091487F"/>
    <w:rsid w:val="00942FC5"/>
    <w:rsid w:val="00955029"/>
    <w:rsid w:val="00981450"/>
    <w:rsid w:val="009A0440"/>
    <w:rsid w:val="009A4359"/>
    <w:rsid w:val="00A05F82"/>
    <w:rsid w:val="00A3237C"/>
    <w:rsid w:val="00A47391"/>
    <w:rsid w:val="00A505C5"/>
    <w:rsid w:val="00A81D8E"/>
    <w:rsid w:val="00A81EC9"/>
    <w:rsid w:val="00A97437"/>
    <w:rsid w:val="00AA3F94"/>
    <w:rsid w:val="00AC04C8"/>
    <w:rsid w:val="00B106B3"/>
    <w:rsid w:val="00B266F1"/>
    <w:rsid w:val="00B37513"/>
    <w:rsid w:val="00B61A64"/>
    <w:rsid w:val="00B76112"/>
    <w:rsid w:val="00B86A3F"/>
    <w:rsid w:val="00B93ED4"/>
    <w:rsid w:val="00BA2163"/>
    <w:rsid w:val="00C464D0"/>
    <w:rsid w:val="00C7746F"/>
    <w:rsid w:val="00C87D41"/>
    <w:rsid w:val="00C87E70"/>
    <w:rsid w:val="00CA5D43"/>
    <w:rsid w:val="00CC17CB"/>
    <w:rsid w:val="00CE14C4"/>
    <w:rsid w:val="00CF5DCD"/>
    <w:rsid w:val="00D47BDE"/>
    <w:rsid w:val="00D505D7"/>
    <w:rsid w:val="00D5252B"/>
    <w:rsid w:val="00D552D3"/>
    <w:rsid w:val="00D70961"/>
    <w:rsid w:val="00DB5AD3"/>
    <w:rsid w:val="00DC29F1"/>
    <w:rsid w:val="00DD4AE4"/>
    <w:rsid w:val="00DE53D6"/>
    <w:rsid w:val="00DF7B82"/>
    <w:rsid w:val="00E046AF"/>
    <w:rsid w:val="00E153E2"/>
    <w:rsid w:val="00E2244A"/>
    <w:rsid w:val="00E37CB3"/>
    <w:rsid w:val="00E46F71"/>
    <w:rsid w:val="00E64930"/>
    <w:rsid w:val="00E72EA4"/>
    <w:rsid w:val="00E73F6B"/>
    <w:rsid w:val="00EB2C5A"/>
    <w:rsid w:val="00EB5239"/>
    <w:rsid w:val="00EC432B"/>
    <w:rsid w:val="00F0337A"/>
    <w:rsid w:val="00F15C1B"/>
    <w:rsid w:val="00F2518D"/>
    <w:rsid w:val="00F27DD3"/>
    <w:rsid w:val="00F36F7A"/>
    <w:rsid w:val="00F43D67"/>
    <w:rsid w:val="00F5253A"/>
    <w:rsid w:val="00F811B7"/>
    <w:rsid w:val="00F8231A"/>
    <w:rsid w:val="00FA288C"/>
    <w:rsid w:val="00FD3618"/>
    <w:rsid w:val="00FF0EA6"/>
    <w:rsid w:val="00FF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D4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6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634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C29F1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D47BDE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126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26674"/>
  </w:style>
  <w:style w:type="paragraph" w:styleId="Fuzeile">
    <w:name w:val="footer"/>
    <w:basedOn w:val="Standard"/>
    <w:link w:val="FuzeileZchn"/>
    <w:uiPriority w:val="99"/>
    <w:unhideWhenUsed/>
    <w:rsid w:val="00126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266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D4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6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634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C29F1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D47BDE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126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26674"/>
  </w:style>
  <w:style w:type="paragraph" w:styleId="Fuzeile">
    <w:name w:val="footer"/>
    <w:basedOn w:val="Standard"/>
    <w:link w:val="FuzeileZchn"/>
    <w:uiPriority w:val="99"/>
    <w:unhideWhenUsed/>
    <w:rsid w:val="00126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26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618</Words>
  <Characters>3894</Characters>
  <Application>Microsoft Office Word</Application>
  <DocSecurity>0</DocSecurity>
  <Lines>32</Lines>
  <Paragraphs>9</Paragraphs>
  <ScaleCrop>false</ScaleCrop>
  <Company>MHH</Company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Spineli, Loukia Dr.</dc:creator>
  <cp:keywords/>
  <dc:description/>
  <cp:lastModifiedBy>Spineli, Loukia Dr.</cp:lastModifiedBy>
  <cp:revision>175</cp:revision>
  <dcterms:created xsi:type="dcterms:W3CDTF">2017-10-06T14:20:00Z</dcterms:created>
  <dcterms:modified xsi:type="dcterms:W3CDTF">2017-12-05T10:54:00Z</dcterms:modified>
</cp:coreProperties>
</file>