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3581" w:rsidRPr="00377A3F" w:rsidRDefault="006C186D">
      <w:pPr>
        <w:rPr>
          <w:b/>
          <w:sz w:val="28"/>
        </w:rPr>
      </w:pPr>
      <w:r>
        <w:rPr>
          <w:b/>
          <w:sz w:val="28"/>
        </w:rPr>
        <w:t>Additional File 4</w:t>
      </w:r>
      <w:bookmarkStart w:id="0" w:name="_GoBack"/>
      <w:bookmarkEnd w:id="0"/>
    </w:p>
    <w:p w:rsidR="00377A3F" w:rsidRPr="00963F70" w:rsidRDefault="00377A3F">
      <w:pPr>
        <w:rPr>
          <w:sz w:val="28"/>
        </w:rPr>
      </w:pPr>
      <w:r w:rsidRPr="00963F70">
        <w:rPr>
          <w:sz w:val="28"/>
        </w:rPr>
        <w:t>Citations used by articles to support their position on saturation</w:t>
      </w:r>
    </w:p>
    <w:p w:rsidR="00377A3F" w:rsidRDefault="00377A3F"/>
    <w:p w:rsidR="00377A3F" w:rsidRDefault="00377A3F">
      <w:r w:rsidRPr="00B653E8">
        <w:t>Citation used</w:t>
      </w:r>
      <w:r>
        <w:t xml:space="preserve"> by </w:t>
      </w:r>
      <w:r w:rsidRPr="00377A3F">
        <w:rPr>
          <w:b/>
        </w:rPr>
        <w:t>BMJ</w:t>
      </w:r>
      <w:r>
        <w:t xml:space="preserve"> article</w:t>
      </w:r>
      <w:r w:rsidRPr="00B653E8">
        <w:t xml:space="preserve">: </w:t>
      </w:r>
    </w:p>
    <w:p w:rsidR="00377A3F" w:rsidRDefault="00377A3F" w:rsidP="00377A3F">
      <w:pPr>
        <w:pStyle w:val="ListParagraph"/>
        <w:numPr>
          <w:ilvl w:val="0"/>
          <w:numId w:val="3"/>
        </w:numPr>
      </w:pPr>
      <w:r w:rsidRPr="00B653E8">
        <w:t xml:space="preserve">Pope, C., </w:t>
      </w:r>
      <w:proofErr w:type="spellStart"/>
      <w:r w:rsidRPr="00B653E8">
        <w:t>Ziebland</w:t>
      </w:r>
      <w:proofErr w:type="spellEnd"/>
      <w:r w:rsidRPr="00B653E8">
        <w:t xml:space="preserve">, S., Mays, N. (2000). Qualitative research in health care: Analysing qualitative data. </w:t>
      </w:r>
      <w:r w:rsidRPr="00377A3F">
        <w:rPr>
          <w:i/>
        </w:rPr>
        <w:t>BMJ, 320</w:t>
      </w:r>
      <w:r w:rsidRPr="00B653E8">
        <w:t>, 114-6.</w:t>
      </w:r>
      <w:r>
        <w:t xml:space="preserve"> (BMJ18)</w:t>
      </w:r>
    </w:p>
    <w:p w:rsidR="00377A3F" w:rsidRPr="00377A3F" w:rsidRDefault="00377A3F" w:rsidP="00377A3F">
      <w:r w:rsidRPr="00377A3F">
        <w:t xml:space="preserve">Citations used by </w:t>
      </w:r>
      <w:r w:rsidRPr="00377A3F">
        <w:rPr>
          <w:b/>
        </w:rPr>
        <w:t>BJHP</w:t>
      </w:r>
      <w:r w:rsidRPr="00377A3F">
        <w:t xml:space="preserve"> articles: </w:t>
      </w:r>
    </w:p>
    <w:p w:rsidR="00377A3F" w:rsidRPr="00243F74" w:rsidRDefault="00377A3F" w:rsidP="00377A3F">
      <w:pPr>
        <w:pStyle w:val="FootnoteText"/>
        <w:numPr>
          <w:ilvl w:val="0"/>
          <w:numId w:val="1"/>
        </w:numPr>
        <w:rPr>
          <w:sz w:val="22"/>
          <w:szCs w:val="22"/>
        </w:rPr>
      </w:pPr>
      <w:r w:rsidRPr="00243F74">
        <w:rPr>
          <w:sz w:val="22"/>
          <w:szCs w:val="22"/>
        </w:rPr>
        <w:t xml:space="preserve">Chamberlain, K. (1999). Using grounded theory in health psychology. In M. Murray &amp; K. Chamberlain (Eds.), </w:t>
      </w:r>
      <w:r w:rsidRPr="00243F74">
        <w:rPr>
          <w:i/>
          <w:sz w:val="22"/>
          <w:szCs w:val="22"/>
        </w:rPr>
        <w:t>Qualitative health psychology</w:t>
      </w:r>
      <w:r w:rsidRPr="00243F74">
        <w:rPr>
          <w:sz w:val="22"/>
          <w:szCs w:val="22"/>
        </w:rPr>
        <w:t xml:space="preserve">. London: Sage. (BJHP05) </w:t>
      </w:r>
    </w:p>
    <w:p w:rsidR="00377A3F" w:rsidRPr="00243F74" w:rsidRDefault="00377A3F" w:rsidP="00377A3F">
      <w:pPr>
        <w:pStyle w:val="FootnoteText"/>
        <w:numPr>
          <w:ilvl w:val="0"/>
          <w:numId w:val="1"/>
        </w:numPr>
        <w:rPr>
          <w:sz w:val="22"/>
          <w:szCs w:val="22"/>
        </w:rPr>
      </w:pPr>
      <w:proofErr w:type="spellStart"/>
      <w:r w:rsidRPr="00243F74">
        <w:rPr>
          <w:sz w:val="22"/>
          <w:szCs w:val="22"/>
        </w:rPr>
        <w:t>Dey</w:t>
      </w:r>
      <w:proofErr w:type="spellEnd"/>
      <w:r w:rsidRPr="00243F74">
        <w:rPr>
          <w:sz w:val="22"/>
          <w:szCs w:val="22"/>
        </w:rPr>
        <w:t xml:space="preserve">, I. (1999). </w:t>
      </w:r>
      <w:r w:rsidRPr="00243F74">
        <w:rPr>
          <w:i/>
          <w:sz w:val="22"/>
          <w:szCs w:val="22"/>
        </w:rPr>
        <w:t>Grounding grounded theory.</w:t>
      </w:r>
      <w:r w:rsidRPr="00243F74">
        <w:rPr>
          <w:sz w:val="22"/>
          <w:szCs w:val="22"/>
        </w:rPr>
        <w:t xml:space="preserve"> San Diego: Academic Press. (BJHP16) </w:t>
      </w:r>
    </w:p>
    <w:p w:rsidR="00377A3F" w:rsidRPr="00243F74" w:rsidRDefault="00377A3F" w:rsidP="00377A3F">
      <w:pPr>
        <w:pStyle w:val="FootnoteText"/>
        <w:numPr>
          <w:ilvl w:val="0"/>
          <w:numId w:val="1"/>
        </w:numPr>
        <w:rPr>
          <w:sz w:val="22"/>
          <w:szCs w:val="22"/>
        </w:rPr>
      </w:pPr>
      <w:r w:rsidRPr="00243F74">
        <w:rPr>
          <w:sz w:val="22"/>
          <w:szCs w:val="22"/>
        </w:rPr>
        <w:t xml:space="preserve">Glaser, B. G., &amp; Strauss, A. L. (1967). </w:t>
      </w:r>
      <w:r w:rsidRPr="00243F74">
        <w:rPr>
          <w:i/>
          <w:sz w:val="22"/>
          <w:szCs w:val="22"/>
        </w:rPr>
        <w:t>The discovery of grounded theory: Strategies for qualitative research.</w:t>
      </w:r>
      <w:r w:rsidRPr="00243F74">
        <w:rPr>
          <w:sz w:val="22"/>
          <w:szCs w:val="22"/>
        </w:rPr>
        <w:t xml:space="preserve"> Chicago: Aldine Press. (BJHP16) </w:t>
      </w:r>
    </w:p>
    <w:p w:rsidR="00377A3F" w:rsidRPr="00243F74" w:rsidRDefault="00377A3F" w:rsidP="00377A3F">
      <w:pPr>
        <w:pStyle w:val="FootnoteText"/>
        <w:numPr>
          <w:ilvl w:val="0"/>
          <w:numId w:val="1"/>
        </w:numPr>
        <w:rPr>
          <w:sz w:val="22"/>
          <w:szCs w:val="22"/>
        </w:rPr>
      </w:pPr>
      <w:r w:rsidRPr="00243F74">
        <w:rPr>
          <w:sz w:val="22"/>
          <w:szCs w:val="22"/>
        </w:rPr>
        <w:t xml:space="preserve">Marshall, N. M. (1996). Sampling for qualitative research. </w:t>
      </w:r>
      <w:r w:rsidRPr="00243F74">
        <w:rPr>
          <w:i/>
          <w:sz w:val="22"/>
          <w:szCs w:val="22"/>
        </w:rPr>
        <w:t>Family Practice, 13</w:t>
      </w:r>
      <w:r w:rsidRPr="00243F74">
        <w:rPr>
          <w:sz w:val="22"/>
          <w:szCs w:val="22"/>
        </w:rPr>
        <w:t xml:space="preserve">(6), 522–525. (BJHP17) </w:t>
      </w:r>
    </w:p>
    <w:p w:rsidR="00377A3F" w:rsidRPr="00243F74" w:rsidRDefault="00377A3F" w:rsidP="00377A3F">
      <w:pPr>
        <w:pStyle w:val="FootnoteText"/>
        <w:numPr>
          <w:ilvl w:val="0"/>
          <w:numId w:val="1"/>
        </w:numPr>
        <w:rPr>
          <w:sz w:val="22"/>
          <w:szCs w:val="22"/>
        </w:rPr>
      </w:pPr>
      <w:r w:rsidRPr="00243F74">
        <w:rPr>
          <w:sz w:val="22"/>
          <w:szCs w:val="22"/>
        </w:rPr>
        <w:t xml:space="preserve">Patton, M. Q. (2002). </w:t>
      </w:r>
      <w:r w:rsidRPr="00243F74">
        <w:rPr>
          <w:i/>
          <w:sz w:val="22"/>
          <w:szCs w:val="22"/>
        </w:rPr>
        <w:t>Qualitative research &amp; evaluation methods, 3rd ed</w:t>
      </w:r>
      <w:r w:rsidRPr="00243F74">
        <w:rPr>
          <w:sz w:val="22"/>
          <w:szCs w:val="22"/>
        </w:rPr>
        <w:t xml:space="preserve">. Thousand Oaks, CA: Sage. (BJHP28) </w:t>
      </w:r>
    </w:p>
    <w:p w:rsidR="00377A3F" w:rsidRPr="00243F74" w:rsidRDefault="00377A3F" w:rsidP="00377A3F">
      <w:pPr>
        <w:pStyle w:val="FootnoteText"/>
        <w:numPr>
          <w:ilvl w:val="0"/>
          <w:numId w:val="1"/>
        </w:numPr>
        <w:rPr>
          <w:sz w:val="22"/>
          <w:szCs w:val="22"/>
        </w:rPr>
      </w:pPr>
      <w:r w:rsidRPr="00243F74">
        <w:rPr>
          <w:sz w:val="22"/>
          <w:szCs w:val="22"/>
        </w:rPr>
        <w:t xml:space="preserve">Corbin, J., &amp; Strauss, A. (2008). </w:t>
      </w:r>
      <w:r w:rsidRPr="00243F74">
        <w:rPr>
          <w:i/>
          <w:sz w:val="22"/>
          <w:szCs w:val="22"/>
        </w:rPr>
        <w:t xml:space="preserve">Basics of qualitative research (3rd </w:t>
      </w:r>
      <w:proofErr w:type="gramStart"/>
      <w:r w:rsidRPr="00243F74">
        <w:rPr>
          <w:i/>
          <w:sz w:val="22"/>
          <w:szCs w:val="22"/>
        </w:rPr>
        <w:t>ed</w:t>
      </w:r>
      <w:proofErr w:type="gramEnd"/>
      <w:r w:rsidRPr="00243F74">
        <w:rPr>
          <w:i/>
          <w:sz w:val="22"/>
          <w:szCs w:val="22"/>
        </w:rPr>
        <w:t>.).</w:t>
      </w:r>
      <w:r w:rsidRPr="00243F74">
        <w:rPr>
          <w:sz w:val="22"/>
          <w:szCs w:val="22"/>
        </w:rPr>
        <w:t xml:space="preserve"> London, UK: Sage (BJHP30)</w:t>
      </w:r>
    </w:p>
    <w:p w:rsidR="00377A3F" w:rsidRPr="00243F74" w:rsidRDefault="00377A3F" w:rsidP="00377A3F">
      <w:pPr>
        <w:pStyle w:val="FootnoteText"/>
        <w:numPr>
          <w:ilvl w:val="0"/>
          <w:numId w:val="1"/>
        </w:numPr>
        <w:rPr>
          <w:sz w:val="22"/>
          <w:szCs w:val="22"/>
        </w:rPr>
      </w:pPr>
      <w:r w:rsidRPr="00243F74">
        <w:rPr>
          <w:sz w:val="22"/>
          <w:szCs w:val="22"/>
        </w:rPr>
        <w:t xml:space="preserve">Creswell, J. W. (2007). </w:t>
      </w:r>
      <w:r w:rsidRPr="00243F74">
        <w:rPr>
          <w:i/>
          <w:sz w:val="22"/>
          <w:szCs w:val="22"/>
        </w:rPr>
        <w:t xml:space="preserve">Qualitative inquiry and research design: Choosing among five approaches (2nd </w:t>
      </w:r>
      <w:proofErr w:type="gramStart"/>
      <w:r w:rsidRPr="00243F74">
        <w:rPr>
          <w:i/>
          <w:sz w:val="22"/>
          <w:szCs w:val="22"/>
        </w:rPr>
        <w:t>ed</w:t>
      </w:r>
      <w:proofErr w:type="gramEnd"/>
      <w:r w:rsidRPr="00243F74">
        <w:rPr>
          <w:i/>
          <w:sz w:val="22"/>
          <w:szCs w:val="22"/>
        </w:rPr>
        <w:t>.).</w:t>
      </w:r>
      <w:r w:rsidRPr="00243F74">
        <w:rPr>
          <w:sz w:val="22"/>
          <w:szCs w:val="22"/>
        </w:rPr>
        <w:t xml:space="preserve"> London, UK: Sage (BJHP30)</w:t>
      </w:r>
    </w:p>
    <w:p w:rsidR="00377A3F" w:rsidRPr="00243F74" w:rsidRDefault="00377A3F" w:rsidP="00377A3F">
      <w:pPr>
        <w:pStyle w:val="FootnoteText"/>
        <w:numPr>
          <w:ilvl w:val="0"/>
          <w:numId w:val="1"/>
        </w:numPr>
        <w:rPr>
          <w:sz w:val="22"/>
          <w:szCs w:val="22"/>
        </w:rPr>
      </w:pPr>
      <w:r w:rsidRPr="00243F74">
        <w:rPr>
          <w:sz w:val="22"/>
          <w:szCs w:val="22"/>
        </w:rPr>
        <w:t>Hood, J. C. (2007). Orthodoxy vs. power: The defining traits of grounded theory. In A. Bryant &amp; K.</w:t>
      </w:r>
      <w:r>
        <w:rPr>
          <w:sz w:val="22"/>
          <w:szCs w:val="22"/>
        </w:rPr>
        <w:t xml:space="preserve"> </w:t>
      </w:r>
      <w:proofErr w:type="spellStart"/>
      <w:r w:rsidRPr="00243F74">
        <w:rPr>
          <w:sz w:val="22"/>
          <w:szCs w:val="22"/>
        </w:rPr>
        <w:t>Charmaz</w:t>
      </w:r>
      <w:proofErr w:type="spellEnd"/>
      <w:r w:rsidRPr="00243F74">
        <w:rPr>
          <w:sz w:val="22"/>
          <w:szCs w:val="22"/>
        </w:rPr>
        <w:t xml:space="preserve"> (Eds.), </w:t>
      </w:r>
      <w:proofErr w:type="gramStart"/>
      <w:r w:rsidRPr="00243F74">
        <w:rPr>
          <w:i/>
          <w:sz w:val="22"/>
          <w:szCs w:val="22"/>
        </w:rPr>
        <w:t>The</w:t>
      </w:r>
      <w:proofErr w:type="gramEnd"/>
      <w:r w:rsidRPr="00243F74">
        <w:rPr>
          <w:i/>
          <w:sz w:val="22"/>
          <w:szCs w:val="22"/>
        </w:rPr>
        <w:t xml:space="preserve"> sage handbook of grounded theory</w:t>
      </w:r>
      <w:r w:rsidRPr="00243F74">
        <w:rPr>
          <w:sz w:val="22"/>
          <w:szCs w:val="22"/>
        </w:rPr>
        <w:t xml:space="preserve"> (pp. 151–164). London, UK: Sage (BJHP30)</w:t>
      </w:r>
    </w:p>
    <w:p w:rsidR="00377A3F" w:rsidRPr="00243F74" w:rsidRDefault="00377A3F" w:rsidP="00377A3F">
      <w:pPr>
        <w:pStyle w:val="FootnoteText"/>
        <w:numPr>
          <w:ilvl w:val="0"/>
          <w:numId w:val="1"/>
        </w:numPr>
        <w:rPr>
          <w:sz w:val="22"/>
          <w:szCs w:val="22"/>
        </w:rPr>
      </w:pPr>
      <w:r w:rsidRPr="00243F74">
        <w:rPr>
          <w:sz w:val="22"/>
          <w:szCs w:val="22"/>
        </w:rPr>
        <w:t xml:space="preserve">Strauss, A., &amp; Corbin, J. (1994). Grounded theory methodology: An overview. In N. K. </w:t>
      </w:r>
      <w:proofErr w:type="spellStart"/>
      <w:r w:rsidRPr="00243F74">
        <w:rPr>
          <w:sz w:val="22"/>
          <w:szCs w:val="22"/>
        </w:rPr>
        <w:t>Denzin</w:t>
      </w:r>
      <w:proofErr w:type="spellEnd"/>
      <w:r w:rsidRPr="00243F74">
        <w:rPr>
          <w:sz w:val="22"/>
          <w:szCs w:val="22"/>
        </w:rPr>
        <w:t xml:space="preserve"> &amp; Y. S. Lincoln (Eds.), </w:t>
      </w:r>
      <w:r w:rsidRPr="00243F74">
        <w:rPr>
          <w:i/>
          <w:sz w:val="22"/>
          <w:szCs w:val="22"/>
        </w:rPr>
        <w:t>Handbook of qualitative research</w:t>
      </w:r>
      <w:r w:rsidRPr="00243F74">
        <w:rPr>
          <w:sz w:val="22"/>
          <w:szCs w:val="22"/>
        </w:rPr>
        <w:t xml:space="preserve"> (pp. 273–285). London, UK: Sage (BJHP30)</w:t>
      </w:r>
    </w:p>
    <w:p w:rsidR="00377A3F" w:rsidRPr="00243F74" w:rsidRDefault="00377A3F" w:rsidP="00377A3F">
      <w:pPr>
        <w:pStyle w:val="FootnoteText"/>
        <w:numPr>
          <w:ilvl w:val="0"/>
          <w:numId w:val="1"/>
        </w:numPr>
        <w:rPr>
          <w:sz w:val="22"/>
          <w:szCs w:val="22"/>
        </w:rPr>
      </w:pPr>
      <w:r w:rsidRPr="00243F74">
        <w:rPr>
          <w:sz w:val="22"/>
          <w:szCs w:val="22"/>
        </w:rPr>
        <w:t xml:space="preserve">Morse, J. M. (1995). The significance of saturation. </w:t>
      </w:r>
      <w:r w:rsidRPr="00243F74">
        <w:rPr>
          <w:i/>
          <w:sz w:val="22"/>
          <w:szCs w:val="22"/>
        </w:rPr>
        <w:t>Qualitative Health Research, 5</w:t>
      </w:r>
      <w:r w:rsidRPr="00243F74">
        <w:rPr>
          <w:sz w:val="22"/>
          <w:szCs w:val="22"/>
        </w:rPr>
        <w:t xml:space="preserve">(2), 147–149. (BJHP31; BJHP32) </w:t>
      </w:r>
    </w:p>
    <w:p w:rsidR="00377A3F" w:rsidRPr="00243F74" w:rsidRDefault="00377A3F" w:rsidP="00377A3F">
      <w:pPr>
        <w:pStyle w:val="FootnoteText"/>
        <w:numPr>
          <w:ilvl w:val="0"/>
          <w:numId w:val="1"/>
        </w:numPr>
        <w:rPr>
          <w:sz w:val="22"/>
          <w:szCs w:val="22"/>
        </w:rPr>
      </w:pPr>
      <w:r w:rsidRPr="00243F74">
        <w:rPr>
          <w:sz w:val="22"/>
          <w:szCs w:val="22"/>
        </w:rPr>
        <w:t xml:space="preserve">Guest, G., </w:t>
      </w:r>
      <w:proofErr w:type="spellStart"/>
      <w:r w:rsidRPr="00243F74">
        <w:rPr>
          <w:sz w:val="22"/>
          <w:szCs w:val="22"/>
        </w:rPr>
        <w:t>Bunce</w:t>
      </w:r>
      <w:proofErr w:type="spellEnd"/>
      <w:r w:rsidRPr="00243F74">
        <w:rPr>
          <w:sz w:val="22"/>
          <w:szCs w:val="22"/>
        </w:rPr>
        <w:t xml:space="preserve">, A., &amp; Johnson, L. (2006). How many interviews are enough? An experiment with data saturation and variability. </w:t>
      </w:r>
      <w:r w:rsidRPr="00243F74">
        <w:rPr>
          <w:i/>
          <w:sz w:val="22"/>
          <w:szCs w:val="22"/>
        </w:rPr>
        <w:t>Field Methods, 18</w:t>
      </w:r>
      <w:r w:rsidRPr="00243F74">
        <w:rPr>
          <w:sz w:val="22"/>
          <w:szCs w:val="22"/>
        </w:rPr>
        <w:t xml:space="preserve">(1), 59–82. (BJHP46; BJHP50)  </w:t>
      </w:r>
    </w:p>
    <w:p w:rsidR="00377A3F" w:rsidRPr="00243F74" w:rsidRDefault="00377A3F" w:rsidP="00377A3F">
      <w:pPr>
        <w:pStyle w:val="FootnoteText"/>
        <w:numPr>
          <w:ilvl w:val="0"/>
          <w:numId w:val="1"/>
        </w:numPr>
        <w:rPr>
          <w:sz w:val="22"/>
          <w:szCs w:val="22"/>
        </w:rPr>
      </w:pPr>
      <w:r w:rsidRPr="00243F74">
        <w:rPr>
          <w:sz w:val="22"/>
          <w:szCs w:val="22"/>
        </w:rPr>
        <w:t xml:space="preserve">Mays, N., &amp; Pope, C. (1995). Qualitative research: Rigour and qualitative research. </w:t>
      </w:r>
      <w:r w:rsidRPr="00243F74">
        <w:rPr>
          <w:i/>
          <w:sz w:val="22"/>
          <w:szCs w:val="22"/>
        </w:rPr>
        <w:t>BMJ, 311</w:t>
      </w:r>
      <w:r w:rsidRPr="00243F74">
        <w:rPr>
          <w:sz w:val="22"/>
          <w:szCs w:val="22"/>
        </w:rPr>
        <w:t xml:space="preserve">, 109–112. (BJHP46) </w:t>
      </w:r>
    </w:p>
    <w:p w:rsidR="00377A3F" w:rsidRPr="00243F74" w:rsidRDefault="00377A3F" w:rsidP="00377A3F">
      <w:pPr>
        <w:pStyle w:val="FootnoteText"/>
        <w:numPr>
          <w:ilvl w:val="0"/>
          <w:numId w:val="1"/>
        </w:numPr>
        <w:rPr>
          <w:sz w:val="22"/>
          <w:szCs w:val="22"/>
        </w:rPr>
      </w:pPr>
      <w:r w:rsidRPr="00243F74">
        <w:rPr>
          <w:sz w:val="22"/>
          <w:szCs w:val="22"/>
        </w:rPr>
        <w:t xml:space="preserve">Clarke, V., &amp; Braun, V. (2013). </w:t>
      </w:r>
      <w:r w:rsidRPr="00243F74">
        <w:rPr>
          <w:i/>
          <w:sz w:val="22"/>
          <w:szCs w:val="22"/>
        </w:rPr>
        <w:t>Successful qualitative research: A practical guide for beginners.</w:t>
      </w:r>
      <w:r>
        <w:rPr>
          <w:sz w:val="22"/>
          <w:szCs w:val="22"/>
        </w:rPr>
        <w:t xml:space="preserve"> </w:t>
      </w:r>
      <w:r w:rsidRPr="00243F74">
        <w:rPr>
          <w:sz w:val="22"/>
          <w:szCs w:val="22"/>
        </w:rPr>
        <w:t xml:space="preserve">London: Sage. (BJHP50) </w:t>
      </w:r>
    </w:p>
    <w:p w:rsidR="00377A3F" w:rsidRPr="00243F74" w:rsidRDefault="00377A3F" w:rsidP="00377A3F">
      <w:pPr>
        <w:pStyle w:val="FootnoteText"/>
        <w:numPr>
          <w:ilvl w:val="0"/>
          <w:numId w:val="1"/>
        </w:numPr>
        <w:rPr>
          <w:sz w:val="22"/>
          <w:szCs w:val="22"/>
        </w:rPr>
      </w:pPr>
      <w:proofErr w:type="spellStart"/>
      <w:r w:rsidRPr="00243F74">
        <w:rPr>
          <w:sz w:val="22"/>
          <w:szCs w:val="22"/>
        </w:rPr>
        <w:t>Fugard</w:t>
      </w:r>
      <w:proofErr w:type="spellEnd"/>
      <w:r w:rsidRPr="00243F74">
        <w:rPr>
          <w:sz w:val="22"/>
          <w:szCs w:val="22"/>
        </w:rPr>
        <w:t xml:space="preserve">, A., &amp; Potts, H. (2014). </w:t>
      </w:r>
      <w:r w:rsidRPr="00243F74">
        <w:rPr>
          <w:i/>
          <w:sz w:val="22"/>
          <w:szCs w:val="22"/>
        </w:rPr>
        <w:t>Sample size determination for thematic analysis and related qualitative methodologies: a quantitative model</w:t>
      </w:r>
      <w:r w:rsidRPr="00243F74">
        <w:rPr>
          <w:sz w:val="22"/>
          <w:szCs w:val="22"/>
        </w:rPr>
        <w:t xml:space="preserve">. Paper presented at the 6th ESRC: Research Methods Festival, St Catherine’s College, </w:t>
      </w:r>
      <w:proofErr w:type="gramStart"/>
      <w:r w:rsidRPr="00243F74">
        <w:rPr>
          <w:sz w:val="22"/>
          <w:szCs w:val="22"/>
        </w:rPr>
        <w:t>Oxford</w:t>
      </w:r>
      <w:proofErr w:type="gramEnd"/>
      <w:r w:rsidRPr="00243F74">
        <w:rPr>
          <w:sz w:val="22"/>
          <w:szCs w:val="22"/>
        </w:rPr>
        <w:t xml:space="preserve">, UK. (BJHP50) </w:t>
      </w:r>
    </w:p>
    <w:p w:rsidR="00377A3F" w:rsidRDefault="00377A3F" w:rsidP="00377A3F">
      <w:pPr>
        <w:pStyle w:val="FootnoteText"/>
        <w:numPr>
          <w:ilvl w:val="0"/>
          <w:numId w:val="1"/>
        </w:numPr>
        <w:rPr>
          <w:sz w:val="22"/>
          <w:szCs w:val="22"/>
        </w:rPr>
      </w:pPr>
      <w:r w:rsidRPr="00243F74">
        <w:rPr>
          <w:sz w:val="22"/>
          <w:szCs w:val="22"/>
        </w:rPr>
        <w:t>Glaser, B. G., &amp; Strauss, A. L. (</w:t>
      </w:r>
      <w:r w:rsidRPr="00591E93">
        <w:rPr>
          <w:sz w:val="22"/>
          <w:szCs w:val="22"/>
        </w:rPr>
        <w:t>2009</w:t>
      </w:r>
      <w:r w:rsidRPr="00243F74">
        <w:rPr>
          <w:sz w:val="22"/>
          <w:szCs w:val="22"/>
        </w:rPr>
        <w:t>). The discovery of grounded theory: Strategies for qualitative</w:t>
      </w:r>
      <w:r>
        <w:rPr>
          <w:sz w:val="22"/>
          <w:szCs w:val="22"/>
        </w:rPr>
        <w:t xml:space="preserve"> </w:t>
      </w:r>
      <w:r w:rsidRPr="00243F74">
        <w:rPr>
          <w:sz w:val="22"/>
          <w:szCs w:val="22"/>
        </w:rPr>
        <w:t xml:space="preserve">research. Piscataway, NJ: Transaction Publishers. (BJHP52) </w:t>
      </w:r>
    </w:p>
    <w:p w:rsidR="00377A3F" w:rsidRDefault="00377A3F" w:rsidP="00377A3F">
      <w:pPr>
        <w:pStyle w:val="FootnoteText"/>
        <w:rPr>
          <w:sz w:val="22"/>
          <w:szCs w:val="22"/>
        </w:rPr>
      </w:pPr>
    </w:p>
    <w:p w:rsidR="00377A3F" w:rsidRPr="00EA581A" w:rsidRDefault="00377A3F" w:rsidP="00377A3F">
      <w:pPr>
        <w:pStyle w:val="FootnoteText"/>
        <w:rPr>
          <w:sz w:val="22"/>
          <w:szCs w:val="22"/>
        </w:rPr>
      </w:pPr>
      <w:r w:rsidRPr="00EA581A">
        <w:rPr>
          <w:sz w:val="22"/>
          <w:szCs w:val="22"/>
        </w:rPr>
        <w:t xml:space="preserve">Citations used by </w:t>
      </w:r>
      <w:r w:rsidRPr="00377A3F">
        <w:rPr>
          <w:b/>
          <w:sz w:val="22"/>
          <w:szCs w:val="22"/>
        </w:rPr>
        <w:t>SHI</w:t>
      </w:r>
      <w:r w:rsidRPr="00EA581A">
        <w:rPr>
          <w:sz w:val="22"/>
          <w:szCs w:val="22"/>
        </w:rPr>
        <w:t xml:space="preserve"> articles</w:t>
      </w:r>
      <w:r>
        <w:rPr>
          <w:sz w:val="22"/>
          <w:szCs w:val="22"/>
        </w:rPr>
        <w:t xml:space="preserve">: </w:t>
      </w:r>
    </w:p>
    <w:p w:rsidR="00377A3F" w:rsidRPr="00EA581A" w:rsidRDefault="00377A3F" w:rsidP="00377A3F">
      <w:pPr>
        <w:pStyle w:val="FootnoteText"/>
        <w:numPr>
          <w:ilvl w:val="0"/>
          <w:numId w:val="2"/>
        </w:numPr>
        <w:rPr>
          <w:sz w:val="22"/>
          <w:szCs w:val="22"/>
        </w:rPr>
      </w:pPr>
      <w:r w:rsidRPr="00EA581A">
        <w:rPr>
          <w:sz w:val="22"/>
          <w:szCs w:val="22"/>
        </w:rPr>
        <w:t>Burgess, R.G. (1982) Keeping field notes. In Burgess, R.G. (</w:t>
      </w:r>
      <w:proofErr w:type="spellStart"/>
      <w:proofErr w:type="gramStart"/>
      <w:r w:rsidRPr="00EA581A">
        <w:rPr>
          <w:sz w:val="22"/>
          <w:szCs w:val="22"/>
        </w:rPr>
        <w:t>ed</w:t>
      </w:r>
      <w:proofErr w:type="spellEnd"/>
      <w:proofErr w:type="gramEnd"/>
      <w:r w:rsidRPr="00EA581A">
        <w:rPr>
          <w:sz w:val="22"/>
          <w:szCs w:val="22"/>
        </w:rPr>
        <w:t xml:space="preserve">) </w:t>
      </w:r>
      <w:r w:rsidRPr="00EA581A">
        <w:rPr>
          <w:i/>
          <w:sz w:val="22"/>
          <w:szCs w:val="22"/>
        </w:rPr>
        <w:t>Field Research: a Sourcebook and Field Manual</w:t>
      </w:r>
      <w:r w:rsidRPr="00EA581A">
        <w:rPr>
          <w:sz w:val="22"/>
          <w:szCs w:val="22"/>
        </w:rPr>
        <w:t xml:space="preserve">. London: Unwin Hyman. (SHI04) </w:t>
      </w:r>
    </w:p>
    <w:p w:rsidR="00377A3F" w:rsidRPr="00EA581A" w:rsidRDefault="00377A3F" w:rsidP="00377A3F">
      <w:pPr>
        <w:pStyle w:val="FootnoteText"/>
        <w:numPr>
          <w:ilvl w:val="0"/>
          <w:numId w:val="2"/>
        </w:numPr>
        <w:rPr>
          <w:sz w:val="22"/>
          <w:szCs w:val="22"/>
        </w:rPr>
      </w:pPr>
      <w:r w:rsidRPr="00EA581A">
        <w:rPr>
          <w:sz w:val="22"/>
          <w:szCs w:val="22"/>
        </w:rPr>
        <w:t xml:space="preserve">Strauss, A.L. (1987) </w:t>
      </w:r>
      <w:r w:rsidRPr="00EA581A">
        <w:rPr>
          <w:i/>
          <w:sz w:val="22"/>
          <w:szCs w:val="22"/>
        </w:rPr>
        <w:t>Qualitative Analysis for Social Scientists</w:t>
      </w:r>
      <w:r w:rsidRPr="00EA581A">
        <w:rPr>
          <w:sz w:val="22"/>
          <w:szCs w:val="22"/>
        </w:rPr>
        <w:t xml:space="preserve">. Cambridge: Cambridge University Press. (SHI13) </w:t>
      </w:r>
    </w:p>
    <w:p w:rsidR="00377A3F" w:rsidRPr="00EA581A" w:rsidRDefault="00377A3F" w:rsidP="00377A3F">
      <w:pPr>
        <w:pStyle w:val="FootnoteText"/>
        <w:numPr>
          <w:ilvl w:val="0"/>
          <w:numId w:val="2"/>
        </w:numPr>
        <w:rPr>
          <w:sz w:val="22"/>
          <w:szCs w:val="22"/>
        </w:rPr>
      </w:pPr>
      <w:r w:rsidRPr="00EA581A">
        <w:rPr>
          <w:sz w:val="22"/>
          <w:szCs w:val="22"/>
        </w:rPr>
        <w:t xml:space="preserve">Strauss, A. and Corbin, J. (1990). Basics of Qualitative Research: Grounded Theory Procedures and Techniques. Newbury Park, CA: Sage. (SHI32) </w:t>
      </w:r>
    </w:p>
    <w:p w:rsidR="00377A3F" w:rsidRPr="00EA581A" w:rsidRDefault="00377A3F" w:rsidP="00377A3F">
      <w:pPr>
        <w:pStyle w:val="FootnoteText"/>
        <w:numPr>
          <w:ilvl w:val="0"/>
          <w:numId w:val="2"/>
        </w:numPr>
        <w:rPr>
          <w:sz w:val="22"/>
          <w:szCs w:val="22"/>
        </w:rPr>
      </w:pPr>
      <w:r w:rsidRPr="00EA581A">
        <w:rPr>
          <w:sz w:val="22"/>
          <w:szCs w:val="22"/>
        </w:rPr>
        <w:lastRenderedPageBreak/>
        <w:t xml:space="preserve">Morse, S. (2000) Determining sample size. </w:t>
      </w:r>
      <w:r w:rsidRPr="00EA581A">
        <w:rPr>
          <w:i/>
          <w:sz w:val="22"/>
          <w:szCs w:val="22"/>
        </w:rPr>
        <w:t>Qualitative Health Research, 10</w:t>
      </w:r>
      <w:r w:rsidRPr="00EA581A">
        <w:rPr>
          <w:sz w:val="22"/>
          <w:szCs w:val="22"/>
        </w:rPr>
        <w:t xml:space="preserve">, 1, 3–5. (SHI73) </w:t>
      </w:r>
    </w:p>
    <w:p w:rsidR="00377A3F" w:rsidRPr="00EA581A" w:rsidRDefault="00377A3F" w:rsidP="00377A3F">
      <w:pPr>
        <w:pStyle w:val="FootnoteText"/>
        <w:numPr>
          <w:ilvl w:val="0"/>
          <w:numId w:val="2"/>
        </w:numPr>
        <w:rPr>
          <w:sz w:val="22"/>
          <w:szCs w:val="22"/>
        </w:rPr>
      </w:pPr>
      <w:proofErr w:type="spellStart"/>
      <w:r w:rsidRPr="00EA581A">
        <w:rPr>
          <w:sz w:val="22"/>
          <w:szCs w:val="22"/>
        </w:rPr>
        <w:t>Bryman</w:t>
      </w:r>
      <w:proofErr w:type="spellEnd"/>
      <w:r w:rsidRPr="00EA581A">
        <w:rPr>
          <w:sz w:val="22"/>
          <w:szCs w:val="22"/>
        </w:rPr>
        <w:t xml:space="preserve">, A. (2001) </w:t>
      </w:r>
      <w:r w:rsidRPr="00EA581A">
        <w:rPr>
          <w:i/>
          <w:sz w:val="22"/>
          <w:szCs w:val="22"/>
        </w:rPr>
        <w:t>Social Science Research Methods.</w:t>
      </w:r>
      <w:r w:rsidRPr="00EA581A">
        <w:rPr>
          <w:sz w:val="22"/>
          <w:szCs w:val="22"/>
        </w:rPr>
        <w:t xml:space="preserve"> Oxford: Oxford University Press. (SHI78)</w:t>
      </w:r>
    </w:p>
    <w:p w:rsidR="00377A3F" w:rsidRPr="00EA581A" w:rsidRDefault="00377A3F" w:rsidP="00377A3F">
      <w:pPr>
        <w:pStyle w:val="FootnoteText"/>
        <w:numPr>
          <w:ilvl w:val="0"/>
          <w:numId w:val="2"/>
        </w:numPr>
        <w:rPr>
          <w:sz w:val="22"/>
          <w:szCs w:val="22"/>
        </w:rPr>
      </w:pPr>
      <w:proofErr w:type="spellStart"/>
      <w:r w:rsidRPr="00EA581A">
        <w:rPr>
          <w:sz w:val="22"/>
          <w:szCs w:val="22"/>
        </w:rPr>
        <w:t>Polit</w:t>
      </w:r>
      <w:proofErr w:type="spellEnd"/>
      <w:r w:rsidRPr="00EA581A">
        <w:rPr>
          <w:sz w:val="22"/>
          <w:szCs w:val="22"/>
        </w:rPr>
        <w:t xml:space="preserve">, D. and Beck, C. (2008) </w:t>
      </w:r>
      <w:r w:rsidRPr="00EA581A">
        <w:rPr>
          <w:i/>
          <w:sz w:val="22"/>
          <w:szCs w:val="22"/>
        </w:rPr>
        <w:t xml:space="preserve">Nursing Research. 8th </w:t>
      </w:r>
      <w:proofErr w:type="spellStart"/>
      <w:r w:rsidRPr="00EA581A">
        <w:rPr>
          <w:i/>
          <w:sz w:val="22"/>
          <w:szCs w:val="22"/>
        </w:rPr>
        <w:t>edn</w:t>
      </w:r>
      <w:proofErr w:type="spellEnd"/>
      <w:r w:rsidRPr="00EA581A">
        <w:rPr>
          <w:sz w:val="22"/>
          <w:szCs w:val="22"/>
        </w:rPr>
        <w:t xml:space="preserve">. Philadelphia: </w:t>
      </w:r>
      <w:proofErr w:type="spellStart"/>
      <w:r w:rsidRPr="00EA581A">
        <w:rPr>
          <w:sz w:val="22"/>
          <w:szCs w:val="22"/>
        </w:rPr>
        <w:t>Lippinscott</w:t>
      </w:r>
      <w:proofErr w:type="spellEnd"/>
      <w:r w:rsidRPr="00EA581A">
        <w:rPr>
          <w:sz w:val="22"/>
          <w:szCs w:val="22"/>
        </w:rPr>
        <w:t>, Williams and Wilkins. (SHI113)</w:t>
      </w:r>
    </w:p>
    <w:p w:rsidR="00377A3F" w:rsidRDefault="00377A3F" w:rsidP="00377A3F">
      <w:pPr>
        <w:pStyle w:val="FootnoteText"/>
        <w:numPr>
          <w:ilvl w:val="0"/>
          <w:numId w:val="2"/>
        </w:numPr>
        <w:rPr>
          <w:sz w:val="22"/>
          <w:szCs w:val="22"/>
        </w:rPr>
      </w:pPr>
      <w:r w:rsidRPr="00EA581A">
        <w:rPr>
          <w:sz w:val="22"/>
          <w:szCs w:val="22"/>
        </w:rPr>
        <w:t xml:space="preserve">Lincoln, Y. and </w:t>
      </w:r>
      <w:proofErr w:type="spellStart"/>
      <w:r w:rsidRPr="00EA581A">
        <w:rPr>
          <w:sz w:val="22"/>
          <w:szCs w:val="22"/>
        </w:rPr>
        <w:t>Guba</w:t>
      </w:r>
      <w:proofErr w:type="spellEnd"/>
      <w:r w:rsidRPr="00EA581A">
        <w:rPr>
          <w:sz w:val="22"/>
          <w:szCs w:val="22"/>
        </w:rPr>
        <w:t>, E.G. (1985) Naturalistic Inquiry. Newbury Park: Sage (SHI115)</w:t>
      </w:r>
    </w:p>
    <w:p w:rsidR="00377A3F" w:rsidRDefault="00377A3F"/>
    <w:sectPr w:rsidR="00377A3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3295024"/>
    <w:multiLevelType w:val="hybridMultilevel"/>
    <w:tmpl w:val="5F6E8518"/>
    <w:lvl w:ilvl="0" w:tplc="1B0C149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7C67359"/>
    <w:multiLevelType w:val="hybridMultilevel"/>
    <w:tmpl w:val="E326CBBA"/>
    <w:lvl w:ilvl="0" w:tplc="1B0C149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2061B45"/>
    <w:multiLevelType w:val="hybridMultilevel"/>
    <w:tmpl w:val="DD4C6AD0"/>
    <w:lvl w:ilvl="0" w:tplc="1B0C149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789"/>
    <w:rsid w:val="001A3C9D"/>
    <w:rsid w:val="00377A3F"/>
    <w:rsid w:val="00526D57"/>
    <w:rsid w:val="006C186D"/>
    <w:rsid w:val="00935789"/>
    <w:rsid w:val="00963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E4AF394-9F04-496A-8B6C-CE281F282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377A3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77A3F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377A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484</Words>
  <Characters>2760</Characters>
  <Application>Microsoft Office Word</Application>
  <DocSecurity>0</DocSecurity>
  <Lines>23</Lines>
  <Paragraphs>6</Paragraphs>
  <ScaleCrop>false</ScaleCrop>
  <Company/>
  <LinksUpToDate>false</LinksUpToDate>
  <CharactersWithSpaces>3238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kv276</dc:creator>
  <cp:keywords/>
  <dc:description/>
  <cp:lastModifiedBy>kv276</cp:lastModifiedBy>
  <cp:revision>6</cp:revision>
  <dcterms:created xsi:type="dcterms:W3CDTF">2018-05-18T08:52:00Z</dcterms:created>
  <dcterms:modified xsi:type="dcterms:W3CDTF">2018-10-14T07:23:00Z</dcterms:modified>
</cp:coreProperties>
</file>