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A4CBD9" w14:textId="6ADDBCDC" w:rsidR="00940C19" w:rsidRPr="00E559E6" w:rsidRDefault="00270DA8" w:rsidP="00BA5C08">
      <w:pPr>
        <w:pStyle w:val="Beschriftung"/>
        <w:keepNext/>
        <w:spacing w:line="480" w:lineRule="auto"/>
        <w:rPr>
          <w:b w:val="0"/>
        </w:rPr>
      </w:pPr>
      <w:bookmarkStart w:id="0" w:name="_GoBack"/>
      <w:bookmarkEnd w:id="0"/>
      <w:r>
        <w:rPr>
          <w:rFonts w:ascii="Arial" w:hAnsi="Arial" w:cs="Arial"/>
          <w:color w:val="auto"/>
          <w:sz w:val="22"/>
          <w:szCs w:val="22"/>
        </w:rPr>
        <w:t>Additional file</w:t>
      </w:r>
      <w:r w:rsidR="00D562CF" w:rsidRPr="00E559E6">
        <w:rPr>
          <w:rFonts w:ascii="Arial" w:hAnsi="Arial" w:cs="Arial"/>
          <w:color w:val="auto"/>
          <w:sz w:val="22"/>
          <w:szCs w:val="22"/>
        </w:rPr>
        <w:t xml:space="preserve"> 4.</w:t>
      </w:r>
      <w:r w:rsidR="00D562CF" w:rsidRPr="00E559E6">
        <w:rPr>
          <w:rFonts w:ascii="Arial" w:hAnsi="Arial" w:cs="Arial"/>
          <w:b w:val="0"/>
          <w:color w:val="auto"/>
          <w:sz w:val="22"/>
          <w:szCs w:val="22"/>
        </w:rPr>
        <w:t xml:space="preserve"> </w:t>
      </w:r>
      <w:r w:rsidR="00F96430" w:rsidRPr="00E559E6">
        <w:rPr>
          <w:rFonts w:ascii="Arial" w:hAnsi="Arial" w:cs="Arial"/>
          <w:b w:val="0"/>
          <w:color w:val="auto"/>
          <w:sz w:val="22"/>
          <w:szCs w:val="22"/>
        </w:rPr>
        <w:t>Results of the s</w:t>
      </w:r>
      <w:r w:rsidR="006134AE" w:rsidRPr="00E559E6">
        <w:rPr>
          <w:rFonts w:ascii="Arial" w:hAnsi="Arial" w:cs="Arial"/>
          <w:b w:val="0"/>
          <w:color w:val="auto"/>
          <w:sz w:val="22"/>
          <w:szCs w:val="22"/>
        </w:rPr>
        <w:t>ensitivity analys</w:t>
      </w:r>
      <w:r w:rsidR="00F96430" w:rsidRPr="00E559E6">
        <w:rPr>
          <w:rFonts w:ascii="Arial" w:hAnsi="Arial" w:cs="Arial"/>
          <w:b w:val="0"/>
          <w:color w:val="auto"/>
          <w:sz w:val="22"/>
          <w:szCs w:val="22"/>
        </w:rPr>
        <w:t>e</w:t>
      </w:r>
      <w:r w:rsidR="006134AE" w:rsidRPr="00E559E6">
        <w:rPr>
          <w:rFonts w:ascii="Arial" w:hAnsi="Arial" w:cs="Arial"/>
          <w:b w:val="0"/>
          <w:color w:val="auto"/>
          <w:sz w:val="22"/>
          <w:szCs w:val="22"/>
        </w:rPr>
        <w:t xml:space="preserve">s </w:t>
      </w:r>
      <w:r w:rsidR="00F96430" w:rsidRPr="00E559E6">
        <w:rPr>
          <w:rFonts w:ascii="Arial" w:hAnsi="Arial" w:cs="Arial"/>
          <w:b w:val="0"/>
          <w:color w:val="auto"/>
          <w:sz w:val="22"/>
          <w:szCs w:val="22"/>
        </w:rPr>
        <w:t xml:space="preserve">making the </w:t>
      </w:r>
      <w:r w:rsidR="006134AE" w:rsidRPr="00E559E6">
        <w:rPr>
          <w:rFonts w:ascii="Arial" w:hAnsi="Arial" w:cs="Arial"/>
          <w:b w:val="0"/>
          <w:color w:val="auto"/>
          <w:sz w:val="22"/>
          <w:szCs w:val="22"/>
        </w:rPr>
        <w:t xml:space="preserve">extreme assumption </w:t>
      </w:r>
      <w:r w:rsidR="00F96430" w:rsidRPr="00E559E6">
        <w:rPr>
          <w:rFonts w:ascii="Arial" w:hAnsi="Arial" w:cs="Arial"/>
          <w:b w:val="0"/>
          <w:color w:val="auto"/>
          <w:sz w:val="22"/>
          <w:szCs w:val="22"/>
        </w:rPr>
        <w:t>that all advanced CRCs that could not be stratified by UICC stage III vs. IV</w:t>
      </w:r>
      <w:r w:rsidR="00F96430" w:rsidRPr="00E559E6" w:rsidDel="00F96430">
        <w:rPr>
          <w:rFonts w:ascii="Arial" w:hAnsi="Arial" w:cs="Arial"/>
          <w:color w:val="auto"/>
          <w:sz w:val="22"/>
          <w:szCs w:val="22"/>
        </w:rPr>
        <w:t xml:space="preserve"> </w:t>
      </w:r>
      <w:r w:rsidR="00F96430" w:rsidRPr="00E559E6">
        <w:rPr>
          <w:rFonts w:ascii="Arial" w:hAnsi="Arial" w:cs="Arial"/>
          <w:b w:val="0"/>
          <w:color w:val="auto"/>
          <w:sz w:val="22"/>
          <w:szCs w:val="22"/>
        </w:rPr>
        <w:t xml:space="preserve">based on </w:t>
      </w:r>
      <w:r w:rsidR="009163B7" w:rsidRPr="00E559E6">
        <w:rPr>
          <w:rFonts w:ascii="Arial" w:hAnsi="Arial" w:cs="Arial"/>
          <w:b w:val="0"/>
          <w:color w:val="auto"/>
          <w:sz w:val="22"/>
          <w:szCs w:val="22"/>
        </w:rPr>
        <w:t>cancer registry (</w:t>
      </w:r>
      <w:r w:rsidR="00F96430" w:rsidRPr="00E559E6">
        <w:rPr>
          <w:rFonts w:ascii="Arial" w:hAnsi="Arial" w:cs="Arial"/>
          <w:b w:val="0"/>
          <w:color w:val="auto"/>
          <w:sz w:val="22"/>
          <w:szCs w:val="22"/>
        </w:rPr>
        <w:t>ZfKD</w:t>
      </w:r>
      <w:r w:rsidR="009163B7" w:rsidRPr="00E559E6">
        <w:rPr>
          <w:rFonts w:ascii="Arial" w:hAnsi="Arial" w:cs="Arial"/>
          <w:b w:val="0"/>
          <w:color w:val="auto"/>
          <w:sz w:val="22"/>
          <w:szCs w:val="22"/>
        </w:rPr>
        <w:t>)</w:t>
      </w:r>
      <w:r w:rsidR="00F96430" w:rsidRPr="00E559E6">
        <w:rPr>
          <w:rFonts w:ascii="Arial" w:hAnsi="Arial" w:cs="Arial"/>
          <w:b w:val="0"/>
          <w:color w:val="auto"/>
          <w:sz w:val="22"/>
          <w:szCs w:val="22"/>
        </w:rPr>
        <w:t xml:space="preserve"> data were all UICC stage IV</w:t>
      </w:r>
      <w:r w:rsidR="00940C19" w:rsidRPr="00E559E6">
        <w:rPr>
          <w:rFonts w:ascii="Arial" w:hAnsi="Arial" w:cs="Arial"/>
          <w:b w:val="0"/>
          <w:color w:val="auto"/>
          <w:sz w:val="22"/>
          <w:szCs w:val="22"/>
        </w:rPr>
        <w:t xml:space="preserve"> (see also </w:t>
      </w:r>
      <w:r>
        <w:rPr>
          <w:rFonts w:ascii="Arial" w:hAnsi="Arial" w:cs="Arial"/>
          <w:b w:val="0"/>
          <w:color w:val="auto"/>
          <w:sz w:val="22"/>
          <w:szCs w:val="22"/>
        </w:rPr>
        <w:t>Additional file</w:t>
      </w:r>
      <w:r w:rsidR="00940C19" w:rsidRPr="00E559E6">
        <w:rPr>
          <w:rFonts w:ascii="Arial" w:hAnsi="Arial" w:cs="Arial"/>
          <w:b w:val="0"/>
          <w:color w:val="auto"/>
          <w:sz w:val="22"/>
          <w:szCs w:val="22"/>
        </w:rPr>
        <w:t xml:space="preserve"> 2) </w:t>
      </w:r>
      <w:r w:rsidR="00F96430" w:rsidRPr="00E559E6">
        <w:rPr>
          <w:rFonts w:ascii="Arial" w:hAnsi="Arial" w:cs="Arial"/>
          <w:b w:val="0"/>
          <w:color w:val="auto"/>
          <w:sz w:val="22"/>
          <w:szCs w:val="22"/>
        </w:rPr>
        <w:t xml:space="preserve"> </w:t>
      </w:r>
    </w:p>
    <w:p w14:paraId="62904973" w14:textId="7665DF7D" w:rsidR="00940C19" w:rsidRPr="00E559E6" w:rsidRDefault="00940C19" w:rsidP="00BA5C08">
      <w:pPr>
        <w:pStyle w:val="Beschriftung"/>
        <w:numPr>
          <w:ilvl w:val="0"/>
          <w:numId w:val="1"/>
        </w:numPr>
        <w:spacing w:line="480" w:lineRule="auto"/>
        <w:rPr>
          <w:rFonts w:ascii="Arial" w:hAnsi="Arial" w:cs="Arial"/>
          <w:b w:val="0"/>
          <w:color w:val="auto"/>
          <w:sz w:val="22"/>
          <w:szCs w:val="22"/>
        </w:rPr>
      </w:pPr>
      <w:r w:rsidRPr="00E559E6">
        <w:rPr>
          <w:rFonts w:ascii="Arial" w:hAnsi="Arial" w:cs="Arial"/>
          <w:b w:val="0"/>
          <w:color w:val="auto"/>
          <w:sz w:val="22"/>
          <w:szCs w:val="22"/>
        </w:rPr>
        <w:t>Age-standardized incidence rates (ASIR</w:t>
      </w:r>
      <w:r w:rsidR="00066D9C" w:rsidRPr="00E559E6">
        <w:rPr>
          <w:rFonts w:ascii="Arial" w:hAnsi="Arial" w:cs="Arial"/>
          <w:b w:val="0"/>
          <w:color w:val="auto"/>
          <w:sz w:val="22"/>
          <w:szCs w:val="22"/>
        </w:rPr>
        <w:t>s</w:t>
      </w:r>
      <w:r w:rsidRPr="00E559E6">
        <w:rPr>
          <w:rFonts w:ascii="Arial" w:hAnsi="Arial" w:cs="Arial"/>
          <w:b w:val="0"/>
          <w:color w:val="auto"/>
          <w:sz w:val="22"/>
          <w:szCs w:val="22"/>
        </w:rPr>
        <w:t>) of advanced CRCs with affected lymph nodes only (UICC III): Comparison between GePaRD and ZfKD</w:t>
      </w:r>
    </w:p>
    <w:p w14:paraId="59E5565A" w14:textId="79767AC6" w:rsidR="00066D9C" w:rsidRPr="00E559E6" w:rsidRDefault="001046D0" w:rsidP="00066D9C">
      <w:r>
        <w:rPr>
          <w:noProof/>
        </w:rPr>
        <w:drawing>
          <wp:inline distT="0" distB="0" distL="0" distR="0" wp14:anchorId="515108EC" wp14:editId="707F32FE">
            <wp:extent cx="5040000" cy="3240000"/>
            <wp:effectExtent l="0" t="0" r="27305" b="17780"/>
            <wp:docPr id="7" name="Diagramm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7E43B307" w14:textId="77777777" w:rsidR="00C472A5" w:rsidRDefault="00C472A5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1FB2E18" w14:textId="19C0387C" w:rsidR="00940C19" w:rsidRPr="00E559E6" w:rsidRDefault="00940C19" w:rsidP="00BA5C08">
      <w:pPr>
        <w:pStyle w:val="Listenabsatz"/>
        <w:numPr>
          <w:ilvl w:val="0"/>
          <w:numId w:val="1"/>
        </w:numPr>
        <w:spacing w:line="480" w:lineRule="auto"/>
        <w:rPr>
          <w:rFonts w:ascii="Arial" w:hAnsi="Arial" w:cs="Arial"/>
        </w:rPr>
      </w:pPr>
      <w:r w:rsidRPr="00E559E6">
        <w:rPr>
          <w:rFonts w:ascii="Arial" w:hAnsi="Arial" w:cs="Arial"/>
        </w:rPr>
        <w:lastRenderedPageBreak/>
        <w:t>Age-standardized incidence rates (ASIR</w:t>
      </w:r>
      <w:r w:rsidR="00066D9C" w:rsidRPr="00E559E6">
        <w:rPr>
          <w:rFonts w:ascii="Arial" w:hAnsi="Arial" w:cs="Arial"/>
        </w:rPr>
        <w:t>s</w:t>
      </w:r>
      <w:r w:rsidRPr="00E559E6">
        <w:rPr>
          <w:rFonts w:ascii="Arial" w:hAnsi="Arial" w:cs="Arial"/>
        </w:rPr>
        <w:t xml:space="preserve">) of advanced CRCs with distant metastases (UICC IV): Comparison between GePaRD and ZfKD </w:t>
      </w:r>
    </w:p>
    <w:p w14:paraId="3A6DC446" w14:textId="0723A735" w:rsidR="00D33C4A" w:rsidRDefault="001046D0" w:rsidP="00E57410">
      <w:pPr>
        <w:spacing w:after="0" w:line="480" w:lineRule="auto"/>
      </w:pPr>
      <w:r>
        <w:rPr>
          <w:noProof/>
        </w:rPr>
        <w:drawing>
          <wp:inline distT="0" distB="0" distL="0" distR="0" wp14:anchorId="54CEF257" wp14:editId="5AD43348">
            <wp:extent cx="5040000" cy="3240000"/>
            <wp:effectExtent l="0" t="0" r="27305" b="17780"/>
            <wp:docPr id="6" name="Diagramm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sectPr w:rsidR="00D33C4A">
      <w:footerReference w:type="default" r:id="rId10"/>
      <w:pgSz w:w="12240" w:h="15840"/>
      <w:pgMar w:top="1417" w:right="1417" w:bottom="1134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DD53B64" w16cid:durableId="1E8E10C1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F1558D" w14:textId="77777777" w:rsidR="004E37B7" w:rsidRDefault="004E37B7" w:rsidP="00DA4C32">
      <w:pPr>
        <w:spacing w:after="0" w:line="240" w:lineRule="auto"/>
      </w:pPr>
      <w:r>
        <w:separator/>
      </w:r>
    </w:p>
  </w:endnote>
  <w:endnote w:type="continuationSeparator" w:id="0">
    <w:p w14:paraId="063CE223" w14:textId="77777777" w:rsidR="004E37B7" w:rsidRDefault="004E37B7" w:rsidP="00DA4C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34027017"/>
      <w:docPartObj>
        <w:docPartGallery w:val="Page Numbers (Bottom of Page)"/>
        <w:docPartUnique/>
      </w:docPartObj>
    </w:sdtPr>
    <w:sdtEndPr/>
    <w:sdtContent>
      <w:p w14:paraId="44CC2320" w14:textId="434D7DC6" w:rsidR="004E37B7" w:rsidRDefault="004E37B7">
        <w:pPr>
          <w:pStyle w:val="Fu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0DA8" w:rsidRPr="00270DA8">
          <w:rPr>
            <w:noProof/>
            <w:lang w:val="de-DE"/>
          </w:rPr>
          <w:t>2</w:t>
        </w:r>
        <w:r>
          <w:fldChar w:fldCharType="end"/>
        </w:r>
      </w:p>
    </w:sdtContent>
  </w:sdt>
  <w:p w14:paraId="666C5053" w14:textId="77777777" w:rsidR="004E37B7" w:rsidRDefault="004E37B7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7CCFD7" w14:textId="77777777" w:rsidR="004E37B7" w:rsidRDefault="004E37B7" w:rsidP="00DA4C32">
      <w:pPr>
        <w:spacing w:after="0" w:line="240" w:lineRule="auto"/>
      </w:pPr>
      <w:r>
        <w:separator/>
      </w:r>
    </w:p>
  </w:footnote>
  <w:footnote w:type="continuationSeparator" w:id="0">
    <w:p w14:paraId="72F52407" w14:textId="77777777" w:rsidR="004E37B7" w:rsidRDefault="004E37B7" w:rsidP="00DA4C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F836FC"/>
    <w:multiLevelType w:val="hybridMultilevel"/>
    <w:tmpl w:val="31A27D4A"/>
    <w:lvl w:ilvl="0" w:tplc="04070019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364" w:hanging="360"/>
      </w:pPr>
    </w:lvl>
    <w:lvl w:ilvl="2" w:tplc="0407001B" w:tentative="1">
      <w:start w:val="1"/>
      <w:numFmt w:val="lowerRoman"/>
      <w:lvlText w:val="%3."/>
      <w:lvlJc w:val="right"/>
      <w:pPr>
        <w:ind w:left="2084" w:hanging="180"/>
      </w:pPr>
    </w:lvl>
    <w:lvl w:ilvl="3" w:tplc="0407000F" w:tentative="1">
      <w:start w:val="1"/>
      <w:numFmt w:val="decimal"/>
      <w:lvlText w:val="%4."/>
      <w:lvlJc w:val="left"/>
      <w:pPr>
        <w:ind w:left="2804" w:hanging="360"/>
      </w:pPr>
    </w:lvl>
    <w:lvl w:ilvl="4" w:tplc="04070019" w:tentative="1">
      <w:start w:val="1"/>
      <w:numFmt w:val="lowerLetter"/>
      <w:lvlText w:val="%5."/>
      <w:lvlJc w:val="left"/>
      <w:pPr>
        <w:ind w:left="3524" w:hanging="360"/>
      </w:pPr>
    </w:lvl>
    <w:lvl w:ilvl="5" w:tplc="0407001B" w:tentative="1">
      <w:start w:val="1"/>
      <w:numFmt w:val="lowerRoman"/>
      <w:lvlText w:val="%6."/>
      <w:lvlJc w:val="right"/>
      <w:pPr>
        <w:ind w:left="4244" w:hanging="180"/>
      </w:pPr>
    </w:lvl>
    <w:lvl w:ilvl="6" w:tplc="0407000F" w:tentative="1">
      <w:start w:val="1"/>
      <w:numFmt w:val="decimal"/>
      <w:lvlText w:val="%7."/>
      <w:lvlJc w:val="left"/>
      <w:pPr>
        <w:ind w:left="4964" w:hanging="360"/>
      </w:pPr>
    </w:lvl>
    <w:lvl w:ilvl="7" w:tplc="04070019" w:tentative="1">
      <w:start w:val="1"/>
      <w:numFmt w:val="lowerLetter"/>
      <w:lvlText w:val="%8."/>
      <w:lvlJc w:val="left"/>
      <w:pPr>
        <w:ind w:left="5684" w:hanging="360"/>
      </w:pPr>
    </w:lvl>
    <w:lvl w:ilvl="8" w:tplc="0407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Ulrike">
    <w15:presenceInfo w15:providerId="None" w15:userId="Ulrik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1C86"/>
    <w:rsid w:val="000125BD"/>
    <w:rsid w:val="00066D9C"/>
    <w:rsid w:val="000932FE"/>
    <w:rsid w:val="000B5A48"/>
    <w:rsid w:val="000C6719"/>
    <w:rsid w:val="001046D0"/>
    <w:rsid w:val="00116B8F"/>
    <w:rsid w:val="00160565"/>
    <w:rsid w:val="00160C02"/>
    <w:rsid w:val="00195279"/>
    <w:rsid w:val="001C1067"/>
    <w:rsid w:val="001F4F9B"/>
    <w:rsid w:val="00270DA8"/>
    <w:rsid w:val="002D4980"/>
    <w:rsid w:val="002E223F"/>
    <w:rsid w:val="00340577"/>
    <w:rsid w:val="00372F6C"/>
    <w:rsid w:val="003A35AD"/>
    <w:rsid w:val="003A455E"/>
    <w:rsid w:val="003D2E78"/>
    <w:rsid w:val="004260CB"/>
    <w:rsid w:val="0047696A"/>
    <w:rsid w:val="00496A83"/>
    <w:rsid w:val="004D3ADA"/>
    <w:rsid w:val="004E37B7"/>
    <w:rsid w:val="004E3FCE"/>
    <w:rsid w:val="00555095"/>
    <w:rsid w:val="00555818"/>
    <w:rsid w:val="005B30EB"/>
    <w:rsid w:val="005F395D"/>
    <w:rsid w:val="006134AE"/>
    <w:rsid w:val="006D094B"/>
    <w:rsid w:val="006E4FFE"/>
    <w:rsid w:val="0079255F"/>
    <w:rsid w:val="008652BE"/>
    <w:rsid w:val="008D5D76"/>
    <w:rsid w:val="00907A45"/>
    <w:rsid w:val="009163B7"/>
    <w:rsid w:val="009308FC"/>
    <w:rsid w:val="00940C19"/>
    <w:rsid w:val="0094469D"/>
    <w:rsid w:val="009519B4"/>
    <w:rsid w:val="00981B9A"/>
    <w:rsid w:val="00991E77"/>
    <w:rsid w:val="009A039B"/>
    <w:rsid w:val="009F6B4A"/>
    <w:rsid w:val="00A4214C"/>
    <w:rsid w:val="00A44C08"/>
    <w:rsid w:val="00A62E51"/>
    <w:rsid w:val="00AC7073"/>
    <w:rsid w:val="00AD439A"/>
    <w:rsid w:val="00B476CB"/>
    <w:rsid w:val="00BA5C08"/>
    <w:rsid w:val="00BB4183"/>
    <w:rsid w:val="00C472A5"/>
    <w:rsid w:val="00C56AF9"/>
    <w:rsid w:val="00C64A57"/>
    <w:rsid w:val="00C802D7"/>
    <w:rsid w:val="00CA4AD8"/>
    <w:rsid w:val="00CD120F"/>
    <w:rsid w:val="00CE1E3E"/>
    <w:rsid w:val="00CE569F"/>
    <w:rsid w:val="00CF1C86"/>
    <w:rsid w:val="00D33C4A"/>
    <w:rsid w:val="00D562CF"/>
    <w:rsid w:val="00DA4C32"/>
    <w:rsid w:val="00E50BA0"/>
    <w:rsid w:val="00E559E6"/>
    <w:rsid w:val="00E57410"/>
    <w:rsid w:val="00E5753A"/>
    <w:rsid w:val="00E73A9C"/>
    <w:rsid w:val="00F25F9D"/>
    <w:rsid w:val="00F96430"/>
    <w:rsid w:val="00FB7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0C190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paragraph" w:styleId="berschrift4">
    <w:name w:val="heading 4"/>
    <w:basedOn w:val="Standard"/>
    <w:link w:val="berschrift4Zchn"/>
    <w:uiPriority w:val="9"/>
    <w:qFormat/>
    <w:rsid w:val="00907A4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CF1C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schriftung">
    <w:name w:val="caption"/>
    <w:basedOn w:val="Standard"/>
    <w:next w:val="Standard"/>
    <w:uiPriority w:val="35"/>
    <w:unhideWhenUsed/>
    <w:qFormat/>
    <w:rsid w:val="00CF1C86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25F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25F9D"/>
    <w:rPr>
      <w:rFonts w:ascii="Tahoma" w:hAnsi="Tahoma" w:cs="Tahoma"/>
      <w:sz w:val="16"/>
      <w:szCs w:val="16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907A45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label">
    <w:name w:val="label"/>
    <w:basedOn w:val="Absatz-Standardschriftart"/>
    <w:rsid w:val="00907A45"/>
  </w:style>
  <w:style w:type="character" w:styleId="Kommentarzeichen">
    <w:name w:val="annotation reference"/>
    <w:basedOn w:val="Absatz-Standardschriftart"/>
    <w:uiPriority w:val="99"/>
    <w:semiHidden/>
    <w:unhideWhenUsed/>
    <w:rsid w:val="001F4F9B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1F4F9B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1F4F9B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1F4F9B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1F4F9B"/>
    <w:rPr>
      <w:b/>
      <w:bCs/>
      <w:sz w:val="20"/>
      <w:szCs w:val="20"/>
    </w:rPr>
  </w:style>
  <w:style w:type="table" w:styleId="HelleSchattierung">
    <w:name w:val="Light Shading"/>
    <w:basedOn w:val="NormaleTabelle"/>
    <w:uiPriority w:val="60"/>
    <w:rsid w:val="000125B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Kopfzeile">
    <w:name w:val="header"/>
    <w:basedOn w:val="Standard"/>
    <w:link w:val="KopfzeileZchn"/>
    <w:uiPriority w:val="99"/>
    <w:unhideWhenUsed/>
    <w:rsid w:val="00DA4C3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DA4C32"/>
  </w:style>
  <w:style w:type="paragraph" w:styleId="Fuzeile">
    <w:name w:val="footer"/>
    <w:basedOn w:val="Standard"/>
    <w:link w:val="FuzeileZchn"/>
    <w:uiPriority w:val="99"/>
    <w:unhideWhenUsed/>
    <w:rsid w:val="00DA4C3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DA4C32"/>
  </w:style>
  <w:style w:type="paragraph" w:styleId="Listenabsatz">
    <w:name w:val="List Paragraph"/>
    <w:basedOn w:val="Standard"/>
    <w:uiPriority w:val="34"/>
    <w:qFormat/>
    <w:rsid w:val="005B30E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paragraph" w:styleId="berschrift4">
    <w:name w:val="heading 4"/>
    <w:basedOn w:val="Standard"/>
    <w:link w:val="berschrift4Zchn"/>
    <w:uiPriority w:val="9"/>
    <w:qFormat/>
    <w:rsid w:val="00907A4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CF1C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schriftung">
    <w:name w:val="caption"/>
    <w:basedOn w:val="Standard"/>
    <w:next w:val="Standard"/>
    <w:uiPriority w:val="35"/>
    <w:unhideWhenUsed/>
    <w:qFormat/>
    <w:rsid w:val="00CF1C86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25F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25F9D"/>
    <w:rPr>
      <w:rFonts w:ascii="Tahoma" w:hAnsi="Tahoma" w:cs="Tahoma"/>
      <w:sz w:val="16"/>
      <w:szCs w:val="16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907A45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label">
    <w:name w:val="label"/>
    <w:basedOn w:val="Absatz-Standardschriftart"/>
    <w:rsid w:val="00907A45"/>
  </w:style>
  <w:style w:type="character" w:styleId="Kommentarzeichen">
    <w:name w:val="annotation reference"/>
    <w:basedOn w:val="Absatz-Standardschriftart"/>
    <w:uiPriority w:val="99"/>
    <w:semiHidden/>
    <w:unhideWhenUsed/>
    <w:rsid w:val="001F4F9B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1F4F9B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1F4F9B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1F4F9B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1F4F9B"/>
    <w:rPr>
      <w:b/>
      <w:bCs/>
      <w:sz w:val="20"/>
      <w:szCs w:val="20"/>
    </w:rPr>
  </w:style>
  <w:style w:type="table" w:styleId="HelleSchattierung">
    <w:name w:val="Light Shading"/>
    <w:basedOn w:val="NormaleTabelle"/>
    <w:uiPriority w:val="60"/>
    <w:rsid w:val="000125B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Kopfzeile">
    <w:name w:val="header"/>
    <w:basedOn w:val="Standard"/>
    <w:link w:val="KopfzeileZchn"/>
    <w:uiPriority w:val="99"/>
    <w:unhideWhenUsed/>
    <w:rsid w:val="00DA4C3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DA4C32"/>
  </w:style>
  <w:style w:type="paragraph" w:styleId="Fuzeile">
    <w:name w:val="footer"/>
    <w:basedOn w:val="Standard"/>
    <w:link w:val="FuzeileZchn"/>
    <w:uiPriority w:val="99"/>
    <w:unhideWhenUsed/>
    <w:rsid w:val="00DA4C3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DA4C32"/>
  </w:style>
  <w:style w:type="paragraph" w:styleId="Listenabsatz">
    <w:name w:val="List Paragraph"/>
    <w:basedOn w:val="Standard"/>
    <w:uiPriority w:val="34"/>
    <w:qFormat/>
    <w:rsid w:val="005B30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87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0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3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1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9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8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7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microsoft.com/office/2011/relationships/people" Target="peop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\\srvwork\gruppen\Krebsstadien\Manuskript%20ASIR%20Adv%20CRC\ASIR%20Adv%20CRC_180725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\\srvwork\gruppen\Krebsstadien\Manuskript%20ASIR%20Adv%20CRC\ASIR%20Adv%20CRC_180725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Supplement_3_4!$N$35</c:f>
              <c:strCache>
                <c:ptCount val="1"/>
                <c:pt idx="0">
                  <c:v>Men - GePaRD</c:v>
                </c:pt>
              </c:strCache>
            </c:strRef>
          </c:tx>
          <c:spPr>
            <a:ln>
              <a:solidFill>
                <a:schemeClr val="tx1"/>
              </a:solidFill>
            </a:ln>
          </c:spPr>
          <c:marker>
            <c:symbol val="none"/>
          </c:marker>
          <c:cat>
            <c:numRef>
              <c:f>Supplement_3_4!$O$34:$V$34</c:f>
              <c:numCache>
                <c:formatCode>0</c:formatCode>
                <c:ptCount val="8"/>
                <c:pt idx="0">
                  <c:v>2008</c:v>
                </c:pt>
                <c:pt idx="1">
                  <c:v>2009</c:v>
                </c:pt>
                <c:pt idx="2">
                  <c:v>2010</c:v>
                </c:pt>
                <c:pt idx="3">
                  <c:v>2011</c:v>
                </c:pt>
                <c:pt idx="4">
                  <c:v>2012</c:v>
                </c:pt>
                <c:pt idx="5">
                  <c:v>2013</c:v>
                </c:pt>
                <c:pt idx="6">
                  <c:v>2014</c:v>
                </c:pt>
                <c:pt idx="7">
                  <c:v>2015</c:v>
                </c:pt>
              </c:numCache>
            </c:numRef>
          </c:cat>
          <c:val>
            <c:numRef>
              <c:f>Supplement_3_4!$O$35:$V$35</c:f>
              <c:numCache>
                <c:formatCode>0.00</c:formatCode>
                <c:ptCount val="8"/>
                <c:pt idx="0">
                  <c:v>6.4347000000000003</c:v>
                </c:pt>
                <c:pt idx="1">
                  <c:v>7.0681000000000003</c:v>
                </c:pt>
                <c:pt idx="2">
                  <c:v>6.9368999999999996</c:v>
                </c:pt>
                <c:pt idx="3">
                  <c:v>7.3606999999999996</c:v>
                </c:pt>
                <c:pt idx="4">
                  <c:v>6.6936999999999998</c:v>
                </c:pt>
                <c:pt idx="5">
                  <c:v>7.3948999999999998</c:v>
                </c:pt>
                <c:pt idx="6">
                  <c:v>7.4451000000000001</c:v>
                </c:pt>
                <c:pt idx="7">
                  <c:v>7.1520000000000001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Supplement_3_4!$N$36</c:f>
              <c:strCache>
                <c:ptCount val="1"/>
                <c:pt idx="0">
                  <c:v>Men - ZfKD</c:v>
                </c:pt>
              </c:strCache>
            </c:strRef>
          </c:tx>
          <c:spPr>
            <a:ln>
              <a:solidFill>
                <a:schemeClr val="tx1"/>
              </a:solidFill>
              <a:prstDash val="dash"/>
            </a:ln>
          </c:spPr>
          <c:marker>
            <c:symbol val="none"/>
          </c:marker>
          <c:cat>
            <c:numRef>
              <c:f>Supplement_3_4!$O$34:$V$34</c:f>
              <c:numCache>
                <c:formatCode>0</c:formatCode>
                <c:ptCount val="8"/>
                <c:pt idx="0">
                  <c:v>2008</c:v>
                </c:pt>
                <c:pt idx="1">
                  <c:v>2009</c:v>
                </c:pt>
                <c:pt idx="2">
                  <c:v>2010</c:v>
                </c:pt>
                <c:pt idx="3">
                  <c:v>2011</c:v>
                </c:pt>
                <c:pt idx="4">
                  <c:v>2012</c:v>
                </c:pt>
                <c:pt idx="5">
                  <c:v>2013</c:v>
                </c:pt>
                <c:pt idx="6">
                  <c:v>2014</c:v>
                </c:pt>
                <c:pt idx="7">
                  <c:v>2015</c:v>
                </c:pt>
              </c:numCache>
            </c:numRef>
          </c:cat>
          <c:val>
            <c:numRef>
              <c:f>Supplement_3_4!$O$36:$V$36</c:f>
              <c:numCache>
                <c:formatCode>0.00</c:formatCode>
                <c:ptCount val="8"/>
                <c:pt idx="0">
                  <c:v>11.8527</c:v>
                </c:pt>
                <c:pt idx="1">
                  <c:v>11.3127</c:v>
                </c:pt>
                <c:pt idx="2">
                  <c:v>12.026899999999999</c:v>
                </c:pt>
                <c:pt idx="3">
                  <c:v>13.013500000000001</c:v>
                </c:pt>
                <c:pt idx="4">
                  <c:v>12.472799999999999</c:v>
                </c:pt>
                <c:pt idx="5">
                  <c:v>12.6753</c:v>
                </c:pt>
                <c:pt idx="6">
                  <c:v>11.5998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Supplement_3_4!$N$37</c:f>
              <c:strCache>
                <c:ptCount val="1"/>
                <c:pt idx="0">
                  <c:v>Women - GePaRD</c:v>
                </c:pt>
              </c:strCache>
            </c:strRef>
          </c:tx>
          <c:spPr>
            <a:ln>
              <a:solidFill>
                <a:schemeClr val="bg1">
                  <a:lumMod val="50000"/>
                </a:schemeClr>
              </a:solidFill>
            </a:ln>
          </c:spPr>
          <c:marker>
            <c:symbol val="none"/>
          </c:marker>
          <c:cat>
            <c:numRef>
              <c:f>Supplement_3_4!$O$34:$V$34</c:f>
              <c:numCache>
                <c:formatCode>0</c:formatCode>
                <c:ptCount val="8"/>
                <c:pt idx="0">
                  <c:v>2008</c:v>
                </c:pt>
                <c:pt idx="1">
                  <c:v>2009</c:v>
                </c:pt>
                <c:pt idx="2">
                  <c:v>2010</c:v>
                </c:pt>
                <c:pt idx="3">
                  <c:v>2011</c:v>
                </c:pt>
                <c:pt idx="4">
                  <c:v>2012</c:v>
                </c:pt>
                <c:pt idx="5">
                  <c:v>2013</c:v>
                </c:pt>
                <c:pt idx="6">
                  <c:v>2014</c:v>
                </c:pt>
                <c:pt idx="7">
                  <c:v>2015</c:v>
                </c:pt>
              </c:numCache>
            </c:numRef>
          </c:cat>
          <c:val>
            <c:numRef>
              <c:f>Supplement_3_4!$O$37:$V$37</c:f>
              <c:numCache>
                <c:formatCode>0.00</c:formatCode>
                <c:ptCount val="8"/>
                <c:pt idx="0">
                  <c:v>4.0176999999999996</c:v>
                </c:pt>
                <c:pt idx="1">
                  <c:v>4.6319999999999997</c:v>
                </c:pt>
                <c:pt idx="2">
                  <c:v>4.8087999999999997</c:v>
                </c:pt>
                <c:pt idx="3">
                  <c:v>4.5598000000000001</c:v>
                </c:pt>
                <c:pt idx="4">
                  <c:v>5.05</c:v>
                </c:pt>
                <c:pt idx="5">
                  <c:v>5.0999999999999996</c:v>
                </c:pt>
                <c:pt idx="6">
                  <c:v>5.0199999999999996</c:v>
                </c:pt>
                <c:pt idx="7">
                  <c:v>4.6825999999999999</c:v>
                </c:pt>
              </c:numCache>
            </c:numRef>
          </c:val>
          <c:smooth val="0"/>
        </c:ser>
        <c:ser>
          <c:idx val="3"/>
          <c:order val="3"/>
          <c:tx>
            <c:strRef>
              <c:f>Supplement_3_4!$N$38</c:f>
              <c:strCache>
                <c:ptCount val="1"/>
                <c:pt idx="0">
                  <c:v>Women - ZfKD </c:v>
                </c:pt>
              </c:strCache>
            </c:strRef>
          </c:tx>
          <c:spPr>
            <a:ln>
              <a:solidFill>
                <a:schemeClr val="bg1">
                  <a:lumMod val="50000"/>
                </a:schemeClr>
              </a:solidFill>
              <a:prstDash val="dash"/>
            </a:ln>
          </c:spPr>
          <c:marker>
            <c:symbol val="none"/>
          </c:marker>
          <c:cat>
            <c:numRef>
              <c:f>Supplement_3_4!$O$34:$V$34</c:f>
              <c:numCache>
                <c:formatCode>0</c:formatCode>
                <c:ptCount val="8"/>
                <c:pt idx="0">
                  <c:v>2008</c:v>
                </c:pt>
                <c:pt idx="1">
                  <c:v>2009</c:v>
                </c:pt>
                <c:pt idx="2">
                  <c:v>2010</c:v>
                </c:pt>
                <c:pt idx="3">
                  <c:v>2011</c:v>
                </c:pt>
                <c:pt idx="4">
                  <c:v>2012</c:v>
                </c:pt>
                <c:pt idx="5">
                  <c:v>2013</c:v>
                </c:pt>
                <c:pt idx="6">
                  <c:v>2014</c:v>
                </c:pt>
                <c:pt idx="7">
                  <c:v>2015</c:v>
                </c:pt>
              </c:numCache>
            </c:numRef>
          </c:cat>
          <c:val>
            <c:numRef>
              <c:f>Supplement_3_4!$O$38:$V$38</c:f>
              <c:numCache>
                <c:formatCode>0.00</c:formatCode>
                <c:ptCount val="8"/>
                <c:pt idx="0">
                  <c:v>7.2069000000000001</c:v>
                </c:pt>
                <c:pt idx="1">
                  <c:v>7.3304</c:v>
                </c:pt>
                <c:pt idx="2">
                  <c:v>7.8567999999999998</c:v>
                </c:pt>
                <c:pt idx="3">
                  <c:v>7.7591999999999999</c:v>
                </c:pt>
                <c:pt idx="4">
                  <c:v>8.1149000000000004</c:v>
                </c:pt>
                <c:pt idx="5">
                  <c:v>7.6447000000000003</c:v>
                </c:pt>
                <c:pt idx="6">
                  <c:v>7.1623000000000001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92407680"/>
        <c:axId val="92524544"/>
      </c:lineChart>
      <c:catAx>
        <c:axId val="92407680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 sz="900"/>
                </a:pPr>
                <a:r>
                  <a:rPr lang="en-US" sz="900" b="0" i="0" u="none" strike="noStrike" baseline="0">
                    <a:effectLst/>
                  </a:rPr>
                  <a:t>Year</a:t>
                </a:r>
                <a:endParaRPr lang="de-DE" sz="900"/>
              </a:p>
            </c:rich>
          </c:tx>
          <c:layout/>
          <c:overlay val="0"/>
        </c:title>
        <c:numFmt formatCode="0" sourceLinked="1"/>
        <c:majorTickMark val="out"/>
        <c:minorTickMark val="none"/>
        <c:tickLblPos val="nextTo"/>
        <c:txPr>
          <a:bodyPr/>
          <a:lstStyle/>
          <a:p>
            <a:pPr>
              <a:defRPr sz="900"/>
            </a:pPr>
            <a:endParaRPr lang="en-US"/>
          </a:p>
        </c:txPr>
        <c:crossAx val="92524544"/>
        <c:crosses val="autoZero"/>
        <c:auto val="1"/>
        <c:lblAlgn val="ctr"/>
        <c:lblOffset val="100"/>
        <c:noMultiLvlLbl val="0"/>
      </c:catAx>
      <c:valAx>
        <c:axId val="92524544"/>
        <c:scaling>
          <c:orientation val="minMax"/>
          <c:max val="30"/>
        </c:scaling>
        <c:delete val="0"/>
        <c:axPos val="l"/>
        <c:title>
          <c:tx>
            <c:rich>
              <a:bodyPr rot="-5400000" vert="horz"/>
              <a:lstStyle/>
              <a:p>
                <a:pPr marL="0" marR="0" indent="0" algn="ctr" defTabSz="914400" rtl="0" eaLnBrk="1" fontAlgn="auto" latinLnBrk="0" hangingPunct="1">
                  <a:lnSpc>
                    <a:spcPct val="100000"/>
                  </a:lnSpc>
                  <a:spcBef>
                    <a:spcPts val="0"/>
                  </a:spcBef>
                  <a:spcAft>
                    <a:spcPts val="0"/>
                  </a:spcAft>
                  <a:buClrTx/>
                  <a:buSzTx/>
                  <a:buFontTx/>
                  <a:buNone/>
                  <a:tabLst/>
                  <a:defRPr sz="1000" b="1" i="0" u="none" strike="noStrike" kern="1200" baseline="0">
                    <a:solidFill>
                      <a:sysClr val="windowText" lastClr="000000"/>
                    </a:solidFill>
                    <a:latin typeface="Arial" pitchFamily="34" charset="0"/>
                    <a:ea typeface="+mn-ea"/>
                    <a:cs typeface="Arial" pitchFamily="34" charset="0"/>
                  </a:defRPr>
                </a:pPr>
                <a:r>
                  <a:rPr lang="en-US" sz="900" b="0" i="0" baseline="0">
                    <a:effectLst/>
                  </a:rPr>
                  <a:t>Age-standardized incidence rates per 100,000</a:t>
                </a:r>
                <a:endParaRPr lang="de-DE" sz="300" b="0">
                  <a:effectLst/>
                </a:endParaRPr>
              </a:p>
            </c:rich>
          </c:tx>
          <c:layout/>
          <c:overlay val="0"/>
        </c:title>
        <c:numFmt formatCode="0" sourceLinked="0"/>
        <c:majorTickMark val="out"/>
        <c:minorTickMark val="none"/>
        <c:tickLblPos val="nextTo"/>
        <c:crossAx val="92407680"/>
        <c:crosses val="autoZero"/>
        <c:crossBetween val="midCat"/>
      </c:valAx>
    </c:plotArea>
    <c:legend>
      <c:legendPos val="r"/>
      <c:layout/>
      <c:overlay val="0"/>
      <c:txPr>
        <a:bodyPr/>
        <a:lstStyle/>
        <a:p>
          <a:pPr>
            <a:defRPr sz="900"/>
          </a:pPr>
          <a:endParaRPr lang="en-US"/>
        </a:p>
      </c:txPr>
    </c:legend>
    <c:plotVisOnly val="1"/>
    <c:dispBlanksAs val="gap"/>
    <c:showDLblsOverMax val="0"/>
  </c:chart>
  <c:txPr>
    <a:bodyPr/>
    <a:lstStyle/>
    <a:p>
      <a:pPr>
        <a:defRPr>
          <a:latin typeface="Arial" pitchFamily="34" charset="0"/>
          <a:cs typeface="Arial" pitchFamily="34" charset="0"/>
        </a:defRPr>
      </a:pPr>
      <a:endParaRPr lang="en-US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Supplement_3_4!$N$6</c:f>
              <c:strCache>
                <c:ptCount val="1"/>
                <c:pt idx="0">
                  <c:v>Men - GePaRD</c:v>
                </c:pt>
              </c:strCache>
            </c:strRef>
          </c:tx>
          <c:spPr>
            <a:ln>
              <a:solidFill>
                <a:schemeClr val="tx1"/>
              </a:solidFill>
            </a:ln>
          </c:spPr>
          <c:marker>
            <c:symbol val="none"/>
          </c:marker>
          <c:cat>
            <c:numRef>
              <c:f>Supplement_3_4!$O$5:$V$5</c:f>
              <c:numCache>
                <c:formatCode>0</c:formatCode>
                <c:ptCount val="8"/>
                <c:pt idx="0">
                  <c:v>2008</c:v>
                </c:pt>
                <c:pt idx="1">
                  <c:v>2009</c:v>
                </c:pt>
                <c:pt idx="2">
                  <c:v>2010</c:v>
                </c:pt>
                <c:pt idx="3">
                  <c:v>2011</c:v>
                </c:pt>
                <c:pt idx="4">
                  <c:v>2012</c:v>
                </c:pt>
                <c:pt idx="5">
                  <c:v>2013</c:v>
                </c:pt>
                <c:pt idx="6">
                  <c:v>2014</c:v>
                </c:pt>
                <c:pt idx="7">
                  <c:v>2015</c:v>
                </c:pt>
              </c:numCache>
            </c:numRef>
          </c:cat>
          <c:val>
            <c:numRef>
              <c:f>Supplement_3_4!$O$6:$V$6</c:f>
              <c:numCache>
                <c:formatCode>0.00</c:formatCode>
                <c:ptCount val="8"/>
                <c:pt idx="0">
                  <c:v>15.2121</c:v>
                </c:pt>
                <c:pt idx="1">
                  <c:v>15.8742</c:v>
                </c:pt>
                <c:pt idx="2">
                  <c:v>15.7006</c:v>
                </c:pt>
                <c:pt idx="3">
                  <c:v>15.1661</c:v>
                </c:pt>
                <c:pt idx="4">
                  <c:v>14.0313</c:v>
                </c:pt>
                <c:pt idx="5">
                  <c:v>14.812900000000001</c:v>
                </c:pt>
                <c:pt idx="6">
                  <c:v>14.032400000000001</c:v>
                </c:pt>
                <c:pt idx="7">
                  <c:v>12.869199999999999</c:v>
                </c:pt>
              </c:numCache>
            </c:numRef>
          </c:val>
          <c:smooth val="0"/>
        </c:ser>
        <c:ser>
          <c:idx val="2"/>
          <c:order val="1"/>
          <c:tx>
            <c:strRef>
              <c:f>Supplement_3_4!$N$7</c:f>
              <c:strCache>
                <c:ptCount val="1"/>
                <c:pt idx="0">
                  <c:v>Men - ZfKD</c:v>
                </c:pt>
              </c:strCache>
            </c:strRef>
          </c:tx>
          <c:spPr>
            <a:ln>
              <a:solidFill>
                <a:schemeClr val="tx1"/>
              </a:solidFill>
              <a:prstDash val="dash"/>
            </a:ln>
          </c:spPr>
          <c:marker>
            <c:symbol val="none"/>
          </c:marker>
          <c:cat>
            <c:numRef>
              <c:f>Supplement_3_4!$O$5:$V$5</c:f>
              <c:numCache>
                <c:formatCode>0</c:formatCode>
                <c:ptCount val="8"/>
                <c:pt idx="0">
                  <c:v>2008</c:v>
                </c:pt>
                <c:pt idx="1">
                  <c:v>2009</c:v>
                </c:pt>
                <c:pt idx="2">
                  <c:v>2010</c:v>
                </c:pt>
                <c:pt idx="3">
                  <c:v>2011</c:v>
                </c:pt>
                <c:pt idx="4">
                  <c:v>2012</c:v>
                </c:pt>
                <c:pt idx="5">
                  <c:v>2013</c:v>
                </c:pt>
                <c:pt idx="6">
                  <c:v>2014</c:v>
                </c:pt>
                <c:pt idx="7">
                  <c:v>2015</c:v>
                </c:pt>
              </c:numCache>
            </c:numRef>
          </c:cat>
          <c:val>
            <c:numRef>
              <c:f>Supplement_3_4!$O$7:$V$7</c:f>
              <c:numCache>
                <c:formatCode>0.00</c:formatCode>
                <c:ptCount val="8"/>
                <c:pt idx="0">
                  <c:v>16.747900000000001</c:v>
                </c:pt>
                <c:pt idx="1">
                  <c:v>16.0364</c:v>
                </c:pt>
                <c:pt idx="2">
                  <c:v>14.5891</c:v>
                </c:pt>
                <c:pt idx="3">
                  <c:v>14.3035</c:v>
                </c:pt>
                <c:pt idx="4">
                  <c:v>13.882</c:v>
                </c:pt>
                <c:pt idx="5">
                  <c:v>13.8</c:v>
                </c:pt>
                <c:pt idx="6">
                  <c:v>12.481400000000001</c:v>
                </c:pt>
              </c:numCache>
            </c:numRef>
          </c:val>
          <c:smooth val="0"/>
        </c:ser>
        <c:ser>
          <c:idx val="1"/>
          <c:order val="2"/>
          <c:tx>
            <c:strRef>
              <c:f>Supplement_3_4!$N$8</c:f>
              <c:strCache>
                <c:ptCount val="1"/>
                <c:pt idx="0">
                  <c:v>Women - GePaRD</c:v>
                </c:pt>
              </c:strCache>
            </c:strRef>
          </c:tx>
          <c:spPr>
            <a:ln>
              <a:solidFill>
                <a:schemeClr val="bg1">
                  <a:lumMod val="50000"/>
                </a:schemeClr>
              </a:solidFill>
            </a:ln>
          </c:spPr>
          <c:marker>
            <c:symbol val="none"/>
          </c:marker>
          <c:cat>
            <c:numRef>
              <c:f>Supplement_3_4!$O$5:$V$5</c:f>
              <c:numCache>
                <c:formatCode>0</c:formatCode>
                <c:ptCount val="8"/>
                <c:pt idx="0">
                  <c:v>2008</c:v>
                </c:pt>
                <c:pt idx="1">
                  <c:v>2009</c:v>
                </c:pt>
                <c:pt idx="2">
                  <c:v>2010</c:v>
                </c:pt>
                <c:pt idx="3">
                  <c:v>2011</c:v>
                </c:pt>
                <c:pt idx="4">
                  <c:v>2012</c:v>
                </c:pt>
                <c:pt idx="5">
                  <c:v>2013</c:v>
                </c:pt>
                <c:pt idx="6">
                  <c:v>2014</c:v>
                </c:pt>
                <c:pt idx="7">
                  <c:v>2015</c:v>
                </c:pt>
              </c:numCache>
            </c:numRef>
          </c:cat>
          <c:val>
            <c:numRef>
              <c:f>Supplement_3_4!$O$8:$V$8</c:f>
              <c:numCache>
                <c:formatCode>0.00</c:formatCode>
                <c:ptCount val="8"/>
                <c:pt idx="0">
                  <c:v>10.39</c:v>
                </c:pt>
                <c:pt idx="1">
                  <c:v>10.4924</c:v>
                </c:pt>
                <c:pt idx="2">
                  <c:v>10.88</c:v>
                </c:pt>
                <c:pt idx="3">
                  <c:v>9.7093000000000007</c:v>
                </c:pt>
                <c:pt idx="4">
                  <c:v>9.7838999999999992</c:v>
                </c:pt>
                <c:pt idx="5">
                  <c:v>10.61</c:v>
                </c:pt>
                <c:pt idx="6">
                  <c:v>9.8864999999999998</c:v>
                </c:pt>
                <c:pt idx="7">
                  <c:v>8.5054999999999996</c:v>
                </c:pt>
              </c:numCache>
            </c:numRef>
          </c:val>
          <c:smooth val="0"/>
        </c:ser>
        <c:ser>
          <c:idx val="3"/>
          <c:order val="3"/>
          <c:tx>
            <c:strRef>
              <c:f>Supplement_3_4!$N$9</c:f>
              <c:strCache>
                <c:ptCount val="1"/>
                <c:pt idx="0">
                  <c:v>Women - ZfKD </c:v>
                </c:pt>
              </c:strCache>
            </c:strRef>
          </c:tx>
          <c:spPr>
            <a:ln>
              <a:solidFill>
                <a:schemeClr val="bg1">
                  <a:lumMod val="50000"/>
                </a:schemeClr>
              </a:solidFill>
              <a:prstDash val="dash"/>
            </a:ln>
          </c:spPr>
          <c:marker>
            <c:symbol val="none"/>
          </c:marker>
          <c:cat>
            <c:numRef>
              <c:f>Supplement_3_4!$O$5:$V$5</c:f>
              <c:numCache>
                <c:formatCode>0</c:formatCode>
                <c:ptCount val="8"/>
                <c:pt idx="0">
                  <c:v>2008</c:v>
                </c:pt>
                <c:pt idx="1">
                  <c:v>2009</c:v>
                </c:pt>
                <c:pt idx="2">
                  <c:v>2010</c:v>
                </c:pt>
                <c:pt idx="3">
                  <c:v>2011</c:v>
                </c:pt>
                <c:pt idx="4">
                  <c:v>2012</c:v>
                </c:pt>
                <c:pt idx="5">
                  <c:v>2013</c:v>
                </c:pt>
                <c:pt idx="6">
                  <c:v>2014</c:v>
                </c:pt>
                <c:pt idx="7">
                  <c:v>2015</c:v>
                </c:pt>
              </c:numCache>
            </c:numRef>
          </c:cat>
          <c:val>
            <c:numRef>
              <c:f>Supplement_3_4!$O$9:$V$9</c:f>
              <c:numCache>
                <c:formatCode>0.00</c:formatCode>
                <c:ptCount val="8"/>
                <c:pt idx="0">
                  <c:v>10.9024</c:v>
                </c:pt>
                <c:pt idx="1">
                  <c:v>10.051399999999999</c:v>
                </c:pt>
                <c:pt idx="2">
                  <c:v>9.0916999999999994</c:v>
                </c:pt>
                <c:pt idx="3">
                  <c:v>9.3294999999999995</c:v>
                </c:pt>
                <c:pt idx="4">
                  <c:v>8.6806999999999999</c:v>
                </c:pt>
                <c:pt idx="5">
                  <c:v>8.4697999999999993</c:v>
                </c:pt>
                <c:pt idx="6">
                  <c:v>7.4935999999999998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05559936"/>
        <c:axId val="105584128"/>
      </c:lineChart>
      <c:catAx>
        <c:axId val="105559936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 b="0"/>
                </a:pPr>
                <a:r>
                  <a:rPr lang="en-US" b="0"/>
                  <a:t>Year</a:t>
                </a:r>
              </a:p>
            </c:rich>
          </c:tx>
          <c:layout/>
          <c:overlay val="0"/>
        </c:title>
        <c:numFmt formatCode="0" sourceLinked="1"/>
        <c:majorTickMark val="out"/>
        <c:minorTickMark val="none"/>
        <c:tickLblPos val="nextTo"/>
        <c:crossAx val="105584128"/>
        <c:crosses val="autoZero"/>
        <c:auto val="1"/>
        <c:lblAlgn val="ctr"/>
        <c:lblOffset val="100"/>
        <c:noMultiLvlLbl val="0"/>
      </c:catAx>
      <c:valAx>
        <c:axId val="105584128"/>
        <c:scaling>
          <c:orientation val="minMax"/>
          <c:max val="30"/>
          <c:min val="0"/>
        </c:scaling>
        <c:delete val="0"/>
        <c:axPos val="l"/>
        <c:title>
          <c:tx>
            <c:rich>
              <a:bodyPr/>
              <a:lstStyle/>
              <a:p>
                <a:pPr>
                  <a:defRPr b="0"/>
                </a:pPr>
                <a:r>
                  <a:rPr lang="en-US" b="0"/>
                  <a:t>Age-standardized incidence rates per 100,000</a:t>
                </a:r>
              </a:p>
            </c:rich>
          </c:tx>
          <c:layout/>
          <c:overlay val="0"/>
        </c:title>
        <c:numFmt formatCode="0" sourceLinked="0"/>
        <c:majorTickMark val="out"/>
        <c:minorTickMark val="none"/>
        <c:tickLblPos val="nextTo"/>
        <c:crossAx val="105559936"/>
        <c:crosses val="autoZero"/>
        <c:crossBetween val="midCat"/>
      </c:valAx>
    </c:plotArea>
    <c:legend>
      <c:legendPos val="r"/>
      <c:layout/>
      <c:overlay val="0"/>
    </c:legend>
    <c:plotVisOnly val="1"/>
    <c:dispBlanksAs val="gap"/>
    <c:showDLblsOverMax val="0"/>
  </c:chart>
  <c:txPr>
    <a:bodyPr/>
    <a:lstStyle/>
    <a:p>
      <a:pPr>
        <a:defRPr sz="900">
          <a:latin typeface="Arial" panose="020B0604020202020204" pitchFamily="34" charset="0"/>
          <a:cs typeface="Arial" panose="020B0604020202020204" pitchFamily="34" charset="0"/>
        </a:defRPr>
      </a:pPr>
      <a:endParaRPr lang="en-US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78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BIPS</Company>
  <LinksUpToDate>false</LinksUpToDate>
  <CharactersWithSpaces>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Katja Oppelt</dc:creator>
  <cp:lastModifiedBy>Katja Oppelt</cp:lastModifiedBy>
  <cp:revision>2</cp:revision>
  <cp:lastPrinted>2018-06-26T08:10:00Z</cp:lastPrinted>
  <dcterms:created xsi:type="dcterms:W3CDTF">2019-03-12T12:41:00Z</dcterms:created>
  <dcterms:modified xsi:type="dcterms:W3CDTF">2019-03-12T12:41:00Z</dcterms:modified>
</cp:coreProperties>
</file>