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A30" w:rsidRDefault="00C34A30" w:rsidP="00C34A30">
      <w:pPr>
        <w:spacing w:line="480" w:lineRule="auto"/>
        <w:outlineLvl w:val="0"/>
        <w:rPr>
          <w:rFonts w:asciiTheme="majorHAnsi" w:hAnsiTheme="majorHAnsi" w:cstheme="majorHAnsi"/>
          <w:b/>
          <w:sz w:val="32"/>
        </w:rPr>
      </w:pPr>
      <w:r>
        <w:rPr>
          <w:rFonts w:asciiTheme="majorHAnsi" w:hAnsiTheme="majorHAnsi" w:cstheme="majorHAnsi"/>
          <w:b/>
          <w:sz w:val="32"/>
        </w:rPr>
        <w:t>STUDY PROTOCOL</w:t>
      </w:r>
    </w:p>
    <w:p w:rsidR="00C34A30" w:rsidRPr="00673297" w:rsidRDefault="00C34A30" w:rsidP="00C34A30">
      <w:pPr>
        <w:spacing w:line="480" w:lineRule="auto"/>
        <w:outlineLvl w:val="0"/>
        <w:rPr>
          <w:rFonts w:asciiTheme="majorHAnsi" w:hAnsiTheme="majorHAnsi" w:cstheme="majorHAnsi"/>
          <w:b/>
          <w:sz w:val="32"/>
        </w:rPr>
      </w:pPr>
      <w:r w:rsidRPr="00673297">
        <w:rPr>
          <w:rFonts w:asciiTheme="majorHAnsi" w:hAnsiTheme="majorHAnsi" w:cstheme="majorHAnsi"/>
          <w:b/>
          <w:sz w:val="32"/>
        </w:rPr>
        <w:t>An assessment of the quality of current clinical meta-analyses</w:t>
      </w:r>
    </w:p>
    <w:p w:rsidR="00C34A30" w:rsidRPr="00076107" w:rsidRDefault="00C34A30" w:rsidP="00C34A30">
      <w:pPr>
        <w:jc w:val="both"/>
        <w:rPr>
          <w:rFonts w:asciiTheme="majorHAnsi" w:hAnsiTheme="majorHAnsi" w:cstheme="majorHAnsi"/>
          <w:sz w:val="22"/>
          <w:szCs w:val="22"/>
        </w:rPr>
      </w:pPr>
    </w:p>
    <w:p w:rsidR="00C34A30" w:rsidRPr="00076107" w:rsidRDefault="00C34A30" w:rsidP="00C34A30">
      <w:pPr>
        <w:jc w:val="both"/>
        <w:rPr>
          <w:rFonts w:asciiTheme="majorHAnsi" w:hAnsiTheme="majorHAnsi" w:cstheme="majorHAnsi"/>
          <w:sz w:val="22"/>
          <w:szCs w:val="22"/>
        </w:rPr>
      </w:pPr>
    </w:p>
    <w:p w:rsidR="00C34A30" w:rsidRDefault="00C34A30" w:rsidP="00C34A30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MATERIALS AND </w:t>
      </w:r>
      <w:r w:rsidRPr="00673297">
        <w:rPr>
          <w:rFonts w:asciiTheme="majorHAnsi" w:hAnsiTheme="majorHAnsi" w:cstheme="majorHAnsi"/>
          <w:b/>
          <w:sz w:val="22"/>
          <w:szCs w:val="22"/>
        </w:rPr>
        <w:t>METHODS</w:t>
      </w:r>
    </w:p>
    <w:p w:rsidR="00992A89" w:rsidRPr="00C34A30" w:rsidRDefault="00992A89" w:rsidP="00C34A30">
      <w:pPr>
        <w:rPr>
          <w:rFonts w:asciiTheme="majorHAnsi" w:hAnsiTheme="majorHAnsi" w:cstheme="majorHAnsi"/>
          <w:sz w:val="22"/>
          <w:szCs w:val="22"/>
        </w:rPr>
      </w:pP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outlineLvl w:val="0"/>
        <w:rPr>
          <w:rFonts w:asciiTheme="majorHAnsi" w:hAnsiTheme="majorHAnsi" w:cstheme="majorHAnsi"/>
          <w:b/>
          <w:i/>
          <w:sz w:val="22"/>
          <w:szCs w:val="22"/>
        </w:rPr>
      </w:pPr>
      <w:r w:rsidRPr="00673297">
        <w:rPr>
          <w:rFonts w:asciiTheme="majorHAnsi" w:hAnsiTheme="majorHAnsi" w:cstheme="majorHAnsi"/>
          <w:b/>
          <w:i/>
          <w:sz w:val="22"/>
          <w:szCs w:val="22"/>
        </w:rPr>
        <w:t xml:space="preserve">Journal and </w:t>
      </w:r>
      <w:r>
        <w:rPr>
          <w:rFonts w:asciiTheme="majorHAnsi" w:hAnsiTheme="majorHAnsi" w:cstheme="majorHAnsi"/>
          <w:b/>
          <w:i/>
          <w:sz w:val="22"/>
          <w:szCs w:val="22"/>
        </w:rPr>
        <w:t>meta-analysis</w:t>
      </w:r>
      <w:r w:rsidRPr="00673297">
        <w:rPr>
          <w:rFonts w:asciiTheme="majorHAnsi" w:hAnsiTheme="majorHAnsi" w:cstheme="majorHAnsi"/>
          <w:b/>
          <w:i/>
          <w:sz w:val="22"/>
          <w:szCs w:val="22"/>
        </w:rPr>
        <w:t xml:space="preserve"> selection</w:t>
      </w:r>
    </w:p>
    <w:p w:rsidR="00C34A30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>The highest</w:t>
      </w:r>
      <w:r>
        <w:rPr>
          <w:rFonts w:asciiTheme="majorHAnsi" w:hAnsiTheme="majorHAnsi" w:cstheme="majorHAnsi"/>
          <w:sz w:val="22"/>
          <w:szCs w:val="22"/>
        </w:rPr>
        <w:t>-</w:t>
      </w:r>
      <w:r w:rsidRPr="00673297">
        <w:rPr>
          <w:rFonts w:asciiTheme="majorHAnsi" w:hAnsiTheme="majorHAnsi" w:cstheme="majorHAnsi"/>
          <w:sz w:val="22"/>
          <w:szCs w:val="22"/>
        </w:rPr>
        <w:t xml:space="preserve">ranking clinical journals publishing study level MAs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identified </w:t>
      </w:r>
      <w:r>
        <w:rPr>
          <w:rFonts w:asciiTheme="majorHAnsi" w:hAnsiTheme="majorHAnsi" w:cstheme="majorHAnsi"/>
          <w:sz w:val="22"/>
          <w:szCs w:val="22"/>
        </w:rPr>
        <w:t>using a standardized journal ranking platform.</w:t>
      </w:r>
      <w:r w:rsidRPr="00673297">
        <w:rPr>
          <w:rFonts w:asciiTheme="majorHAnsi" w:hAnsiTheme="majorHAnsi" w:cstheme="majorHAnsi"/>
          <w:sz w:val="22"/>
          <w:szCs w:val="22"/>
        </w:rPr>
        <w:t xml:space="preserve"> Of these, the 10 highest ranking journals publishing </w:t>
      </w:r>
      <w:r>
        <w:rPr>
          <w:rFonts w:asciiTheme="majorHAnsi" w:hAnsiTheme="majorHAnsi" w:cstheme="majorHAnsi"/>
          <w:sz w:val="22"/>
          <w:szCs w:val="22"/>
        </w:rPr>
        <w:t xml:space="preserve">at least </w:t>
      </w:r>
      <w:r w:rsidRPr="00673297">
        <w:rPr>
          <w:rFonts w:asciiTheme="majorHAnsi" w:hAnsiTheme="majorHAnsi" w:cstheme="majorHAnsi"/>
          <w:sz w:val="22"/>
          <w:szCs w:val="22"/>
        </w:rPr>
        <w:t xml:space="preserve">10 study level MAs between January 2016 and December 2017 </w:t>
      </w:r>
      <w:r>
        <w:rPr>
          <w:rFonts w:asciiTheme="majorHAnsi" w:hAnsiTheme="majorHAnsi" w:cstheme="majorHAnsi"/>
          <w:sz w:val="22"/>
          <w:szCs w:val="22"/>
        </w:rPr>
        <w:t xml:space="preserve">will be included. The cut-off of 10 studies is defined as some high impact journals have policies of not publishing study-level MAs and other journals publish only individual patient data meta-analyses. 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>For</w:t>
      </w:r>
      <w:r>
        <w:rPr>
          <w:rFonts w:asciiTheme="majorHAnsi" w:hAnsiTheme="majorHAnsi" w:cstheme="majorHAnsi"/>
          <w:sz w:val="22"/>
          <w:szCs w:val="22"/>
        </w:rPr>
        <w:t xml:space="preserve"> multiple</w:t>
      </w:r>
      <w:r w:rsidRPr="00673297">
        <w:rPr>
          <w:rFonts w:asciiTheme="majorHAnsi" w:hAnsiTheme="majorHAnsi" w:cstheme="majorHAnsi"/>
          <w:sz w:val="22"/>
          <w:szCs w:val="22"/>
        </w:rPr>
        <w:t xml:space="preserve"> journals belonging to the same family, the highest impact journal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selected. The systematic review-derived MAs published in these journals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extracted fro</w:t>
      </w:r>
      <w:r>
        <w:rPr>
          <w:rFonts w:asciiTheme="majorHAnsi" w:hAnsiTheme="majorHAnsi" w:cstheme="majorHAnsi"/>
          <w:sz w:val="22"/>
          <w:szCs w:val="22"/>
        </w:rPr>
        <w:t>m PubMed by a medical librarian using a detailed search.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 xml:space="preserve">The search results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independently screened by two reviewers </w:t>
      </w:r>
      <w:r w:rsidRPr="00673297">
        <w:rPr>
          <w:rFonts w:asciiTheme="majorHAnsi" w:hAnsiTheme="majorHAnsi" w:cstheme="majorHAnsi"/>
          <w:sz w:val="22"/>
          <w:szCs w:val="22"/>
        </w:rPr>
        <w:t xml:space="preserve">to select study level MAs only and exclude patient-level MAs. </w:t>
      </w:r>
      <w:r>
        <w:rPr>
          <w:rFonts w:asciiTheme="majorHAnsi" w:hAnsiTheme="majorHAnsi" w:cstheme="majorHAnsi"/>
          <w:sz w:val="22"/>
          <w:szCs w:val="22"/>
        </w:rPr>
        <w:t xml:space="preserve">Discrepancies on inclusion </w:t>
      </w:r>
      <w:r>
        <w:rPr>
          <w:rFonts w:asciiTheme="majorHAnsi" w:hAnsiTheme="majorHAnsi" w:cstheme="majorHAnsi"/>
          <w:sz w:val="22"/>
          <w:szCs w:val="22"/>
        </w:rPr>
        <w:t>will be</w:t>
      </w:r>
      <w:r>
        <w:rPr>
          <w:rFonts w:asciiTheme="majorHAnsi" w:hAnsiTheme="majorHAnsi" w:cstheme="majorHAnsi"/>
          <w:sz w:val="22"/>
          <w:szCs w:val="22"/>
        </w:rPr>
        <w:t xml:space="preserve"> resolved by consensus. </w:t>
      </w:r>
      <w:r w:rsidRPr="00673297">
        <w:rPr>
          <w:rFonts w:asciiTheme="majorHAnsi" w:hAnsiTheme="majorHAnsi" w:cstheme="majorHAnsi"/>
          <w:sz w:val="22"/>
          <w:szCs w:val="22"/>
        </w:rPr>
        <w:t xml:space="preserve">A number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assigned to each selected study level MA and 100 MAs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selected through </w:t>
      </w:r>
      <w:r>
        <w:rPr>
          <w:rFonts w:asciiTheme="majorHAnsi" w:hAnsiTheme="majorHAnsi" w:cstheme="majorHAnsi"/>
          <w:sz w:val="22"/>
          <w:szCs w:val="22"/>
        </w:rPr>
        <w:t xml:space="preserve">a computer-based </w:t>
      </w:r>
      <w:r w:rsidRPr="00673297">
        <w:rPr>
          <w:rFonts w:asciiTheme="majorHAnsi" w:hAnsiTheme="majorHAnsi" w:cstheme="majorHAnsi"/>
          <w:sz w:val="22"/>
          <w:szCs w:val="22"/>
        </w:rPr>
        <w:t>random number generation for analysis</w:t>
      </w:r>
      <w:r>
        <w:rPr>
          <w:rFonts w:asciiTheme="majorHAnsi" w:hAnsiTheme="majorHAnsi" w:cstheme="majorHAnsi"/>
          <w:sz w:val="22"/>
          <w:szCs w:val="22"/>
        </w:rPr>
        <w:t>.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 xml:space="preserve">For each journal, the following data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extracted: </w:t>
      </w:r>
      <w:proofErr w:type="spellStart"/>
      <w:r w:rsidRPr="00673297">
        <w:rPr>
          <w:rFonts w:asciiTheme="majorHAnsi" w:hAnsiTheme="majorHAnsi" w:cstheme="majorHAnsi"/>
          <w:sz w:val="22"/>
          <w:szCs w:val="22"/>
        </w:rPr>
        <w:t>SCImago</w:t>
      </w:r>
      <w:proofErr w:type="spellEnd"/>
      <w:r w:rsidRPr="00673297">
        <w:rPr>
          <w:rFonts w:asciiTheme="majorHAnsi" w:hAnsiTheme="majorHAnsi" w:cstheme="majorHAnsi"/>
          <w:sz w:val="22"/>
          <w:szCs w:val="22"/>
        </w:rPr>
        <w:t xml:space="preserve"> Journal ranking, 2017 journal impact factor (</w:t>
      </w:r>
      <w:proofErr w:type="spellStart"/>
      <w:r w:rsidRPr="00673297">
        <w:rPr>
          <w:rFonts w:asciiTheme="majorHAnsi" w:hAnsiTheme="majorHAnsi" w:cstheme="majorHAnsi"/>
          <w:sz w:val="22"/>
          <w:szCs w:val="22"/>
        </w:rPr>
        <w:t>Clarivate</w:t>
      </w:r>
      <w:proofErr w:type="spellEnd"/>
      <w:r w:rsidRPr="00673297">
        <w:rPr>
          <w:rFonts w:asciiTheme="majorHAnsi" w:hAnsiTheme="majorHAnsi" w:cstheme="majorHAnsi"/>
          <w:sz w:val="22"/>
          <w:szCs w:val="22"/>
        </w:rPr>
        <w:t xml:space="preserve"> Journal Citation Reports -Thompson Reuters), and availability of detailed journal author guidelines for meta-analysis. For each of the 100 MAs selected, the following variables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extracted: journal name, year of publication, clinical field, involvement of librarian in systematic review, databases </w:t>
      </w:r>
      <w:r w:rsidRPr="00673297">
        <w:rPr>
          <w:rFonts w:asciiTheme="majorHAnsi" w:hAnsiTheme="majorHAnsi" w:cstheme="majorHAnsi"/>
          <w:sz w:val="22"/>
          <w:szCs w:val="22"/>
        </w:rPr>
        <w:lastRenderedPageBreak/>
        <w:t>searched, reporting tool</w:t>
      </w:r>
      <w:r>
        <w:rPr>
          <w:rFonts w:asciiTheme="majorHAnsi" w:hAnsiTheme="majorHAnsi" w:cstheme="majorHAnsi"/>
          <w:sz w:val="22"/>
          <w:szCs w:val="22"/>
        </w:rPr>
        <w:t xml:space="preserve"> cited</w:t>
      </w:r>
      <w:r w:rsidRPr="00673297">
        <w:rPr>
          <w:rFonts w:asciiTheme="majorHAnsi" w:hAnsiTheme="majorHAnsi" w:cstheme="majorHAnsi"/>
          <w:sz w:val="22"/>
          <w:szCs w:val="22"/>
        </w:rPr>
        <w:t>, compliance with journal author guidelines, MA of randomized controlled trials (RCTs) only, network MA, and number of studies included in the MA.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outlineLvl w:val="0"/>
        <w:rPr>
          <w:rFonts w:asciiTheme="majorHAnsi" w:hAnsiTheme="majorHAnsi" w:cstheme="majorHAnsi"/>
          <w:b/>
          <w:i/>
          <w:sz w:val="22"/>
          <w:szCs w:val="22"/>
        </w:rPr>
      </w:pPr>
      <w:r w:rsidRPr="00673297">
        <w:rPr>
          <w:rFonts w:asciiTheme="majorHAnsi" w:hAnsiTheme="majorHAnsi" w:cstheme="majorHAnsi"/>
          <w:b/>
          <w:i/>
          <w:sz w:val="22"/>
          <w:szCs w:val="22"/>
        </w:rPr>
        <w:t>Quality assessment and scoring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Our institution’s librarians will assess each selected</w:t>
      </w:r>
      <w:r w:rsidRPr="00673297">
        <w:rPr>
          <w:rFonts w:asciiTheme="majorHAnsi" w:hAnsiTheme="majorHAnsi" w:cstheme="majorHAnsi"/>
          <w:sz w:val="22"/>
          <w:szCs w:val="22"/>
        </w:rPr>
        <w:t xml:space="preserve"> MAs. </w:t>
      </w:r>
      <w:r>
        <w:rPr>
          <w:rFonts w:asciiTheme="majorHAnsi" w:hAnsiTheme="majorHAnsi" w:cstheme="majorHAnsi"/>
          <w:sz w:val="22"/>
          <w:szCs w:val="22"/>
        </w:rPr>
        <w:t>All</w:t>
      </w:r>
      <w:r>
        <w:rPr>
          <w:rFonts w:asciiTheme="majorHAnsi" w:hAnsiTheme="majorHAnsi" w:cstheme="majorHAnsi"/>
          <w:sz w:val="22"/>
          <w:szCs w:val="22"/>
        </w:rPr>
        <w:t xml:space="preserve"> librarian</w:t>
      </w:r>
      <w:r>
        <w:rPr>
          <w:rFonts w:asciiTheme="majorHAnsi" w:hAnsiTheme="majorHAnsi" w:cstheme="majorHAnsi"/>
          <w:sz w:val="22"/>
          <w:szCs w:val="22"/>
        </w:rPr>
        <w:t>s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are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8E11D0">
        <w:rPr>
          <w:rFonts w:asciiTheme="majorHAnsi" w:hAnsiTheme="majorHAnsi" w:cstheme="majorHAnsi"/>
          <w:sz w:val="22"/>
          <w:szCs w:val="22"/>
        </w:rPr>
        <w:t xml:space="preserve">specially trained on the </w:t>
      </w:r>
      <w:r>
        <w:rPr>
          <w:rFonts w:asciiTheme="majorHAnsi" w:hAnsiTheme="majorHAnsi" w:cstheme="majorHAnsi"/>
          <w:sz w:val="22"/>
          <w:szCs w:val="22"/>
        </w:rPr>
        <w:t>methodology/conduct</w:t>
      </w:r>
      <w:r w:rsidRPr="008E11D0">
        <w:rPr>
          <w:rFonts w:asciiTheme="majorHAnsi" w:hAnsiTheme="majorHAnsi" w:cstheme="majorHAnsi"/>
          <w:sz w:val="22"/>
          <w:szCs w:val="22"/>
        </w:rPr>
        <w:t xml:space="preserve"> of systematic reviews/meta analyses with published work in the field. </w:t>
      </w:r>
      <w:r>
        <w:rPr>
          <w:rFonts w:asciiTheme="majorHAnsi" w:hAnsiTheme="majorHAnsi" w:cstheme="majorHAnsi"/>
          <w:sz w:val="22"/>
          <w:szCs w:val="22"/>
        </w:rPr>
        <w:t>For each MA, two librarians</w:t>
      </w:r>
      <w:r>
        <w:rPr>
          <w:rFonts w:asciiTheme="majorHAnsi" w:hAnsiTheme="majorHAnsi" w:cstheme="majorHAnsi"/>
          <w:sz w:val="22"/>
          <w:szCs w:val="22"/>
        </w:rPr>
        <w:t xml:space="preserve"> shall</w:t>
      </w:r>
      <w:r>
        <w:rPr>
          <w:rFonts w:asciiTheme="majorHAnsi" w:hAnsiTheme="majorHAnsi" w:cstheme="majorHAnsi"/>
          <w:sz w:val="22"/>
          <w:szCs w:val="22"/>
        </w:rPr>
        <w:t xml:space="preserve"> independently </w:t>
      </w:r>
      <w:r>
        <w:rPr>
          <w:rFonts w:asciiTheme="majorHAnsi" w:hAnsiTheme="majorHAnsi" w:cstheme="majorHAnsi"/>
          <w:sz w:val="22"/>
          <w:szCs w:val="22"/>
        </w:rPr>
        <w:t>extract</w:t>
      </w:r>
      <w:r>
        <w:rPr>
          <w:rFonts w:asciiTheme="majorHAnsi" w:hAnsiTheme="majorHAnsi" w:cstheme="majorHAnsi"/>
          <w:sz w:val="22"/>
          <w:szCs w:val="22"/>
        </w:rPr>
        <w:t xml:space="preserve"> and assessed each data item on each of the four guideline/standards</w:t>
      </w:r>
      <w:r>
        <w:rPr>
          <w:rFonts w:asciiTheme="majorHAnsi" w:hAnsiTheme="majorHAnsi" w:cstheme="majorHAnsi"/>
          <w:sz w:val="22"/>
          <w:szCs w:val="22"/>
        </w:rPr>
        <w:t>.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 xml:space="preserve">Articles </w:t>
      </w:r>
      <w:r>
        <w:rPr>
          <w:rFonts w:asciiTheme="majorHAnsi" w:hAnsiTheme="majorHAnsi" w:cstheme="majorHAnsi"/>
          <w:sz w:val="22"/>
          <w:szCs w:val="22"/>
        </w:rPr>
        <w:t>shall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assessed using the following systematic review guidelines and quality standards: (1) the Peer Review of Electronic Search Strategies (PRESS) checklist; (2) the PRISMA checklist; (3) the Institute of Medicine's (IOM) Standards for Systematic Reviews; and (4) quality items from the Cochrane Handbook of Systematic Reviews. This four-tiered evaluation </w:t>
      </w:r>
      <w:r>
        <w:rPr>
          <w:rFonts w:asciiTheme="majorHAnsi" w:hAnsiTheme="majorHAnsi" w:cstheme="majorHAnsi"/>
          <w:sz w:val="22"/>
          <w:szCs w:val="22"/>
        </w:rPr>
        <w:t>is</w:t>
      </w:r>
      <w:r w:rsidRPr="00673297">
        <w:rPr>
          <w:rFonts w:asciiTheme="majorHAnsi" w:hAnsiTheme="majorHAnsi" w:cstheme="majorHAnsi"/>
          <w:sz w:val="22"/>
          <w:szCs w:val="22"/>
        </w:rPr>
        <w:t xml:space="preserve"> aimed at assessing not only the level of data reporting (PRISMA), but also the quality of the systematic search (PRESS, Cochrane) and of the overall MA (IOM). </w:t>
      </w:r>
      <w:r>
        <w:rPr>
          <w:rFonts w:asciiTheme="majorHAnsi" w:hAnsiTheme="majorHAnsi" w:cstheme="majorHAnsi"/>
          <w:sz w:val="22"/>
          <w:szCs w:val="22"/>
        </w:rPr>
        <w:t xml:space="preserve">Scoring was developed by the authors. 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 xml:space="preserve">The PRESS checklist, designed to evaluate a systematic review search strategy, is divided into six categories: translation of the research question; Boolean and proximity operators; subject headings; text word searching; spelling, syntax and line numbers; and limits and filters. Due to the subjective nature of a systematic review search, two librarians </w:t>
      </w:r>
      <w:r>
        <w:rPr>
          <w:rFonts w:asciiTheme="majorHAnsi" w:hAnsiTheme="majorHAnsi" w:cstheme="majorHAnsi"/>
          <w:sz w:val="22"/>
          <w:szCs w:val="22"/>
        </w:rPr>
        <w:t>shall independently evaluate and score</w:t>
      </w:r>
      <w:r w:rsidRPr="00673297">
        <w:rPr>
          <w:rFonts w:asciiTheme="majorHAnsi" w:hAnsiTheme="majorHAnsi" w:cstheme="majorHAnsi"/>
          <w:sz w:val="22"/>
          <w:szCs w:val="22"/>
        </w:rPr>
        <w:t xml:space="preserve"> the MAs against each PRESS checklist category as follows: 0 – not applicable, 1 – not addressed; 2 - mostly incomplete; 3 - mostly complete; 4 – fully addressed</w:t>
      </w:r>
      <w:r>
        <w:rPr>
          <w:rFonts w:asciiTheme="majorHAnsi" w:hAnsiTheme="majorHAnsi" w:cstheme="majorHAnsi"/>
          <w:sz w:val="22"/>
          <w:szCs w:val="22"/>
        </w:rPr>
        <w:t xml:space="preserve"> and inter-observer agreement between librarians was determined</w:t>
      </w:r>
      <w:r w:rsidRPr="00673297">
        <w:rPr>
          <w:rFonts w:asciiTheme="majorHAnsi" w:hAnsiTheme="majorHAnsi" w:cstheme="majorHAnsi"/>
          <w:sz w:val="22"/>
          <w:szCs w:val="22"/>
        </w:rPr>
        <w:t xml:space="preserve">. Thus, the maximum score per applicable item </w:t>
      </w:r>
      <w:r>
        <w:rPr>
          <w:rFonts w:asciiTheme="majorHAnsi" w:hAnsiTheme="majorHAnsi" w:cstheme="majorHAnsi"/>
          <w:sz w:val="22"/>
          <w:szCs w:val="22"/>
        </w:rPr>
        <w:t>shall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4, and the maximum total possible score for a </w:t>
      </w:r>
      <w:r>
        <w:rPr>
          <w:rFonts w:asciiTheme="majorHAnsi" w:hAnsiTheme="majorHAnsi" w:cstheme="majorHAnsi"/>
          <w:sz w:val="22"/>
          <w:szCs w:val="22"/>
        </w:rPr>
        <w:t>MA</w:t>
      </w:r>
      <w:r w:rsidRPr="00673297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4 times the number</w:t>
      </w:r>
      <w:r>
        <w:rPr>
          <w:rFonts w:asciiTheme="majorHAnsi" w:hAnsiTheme="majorHAnsi" w:cstheme="majorHAnsi"/>
          <w:sz w:val="22"/>
          <w:szCs w:val="22"/>
        </w:rPr>
        <w:t xml:space="preserve"> of</w:t>
      </w:r>
      <w:r w:rsidRPr="00673297">
        <w:rPr>
          <w:rFonts w:asciiTheme="majorHAnsi" w:hAnsiTheme="majorHAnsi" w:cstheme="majorHAnsi"/>
          <w:sz w:val="22"/>
          <w:szCs w:val="22"/>
        </w:rPr>
        <w:t xml:space="preserve"> applicable items for that </w:t>
      </w:r>
      <w:r>
        <w:rPr>
          <w:rFonts w:asciiTheme="majorHAnsi" w:hAnsiTheme="majorHAnsi" w:cstheme="majorHAnsi"/>
          <w:sz w:val="22"/>
          <w:szCs w:val="22"/>
        </w:rPr>
        <w:t>MA</w:t>
      </w:r>
      <w:r w:rsidRPr="00673297">
        <w:rPr>
          <w:rFonts w:asciiTheme="majorHAnsi" w:hAnsiTheme="majorHAnsi" w:cstheme="majorHAnsi"/>
          <w:sz w:val="22"/>
          <w:szCs w:val="22"/>
        </w:rPr>
        <w:t xml:space="preserve"> (a </w:t>
      </w:r>
      <w:r>
        <w:rPr>
          <w:rFonts w:asciiTheme="majorHAnsi" w:hAnsiTheme="majorHAnsi" w:cstheme="majorHAnsi"/>
          <w:sz w:val="22"/>
          <w:szCs w:val="22"/>
        </w:rPr>
        <w:t>MA</w:t>
      </w:r>
      <w:r w:rsidRPr="00673297">
        <w:rPr>
          <w:rFonts w:asciiTheme="majorHAnsi" w:hAnsiTheme="majorHAnsi" w:cstheme="majorHAnsi"/>
          <w:sz w:val="22"/>
          <w:szCs w:val="22"/>
        </w:rPr>
        <w:t xml:space="preserve"> with all items applicable can score a maximum of </w:t>
      </w:r>
      <w:r w:rsidRPr="00673297">
        <w:rPr>
          <w:rFonts w:asciiTheme="majorHAnsi" w:hAnsiTheme="majorHAnsi" w:cstheme="majorHAnsi"/>
          <w:sz w:val="22"/>
          <w:szCs w:val="22"/>
        </w:rPr>
        <w:lastRenderedPageBreak/>
        <w:t xml:space="preserve">24). If a </w:t>
      </w:r>
      <w:r>
        <w:rPr>
          <w:rFonts w:asciiTheme="majorHAnsi" w:hAnsiTheme="majorHAnsi" w:cstheme="majorHAnsi"/>
          <w:sz w:val="22"/>
          <w:szCs w:val="22"/>
        </w:rPr>
        <w:t>MA</w:t>
      </w:r>
      <w:r w:rsidRPr="00673297">
        <w:rPr>
          <w:rFonts w:asciiTheme="majorHAnsi" w:hAnsiTheme="majorHAnsi" w:cstheme="majorHAnsi"/>
          <w:sz w:val="22"/>
          <w:szCs w:val="22"/>
        </w:rPr>
        <w:t xml:space="preserve"> score</w:t>
      </w:r>
      <w:r>
        <w:rPr>
          <w:rFonts w:asciiTheme="majorHAnsi" w:hAnsiTheme="majorHAnsi" w:cstheme="majorHAnsi"/>
          <w:sz w:val="22"/>
          <w:szCs w:val="22"/>
        </w:rPr>
        <w:t>s</w:t>
      </w:r>
      <w:r w:rsidRPr="00673297">
        <w:rPr>
          <w:rFonts w:asciiTheme="majorHAnsi" w:hAnsiTheme="majorHAnsi" w:cstheme="majorHAnsi"/>
          <w:sz w:val="22"/>
          <w:szCs w:val="22"/>
        </w:rPr>
        <w:t xml:space="preserve"> “not applicable” in all categories, it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excluded from the analysis for PRESS score. The lower of the two scores from the librarians </w:t>
      </w:r>
      <w:r>
        <w:rPr>
          <w:rFonts w:asciiTheme="majorHAnsi" w:hAnsiTheme="majorHAnsi" w:cstheme="majorHAnsi"/>
          <w:sz w:val="22"/>
          <w:szCs w:val="22"/>
        </w:rPr>
        <w:t>shall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used as the final score for an MA.  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 xml:space="preserve">PRISMA, is a list of reporting items that should appear in a systematic review/MA. However, it does not speak to the quality of, or degree to which these items have been reported. Consequently, for PRISMA items, MAs </w:t>
      </w:r>
      <w:r w:rsidR="00992A89"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scored as follows: 0 – not reported; 1 – reported. The maximum possible score for each </w:t>
      </w:r>
      <w:r>
        <w:rPr>
          <w:rFonts w:asciiTheme="majorHAnsi" w:hAnsiTheme="majorHAnsi" w:cstheme="majorHAnsi"/>
          <w:sz w:val="22"/>
          <w:szCs w:val="22"/>
        </w:rPr>
        <w:t>MA</w:t>
      </w:r>
      <w:r w:rsidRPr="00673297">
        <w:rPr>
          <w:rFonts w:asciiTheme="majorHAnsi" w:hAnsiTheme="majorHAnsi" w:cstheme="majorHAnsi"/>
          <w:sz w:val="22"/>
          <w:szCs w:val="22"/>
        </w:rPr>
        <w:t xml:space="preserve"> </w:t>
      </w:r>
      <w:r w:rsidR="00992A89">
        <w:rPr>
          <w:rFonts w:asciiTheme="majorHAnsi" w:hAnsiTheme="majorHAnsi" w:cstheme="majorHAnsi"/>
          <w:sz w:val="22"/>
          <w:szCs w:val="22"/>
        </w:rPr>
        <w:t>is</w:t>
      </w:r>
      <w:r w:rsidRPr="00673297">
        <w:rPr>
          <w:rFonts w:asciiTheme="majorHAnsi" w:hAnsiTheme="majorHAnsi" w:cstheme="majorHAnsi"/>
          <w:sz w:val="22"/>
          <w:szCs w:val="22"/>
        </w:rPr>
        <w:t xml:space="preserve"> 27 (the total number of checklist items). </w:t>
      </w:r>
      <w:bookmarkStart w:id="0" w:name="_Hlk32483880"/>
      <w:r>
        <w:rPr>
          <w:rFonts w:asciiTheme="majorHAnsi" w:hAnsiTheme="majorHAnsi" w:cstheme="majorHAnsi"/>
          <w:sz w:val="22"/>
          <w:szCs w:val="22"/>
        </w:rPr>
        <w:t xml:space="preserve">Discrepancies </w:t>
      </w:r>
      <w:r w:rsidR="00992A89">
        <w:rPr>
          <w:rFonts w:asciiTheme="majorHAnsi" w:hAnsiTheme="majorHAnsi" w:cstheme="majorHAnsi"/>
          <w:sz w:val="22"/>
          <w:szCs w:val="22"/>
        </w:rPr>
        <w:t>will be</w:t>
      </w:r>
      <w:r>
        <w:rPr>
          <w:rFonts w:asciiTheme="majorHAnsi" w:hAnsiTheme="majorHAnsi" w:cstheme="majorHAnsi"/>
          <w:sz w:val="22"/>
          <w:szCs w:val="22"/>
        </w:rPr>
        <w:t xml:space="preserve"> discussed among the librarians to achieve consensus.</w:t>
      </w:r>
      <w:bookmarkEnd w:id="0"/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 xml:space="preserve">IOM's Standards for Systematic Reviews (standards 2.1 through 5.1) assess the complete body of a systematic review/MA, addressing the quality of the MA from inception (where possible) to final reporting. The subcategories under each IOM standard </w:t>
      </w:r>
      <w:r w:rsidR="00992A89"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scored as follows:  0 - not applicable; 1 – not addressed; 2 – mostly incomplete; 3 - mostly complete; 4 – fully addressed.</w:t>
      </w:r>
      <w:r>
        <w:rPr>
          <w:rFonts w:asciiTheme="majorHAnsi" w:hAnsiTheme="majorHAnsi" w:cstheme="majorHAnsi"/>
          <w:sz w:val="22"/>
          <w:szCs w:val="22"/>
        </w:rPr>
        <w:t xml:space="preserve"> T</w:t>
      </w:r>
      <w:r w:rsidRPr="00673297">
        <w:rPr>
          <w:rFonts w:asciiTheme="majorHAnsi" w:hAnsiTheme="majorHAnsi" w:cstheme="majorHAnsi"/>
          <w:sz w:val="22"/>
          <w:szCs w:val="22"/>
        </w:rPr>
        <w:t xml:space="preserve">he maximum score per applicable item </w:t>
      </w:r>
      <w:r w:rsidR="00992A89">
        <w:rPr>
          <w:rFonts w:asciiTheme="majorHAnsi" w:hAnsiTheme="majorHAnsi" w:cstheme="majorHAnsi"/>
          <w:sz w:val="22"/>
          <w:szCs w:val="22"/>
        </w:rPr>
        <w:t>is</w:t>
      </w:r>
      <w:r w:rsidRPr="00673297">
        <w:rPr>
          <w:rFonts w:asciiTheme="majorHAnsi" w:hAnsiTheme="majorHAnsi" w:cstheme="majorHAnsi"/>
          <w:sz w:val="22"/>
          <w:szCs w:val="22"/>
        </w:rPr>
        <w:t xml:space="preserve"> 4 and hence the maximum total possible score for a </w:t>
      </w:r>
      <w:r>
        <w:rPr>
          <w:rFonts w:asciiTheme="majorHAnsi" w:hAnsiTheme="majorHAnsi" w:cstheme="majorHAnsi"/>
          <w:sz w:val="22"/>
          <w:szCs w:val="22"/>
        </w:rPr>
        <w:t>MA</w:t>
      </w:r>
      <w:r w:rsidRPr="00673297">
        <w:rPr>
          <w:rFonts w:asciiTheme="majorHAnsi" w:hAnsiTheme="majorHAnsi" w:cstheme="majorHAnsi"/>
          <w:sz w:val="22"/>
          <w:szCs w:val="22"/>
        </w:rPr>
        <w:t xml:space="preserve"> </w:t>
      </w:r>
      <w:r w:rsidR="00992A89"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4 times the number of its applicable items (a </w:t>
      </w:r>
      <w:r>
        <w:rPr>
          <w:rFonts w:asciiTheme="majorHAnsi" w:hAnsiTheme="majorHAnsi" w:cstheme="majorHAnsi"/>
          <w:sz w:val="22"/>
          <w:szCs w:val="22"/>
        </w:rPr>
        <w:t>MA</w:t>
      </w:r>
      <w:r w:rsidRPr="00673297">
        <w:rPr>
          <w:rFonts w:asciiTheme="majorHAnsi" w:hAnsiTheme="majorHAnsi" w:cstheme="majorHAnsi"/>
          <w:sz w:val="22"/>
          <w:szCs w:val="22"/>
        </w:rPr>
        <w:t xml:space="preserve"> with all items applicable can score a maximum of 64). </w:t>
      </w:r>
      <w:r>
        <w:rPr>
          <w:rFonts w:asciiTheme="majorHAnsi" w:hAnsiTheme="majorHAnsi" w:cstheme="majorHAnsi"/>
          <w:sz w:val="22"/>
          <w:szCs w:val="22"/>
        </w:rPr>
        <w:t xml:space="preserve">Discrepancies </w:t>
      </w:r>
      <w:r w:rsidR="00992A89">
        <w:rPr>
          <w:rFonts w:asciiTheme="majorHAnsi" w:hAnsiTheme="majorHAnsi" w:cstheme="majorHAnsi"/>
          <w:sz w:val="22"/>
          <w:szCs w:val="22"/>
        </w:rPr>
        <w:t>will be</w:t>
      </w:r>
      <w:r>
        <w:rPr>
          <w:rFonts w:asciiTheme="majorHAnsi" w:hAnsiTheme="majorHAnsi" w:cstheme="majorHAnsi"/>
          <w:sz w:val="22"/>
          <w:szCs w:val="22"/>
        </w:rPr>
        <w:t xml:space="preserve"> discussed among the librarians to achieve consensus.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>Quality items identified by the Cochrane Handbook of Systematic Reviews as important to ensure reproducibility of MA</w:t>
      </w:r>
      <w:r w:rsidR="00992A89">
        <w:rPr>
          <w:rFonts w:asciiTheme="majorHAnsi" w:hAnsiTheme="majorHAnsi" w:cstheme="majorHAnsi"/>
          <w:sz w:val="22"/>
          <w:szCs w:val="22"/>
        </w:rPr>
        <w:t xml:space="preserve"> searches shall also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abstracted. </w:t>
      </w:r>
      <w:r>
        <w:rPr>
          <w:rFonts w:asciiTheme="majorHAnsi" w:hAnsiTheme="majorHAnsi" w:cstheme="majorHAnsi"/>
          <w:sz w:val="22"/>
          <w:szCs w:val="22"/>
        </w:rPr>
        <w:t xml:space="preserve">These items </w:t>
      </w:r>
      <w:r w:rsidR="00CA4A3E">
        <w:rPr>
          <w:rFonts w:asciiTheme="majorHAnsi" w:hAnsiTheme="majorHAnsi" w:cstheme="majorHAnsi"/>
          <w:sz w:val="22"/>
          <w:szCs w:val="22"/>
        </w:rPr>
        <w:t>will be</w:t>
      </w:r>
      <w:r>
        <w:rPr>
          <w:rFonts w:asciiTheme="majorHAnsi" w:hAnsiTheme="majorHAnsi" w:cstheme="majorHAnsi"/>
          <w:sz w:val="22"/>
          <w:szCs w:val="22"/>
        </w:rPr>
        <w:t xml:space="preserve"> pulled as they </w:t>
      </w:r>
      <w:r w:rsidR="00CA4A3E">
        <w:rPr>
          <w:rFonts w:asciiTheme="majorHAnsi" w:hAnsiTheme="majorHAnsi" w:cstheme="majorHAnsi"/>
          <w:sz w:val="22"/>
          <w:szCs w:val="22"/>
        </w:rPr>
        <w:t>are</w:t>
      </w:r>
      <w:r>
        <w:rPr>
          <w:rFonts w:asciiTheme="majorHAnsi" w:hAnsiTheme="majorHAnsi" w:cstheme="majorHAnsi"/>
          <w:sz w:val="22"/>
          <w:szCs w:val="22"/>
        </w:rPr>
        <w:t xml:space="preserve"> not fully addressed by the other evaluation tools and are vital to the reproducibility of the searches. </w:t>
      </w:r>
      <w:r w:rsidRPr="00673297">
        <w:rPr>
          <w:rFonts w:asciiTheme="majorHAnsi" w:hAnsiTheme="majorHAnsi" w:cstheme="majorHAnsi"/>
          <w:sz w:val="22"/>
          <w:szCs w:val="22"/>
        </w:rPr>
        <w:t xml:space="preserve">These </w:t>
      </w:r>
      <w:r w:rsidR="00CA4A3E">
        <w:rPr>
          <w:rFonts w:asciiTheme="majorHAnsi" w:hAnsiTheme="majorHAnsi" w:cstheme="majorHAnsi"/>
          <w:sz w:val="22"/>
          <w:szCs w:val="22"/>
        </w:rPr>
        <w:t>include</w:t>
      </w:r>
      <w:r w:rsidRPr="00673297">
        <w:rPr>
          <w:rFonts w:asciiTheme="majorHAnsi" w:hAnsiTheme="majorHAnsi" w:cstheme="majorHAnsi"/>
          <w:sz w:val="22"/>
          <w:szCs w:val="22"/>
        </w:rPr>
        <w:t xml:space="preserve"> reporting (</w:t>
      </w:r>
      <w:proofErr w:type="spellStart"/>
      <w:r w:rsidRPr="00673297">
        <w:rPr>
          <w:rFonts w:asciiTheme="majorHAnsi" w:hAnsiTheme="majorHAnsi" w:cstheme="majorHAnsi"/>
          <w:sz w:val="22"/>
          <w:szCs w:val="22"/>
        </w:rPr>
        <w:t>i</w:t>
      </w:r>
      <w:proofErr w:type="spellEnd"/>
      <w:r w:rsidRPr="00673297">
        <w:rPr>
          <w:rFonts w:asciiTheme="majorHAnsi" w:hAnsiTheme="majorHAnsi" w:cstheme="majorHAnsi"/>
          <w:sz w:val="22"/>
          <w:szCs w:val="22"/>
        </w:rPr>
        <w:t>) the date of the search; (ii) the number of databases searched; (iii) the full search strategy for all databases included;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673297">
        <w:rPr>
          <w:rFonts w:asciiTheme="majorHAnsi" w:hAnsiTheme="majorHAnsi" w:cstheme="majorHAnsi"/>
          <w:sz w:val="22"/>
          <w:szCs w:val="22"/>
        </w:rPr>
        <w:t xml:space="preserve">(iv) the platform used to search each database; (v) claiming a reporting tool; and (vi) appropriateness of the reporting tool. The scoring </w:t>
      </w:r>
      <w:r w:rsidR="00CA4A3E"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as follows: 0 – not reported; 1 – reported. The maximum possible score for each </w:t>
      </w:r>
      <w:r>
        <w:rPr>
          <w:rFonts w:asciiTheme="majorHAnsi" w:hAnsiTheme="majorHAnsi" w:cstheme="majorHAnsi"/>
          <w:sz w:val="22"/>
          <w:szCs w:val="22"/>
        </w:rPr>
        <w:t>MA</w:t>
      </w:r>
      <w:r w:rsidRPr="00673297">
        <w:rPr>
          <w:rFonts w:asciiTheme="majorHAnsi" w:hAnsiTheme="majorHAnsi" w:cstheme="majorHAnsi"/>
          <w:sz w:val="22"/>
          <w:szCs w:val="22"/>
        </w:rPr>
        <w:t xml:space="preserve"> </w:t>
      </w:r>
      <w:r w:rsidR="00CA4A3E"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6 (the number of quality items included).</w:t>
      </w:r>
      <w:r w:rsidRPr="00A76D1C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Discrepancies </w:t>
      </w:r>
      <w:r w:rsidR="00CA4A3E">
        <w:rPr>
          <w:rFonts w:asciiTheme="majorHAnsi" w:hAnsiTheme="majorHAnsi" w:cstheme="majorHAnsi"/>
          <w:sz w:val="22"/>
          <w:szCs w:val="22"/>
        </w:rPr>
        <w:t>shall be</w:t>
      </w:r>
      <w:r>
        <w:rPr>
          <w:rFonts w:asciiTheme="majorHAnsi" w:hAnsiTheme="majorHAnsi" w:cstheme="majorHAnsi"/>
          <w:sz w:val="22"/>
          <w:szCs w:val="22"/>
        </w:rPr>
        <w:t xml:space="preserve"> discussed among the librarians to achieve consensus.</w:t>
      </w:r>
    </w:p>
    <w:p w:rsidR="00C34A30" w:rsidRPr="00673297" w:rsidRDefault="00CA4A3E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lastRenderedPageBreak/>
        <w:t>As a sensitivity analysis, t</w:t>
      </w:r>
      <w:r w:rsidR="00C34A30">
        <w:rPr>
          <w:rFonts w:asciiTheme="majorHAnsi" w:hAnsiTheme="majorHAnsi" w:cstheme="majorHAnsi"/>
          <w:sz w:val="22"/>
          <w:szCs w:val="22"/>
        </w:rPr>
        <w:t>o provide an overall estimate, t</w:t>
      </w:r>
      <w:r w:rsidR="00C34A30" w:rsidRPr="00673297">
        <w:rPr>
          <w:rFonts w:asciiTheme="majorHAnsi" w:hAnsiTheme="majorHAnsi" w:cstheme="majorHAnsi"/>
          <w:sz w:val="22"/>
          <w:szCs w:val="22"/>
        </w:rPr>
        <w:t xml:space="preserve">he four quality assessment scores of each MA </w:t>
      </w:r>
      <w:r>
        <w:rPr>
          <w:rFonts w:asciiTheme="majorHAnsi" w:hAnsiTheme="majorHAnsi" w:cstheme="majorHAnsi"/>
          <w:sz w:val="22"/>
          <w:szCs w:val="22"/>
        </w:rPr>
        <w:t>will</w:t>
      </w:r>
      <w:r w:rsidR="00C34A30" w:rsidRPr="00673297">
        <w:rPr>
          <w:rFonts w:asciiTheme="majorHAnsi" w:hAnsiTheme="majorHAnsi" w:cstheme="majorHAnsi"/>
          <w:sz w:val="22"/>
          <w:szCs w:val="22"/>
        </w:rPr>
        <w:t xml:space="preserve"> then </w:t>
      </w:r>
      <w:r>
        <w:rPr>
          <w:rFonts w:asciiTheme="majorHAnsi" w:hAnsiTheme="majorHAnsi" w:cstheme="majorHAnsi"/>
          <w:sz w:val="22"/>
          <w:szCs w:val="22"/>
        </w:rPr>
        <w:t xml:space="preserve">be </w:t>
      </w:r>
      <w:r w:rsidR="00C34A30" w:rsidRPr="00673297">
        <w:rPr>
          <w:rFonts w:asciiTheme="majorHAnsi" w:hAnsiTheme="majorHAnsi" w:cstheme="majorHAnsi"/>
          <w:sz w:val="22"/>
          <w:szCs w:val="22"/>
        </w:rPr>
        <w:t xml:space="preserve">converted into a score from 0-100 by dividing the individual score by the maximum possible score for that assessment and multiplying by 100. An overall quality score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="00C34A30" w:rsidRPr="00673297">
        <w:rPr>
          <w:rFonts w:asciiTheme="majorHAnsi" w:hAnsiTheme="majorHAnsi" w:cstheme="majorHAnsi"/>
          <w:sz w:val="22"/>
          <w:szCs w:val="22"/>
        </w:rPr>
        <w:t xml:space="preserve"> calculated for each MA as the mean of the four individual quality assessment scores</w:t>
      </w:r>
      <w:r w:rsidR="00C34A30" w:rsidRPr="00673297">
        <w:rPr>
          <w:rFonts w:asciiTheme="majorHAnsi" w:hAnsiTheme="majorHAnsi" w:cstheme="majorHAnsi"/>
          <w:b/>
          <w:sz w:val="22"/>
          <w:szCs w:val="22"/>
        </w:rPr>
        <w:t xml:space="preserve">. </w:t>
      </w:r>
      <w:r w:rsidR="00C34A30" w:rsidRPr="00673297">
        <w:rPr>
          <w:rFonts w:asciiTheme="majorHAnsi" w:hAnsiTheme="majorHAnsi" w:cstheme="majorHAnsi"/>
          <w:sz w:val="22"/>
          <w:szCs w:val="22"/>
        </w:rPr>
        <w:t xml:space="preserve">If a </w:t>
      </w:r>
      <w:r w:rsidR="00C34A30">
        <w:rPr>
          <w:rFonts w:asciiTheme="majorHAnsi" w:hAnsiTheme="majorHAnsi" w:cstheme="majorHAnsi"/>
          <w:sz w:val="22"/>
          <w:szCs w:val="22"/>
        </w:rPr>
        <w:t>MA</w:t>
      </w:r>
      <w:r w:rsidR="00C34A30" w:rsidRPr="00673297">
        <w:rPr>
          <w:rFonts w:asciiTheme="majorHAnsi" w:hAnsiTheme="majorHAnsi" w:cstheme="majorHAnsi"/>
          <w:sz w:val="22"/>
          <w:szCs w:val="22"/>
        </w:rPr>
        <w:t xml:space="preserve"> score</w:t>
      </w:r>
      <w:r>
        <w:rPr>
          <w:rFonts w:asciiTheme="majorHAnsi" w:hAnsiTheme="majorHAnsi" w:cstheme="majorHAnsi"/>
          <w:sz w:val="22"/>
          <w:szCs w:val="22"/>
        </w:rPr>
        <w:t>s</w:t>
      </w:r>
      <w:r w:rsidR="00C34A30" w:rsidRPr="00673297">
        <w:rPr>
          <w:rFonts w:asciiTheme="majorHAnsi" w:hAnsiTheme="majorHAnsi" w:cstheme="majorHAnsi"/>
          <w:sz w:val="22"/>
          <w:szCs w:val="22"/>
        </w:rPr>
        <w:t xml:space="preserve"> “not applicable” in all categories of the PRESS score</w:t>
      </w:r>
      <w:r w:rsidR="00C34A30">
        <w:rPr>
          <w:rFonts w:asciiTheme="majorHAnsi" w:hAnsiTheme="majorHAnsi" w:cstheme="majorHAnsi"/>
          <w:sz w:val="22"/>
          <w:szCs w:val="22"/>
        </w:rPr>
        <w:t xml:space="preserve"> (</w:t>
      </w:r>
      <w:proofErr w:type="spellStart"/>
      <w:r w:rsidR="00C34A30">
        <w:rPr>
          <w:rFonts w:asciiTheme="majorHAnsi" w:hAnsiTheme="majorHAnsi" w:cstheme="majorHAnsi"/>
          <w:sz w:val="22"/>
          <w:szCs w:val="22"/>
        </w:rPr>
        <w:t>ie</w:t>
      </w:r>
      <w:proofErr w:type="spellEnd"/>
      <w:r w:rsidR="00C34A30">
        <w:rPr>
          <w:rFonts w:asciiTheme="majorHAnsi" w:hAnsiTheme="majorHAnsi" w:cstheme="majorHAnsi"/>
          <w:sz w:val="22"/>
          <w:szCs w:val="22"/>
        </w:rPr>
        <w:t>. did not provide a search strategy)</w:t>
      </w:r>
      <w:r w:rsidR="00C34A30" w:rsidRPr="00673297">
        <w:rPr>
          <w:rFonts w:asciiTheme="majorHAnsi" w:hAnsiTheme="majorHAnsi" w:cstheme="majorHAnsi"/>
          <w:sz w:val="22"/>
          <w:szCs w:val="22"/>
        </w:rPr>
        <w:t xml:space="preserve">, the PRESS score </w:t>
      </w:r>
      <w:r>
        <w:rPr>
          <w:rFonts w:asciiTheme="majorHAnsi" w:hAnsiTheme="majorHAnsi" w:cstheme="majorHAnsi"/>
          <w:sz w:val="22"/>
          <w:szCs w:val="22"/>
        </w:rPr>
        <w:t>will</w:t>
      </w:r>
      <w:r w:rsidR="00C34A30" w:rsidRPr="00673297">
        <w:rPr>
          <w:rFonts w:asciiTheme="majorHAnsi" w:hAnsiTheme="majorHAnsi" w:cstheme="majorHAnsi"/>
          <w:sz w:val="22"/>
          <w:szCs w:val="22"/>
        </w:rPr>
        <w:t xml:space="preserve"> not included in the calculation of the </w:t>
      </w:r>
      <w:r w:rsidR="00C34A30">
        <w:rPr>
          <w:rFonts w:asciiTheme="majorHAnsi" w:hAnsiTheme="majorHAnsi" w:cstheme="majorHAnsi"/>
          <w:sz w:val="22"/>
          <w:szCs w:val="22"/>
        </w:rPr>
        <w:t>overall</w:t>
      </w:r>
      <w:r w:rsidR="00C34A30" w:rsidRPr="00673297">
        <w:rPr>
          <w:rFonts w:asciiTheme="majorHAnsi" w:hAnsiTheme="majorHAnsi" w:cstheme="majorHAnsi"/>
          <w:sz w:val="22"/>
          <w:szCs w:val="22"/>
        </w:rPr>
        <w:t xml:space="preserve"> quality score, which in this situation </w:t>
      </w:r>
      <w:r>
        <w:rPr>
          <w:rFonts w:asciiTheme="majorHAnsi" w:hAnsiTheme="majorHAnsi" w:cstheme="majorHAnsi"/>
          <w:sz w:val="22"/>
          <w:szCs w:val="22"/>
        </w:rPr>
        <w:t>will be</w:t>
      </w:r>
      <w:r w:rsidR="00C34A30" w:rsidRPr="00673297">
        <w:rPr>
          <w:rFonts w:asciiTheme="majorHAnsi" w:hAnsiTheme="majorHAnsi" w:cstheme="majorHAnsi"/>
          <w:sz w:val="22"/>
          <w:szCs w:val="22"/>
        </w:rPr>
        <w:t xml:space="preserve"> determined as the average of the other 3 quality assessments.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outlineLvl w:val="0"/>
        <w:rPr>
          <w:rFonts w:asciiTheme="majorHAnsi" w:hAnsiTheme="majorHAnsi" w:cstheme="majorHAnsi"/>
          <w:b/>
          <w:i/>
          <w:sz w:val="22"/>
          <w:szCs w:val="22"/>
        </w:rPr>
      </w:pPr>
      <w:r w:rsidRPr="00673297">
        <w:rPr>
          <w:rFonts w:asciiTheme="majorHAnsi" w:hAnsiTheme="majorHAnsi" w:cstheme="majorHAnsi"/>
          <w:b/>
          <w:i/>
          <w:sz w:val="22"/>
          <w:szCs w:val="22"/>
        </w:rPr>
        <w:t>Statistical analysis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b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 xml:space="preserve">The Wilks-Shapiro test </w:t>
      </w:r>
      <w:r w:rsidR="00CA4A3E"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used to assess normality for the final checklist scores. For each checklist, the mean and standard deviation (SD) or the median and the inter-quartile ranges (IQR) </w:t>
      </w:r>
      <w:r w:rsidR="00CA4A3E">
        <w:rPr>
          <w:rFonts w:asciiTheme="majorHAnsi" w:hAnsiTheme="majorHAnsi" w:cstheme="majorHAnsi"/>
          <w:sz w:val="22"/>
          <w:szCs w:val="22"/>
        </w:rPr>
        <w:t>shall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calculated for normally and non-normally distributed scores respectively. Descriptive bivariate analysis </w:t>
      </w:r>
      <w:r w:rsidR="00CA4A3E"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used to compare each score against binary variables using the Student’s T-test for normally distributed scores and Mann Whitney U test for non-normally distributed scores. For categorical variables with more than 2 levels, ANOVA and </w:t>
      </w:r>
      <w:proofErr w:type="spellStart"/>
      <w:r w:rsidRPr="00673297">
        <w:rPr>
          <w:rFonts w:asciiTheme="majorHAnsi" w:hAnsiTheme="majorHAnsi" w:cstheme="majorHAnsi"/>
          <w:sz w:val="22"/>
          <w:szCs w:val="22"/>
        </w:rPr>
        <w:t>Kruskal</w:t>
      </w:r>
      <w:proofErr w:type="spellEnd"/>
      <w:r w:rsidRPr="00673297">
        <w:rPr>
          <w:rFonts w:asciiTheme="majorHAnsi" w:hAnsiTheme="majorHAnsi" w:cstheme="majorHAnsi"/>
          <w:sz w:val="22"/>
          <w:szCs w:val="22"/>
        </w:rPr>
        <w:t xml:space="preserve"> Wallis Test </w:t>
      </w:r>
      <w:r w:rsidR="00CA4A3E"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used for normally and non-normally distributed scores, respectively. Correlation between continuous variables and scores </w:t>
      </w:r>
      <w:r w:rsidR="00CA4A3E">
        <w:rPr>
          <w:rFonts w:asciiTheme="majorHAnsi" w:hAnsiTheme="majorHAnsi" w:cstheme="majorHAnsi"/>
          <w:sz w:val="22"/>
          <w:szCs w:val="22"/>
        </w:rPr>
        <w:t>will</w:t>
      </w:r>
      <w:r w:rsidRPr="00673297">
        <w:rPr>
          <w:rFonts w:asciiTheme="majorHAnsi" w:hAnsiTheme="majorHAnsi" w:cstheme="majorHAnsi"/>
          <w:sz w:val="22"/>
          <w:szCs w:val="22"/>
        </w:rPr>
        <w:t xml:space="preserve"> also calculated and reported as Pearson’s correlation coefficient (r).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bCs/>
          <w:sz w:val="22"/>
          <w:szCs w:val="22"/>
        </w:rPr>
        <w:t xml:space="preserve">For PRESS checklist, Cohen’s Kappa value for inter-observer agreement between librarians </w:t>
      </w:r>
      <w:r w:rsidR="00CA4A3E">
        <w:rPr>
          <w:rFonts w:asciiTheme="majorHAnsi" w:hAnsiTheme="majorHAnsi" w:cstheme="majorHAnsi"/>
          <w:bCs/>
          <w:sz w:val="22"/>
          <w:szCs w:val="22"/>
        </w:rPr>
        <w:t>will be</w:t>
      </w:r>
      <w:r w:rsidRPr="00673297">
        <w:rPr>
          <w:rFonts w:asciiTheme="majorHAnsi" w:hAnsiTheme="majorHAnsi" w:cstheme="majorHAnsi"/>
          <w:bCs/>
          <w:sz w:val="22"/>
          <w:szCs w:val="22"/>
        </w:rPr>
        <w:t xml:space="preserve"> determined due to its subjective evaluation.  The Kappa result </w:t>
      </w:r>
      <w:r w:rsidR="00CA4A3E">
        <w:rPr>
          <w:rFonts w:asciiTheme="majorHAnsi" w:hAnsiTheme="majorHAnsi" w:cstheme="majorHAnsi"/>
          <w:bCs/>
          <w:sz w:val="22"/>
          <w:szCs w:val="22"/>
        </w:rPr>
        <w:t>shall be</w:t>
      </w:r>
      <w:r w:rsidRPr="00673297">
        <w:rPr>
          <w:rFonts w:asciiTheme="majorHAnsi" w:hAnsiTheme="majorHAnsi" w:cstheme="majorHAnsi"/>
          <w:bCs/>
          <w:sz w:val="22"/>
          <w:szCs w:val="22"/>
        </w:rPr>
        <w:t xml:space="preserve"> interpreted as follows: values ≤ 0 as indicating no agreement and 0.01–0.20 as none to slight, 0.21–0.40 as fair, 0.41– 0.60 as moderate, 0.61–0.80 as substantial, and 0.81–1</w:t>
      </w:r>
      <w:r w:rsidR="00CA4A3E">
        <w:rPr>
          <w:rFonts w:asciiTheme="majorHAnsi" w:hAnsiTheme="majorHAnsi" w:cstheme="majorHAnsi"/>
          <w:bCs/>
          <w:sz w:val="22"/>
          <w:szCs w:val="22"/>
        </w:rPr>
        <w:t>.00 as almost perfect agreement</w:t>
      </w:r>
      <w:r w:rsidRPr="00673297">
        <w:rPr>
          <w:rFonts w:asciiTheme="majorHAnsi" w:hAnsiTheme="majorHAnsi" w:cstheme="majorHAnsi"/>
          <w:bCs/>
          <w:sz w:val="22"/>
          <w:szCs w:val="22"/>
        </w:rPr>
        <w:t>.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 xml:space="preserve">Multiple linear regression </w:t>
      </w:r>
      <w:r w:rsidR="00CA4A3E"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conducted on the following variables to identify factors associated with </w:t>
      </w:r>
      <w:r>
        <w:rPr>
          <w:rFonts w:asciiTheme="majorHAnsi" w:hAnsiTheme="majorHAnsi" w:cstheme="majorHAnsi"/>
          <w:sz w:val="22"/>
          <w:szCs w:val="22"/>
        </w:rPr>
        <w:t>each</w:t>
      </w:r>
      <w:r w:rsidRPr="00673297">
        <w:rPr>
          <w:rFonts w:asciiTheme="majorHAnsi" w:hAnsiTheme="majorHAnsi" w:cstheme="majorHAnsi"/>
          <w:sz w:val="22"/>
          <w:szCs w:val="22"/>
        </w:rPr>
        <w:t xml:space="preserve"> of the standard checklists </w:t>
      </w:r>
      <w:r>
        <w:rPr>
          <w:rFonts w:asciiTheme="majorHAnsi" w:hAnsiTheme="majorHAnsi" w:cstheme="majorHAnsi"/>
          <w:sz w:val="22"/>
          <w:szCs w:val="22"/>
        </w:rPr>
        <w:t>(</w:t>
      </w:r>
      <w:r w:rsidRPr="00673297">
        <w:rPr>
          <w:rFonts w:asciiTheme="majorHAnsi" w:hAnsiTheme="majorHAnsi" w:cstheme="majorHAnsi"/>
          <w:sz w:val="22"/>
          <w:szCs w:val="22"/>
        </w:rPr>
        <w:t>PRESS, PRISMA, and IOM</w:t>
      </w:r>
      <w:r>
        <w:rPr>
          <w:rFonts w:asciiTheme="majorHAnsi" w:hAnsiTheme="majorHAnsi" w:cstheme="majorHAnsi"/>
          <w:sz w:val="22"/>
          <w:szCs w:val="22"/>
        </w:rPr>
        <w:t>) as well as the overall score</w:t>
      </w:r>
      <w:r w:rsidRPr="00673297">
        <w:rPr>
          <w:rFonts w:asciiTheme="majorHAnsi" w:hAnsiTheme="majorHAnsi" w:cstheme="majorHAnsi"/>
          <w:sz w:val="22"/>
          <w:szCs w:val="22"/>
        </w:rPr>
        <w:t xml:space="preserve">: librarian Involvement, </w:t>
      </w:r>
      <w:r w:rsidRPr="00673297">
        <w:rPr>
          <w:rFonts w:asciiTheme="majorHAnsi" w:hAnsiTheme="majorHAnsi" w:cstheme="majorHAnsi"/>
          <w:sz w:val="22"/>
          <w:szCs w:val="22"/>
        </w:rPr>
        <w:lastRenderedPageBreak/>
        <w:t>clinical field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Pr="00673297">
        <w:rPr>
          <w:rFonts w:asciiTheme="majorHAnsi" w:hAnsiTheme="majorHAnsi" w:cstheme="majorHAnsi"/>
          <w:sz w:val="22"/>
          <w:szCs w:val="22"/>
        </w:rPr>
        <w:t>compliance with journal guidelines, impact factor (</w:t>
      </w:r>
      <w:proofErr w:type="spellStart"/>
      <w:r w:rsidRPr="00673297">
        <w:rPr>
          <w:rFonts w:asciiTheme="majorHAnsi" w:hAnsiTheme="majorHAnsi" w:cstheme="majorHAnsi"/>
          <w:sz w:val="22"/>
          <w:szCs w:val="22"/>
        </w:rPr>
        <w:t>Clarivate</w:t>
      </w:r>
      <w:proofErr w:type="spellEnd"/>
      <w:r w:rsidRPr="00673297">
        <w:rPr>
          <w:rFonts w:asciiTheme="majorHAnsi" w:hAnsiTheme="majorHAnsi" w:cstheme="majorHAnsi"/>
          <w:sz w:val="22"/>
          <w:szCs w:val="22"/>
        </w:rPr>
        <w:t xml:space="preserve"> Analytics), MA of RCT only, network MA, and number of included studies. </w:t>
      </w:r>
    </w:p>
    <w:p w:rsidR="00C34A30" w:rsidRPr="00673297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 xml:space="preserve">The clinical field associated with highest mean scores </w:t>
      </w:r>
      <w:r w:rsidR="00CA4A3E"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the reference in the regression models. </w:t>
      </w:r>
    </w:p>
    <w:p w:rsidR="00C34A30" w:rsidRPr="00CA4A3E" w:rsidRDefault="00C34A30" w:rsidP="00C34A30">
      <w:pPr>
        <w:spacing w:before="100" w:beforeAutospacing="1" w:after="100" w:afterAutospacing="1"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73297">
        <w:rPr>
          <w:rFonts w:asciiTheme="majorHAnsi" w:hAnsiTheme="majorHAnsi" w:cstheme="majorHAnsi"/>
          <w:sz w:val="22"/>
          <w:szCs w:val="22"/>
        </w:rPr>
        <w:t xml:space="preserve">P value &lt; 0.05 </w:t>
      </w:r>
      <w:r w:rsidR="00CA4A3E">
        <w:rPr>
          <w:rFonts w:asciiTheme="majorHAnsi" w:hAnsiTheme="majorHAnsi" w:cstheme="majorHAnsi"/>
          <w:sz w:val="22"/>
          <w:szCs w:val="22"/>
        </w:rPr>
        <w:t>will be</w:t>
      </w:r>
      <w:r w:rsidRPr="00673297">
        <w:rPr>
          <w:rFonts w:asciiTheme="majorHAnsi" w:hAnsiTheme="majorHAnsi" w:cstheme="majorHAnsi"/>
          <w:sz w:val="22"/>
          <w:szCs w:val="22"/>
        </w:rPr>
        <w:t xml:space="preserve"> considered statistically significant</w:t>
      </w:r>
      <w:r>
        <w:rPr>
          <w:rFonts w:asciiTheme="majorHAnsi" w:hAnsiTheme="majorHAnsi" w:cstheme="majorHAnsi"/>
          <w:sz w:val="22"/>
          <w:szCs w:val="22"/>
        </w:rPr>
        <w:t xml:space="preserve"> and 95% confidence intervals </w:t>
      </w:r>
      <w:r w:rsidR="00CA4A3E">
        <w:rPr>
          <w:rFonts w:asciiTheme="majorHAnsi" w:hAnsiTheme="majorHAnsi" w:cstheme="majorHAnsi"/>
          <w:sz w:val="22"/>
          <w:szCs w:val="22"/>
        </w:rPr>
        <w:t>will be</w:t>
      </w:r>
      <w:r>
        <w:rPr>
          <w:rFonts w:asciiTheme="majorHAnsi" w:hAnsiTheme="majorHAnsi" w:cstheme="majorHAnsi"/>
          <w:sz w:val="22"/>
          <w:szCs w:val="22"/>
        </w:rPr>
        <w:t xml:space="preserve"> calculated</w:t>
      </w:r>
      <w:r w:rsidRPr="00673297">
        <w:rPr>
          <w:rFonts w:asciiTheme="majorHAnsi" w:hAnsiTheme="majorHAnsi" w:cstheme="majorHAnsi"/>
          <w:sz w:val="22"/>
          <w:szCs w:val="22"/>
        </w:rPr>
        <w:t xml:space="preserve">. Analyses were performed using R (version 3.3.3 R Project for Statistical Computing) within </w:t>
      </w:r>
      <w:proofErr w:type="spellStart"/>
      <w:r w:rsidRPr="00673297">
        <w:rPr>
          <w:rFonts w:asciiTheme="majorHAnsi" w:hAnsiTheme="majorHAnsi" w:cstheme="majorHAnsi"/>
          <w:sz w:val="22"/>
          <w:szCs w:val="22"/>
        </w:rPr>
        <w:t>RStudio</w:t>
      </w:r>
      <w:proofErr w:type="spellEnd"/>
      <w:r w:rsidRPr="00673297">
        <w:rPr>
          <w:rFonts w:asciiTheme="majorHAnsi" w:hAnsiTheme="majorHAnsi" w:cstheme="majorHAnsi"/>
          <w:sz w:val="22"/>
          <w:szCs w:val="22"/>
        </w:rPr>
        <w:t xml:space="preserve"> (0.99</w:t>
      </w:r>
      <w:bookmarkStart w:id="1" w:name="_GoBack"/>
      <w:r w:rsidRPr="00CA4A3E">
        <w:rPr>
          <w:rFonts w:asciiTheme="majorHAnsi" w:hAnsiTheme="majorHAnsi" w:cstheme="majorHAnsi"/>
          <w:sz w:val="22"/>
          <w:szCs w:val="22"/>
        </w:rPr>
        <w:t xml:space="preserve">.489, </w:t>
      </w:r>
      <w:r w:rsidRPr="00CA4A3E">
        <w:rPr>
          <w:rStyle w:val="Hyperlink"/>
          <w:rFonts w:asciiTheme="majorHAnsi" w:hAnsiTheme="majorHAnsi" w:cstheme="majorHAnsi"/>
          <w:color w:val="auto"/>
          <w:sz w:val="22"/>
          <w:szCs w:val="22"/>
        </w:rPr>
        <w:t>http://www.rstudio.com</w:t>
      </w:r>
      <w:r w:rsidRPr="00CA4A3E">
        <w:rPr>
          <w:rFonts w:asciiTheme="majorHAnsi" w:hAnsiTheme="majorHAnsi" w:cstheme="majorHAnsi"/>
          <w:sz w:val="22"/>
          <w:szCs w:val="22"/>
        </w:rPr>
        <w:t>).</w:t>
      </w:r>
    </w:p>
    <w:bookmarkEnd w:id="1"/>
    <w:p w:rsidR="0079264E" w:rsidRDefault="0079264E"/>
    <w:sectPr w:rsidR="007926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930"/>
    <w:rsid w:val="000D0930"/>
    <w:rsid w:val="0079264E"/>
    <w:rsid w:val="00992A89"/>
    <w:rsid w:val="00A42D89"/>
    <w:rsid w:val="00C34A30"/>
    <w:rsid w:val="00CA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A5745"/>
  <w15:chartTrackingRefBased/>
  <w15:docId w15:val="{F10B938B-0B95-4952-9C0C-699C5880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A3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4A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Weill Cornell Medicine</Company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Irbaz Hameed</dc:creator>
  <cp:keywords/>
  <dc:description/>
  <cp:lastModifiedBy>Irbaz Hameed</cp:lastModifiedBy>
  <cp:revision>3</cp:revision>
  <dcterms:created xsi:type="dcterms:W3CDTF">2020-02-13T22:47:00Z</dcterms:created>
  <dcterms:modified xsi:type="dcterms:W3CDTF">2020-02-13T23:01:00Z</dcterms:modified>
</cp:coreProperties>
</file>