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09ADB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1.</w:t>
      </w:r>
      <w:r w:rsidRPr="006B3305">
        <w:rPr>
          <w:rFonts w:ascii="Arial" w:hAnsi="Arial" w:cs="Arial"/>
          <w:sz w:val="24"/>
          <w:szCs w:val="24"/>
        </w:rPr>
        <w:tab/>
        <w:t>Abiramalatha T, Thanigainathan S, Ninan B: Routine monitoring of gastric residual for prevention of necrotising enterocolitis in preterm infants. Cochrane Database Syst Rev 2019, 7:CD012937.</w:t>
      </w:r>
    </w:p>
    <w:p w14:paraId="4B717443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2.</w:t>
      </w:r>
      <w:r w:rsidRPr="006B3305">
        <w:rPr>
          <w:rFonts w:ascii="Arial" w:hAnsi="Arial" w:cs="Arial"/>
          <w:sz w:val="24"/>
          <w:szCs w:val="24"/>
        </w:rPr>
        <w:tab/>
        <w:t>Al Said S, Alabed S, Kaier K, Tan AR, Bode C, Meerpohl JJ, Duerschmied D: Non-vitamin K antagonist oral anticoagulants (NOACs) post-percutaneous coronary intervention: a network meta-analysis. Cochrane Database Syst Rev 2019, 12:CD013252.</w:t>
      </w:r>
    </w:p>
    <w:p w14:paraId="5A860ABA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3.</w:t>
      </w:r>
      <w:r w:rsidRPr="006B3305">
        <w:rPr>
          <w:rFonts w:ascii="Arial" w:hAnsi="Arial" w:cs="Arial"/>
          <w:sz w:val="24"/>
          <w:szCs w:val="24"/>
        </w:rPr>
        <w:tab/>
        <w:t>Annane D, Bellissant E, Bollaert PE, Briegel J, Keh D, Kupfer Y, Pirracchio R, Rochwerg B: Corticosteroids for treating sepsis in children and adults. Cochrane Database Syst Rev 2019, 12:CD002243.</w:t>
      </w:r>
    </w:p>
    <w:p w14:paraId="635659FC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4.</w:t>
      </w:r>
      <w:r w:rsidRPr="006B3305">
        <w:rPr>
          <w:rFonts w:ascii="Arial" w:hAnsi="Arial" w:cs="Arial"/>
          <w:sz w:val="24"/>
          <w:szCs w:val="24"/>
        </w:rPr>
        <w:tab/>
        <w:t>Antequera Martin AM, Barea Mendoza JA, Muriel A, Saez I, Chico-Fernandez M, Estrada-Lorenzo JM, Plana MN: Buffered solutions versus 0.9% saline for resuscitation in critically ill adults and children. Cochrane Database Syst Rev 2019, 7:CD012247.</w:t>
      </w:r>
    </w:p>
    <w:p w14:paraId="02C6FF47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5.</w:t>
      </w:r>
      <w:r w:rsidRPr="006B3305">
        <w:rPr>
          <w:rFonts w:ascii="Arial" w:hAnsi="Arial" w:cs="Arial"/>
          <w:sz w:val="24"/>
          <w:szCs w:val="24"/>
        </w:rPr>
        <w:tab/>
        <w:t>Barry T, Doheny MC, Masterson S, Conroy N, Klimas J, Segurado R, Codd M, Bury G: Community first responders for out-of-hospital cardiac arrest in adults and children. Cochrane Database Syst Rev 2019, 7:CD012764.</w:t>
      </w:r>
    </w:p>
    <w:p w14:paraId="273BFB65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6.</w:t>
      </w:r>
      <w:r w:rsidRPr="006B3305">
        <w:rPr>
          <w:rFonts w:ascii="Arial" w:hAnsi="Arial" w:cs="Arial"/>
          <w:sz w:val="24"/>
          <w:szCs w:val="24"/>
        </w:rPr>
        <w:tab/>
        <w:t xml:space="preserve">Bergman H, Buckley BS, Villanueva G, Petkovic J, Garritty C, Lutje V, </w:t>
      </w:r>
      <w:r w:rsidRPr="006B3305">
        <w:rPr>
          <w:rFonts w:ascii="Arial" w:hAnsi="Arial" w:cs="Arial"/>
          <w:sz w:val="24"/>
          <w:szCs w:val="24"/>
        </w:rPr>
        <w:lastRenderedPageBreak/>
        <w:t>Riveros-Balta AX, Low N, Henschke N: Comparison of different human papillomavirus (HPV) vaccine types and dose schedules for prevention of HPV-related disease in females and males. Cochrane Database Syst Rev 2019, 2019(11).</w:t>
      </w:r>
    </w:p>
    <w:p w14:paraId="432818CD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7.</w:t>
      </w:r>
      <w:r w:rsidRPr="006B3305">
        <w:rPr>
          <w:rFonts w:ascii="Arial" w:hAnsi="Arial" w:cs="Arial"/>
          <w:sz w:val="24"/>
          <w:szCs w:val="24"/>
        </w:rPr>
        <w:tab/>
        <w:t>Best LM, Freeman SC, Sutton AJ, Cooper NJ, Tng EL, Csenar M, Hawkins N, Pavlov CS, Davidson BR, Thorburn D et al: Treatment for hepatorenal syndrome in people with decompensated liver cirrhosis: a network meta-analysis. Cochrane Database Syst Rev 2019, 9:CD013103.</w:t>
      </w:r>
    </w:p>
    <w:p w14:paraId="744C4969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8.</w:t>
      </w:r>
      <w:r w:rsidRPr="006B3305">
        <w:rPr>
          <w:rFonts w:ascii="Arial" w:hAnsi="Arial" w:cs="Arial"/>
          <w:sz w:val="24"/>
          <w:szCs w:val="24"/>
        </w:rPr>
        <w:tab/>
        <w:t>Blessberger H, Lewis SR, Pritchard MW, Fawcett LJ, Domanovits H, Schlager O, Wildner B, Kammler J, Steinwender C: Perioperative beta-blockers for preventing surgery-related mortality and morbidity in adults undergoing non-cardiac surgery. Cochrane Database Syst Rev 2019, 9:CD013438.</w:t>
      </w:r>
    </w:p>
    <w:p w14:paraId="2DA9324A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9.</w:t>
      </w:r>
      <w:r w:rsidRPr="006B3305">
        <w:rPr>
          <w:rFonts w:ascii="Arial" w:hAnsi="Arial" w:cs="Arial"/>
          <w:sz w:val="24"/>
          <w:szCs w:val="24"/>
        </w:rPr>
        <w:tab/>
        <w:t>Blessberger H, Lewis SR, Pritchard MW, Fawcett LJ, Domanovits H, Schlager O, Wildner B, Kammler J, Steinwender C: Perioperative beta-blockers for preventing surgery-related mortality and morbidity in adults undergoing cardiac surgery. Cochrane Database Syst Rev 2019, 9:CD013435.</w:t>
      </w:r>
    </w:p>
    <w:p w14:paraId="4EFAFF26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10.</w:t>
      </w:r>
      <w:r w:rsidRPr="006B3305">
        <w:rPr>
          <w:rFonts w:ascii="Arial" w:hAnsi="Arial" w:cs="Arial"/>
          <w:sz w:val="24"/>
          <w:szCs w:val="24"/>
        </w:rPr>
        <w:tab/>
        <w:t xml:space="preserve">Blumetti FC, Belloti JC, Tamaoki MJ, Pinto JA: Botulinum toxin type A in the treatment of lower limb spasticity in children with cerebral palsy. Cochrane </w:t>
      </w:r>
      <w:r w:rsidRPr="006B3305">
        <w:rPr>
          <w:rFonts w:ascii="Arial" w:hAnsi="Arial" w:cs="Arial"/>
          <w:sz w:val="24"/>
          <w:szCs w:val="24"/>
        </w:rPr>
        <w:lastRenderedPageBreak/>
        <w:t>Database Syst Rev 2019, 10:CD001408.</w:t>
      </w:r>
    </w:p>
    <w:p w14:paraId="0E1B2C79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11.</w:t>
      </w:r>
      <w:r w:rsidRPr="006B3305">
        <w:rPr>
          <w:rFonts w:ascii="Arial" w:hAnsi="Arial" w:cs="Arial"/>
          <w:sz w:val="24"/>
          <w:szCs w:val="24"/>
        </w:rPr>
        <w:tab/>
        <w:t>Burden S, Jones DJ, Sremanakova J, Sowerbutts AM, Lal S, Pilling M, Todd C: Dietary interventions for adult cancer survivors. Cochrane Database Syst Rev 2019, 2019(11).</w:t>
      </w:r>
    </w:p>
    <w:p w14:paraId="4385E55D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12.</w:t>
      </w:r>
      <w:r w:rsidRPr="006B3305">
        <w:rPr>
          <w:rFonts w:ascii="Arial" w:hAnsi="Arial" w:cs="Arial"/>
          <w:sz w:val="24"/>
          <w:szCs w:val="24"/>
        </w:rPr>
        <w:tab/>
        <w:t>Cooper TE, Hambleton IR, Ballas SK, Johnston BA, Wiffen PJ: Pharmacological interventions for painful sickle cell vaso-occlusive crises in adults. Cochrane Database Syst Rev 2019, 2019(11).</w:t>
      </w:r>
    </w:p>
    <w:p w14:paraId="02BCFE99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13.</w:t>
      </w:r>
      <w:r w:rsidRPr="006B3305">
        <w:rPr>
          <w:rFonts w:ascii="Arial" w:hAnsi="Arial" w:cs="Arial"/>
          <w:sz w:val="24"/>
          <w:szCs w:val="24"/>
        </w:rPr>
        <w:tab/>
        <w:t>de Paiva CS, Pflugfelder SC, Ng SM, Akpek EK: Topical cyclosporine A therapy for dry eye syndrome. Cochrane Database Syst Rev 2019, 9:CD010051.</w:t>
      </w:r>
    </w:p>
    <w:p w14:paraId="277FF6F2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14.</w:t>
      </w:r>
      <w:r w:rsidRPr="006B3305">
        <w:rPr>
          <w:rFonts w:ascii="Arial" w:hAnsi="Arial" w:cs="Arial"/>
          <w:sz w:val="24"/>
          <w:szCs w:val="24"/>
        </w:rPr>
        <w:tab/>
        <w:t>Downie LE, Ng SM, Lindsley KB, Akpek EK: Omega-3 and omega-6 polyunsaturated fatty acids for dry eye disease. Cochrane Database Syst Rev 2019, 12:CD011016.</w:t>
      </w:r>
    </w:p>
    <w:p w14:paraId="733160B4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15.</w:t>
      </w:r>
      <w:r w:rsidRPr="006B3305">
        <w:rPr>
          <w:rFonts w:ascii="Arial" w:hAnsi="Arial" w:cs="Arial"/>
          <w:sz w:val="24"/>
          <w:szCs w:val="24"/>
        </w:rPr>
        <w:tab/>
        <w:t>Evans JR, Solomon AW, Kumar R, Perez A, Singh BP, Srivastava RM, Harding-Esch E: Antibiotics for trachoma. Cochrane Database Syst Rev 2019, 9:CD001860.</w:t>
      </w:r>
    </w:p>
    <w:p w14:paraId="4857D279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16.</w:t>
      </w:r>
      <w:r w:rsidRPr="006B3305">
        <w:rPr>
          <w:rFonts w:ascii="Arial" w:hAnsi="Arial" w:cs="Arial"/>
          <w:sz w:val="24"/>
          <w:szCs w:val="24"/>
        </w:rPr>
        <w:tab/>
        <w:t>Flodgren G, O'Brien MA, Parmelli E, Grimshaw JM: Local opinion leaders: effects on professional practice and healthcare outcomes. Cochrane Database Syst Rev 2019, 6:CD000125.</w:t>
      </w:r>
    </w:p>
    <w:p w14:paraId="6C325A2D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lastRenderedPageBreak/>
        <w:t>17.</w:t>
      </w:r>
      <w:r w:rsidRPr="006B3305">
        <w:rPr>
          <w:rFonts w:ascii="Arial" w:hAnsi="Arial" w:cs="Arial"/>
          <w:sz w:val="24"/>
          <w:szCs w:val="24"/>
        </w:rPr>
        <w:tab/>
        <w:t>Forget P, Borovac JA, Thackeray EM, Pace NL: Transient neurological symptoms (TNS) following spinal anaesthesia with lidocaine versus other local anaesthetics in adult surgical patients: a network meta-analysis. Cochrane Database Syst Rev 2019, 12:CD003006.</w:t>
      </w:r>
    </w:p>
    <w:p w14:paraId="62BA519A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18.</w:t>
      </w:r>
      <w:r w:rsidRPr="006B3305">
        <w:rPr>
          <w:rFonts w:ascii="Arial" w:hAnsi="Arial" w:cs="Arial"/>
          <w:sz w:val="24"/>
          <w:szCs w:val="24"/>
        </w:rPr>
        <w:tab/>
        <w:t>Franco JV, Turk T, Jung JH, Xiao YT, Iakhno S, Tirapegui FI, Garrote V, Vietto V: Pharmacological interventions for treating chronic prostatitis/chronic pelvic pain syndrome. Cochrane Database Syst Rev 2019, 10:CD012552.</w:t>
      </w:r>
    </w:p>
    <w:p w14:paraId="20D97875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19.</w:t>
      </w:r>
      <w:r w:rsidRPr="006B3305">
        <w:rPr>
          <w:rFonts w:ascii="Arial" w:hAnsi="Arial" w:cs="Arial"/>
          <w:sz w:val="24"/>
          <w:szCs w:val="24"/>
        </w:rPr>
        <w:tab/>
        <w:t>Galvin IM, Levy R, Day AG, Gilron I: Pharmacological interventions for the prevention of acute postoperative pain in adults following brain surgery. Cochrane Database Syst Rev 2019, 2019(11).</w:t>
      </w:r>
    </w:p>
    <w:p w14:paraId="51EEEF7A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20.</w:t>
      </w:r>
      <w:r w:rsidRPr="006B3305">
        <w:rPr>
          <w:rFonts w:ascii="Arial" w:hAnsi="Arial" w:cs="Arial"/>
          <w:sz w:val="24"/>
          <w:szCs w:val="24"/>
        </w:rPr>
        <w:tab/>
        <w:t>Gibbs JC, MacIntyre NJ, Ponzano M, Templeton JA, Thabane L, Papaioannou A, Giangregorio LM: Exercise for improving outcomes after osteoporotic vertebral fracture. Cochrane Database Syst Rev 2019, 7:CD008618.</w:t>
      </w:r>
    </w:p>
    <w:p w14:paraId="56660664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21.</w:t>
      </w:r>
      <w:r w:rsidRPr="006B3305">
        <w:rPr>
          <w:rFonts w:ascii="Arial" w:hAnsi="Arial" w:cs="Arial"/>
          <w:sz w:val="24"/>
          <w:szCs w:val="24"/>
        </w:rPr>
        <w:tab/>
        <w:t>Hodder RK, O'Brien KM, Stacey FG, Tzelepis F, Wyse RJ, Bartlem KM, Sutherland R, James EL, Barnes C, Wolfenden L: Interventions for increasing fruit and vegetable consumption in children aged five years and under. Cochrane Database Syst Rev 2019, 2019(11).</w:t>
      </w:r>
    </w:p>
    <w:p w14:paraId="231019D3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22.</w:t>
      </w:r>
      <w:r w:rsidRPr="006B3305">
        <w:rPr>
          <w:rFonts w:ascii="Arial" w:hAnsi="Arial" w:cs="Arial"/>
          <w:sz w:val="24"/>
          <w:szCs w:val="24"/>
        </w:rPr>
        <w:tab/>
        <w:t xml:space="preserve">Hoeg BL, Bidstrup PE, Karlsen RV, Friberg AS, Albieri V, Dalton SO, </w:t>
      </w:r>
      <w:r w:rsidRPr="006B3305">
        <w:rPr>
          <w:rFonts w:ascii="Arial" w:hAnsi="Arial" w:cs="Arial"/>
          <w:sz w:val="24"/>
          <w:szCs w:val="24"/>
        </w:rPr>
        <w:lastRenderedPageBreak/>
        <w:t>Saltbaek L, Andersen KK, Horsboel TA, Johansen C: Follow-up strategies following completion of primary cancer treatment in adult cancer survivors. Cochrane Database Syst Rev 2019, 2019(11).</w:t>
      </w:r>
    </w:p>
    <w:p w14:paraId="3BBB71EB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23.</w:t>
      </w:r>
      <w:r w:rsidRPr="006B3305">
        <w:rPr>
          <w:rFonts w:ascii="Arial" w:hAnsi="Arial" w:cs="Arial"/>
          <w:sz w:val="24"/>
          <w:szCs w:val="24"/>
        </w:rPr>
        <w:tab/>
        <w:t>Huber J, Stanworth SJ, Doree C, Fortin PM, Trivella M, Brunskill SJ, Hopewell S, Wilkinson KL, Estcourt LJ: Prophylactic plasma transfusion for patients without inherited bleeding disorders or anticoagulant use undergoing non-cardiac surgery or invasive procedures. Cochrane Database Syst Rev 2019, 11:CD012745.</w:t>
      </w:r>
    </w:p>
    <w:p w14:paraId="210E1C0A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24.</w:t>
      </w:r>
      <w:r w:rsidRPr="006B3305">
        <w:rPr>
          <w:rFonts w:ascii="Arial" w:hAnsi="Arial" w:cs="Arial"/>
          <w:sz w:val="24"/>
          <w:szCs w:val="24"/>
        </w:rPr>
        <w:tab/>
        <w:t>Jaiswal N, Singh S, Agarwal A, Chauhan A, Thumburu KK, Kaur H, Singh M: Equivalent schedules of intradermal fractional dose versus intramuscular full dose of inactivated polio vaccine for prevention of poliomyelitis. Cochrane Database Syst Rev 2019, 12:CD011780.</w:t>
      </w:r>
    </w:p>
    <w:p w14:paraId="3556730A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25.</w:t>
      </w:r>
      <w:r w:rsidRPr="006B3305">
        <w:rPr>
          <w:rFonts w:ascii="Arial" w:hAnsi="Arial" w:cs="Arial"/>
          <w:sz w:val="24"/>
          <w:szCs w:val="24"/>
        </w:rPr>
        <w:tab/>
        <w:t>Karjalainen TV, Jain NB, Heikkinen J, Johnston RV, Page CM, Buchbinder R: Surgery for rotator cuff tears. Cochrane Database Syst Rev 2019, 12:CD013502.</w:t>
      </w:r>
    </w:p>
    <w:p w14:paraId="50882471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26.</w:t>
      </w:r>
      <w:r w:rsidRPr="006B3305">
        <w:rPr>
          <w:rFonts w:ascii="Arial" w:hAnsi="Arial" w:cs="Arial"/>
          <w:sz w:val="24"/>
          <w:szCs w:val="24"/>
        </w:rPr>
        <w:tab/>
        <w:t>Kietpeerakool C, Rattanakanokchai S, Jampathong N, Srisomboon J, Lumbiganon P: Management of drainage for malignant ascites in gynaecological cancer. Cochrane Database Syst Rev 2019, 12:CD007794.</w:t>
      </w:r>
    </w:p>
    <w:p w14:paraId="11EAECC7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lastRenderedPageBreak/>
        <w:t>27.</w:t>
      </w:r>
      <w:r w:rsidRPr="006B3305">
        <w:rPr>
          <w:rFonts w:ascii="Arial" w:hAnsi="Arial" w:cs="Arial"/>
          <w:sz w:val="24"/>
          <w:szCs w:val="24"/>
        </w:rPr>
        <w:tab/>
        <w:t>Kolkailah AA, Doukky R, Pelletier MP, Volgman AS, Kaneko T, Nabhan AF: Transcatheter aortic valve implantation versus surgical aortic valve replacement for severe aortic stenosis in people with low surgical risk. Cochrane Database Syst Rev 2019, 12:CD013319.</w:t>
      </w:r>
    </w:p>
    <w:p w14:paraId="7C8A4D14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28.</w:t>
      </w:r>
      <w:r w:rsidRPr="006B3305">
        <w:rPr>
          <w:rFonts w:ascii="Arial" w:hAnsi="Arial" w:cs="Arial"/>
          <w:sz w:val="24"/>
          <w:szCs w:val="24"/>
        </w:rPr>
        <w:tab/>
        <w:t>Lake JC, Victor G, Clare G, Porfirio GJ, Kernohan A, Evans JR: Toric intraocular lens versus limbal relaxing incisions for corneal astigmatism after phacoemulsification. Cochrane Database Syst Rev 2019, 12:CD012801.</w:t>
      </w:r>
    </w:p>
    <w:p w14:paraId="60BC00B5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29.</w:t>
      </w:r>
      <w:r w:rsidRPr="006B3305">
        <w:rPr>
          <w:rFonts w:ascii="Arial" w:hAnsi="Arial" w:cs="Arial"/>
          <w:sz w:val="24"/>
          <w:szCs w:val="24"/>
        </w:rPr>
        <w:tab/>
        <w:t>Lewis SR, Pritchard MW, Fawcett LJ, Punjasawadwong Y: Bispectral index for improving intraoperative awareness and early postoperative recovery in adults. Cochrane Database Syst Rev 2019, 9:CD003843.</w:t>
      </w:r>
    </w:p>
    <w:p w14:paraId="2774171E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30.</w:t>
      </w:r>
      <w:r w:rsidRPr="006B3305">
        <w:rPr>
          <w:rFonts w:ascii="Arial" w:hAnsi="Arial" w:cs="Arial"/>
          <w:sz w:val="24"/>
          <w:szCs w:val="24"/>
        </w:rPr>
        <w:tab/>
        <w:t>Lewis SR, Pritchard MW, Thomas CM, Smith AF: Pharmacological agents for adults with acute respiratory distress syndrome. Cochrane Database Syst Rev 2019, 7:CD004477.</w:t>
      </w:r>
    </w:p>
    <w:p w14:paraId="2BA79AF0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31.</w:t>
      </w:r>
      <w:r w:rsidRPr="006B3305">
        <w:rPr>
          <w:rFonts w:ascii="Arial" w:hAnsi="Arial" w:cs="Arial"/>
          <w:sz w:val="24"/>
          <w:szCs w:val="24"/>
        </w:rPr>
        <w:tab/>
        <w:t>Luger T, Maher CG, Rieger MA, Steinhilber B: Work-break schedules for preventing musculoskeletal symptoms and disorders in healthy workers. Cochrane Database Syst Rev 2019, 7:CD012886.</w:t>
      </w:r>
    </w:p>
    <w:p w14:paraId="57EFB623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32.</w:t>
      </w:r>
      <w:r w:rsidRPr="006B3305">
        <w:rPr>
          <w:rFonts w:ascii="Arial" w:hAnsi="Arial" w:cs="Arial"/>
          <w:sz w:val="24"/>
          <w:szCs w:val="24"/>
        </w:rPr>
        <w:tab/>
        <w:t xml:space="preserve">Merriel A, Ficquet J, Barnard K, Kunutsor SK, Soar J, Lenguerrand E, Caldwell DM, Burden C, Winter C, Draycott T et al: The effects of interactive </w:t>
      </w:r>
      <w:r w:rsidRPr="006B3305">
        <w:rPr>
          <w:rFonts w:ascii="Arial" w:hAnsi="Arial" w:cs="Arial"/>
          <w:sz w:val="24"/>
          <w:szCs w:val="24"/>
        </w:rPr>
        <w:lastRenderedPageBreak/>
        <w:t>training of healthcare providers on the management of life-threatening emergencies in hospital. Cochrane Database Syst Rev 2019, 9:CD012177.</w:t>
      </w:r>
    </w:p>
    <w:p w14:paraId="222B4B76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33.</w:t>
      </w:r>
      <w:r w:rsidRPr="006B3305">
        <w:rPr>
          <w:rFonts w:ascii="Arial" w:hAnsi="Arial" w:cs="Arial"/>
          <w:sz w:val="24"/>
          <w:szCs w:val="24"/>
        </w:rPr>
        <w:tab/>
        <w:t>Muelbert M, Lin L, Bloomfield FH, Harding JE: Exposure to the smell and taste of milk to accelerate feeding in preterm infants. Cochrane Database Syst Rev 2019, 7:CD013038.</w:t>
      </w:r>
    </w:p>
    <w:p w14:paraId="71FAB32C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34.</w:t>
      </w:r>
      <w:r w:rsidRPr="006B3305">
        <w:rPr>
          <w:rFonts w:ascii="Arial" w:hAnsi="Arial" w:cs="Arial"/>
          <w:sz w:val="24"/>
          <w:szCs w:val="24"/>
        </w:rPr>
        <w:tab/>
        <w:t>Ng DHC, Klassen JR, Embleton ND, McGuire W: Protein hydrolysate versus standard formula for preterm infants. Cochrane Database Syst Rev 2019, 7:CD012412.</w:t>
      </w:r>
    </w:p>
    <w:p w14:paraId="39B89FDD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35.</w:t>
      </w:r>
      <w:r w:rsidRPr="006B3305">
        <w:rPr>
          <w:rFonts w:ascii="Arial" w:hAnsi="Arial" w:cs="Arial"/>
          <w:sz w:val="24"/>
          <w:szCs w:val="24"/>
        </w:rPr>
        <w:tab/>
        <w:t>O'Hara L, Smith ER, Barlow J, Livingstone N, Herath NI, Wei Y, Spreckelsen TF, Macdonald G: Video feedback for parental sensitivity and attachment security in children under five years. Cochrane Database Syst Rev 2019, 11:CD012348.</w:t>
      </w:r>
    </w:p>
    <w:p w14:paraId="7AD9A4F1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36.</w:t>
      </w:r>
      <w:r w:rsidRPr="006B3305">
        <w:rPr>
          <w:rFonts w:ascii="Arial" w:hAnsi="Arial" w:cs="Arial"/>
          <w:sz w:val="24"/>
          <w:szCs w:val="24"/>
        </w:rPr>
        <w:tab/>
        <w:t>Palmer JS, Monk AP, Hopewell S, Bayliss LE, Jackson W, Beard DJ, Price AJ: Surgical interventions for symptomatic mild to moderate knee osteoarthritis. Cochrane Database Syst Rev 2019, 7:CD012128.</w:t>
      </w:r>
    </w:p>
    <w:p w14:paraId="0A99B295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37.</w:t>
      </w:r>
      <w:r w:rsidRPr="006B3305">
        <w:rPr>
          <w:rFonts w:ascii="Arial" w:hAnsi="Arial" w:cs="Arial"/>
          <w:sz w:val="24"/>
          <w:szCs w:val="24"/>
        </w:rPr>
        <w:tab/>
        <w:t xml:space="preserve">Pantoja T, Grimshaw JM, Colomer N, Castanon C, Leniz Martelli J: </w:t>
      </w:r>
      <w:proofErr w:type="gramStart"/>
      <w:r w:rsidRPr="006B3305">
        <w:rPr>
          <w:rFonts w:ascii="Arial" w:hAnsi="Arial" w:cs="Arial"/>
          <w:sz w:val="24"/>
          <w:szCs w:val="24"/>
        </w:rPr>
        <w:t>Manually-generated</w:t>
      </w:r>
      <w:proofErr w:type="gramEnd"/>
      <w:r w:rsidRPr="006B3305">
        <w:rPr>
          <w:rFonts w:ascii="Arial" w:hAnsi="Arial" w:cs="Arial"/>
          <w:sz w:val="24"/>
          <w:szCs w:val="24"/>
        </w:rPr>
        <w:t xml:space="preserve"> reminders delivered on paper: effects on professional practice and patient outcomes. Cochrane Database Syst Rev 2019, </w:t>
      </w:r>
      <w:r w:rsidRPr="006B3305">
        <w:rPr>
          <w:rFonts w:ascii="Arial" w:hAnsi="Arial" w:cs="Arial"/>
          <w:sz w:val="24"/>
          <w:szCs w:val="24"/>
        </w:rPr>
        <w:lastRenderedPageBreak/>
        <w:t>12:CD001174.</w:t>
      </w:r>
    </w:p>
    <w:p w14:paraId="4564A983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38.</w:t>
      </w:r>
      <w:r w:rsidRPr="006B3305">
        <w:rPr>
          <w:rFonts w:ascii="Arial" w:hAnsi="Arial" w:cs="Arial"/>
          <w:sz w:val="24"/>
          <w:szCs w:val="24"/>
        </w:rPr>
        <w:tab/>
        <w:t>Quigley M, Embleton ND, McGuire W: Formula versus donor breast milk for feeding preterm or low birth weight infants. Cochrane Database Syst Rev 2019, 7:CD002971.</w:t>
      </w:r>
    </w:p>
    <w:p w14:paraId="41C7E6F3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39.</w:t>
      </w:r>
      <w:r w:rsidRPr="006B3305">
        <w:rPr>
          <w:rFonts w:ascii="Arial" w:hAnsi="Arial" w:cs="Arial"/>
          <w:sz w:val="24"/>
          <w:szCs w:val="24"/>
        </w:rPr>
        <w:tab/>
        <w:t>Regnaux JP, Davergne T, Palazzo C, Roren A, Rannou F, Boutron I, Lefevre-Colau MM: Exercise programmes for ankylosing spondylitis. Cochrane Database Syst Rev 2019, 10:CD011321.</w:t>
      </w:r>
    </w:p>
    <w:p w14:paraId="2CF3C262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40.</w:t>
      </w:r>
      <w:r w:rsidRPr="006B3305">
        <w:rPr>
          <w:rFonts w:ascii="Arial" w:hAnsi="Arial" w:cs="Arial"/>
          <w:sz w:val="24"/>
          <w:szCs w:val="24"/>
        </w:rPr>
        <w:tab/>
        <w:t>Romantsik O, Bruschettini M, Moreira A, Thebaud B, Ley D: Stem cell-based interventions for the prevention and treatment of germinal matrix-intraventricular haemorrhage in preterm infants. Cochrane Database Syst Rev 2019, 9:CD013201.</w:t>
      </w:r>
    </w:p>
    <w:p w14:paraId="1E74F5BB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41.</w:t>
      </w:r>
      <w:r w:rsidRPr="006B3305">
        <w:rPr>
          <w:rFonts w:ascii="Arial" w:hAnsi="Arial" w:cs="Arial"/>
          <w:sz w:val="24"/>
          <w:szCs w:val="24"/>
        </w:rPr>
        <w:tab/>
        <w:t>Safi S, Sethi NJ, Nielsen EE, Feinberg J, Jakobsen JC, Gluud C: Beta-blockers for suspected or diagnosed acute myocardial infarction. Cochrane Database Syst Rev 2019, 12:CD012484.</w:t>
      </w:r>
    </w:p>
    <w:p w14:paraId="0803CF65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42.</w:t>
      </w:r>
      <w:r w:rsidRPr="006B3305">
        <w:rPr>
          <w:rFonts w:ascii="Arial" w:hAnsi="Arial" w:cs="Arial"/>
          <w:sz w:val="24"/>
          <w:szCs w:val="24"/>
        </w:rPr>
        <w:tab/>
        <w:t>Schnabel A, Reichl SU, Weibel S, Zahn PK, Kranke P, Pogatzki-Zahn E, Meyer-Friessem CH: Adductor canal blocks for postoperative pain treatment in adults undergoing knee surgery. Cochrane Database Syst Rev 2019, 2019(10).</w:t>
      </w:r>
    </w:p>
    <w:p w14:paraId="1537FB9C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43.</w:t>
      </w:r>
      <w:r w:rsidRPr="006B3305">
        <w:rPr>
          <w:rFonts w:ascii="Arial" w:hAnsi="Arial" w:cs="Arial"/>
          <w:sz w:val="24"/>
          <w:szCs w:val="24"/>
        </w:rPr>
        <w:tab/>
        <w:t xml:space="preserve">Scott AM, Clark J, Julien B, Islam F, Roos K, Grimwood K, Little P, Del </w:t>
      </w:r>
      <w:r w:rsidRPr="006B3305">
        <w:rPr>
          <w:rFonts w:ascii="Arial" w:hAnsi="Arial" w:cs="Arial"/>
          <w:sz w:val="24"/>
          <w:szCs w:val="24"/>
        </w:rPr>
        <w:lastRenderedPageBreak/>
        <w:t>Mar CB: Probiotics for preventing acute otitis media in children. Cochrane Database Syst Rev 2019, 6:CD012941.</w:t>
      </w:r>
    </w:p>
    <w:p w14:paraId="1FBC3FB4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44.</w:t>
      </w:r>
      <w:r w:rsidRPr="006B3305">
        <w:rPr>
          <w:rFonts w:ascii="Arial" w:hAnsi="Arial" w:cs="Arial"/>
          <w:sz w:val="24"/>
          <w:szCs w:val="24"/>
        </w:rPr>
        <w:tab/>
        <w:t>Steed L, Sohanpal R, Todd A, Madurasinghe VW, Rivas C, Edwards EA, Summerbell CD, Taylor SJ, Walton RT: Community pharmacy interventions for health promotion: effects on professional practice and health outcomes. Cochrane Database Syst Rev 2019, 12:CD011207.</w:t>
      </w:r>
    </w:p>
    <w:p w14:paraId="13E4A06E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45.</w:t>
      </w:r>
      <w:r w:rsidRPr="006B3305">
        <w:rPr>
          <w:rFonts w:ascii="Arial" w:hAnsi="Arial" w:cs="Arial"/>
          <w:sz w:val="24"/>
          <w:szCs w:val="24"/>
        </w:rPr>
        <w:tab/>
        <w:t>Storebo OJ, Elmose Andersen M, Skoog M, Joost Hansen S, Simonsen E, Pedersen N, Tendal B, Callesen HE, Faltinsen E, Gluud C: Social skills training for attention deficit hyperactivity disorder (ADHD) in children aged 5 to 18 years. Cochrane Database Syst Rev 2019, 6:CD008223.</w:t>
      </w:r>
    </w:p>
    <w:p w14:paraId="44EB4CBD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46.</w:t>
      </w:r>
      <w:r w:rsidRPr="006B3305">
        <w:rPr>
          <w:rFonts w:ascii="Arial" w:hAnsi="Arial" w:cs="Arial"/>
          <w:sz w:val="24"/>
          <w:szCs w:val="24"/>
        </w:rPr>
        <w:tab/>
        <w:t>Sweeney C, Ryan F, Ledwidge M, Ryan C, McDonald K, Watson C, Pharithi RB, Gallagher J: Natriuretic peptide-guided treatment for the prevention of cardiovascular events in patients without heart failure. Cochrane Database Syst Rev 2019, 10:CD013015.</w:t>
      </w:r>
    </w:p>
    <w:p w14:paraId="11EBD205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47.</w:t>
      </w:r>
      <w:r w:rsidRPr="006B3305">
        <w:rPr>
          <w:rFonts w:ascii="Arial" w:hAnsi="Arial" w:cs="Arial"/>
          <w:sz w:val="24"/>
          <w:szCs w:val="24"/>
        </w:rPr>
        <w:tab/>
        <w:t>Treanor CJ, Santin O, Prue G, Coleman H, Cardwell CR, O'Halloran P, Donnelly M: Psychosocial interventions for informal caregivers of people living with cancer. Cochrane Database Syst Rev 2019, 6:CD009912.</w:t>
      </w:r>
    </w:p>
    <w:p w14:paraId="1EE4B7C0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48.</w:t>
      </w:r>
      <w:r w:rsidRPr="006B3305">
        <w:rPr>
          <w:rFonts w:ascii="Arial" w:hAnsi="Arial" w:cs="Arial"/>
          <w:sz w:val="24"/>
          <w:szCs w:val="24"/>
        </w:rPr>
        <w:tab/>
        <w:t xml:space="preserve">Wrzosek A, Jakowicka-Wordliczek J, Zajaczkowska R, Serednicki WT, </w:t>
      </w:r>
      <w:r w:rsidRPr="006B3305">
        <w:rPr>
          <w:rFonts w:ascii="Arial" w:hAnsi="Arial" w:cs="Arial"/>
          <w:sz w:val="24"/>
          <w:szCs w:val="24"/>
        </w:rPr>
        <w:lastRenderedPageBreak/>
        <w:t>Jankowski M, Bala MM, Swierz MJ, Polak M, Wordliczek J: Perioperative restrictive versus goal-directed fluid therapy for adults undergoing major non-cardiac surgery. Cochrane Database Syst Rev 2019, 12:CD012767.</w:t>
      </w:r>
    </w:p>
    <w:p w14:paraId="476A017D" w14:textId="77777777" w:rsidR="006B3305" w:rsidRPr="006B3305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49.</w:t>
      </w:r>
      <w:r w:rsidRPr="006B3305">
        <w:rPr>
          <w:rFonts w:ascii="Arial" w:hAnsi="Arial" w:cs="Arial"/>
          <w:sz w:val="24"/>
          <w:szCs w:val="24"/>
        </w:rPr>
        <w:tab/>
        <w:t>Yamamoto S, Yamaga T, Nishie K, Nagata C, Mori R: Positive airway pressure therapy for the treatment of central sleep apnoea associated with heart failure. Cochrane Database Syst Rev 2019, 12:CD012803.</w:t>
      </w:r>
    </w:p>
    <w:p w14:paraId="5FCF1B83" w14:textId="48C7EFDA" w:rsidR="00597E55" w:rsidRPr="00F218FE" w:rsidRDefault="006B3305" w:rsidP="006B3305">
      <w:pPr>
        <w:spacing w:line="480" w:lineRule="auto"/>
        <w:rPr>
          <w:rFonts w:ascii="Arial" w:hAnsi="Arial" w:cs="Arial"/>
          <w:sz w:val="24"/>
          <w:szCs w:val="24"/>
        </w:rPr>
      </w:pPr>
      <w:r w:rsidRPr="006B3305">
        <w:rPr>
          <w:rFonts w:ascii="Arial" w:hAnsi="Arial" w:cs="Arial"/>
          <w:sz w:val="24"/>
          <w:szCs w:val="24"/>
        </w:rPr>
        <w:t>50.</w:t>
      </w:r>
      <w:r w:rsidRPr="006B3305">
        <w:rPr>
          <w:rFonts w:ascii="Arial" w:hAnsi="Arial" w:cs="Arial"/>
          <w:sz w:val="24"/>
          <w:szCs w:val="24"/>
        </w:rPr>
        <w:tab/>
        <w:t>Zeng L, Yu X, Yu T, Xiao J, Huang Y: Interventions for smoking cessation in people diagnosed with lung cancer. Cochrane Database Syst Rev 2019, 6:CD011751.</w:t>
      </w:r>
    </w:p>
    <w:sectPr w:rsidR="00597E55" w:rsidRPr="00F218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643D1" w14:textId="77777777" w:rsidR="001434D5" w:rsidRDefault="001434D5" w:rsidP="00E94C6E">
      <w:r>
        <w:separator/>
      </w:r>
    </w:p>
  </w:endnote>
  <w:endnote w:type="continuationSeparator" w:id="0">
    <w:p w14:paraId="77993F5D" w14:textId="77777777" w:rsidR="001434D5" w:rsidRDefault="001434D5" w:rsidP="00E9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32F32" w14:textId="77777777" w:rsidR="001434D5" w:rsidRDefault="001434D5" w:rsidP="00E94C6E">
      <w:r>
        <w:separator/>
      </w:r>
    </w:p>
  </w:footnote>
  <w:footnote w:type="continuationSeparator" w:id="0">
    <w:p w14:paraId="3B22789B" w14:textId="77777777" w:rsidR="001434D5" w:rsidRDefault="001434D5" w:rsidP="00E94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0NTQyMzE0MDE3NTdX0lEKTi0uzszPAykwrAUA1q4OnywAAAA="/>
  </w:docVars>
  <w:rsids>
    <w:rsidRoot w:val="005F0E9F"/>
    <w:rsid w:val="001434D5"/>
    <w:rsid w:val="00376ACC"/>
    <w:rsid w:val="00555432"/>
    <w:rsid w:val="00597E55"/>
    <w:rsid w:val="005E7C7A"/>
    <w:rsid w:val="005F0E9F"/>
    <w:rsid w:val="006B3305"/>
    <w:rsid w:val="007570B7"/>
    <w:rsid w:val="009C6EF9"/>
    <w:rsid w:val="00A130CF"/>
    <w:rsid w:val="00CC5D79"/>
    <w:rsid w:val="00CE180F"/>
    <w:rsid w:val="00D11893"/>
    <w:rsid w:val="00D92D7E"/>
    <w:rsid w:val="00E94C6E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E54068"/>
  <w15:chartTrackingRefBased/>
  <w15:docId w15:val="{CA0EE27C-6E61-42B8-AADC-8C334084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4C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4C6E"/>
  </w:style>
  <w:style w:type="paragraph" w:styleId="a5">
    <w:name w:val="footer"/>
    <w:basedOn w:val="a"/>
    <w:link w:val="a6"/>
    <w:uiPriority w:val="99"/>
    <w:unhideWhenUsed/>
    <w:rsid w:val="00E94C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4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80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1635</Words>
  <Characters>9326</Characters>
  <Application>Microsoft Office Word</Application>
  <DocSecurity>0</DocSecurity>
  <Lines>77</Lines>
  <Paragraphs>21</Paragraphs>
  <ScaleCrop>false</ScaleCrop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阪野 正大</dc:creator>
  <cp:keywords/>
  <dc:description/>
  <cp:lastModifiedBy>正大 阪野</cp:lastModifiedBy>
  <cp:revision>10</cp:revision>
  <dcterms:created xsi:type="dcterms:W3CDTF">2020-03-17T08:05:00Z</dcterms:created>
  <dcterms:modified xsi:type="dcterms:W3CDTF">2020-05-28T15:02:00Z</dcterms:modified>
</cp:coreProperties>
</file>