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393C40" w14:textId="77777777" w:rsidR="00BB5BD2" w:rsidRPr="00BB5BD2" w:rsidRDefault="00BB5BD2" w:rsidP="00BB5BD2">
      <w:pPr>
        <w:spacing w:after="0"/>
        <w:rPr>
          <w:rFonts w:ascii="Arial" w:hAnsi="Arial" w:cs="Arial"/>
          <w:b/>
        </w:rPr>
      </w:pPr>
      <w:r w:rsidRPr="00BB5BD2">
        <w:rPr>
          <w:rFonts w:ascii="Arial" w:hAnsi="Arial" w:cs="Arial"/>
          <w:b/>
        </w:rPr>
        <w:t>The use of experimental vignette studies to identify drivers of variations in the delivery of health care: a scoping review</w:t>
      </w:r>
    </w:p>
    <w:p w14:paraId="0249A745" w14:textId="5D72DC40" w:rsidR="00BB5BD2" w:rsidRDefault="00BB5BD2">
      <w:pPr>
        <w:rPr>
          <w:rFonts w:ascii="Arial" w:hAnsi="Arial" w:cs="Arial"/>
          <w:b/>
          <w:lang w:val="en-US"/>
        </w:rPr>
      </w:pPr>
    </w:p>
    <w:p w14:paraId="4DCC7EA3" w14:textId="77777777" w:rsidR="005535D7" w:rsidRPr="00141443" w:rsidRDefault="005535D7" w:rsidP="005535D7">
      <w:pPr>
        <w:spacing w:line="480" w:lineRule="auto"/>
        <w:rPr>
          <w:rFonts w:ascii="Baskerville Old Face" w:hAnsi="Baskerville Old Face" w:cstheme="minorHAnsi"/>
          <w:b/>
          <w:sz w:val="24"/>
          <w:szCs w:val="24"/>
        </w:rPr>
      </w:pPr>
      <w:r w:rsidRPr="00141443">
        <w:rPr>
          <w:rFonts w:ascii="Baskerville Old Face" w:hAnsi="Baskerville Old Face" w:cstheme="minorHAnsi"/>
          <w:b/>
          <w:sz w:val="24"/>
          <w:szCs w:val="24"/>
        </w:rPr>
        <w:t>Jessica Sheringham</w:t>
      </w:r>
      <w:r w:rsidRPr="00141443">
        <w:rPr>
          <w:rFonts w:ascii="Baskerville Old Face" w:hAnsi="Baskerville Old Face" w:cstheme="minorHAnsi"/>
          <w:b/>
          <w:sz w:val="24"/>
          <w:szCs w:val="24"/>
          <w:vertAlign w:val="superscript"/>
        </w:rPr>
        <w:t xml:space="preserve"> 1</w:t>
      </w:r>
    </w:p>
    <w:p w14:paraId="39230BA2" w14:textId="77777777" w:rsidR="005535D7" w:rsidRPr="00141443" w:rsidRDefault="005535D7" w:rsidP="005535D7">
      <w:pPr>
        <w:spacing w:line="480" w:lineRule="auto"/>
        <w:rPr>
          <w:rFonts w:ascii="Baskerville Old Face" w:hAnsi="Baskerville Old Face" w:cstheme="minorHAnsi"/>
          <w:b/>
          <w:sz w:val="24"/>
          <w:szCs w:val="24"/>
        </w:rPr>
      </w:pPr>
      <w:r w:rsidRPr="00141443">
        <w:rPr>
          <w:rFonts w:ascii="Baskerville Old Face" w:hAnsi="Baskerville Old Face" w:cstheme="minorHAnsi"/>
          <w:b/>
          <w:sz w:val="24"/>
          <w:szCs w:val="24"/>
        </w:rPr>
        <w:t>Isla Kuhn</w:t>
      </w:r>
      <w:r w:rsidRPr="00141443">
        <w:rPr>
          <w:rFonts w:ascii="Baskerville Old Face" w:hAnsi="Baskerville Old Face" w:cstheme="minorHAnsi"/>
          <w:b/>
          <w:sz w:val="24"/>
          <w:szCs w:val="24"/>
          <w:vertAlign w:val="superscript"/>
        </w:rPr>
        <w:t xml:space="preserve"> 2</w:t>
      </w:r>
    </w:p>
    <w:p w14:paraId="10820638" w14:textId="77777777" w:rsidR="005535D7" w:rsidRPr="00141443" w:rsidRDefault="005535D7" w:rsidP="005535D7">
      <w:pPr>
        <w:spacing w:line="480" w:lineRule="auto"/>
        <w:rPr>
          <w:rFonts w:ascii="Baskerville Old Face" w:hAnsi="Baskerville Old Face" w:cstheme="minorHAnsi"/>
          <w:b/>
          <w:sz w:val="24"/>
          <w:szCs w:val="24"/>
        </w:rPr>
      </w:pPr>
      <w:r w:rsidRPr="00141443">
        <w:rPr>
          <w:rFonts w:ascii="Baskerville Old Face" w:hAnsi="Baskerville Old Face" w:cstheme="minorHAnsi"/>
          <w:b/>
          <w:sz w:val="24"/>
          <w:szCs w:val="24"/>
        </w:rPr>
        <w:t>Jenni Burt</w:t>
      </w:r>
      <w:r w:rsidRPr="00141443">
        <w:rPr>
          <w:rFonts w:ascii="Baskerville Old Face" w:hAnsi="Baskerville Old Face" w:cstheme="minorHAnsi"/>
          <w:b/>
          <w:sz w:val="24"/>
          <w:szCs w:val="24"/>
          <w:vertAlign w:val="superscript"/>
        </w:rPr>
        <w:t xml:space="preserve"> 2</w:t>
      </w:r>
    </w:p>
    <w:p w14:paraId="1A785B38" w14:textId="77777777" w:rsidR="005535D7" w:rsidRPr="00BB5BD2" w:rsidRDefault="005535D7">
      <w:pPr>
        <w:rPr>
          <w:rFonts w:ascii="Arial" w:hAnsi="Arial" w:cs="Arial"/>
          <w:b/>
          <w:lang w:val="en-US"/>
        </w:rPr>
      </w:pPr>
    </w:p>
    <w:p w14:paraId="54FB6DBC" w14:textId="74899B32" w:rsidR="00B042FD" w:rsidRDefault="001E294E">
      <w:pPr>
        <w:rPr>
          <w:rFonts w:ascii="Arial" w:hAnsi="Arial" w:cs="Arial"/>
          <w:b/>
          <w:lang w:val="en-US"/>
        </w:rPr>
      </w:pPr>
      <w:proofErr w:type="gramStart"/>
      <w:r w:rsidRPr="00BB5BD2">
        <w:rPr>
          <w:rFonts w:ascii="Arial" w:hAnsi="Arial" w:cs="Arial"/>
          <w:b/>
          <w:lang w:val="en-US"/>
        </w:rPr>
        <w:t xml:space="preserve">Supplementary </w:t>
      </w:r>
      <w:r w:rsidR="004907F1">
        <w:rPr>
          <w:rFonts w:ascii="Arial" w:hAnsi="Arial" w:cs="Arial"/>
          <w:b/>
          <w:lang w:val="en-US"/>
        </w:rPr>
        <w:t xml:space="preserve"> file</w:t>
      </w:r>
      <w:proofErr w:type="gramEnd"/>
      <w:r w:rsidR="00ED3C4C" w:rsidRPr="00BB5BD2">
        <w:rPr>
          <w:rFonts w:ascii="Arial" w:hAnsi="Arial" w:cs="Arial"/>
          <w:b/>
          <w:lang w:val="en-US"/>
        </w:rPr>
        <w:t xml:space="preserve"> 1</w:t>
      </w:r>
      <w:r w:rsidR="005535D7">
        <w:rPr>
          <w:rFonts w:ascii="Arial" w:hAnsi="Arial" w:cs="Arial"/>
          <w:b/>
          <w:lang w:val="en-US"/>
        </w:rPr>
        <w:t xml:space="preserve"> and 2</w:t>
      </w:r>
      <w:r w:rsidR="00B042FD">
        <w:rPr>
          <w:rFonts w:ascii="Arial" w:hAnsi="Arial" w:cs="Arial"/>
          <w:b/>
          <w:lang w:val="en-US"/>
        </w:rPr>
        <w:t>.</w:t>
      </w:r>
    </w:p>
    <w:p w14:paraId="5E13D588" w14:textId="39F3B2B9" w:rsidR="005535D7" w:rsidRDefault="005535D7">
      <w:pPr>
        <w:rPr>
          <w:rFonts w:ascii="Arial" w:hAnsi="Arial" w:cs="Arial"/>
          <w:b/>
          <w:lang w:val="en-US"/>
        </w:rPr>
      </w:pPr>
    </w:p>
    <w:p w14:paraId="551C47C3" w14:textId="4EC101E7" w:rsidR="005535D7" w:rsidRDefault="005535D7">
      <w:pPr>
        <w:rPr>
          <w:rFonts w:ascii="Arial" w:hAnsi="Arial" w:cs="Arial"/>
          <w:b/>
          <w:lang w:val="en-US"/>
        </w:rPr>
      </w:pPr>
      <w:r>
        <w:rPr>
          <w:rFonts w:ascii="Arial" w:hAnsi="Arial" w:cs="Arial"/>
          <w:b/>
          <w:lang w:val="en-US"/>
        </w:rPr>
        <w:t>Supplementary file 1</w:t>
      </w:r>
    </w:p>
    <w:p w14:paraId="588FC6EE" w14:textId="39DC56D1" w:rsidR="00550C76" w:rsidRPr="00B042FD" w:rsidRDefault="005E2F5D">
      <w:pPr>
        <w:rPr>
          <w:rFonts w:ascii="Arial" w:hAnsi="Arial" w:cs="Arial"/>
          <w:b/>
          <w:lang w:val="en-US"/>
        </w:rPr>
      </w:pPr>
      <w:r w:rsidRPr="00B042FD">
        <w:rPr>
          <w:rFonts w:ascii="Arial" w:hAnsi="Arial" w:cs="Arial"/>
          <w:b/>
          <w:lang w:val="en-US"/>
        </w:rPr>
        <w:t xml:space="preserve">Search strategy </w:t>
      </w:r>
      <w:r w:rsidR="006827EF" w:rsidRPr="00B042FD">
        <w:rPr>
          <w:rFonts w:ascii="Arial" w:hAnsi="Arial" w:cs="Arial"/>
          <w:b/>
          <w:lang w:val="en-US"/>
        </w:rPr>
        <w:t xml:space="preserve">(Box 1) </w:t>
      </w:r>
      <w:r w:rsidRPr="00B042FD">
        <w:rPr>
          <w:rFonts w:ascii="Arial" w:hAnsi="Arial" w:cs="Arial"/>
          <w:b/>
          <w:lang w:val="en-US"/>
        </w:rPr>
        <w:t xml:space="preserve">and inclusion </w:t>
      </w:r>
      <w:r w:rsidR="006827EF" w:rsidRPr="00B042FD">
        <w:rPr>
          <w:rFonts w:ascii="Arial" w:hAnsi="Arial" w:cs="Arial"/>
          <w:b/>
          <w:lang w:val="en-US"/>
        </w:rPr>
        <w:t xml:space="preserve">and exclusion </w:t>
      </w:r>
      <w:r w:rsidRPr="00B042FD">
        <w:rPr>
          <w:rFonts w:ascii="Arial" w:hAnsi="Arial" w:cs="Arial"/>
          <w:b/>
          <w:lang w:val="en-US"/>
        </w:rPr>
        <w:t>criteria</w:t>
      </w:r>
      <w:r w:rsidR="006827EF" w:rsidRPr="00B042FD">
        <w:rPr>
          <w:rFonts w:ascii="Arial" w:hAnsi="Arial" w:cs="Arial"/>
          <w:b/>
          <w:lang w:val="en-US"/>
        </w:rPr>
        <w:t xml:space="preserve"> (Table 1)</w:t>
      </w:r>
    </w:p>
    <w:p w14:paraId="424C3555" w14:textId="77777777" w:rsidR="00ED3C4C" w:rsidRPr="00ED3C4C" w:rsidRDefault="00ED3C4C">
      <w:pPr>
        <w:rPr>
          <w:rFonts w:ascii="Arial" w:hAnsi="Arial" w:cs="Arial"/>
          <w:b/>
          <w:lang w:val="en-US"/>
        </w:rPr>
      </w:pPr>
    </w:p>
    <w:p w14:paraId="30CDC344" w14:textId="3B2AEF74" w:rsidR="00ED3C4C" w:rsidRPr="00ED3C4C" w:rsidRDefault="00ED3C4C" w:rsidP="00ED3C4C">
      <w:pPr>
        <w:pStyle w:val="Heading3"/>
        <w:rPr>
          <w:rFonts w:ascii="Arial" w:hAnsi="Arial" w:cs="Arial"/>
          <w:sz w:val="22"/>
          <w:szCs w:val="22"/>
        </w:rPr>
      </w:pPr>
      <w:r>
        <w:rPr>
          <w:rFonts w:ascii="Arial" w:hAnsi="Arial" w:cs="Arial"/>
          <w:sz w:val="22"/>
          <w:szCs w:val="22"/>
        </w:rPr>
        <w:t>Box</w:t>
      </w:r>
      <w:r w:rsidRPr="00ED3C4C">
        <w:rPr>
          <w:rFonts w:ascii="Arial" w:hAnsi="Arial" w:cs="Arial"/>
          <w:sz w:val="22"/>
          <w:szCs w:val="22"/>
        </w:rPr>
        <w:t xml:space="preserve"> 1. </w:t>
      </w:r>
      <w:r>
        <w:rPr>
          <w:rFonts w:ascii="Arial" w:hAnsi="Arial" w:cs="Arial"/>
          <w:b w:val="0"/>
          <w:sz w:val="22"/>
          <w:szCs w:val="22"/>
        </w:rPr>
        <w:t>Medline search strategy (adapted for other databases)</w:t>
      </w:r>
    </w:p>
    <w:tbl>
      <w:tblPr>
        <w:tblStyle w:val="GridTable1Light2"/>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8926"/>
      </w:tblGrid>
      <w:tr w:rsidR="00ED3C4C" w:rsidRPr="00ED3C4C" w14:paraId="3901306A" w14:textId="77777777" w:rsidTr="00ED3C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Borders>
              <w:bottom w:val="none" w:sz="0" w:space="0" w:color="auto"/>
            </w:tcBorders>
            <w:vAlign w:val="center"/>
          </w:tcPr>
          <w:p w14:paraId="36276BFF" w14:textId="77777777" w:rsidR="00ED3C4C" w:rsidRPr="00ED3C4C" w:rsidRDefault="00ED3C4C" w:rsidP="00ED3C4C">
            <w:pPr>
              <w:pStyle w:val="Heading3"/>
              <w:spacing w:line="276" w:lineRule="auto"/>
              <w:outlineLvl w:val="2"/>
              <w:rPr>
                <w:rFonts w:ascii="Baskerville Old Face" w:hAnsi="Baskerville Old Face" w:cstheme="minorHAnsi"/>
                <w:bCs/>
                <w:sz w:val="22"/>
                <w:szCs w:val="22"/>
              </w:rPr>
            </w:pPr>
            <w:r w:rsidRPr="00ED3C4C">
              <w:rPr>
                <w:rFonts w:ascii="Baskerville Old Face" w:hAnsi="Baskerville Old Face" w:cstheme="minorHAnsi"/>
                <w:bCs/>
                <w:sz w:val="22"/>
                <w:szCs w:val="22"/>
              </w:rPr>
              <w:t xml:space="preserve">((Vignette* or "paper people" or (case </w:t>
            </w:r>
            <w:proofErr w:type="spellStart"/>
            <w:r w:rsidRPr="00ED3C4C">
              <w:rPr>
                <w:rFonts w:ascii="Baskerville Old Face" w:hAnsi="Baskerville Old Face" w:cstheme="minorHAnsi"/>
                <w:bCs/>
                <w:sz w:val="22"/>
                <w:szCs w:val="22"/>
              </w:rPr>
              <w:t>adj</w:t>
            </w:r>
            <w:proofErr w:type="spellEnd"/>
            <w:r w:rsidRPr="00ED3C4C">
              <w:rPr>
                <w:rFonts w:ascii="Baskerville Old Face" w:hAnsi="Baskerville Old Face" w:cstheme="minorHAnsi"/>
                <w:bCs/>
                <w:sz w:val="22"/>
                <w:szCs w:val="22"/>
              </w:rPr>
              <w:t xml:space="preserve"> (</w:t>
            </w:r>
            <w:proofErr w:type="spellStart"/>
            <w:r w:rsidRPr="00ED3C4C">
              <w:rPr>
                <w:rFonts w:ascii="Baskerville Old Face" w:hAnsi="Baskerville Old Face" w:cstheme="minorHAnsi"/>
                <w:bCs/>
                <w:sz w:val="22"/>
                <w:szCs w:val="22"/>
              </w:rPr>
              <w:t>stor</w:t>
            </w:r>
            <w:proofErr w:type="spellEnd"/>
            <w:r w:rsidRPr="00ED3C4C">
              <w:rPr>
                <w:rFonts w:ascii="Baskerville Old Face" w:hAnsi="Baskerville Old Face" w:cstheme="minorHAnsi"/>
                <w:bCs/>
                <w:sz w:val="22"/>
                <w:szCs w:val="22"/>
              </w:rPr>
              <w:t xml:space="preserve">* or </w:t>
            </w:r>
            <w:proofErr w:type="spellStart"/>
            <w:r w:rsidRPr="00ED3C4C">
              <w:rPr>
                <w:rFonts w:ascii="Baskerville Old Face" w:hAnsi="Baskerville Old Face" w:cstheme="minorHAnsi"/>
                <w:bCs/>
                <w:sz w:val="22"/>
                <w:szCs w:val="22"/>
              </w:rPr>
              <w:t>simulat</w:t>
            </w:r>
            <w:proofErr w:type="spellEnd"/>
            <w:r w:rsidRPr="00ED3C4C">
              <w:rPr>
                <w:rFonts w:ascii="Baskerville Old Face" w:hAnsi="Baskerville Old Face" w:cstheme="minorHAnsi"/>
                <w:bCs/>
                <w:sz w:val="22"/>
                <w:szCs w:val="22"/>
              </w:rPr>
              <w:t>*)) or scenario* or "policy capture" or "judgement analysis*" or "factorial survey*" or "factorial experiment*" or  "virtual patient" or "virtual human" or (</w:t>
            </w:r>
            <w:proofErr w:type="spellStart"/>
            <w:r w:rsidRPr="00ED3C4C">
              <w:rPr>
                <w:rFonts w:ascii="Baskerville Old Face" w:hAnsi="Baskerville Old Face" w:cstheme="minorHAnsi"/>
                <w:bCs/>
                <w:sz w:val="22"/>
                <w:szCs w:val="22"/>
              </w:rPr>
              <w:t>simulat</w:t>
            </w:r>
            <w:proofErr w:type="spellEnd"/>
            <w:r w:rsidRPr="00ED3C4C">
              <w:rPr>
                <w:rFonts w:ascii="Baskerville Old Face" w:hAnsi="Baskerville Old Face" w:cstheme="minorHAnsi"/>
                <w:bCs/>
                <w:sz w:val="22"/>
                <w:szCs w:val="22"/>
              </w:rPr>
              <w:t xml:space="preserve">* </w:t>
            </w:r>
            <w:proofErr w:type="spellStart"/>
            <w:r w:rsidRPr="00ED3C4C">
              <w:rPr>
                <w:rFonts w:ascii="Baskerville Old Face" w:hAnsi="Baskerville Old Face" w:cstheme="minorHAnsi"/>
                <w:bCs/>
                <w:sz w:val="22"/>
                <w:szCs w:val="22"/>
              </w:rPr>
              <w:t>adj</w:t>
            </w:r>
            <w:proofErr w:type="spellEnd"/>
            <w:r w:rsidRPr="00ED3C4C">
              <w:rPr>
                <w:rFonts w:ascii="Baskerville Old Face" w:hAnsi="Baskerville Old Face" w:cstheme="minorHAnsi"/>
                <w:bCs/>
                <w:sz w:val="22"/>
                <w:szCs w:val="22"/>
              </w:rPr>
              <w:t xml:space="preserve"> patient*)).</w:t>
            </w:r>
            <w:proofErr w:type="spellStart"/>
            <w:r w:rsidRPr="00ED3C4C">
              <w:rPr>
                <w:rFonts w:ascii="Baskerville Old Face" w:hAnsi="Baskerville Old Face" w:cstheme="minorHAnsi"/>
                <w:bCs/>
                <w:sz w:val="22"/>
                <w:szCs w:val="22"/>
              </w:rPr>
              <w:t>mp</w:t>
            </w:r>
            <w:proofErr w:type="spellEnd"/>
            <w:r w:rsidRPr="00ED3C4C">
              <w:rPr>
                <w:rFonts w:ascii="Baskerville Old Face" w:hAnsi="Baskerville Old Face" w:cstheme="minorHAnsi"/>
                <w:bCs/>
                <w:sz w:val="22"/>
                <w:szCs w:val="22"/>
              </w:rPr>
              <w:t xml:space="preserve">.) </w:t>
            </w:r>
          </w:p>
          <w:p w14:paraId="2166ED74" w14:textId="77777777" w:rsidR="00ED3C4C" w:rsidRPr="00ED3C4C" w:rsidRDefault="00ED3C4C" w:rsidP="00ED3C4C">
            <w:pPr>
              <w:pStyle w:val="Heading3"/>
              <w:spacing w:line="276" w:lineRule="auto"/>
              <w:outlineLvl w:val="2"/>
              <w:rPr>
                <w:rFonts w:ascii="Baskerville Old Face" w:hAnsi="Baskerville Old Face" w:cstheme="minorHAnsi"/>
                <w:bCs/>
                <w:sz w:val="22"/>
                <w:szCs w:val="22"/>
              </w:rPr>
            </w:pPr>
            <w:r w:rsidRPr="00ED3C4C">
              <w:rPr>
                <w:rFonts w:ascii="Baskerville Old Face" w:hAnsi="Baskerville Old Face" w:cstheme="minorHAnsi"/>
                <w:bCs/>
                <w:sz w:val="22"/>
                <w:szCs w:val="22"/>
              </w:rPr>
              <w:t xml:space="preserve">and </w:t>
            </w:r>
          </w:p>
          <w:p w14:paraId="04B0507D" w14:textId="77777777" w:rsidR="00ED3C4C" w:rsidRPr="00ED3C4C" w:rsidRDefault="00ED3C4C" w:rsidP="00ED3C4C">
            <w:pPr>
              <w:pStyle w:val="Heading3"/>
              <w:spacing w:line="276" w:lineRule="auto"/>
              <w:outlineLvl w:val="2"/>
              <w:rPr>
                <w:rFonts w:ascii="Baskerville Old Face" w:hAnsi="Baskerville Old Face" w:cstheme="minorHAnsi"/>
                <w:bCs/>
                <w:sz w:val="22"/>
                <w:szCs w:val="22"/>
              </w:rPr>
            </w:pPr>
            <w:r w:rsidRPr="00ED3C4C">
              <w:rPr>
                <w:rFonts w:ascii="Baskerville Old Face" w:hAnsi="Baskerville Old Face" w:cstheme="minorHAnsi"/>
                <w:bCs/>
                <w:sz w:val="22"/>
                <w:szCs w:val="22"/>
              </w:rPr>
              <w:t xml:space="preserve">(((variation* or vary* or </w:t>
            </w:r>
            <w:proofErr w:type="spellStart"/>
            <w:r w:rsidRPr="00ED3C4C">
              <w:rPr>
                <w:rFonts w:ascii="Baskerville Old Face" w:hAnsi="Baskerville Old Face" w:cstheme="minorHAnsi"/>
                <w:bCs/>
                <w:sz w:val="22"/>
                <w:szCs w:val="22"/>
              </w:rPr>
              <w:t>variet</w:t>
            </w:r>
            <w:proofErr w:type="spellEnd"/>
            <w:r w:rsidRPr="00ED3C4C">
              <w:rPr>
                <w:rFonts w:ascii="Baskerville Old Face" w:hAnsi="Baskerville Old Face" w:cstheme="minorHAnsi"/>
                <w:bCs/>
                <w:sz w:val="22"/>
                <w:szCs w:val="22"/>
              </w:rPr>
              <w:t xml:space="preserve">* or </w:t>
            </w:r>
            <w:proofErr w:type="spellStart"/>
            <w:r w:rsidRPr="00ED3C4C">
              <w:rPr>
                <w:rFonts w:ascii="Baskerville Old Face" w:hAnsi="Baskerville Old Face" w:cstheme="minorHAnsi"/>
                <w:bCs/>
                <w:sz w:val="22"/>
                <w:szCs w:val="22"/>
              </w:rPr>
              <w:t>inequalit</w:t>
            </w:r>
            <w:proofErr w:type="spellEnd"/>
            <w:r w:rsidRPr="00ED3C4C">
              <w:rPr>
                <w:rFonts w:ascii="Baskerville Old Face" w:hAnsi="Baskerville Old Face" w:cstheme="minorHAnsi"/>
                <w:bCs/>
                <w:sz w:val="22"/>
                <w:szCs w:val="22"/>
              </w:rPr>
              <w:t xml:space="preserve">* or unequal* or </w:t>
            </w:r>
            <w:proofErr w:type="spellStart"/>
            <w:r w:rsidRPr="00ED3C4C">
              <w:rPr>
                <w:rFonts w:ascii="Baskerville Old Face" w:hAnsi="Baskerville Old Face" w:cstheme="minorHAnsi"/>
                <w:bCs/>
                <w:sz w:val="22"/>
                <w:szCs w:val="22"/>
              </w:rPr>
              <w:t>disparit</w:t>
            </w:r>
            <w:proofErr w:type="spellEnd"/>
            <w:r w:rsidRPr="00ED3C4C">
              <w:rPr>
                <w:rFonts w:ascii="Baskerville Old Face" w:hAnsi="Baskerville Old Face" w:cstheme="minorHAnsi"/>
                <w:bCs/>
                <w:sz w:val="22"/>
                <w:szCs w:val="22"/>
              </w:rPr>
              <w:t xml:space="preserve">* or equal* or similar* or dissimilar* or </w:t>
            </w:r>
            <w:proofErr w:type="spellStart"/>
            <w:r w:rsidRPr="00ED3C4C">
              <w:rPr>
                <w:rFonts w:ascii="Baskerville Old Face" w:hAnsi="Baskerville Old Face" w:cstheme="minorHAnsi"/>
                <w:bCs/>
                <w:sz w:val="22"/>
                <w:szCs w:val="22"/>
              </w:rPr>
              <w:t>differn</w:t>
            </w:r>
            <w:proofErr w:type="spellEnd"/>
            <w:r w:rsidRPr="00ED3C4C">
              <w:rPr>
                <w:rFonts w:ascii="Baskerville Old Face" w:hAnsi="Baskerville Old Face" w:cstheme="minorHAnsi"/>
                <w:bCs/>
                <w:sz w:val="22"/>
                <w:szCs w:val="22"/>
              </w:rPr>
              <w:t xml:space="preserve">* or </w:t>
            </w:r>
            <w:proofErr w:type="spellStart"/>
            <w:r w:rsidRPr="00ED3C4C">
              <w:rPr>
                <w:rFonts w:ascii="Baskerville Old Face" w:hAnsi="Baskerville Old Face" w:cstheme="minorHAnsi"/>
                <w:bCs/>
                <w:sz w:val="22"/>
                <w:szCs w:val="22"/>
              </w:rPr>
              <w:t>bia</w:t>
            </w:r>
            <w:proofErr w:type="spellEnd"/>
            <w:r w:rsidRPr="00ED3C4C">
              <w:rPr>
                <w:rFonts w:ascii="Baskerville Old Face" w:hAnsi="Baskerville Old Face" w:cstheme="minorHAnsi"/>
                <w:bCs/>
                <w:sz w:val="22"/>
                <w:szCs w:val="22"/>
              </w:rPr>
              <w:t xml:space="preserve">*) AND </w:t>
            </w:r>
          </w:p>
          <w:p w14:paraId="28C8C383" w14:textId="688616F5" w:rsidR="00ED3C4C" w:rsidRPr="00ED3C4C" w:rsidRDefault="00ED3C4C" w:rsidP="00ED3C4C">
            <w:pPr>
              <w:pStyle w:val="Heading3"/>
              <w:spacing w:line="276" w:lineRule="auto"/>
              <w:outlineLvl w:val="2"/>
              <w:rPr>
                <w:rFonts w:ascii="Baskerville Old Face" w:hAnsi="Baskerville Old Face" w:cstheme="minorHAnsi"/>
                <w:bCs/>
                <w:sz w:val="22"/>
                <w:szCs w:val="22"/>
              </w:rPr>
            </w:pPr>
            <w:r w:rsidRPr="00ED3C4C">
              <w:rPr>
                <w:rFonts w:ascii="Baskerville Old Face" w:hAnsi="Baskerville Old Face" w:cstheme="minorHAnsi"/>
                <w:bCs/>
                <w:sz w:val="22"/>
                <w:szCs w:val="22"/>
              </w:rPr>
              <w:t xml:space="preserve">(Health care or healthcare or health service* or primary care or </w:t>
            </w:r>
            <w:proofErr w:type="spellStart"/>
            <w:r w:rsidRPr="00ED3C4C">
              <w:rPr>
                <w:rFonts w:ascii="Baskerville Old Face" w:hAnsi="Baskerville Old Face" w:cstheme="minorHAnsi"/>
                <w:bCs/>
                <w:sz w:val="22"/>
                <w:szCs w:val="22"/>
              </w:rPr>
              <w:t>primarycare</w:t>
            </w:r>
            <w:proofErr w:type="spellEnd"/>
            <w:r w:rsidRPr="00ED3C4C">
              <w:rPr>
                <w:rFonts w:ascii="Baskerville Old Face" w:hAnsi="Baskerville Old Face" w:cstheme="minorHAnsi"/>
                <w:bCs/>
                <w:sz w:val="22"/>
                <w:szCs w:val="22"/>
              </w:rPr>
              <w:t xml:space="preserve"> or hospital* or community care* or acute or secondary or tertiary or family </w:t>
            </w:r>
            <w:proofErr w:type="spellStart"/>
            <w:r w:rsidRPr="00ED3C4C">
              <w:rPr>
                <w:rFonts w:ascii="Baskerville Old Face" w:hAnsi="Baskerville Old Face" w:cstheme="minorHAnsi"/>
                <w:bCs/>
                <w:sz w:val="22"/>
                <w:szCs w:val="22"/>
              </w:rPr>
              <w:t>practi</w:t>
            </w:r>
            <w:proofErr w:type="spellEnd"/>
            <w:r w:rsidRPr="00ED3C4C">
              <w:rPr>
                <w:rFonts w:ascii="Baskerville Old Face" w:hAnsi="Baskerville Old Face" w:cstheme="minorHAnsi"/>
                <w:bCs/>
                <w:sz w:val="22"/>
                <w:szCs w:val="22"/>
              </w:rPr>
              <w:t xml:space="preserve">* or general </w:t>
            </w:r>
            <w:proofErr w:type="spellStart"/>
            <w:r w:rsidRPr="00ED3C4C">
              <w:rPr>
                <w:rFonts w:ascii="Baskerville Old Face" w:hAnsi="Baskerville Old Face" w:cstheme="minorHAnsi"/>
                <w:bCs/>
                <w:sz w:val="22"/>
                <w:szCs w:val="22"/>
              </w:rPr>
              <w:t>pract</w:t>
            </w:r>
            <w:proofErr w:type="spellEnd"/>
            <w:r w:rsidRPr="00ED3C4C">
              <w:rPr>
                <w:rFonts w:ascii="Baskerville Old Face" w:hAnsi="Baskerville Old Face" w:cstheme="minorHAnsi"/>
                <w:bCs/>
                <w:sz w:val="22"/>
                <w:szCs w:val="22"/>
              </w:rPr>
              <w:t>* or care)).</w:t>
            </w:r>
            <w:proofErr w:type="spellStart"/>
            <w:r w:rsidRPr="00ED3C4C">
              <w:rPr>
                <w:rFonts w:ascii="Baskerville Old Face" w:hAnsi="Baskerville Old Face" w:cstheme="minorHAnsi"/>
                <w:bCs/>
                <w:sz w:val="22"/>
                <w:szCs w:val="22"/>
              </w:rPr>
              <w:t>mp</w:t>
            </w:r>
            <w:proofErr w:type="spellEnd"/>
            <w:r w:rsidRPr="00ED3C4C">
              <w:rPr>
                <w:rFonts w:ascii="Baskerville Old Face" w:hAnsi="Baskerville Old Face" w:cstheme="minorHAnsi"/>
                <w:bCs/>
                <w:sz w:val="22"/>
                <w:szCs w:val="22"/>
              </w:rPr>
              <w:t>.)</w:t>
            </w:r>
          </w:p>
        </w:tc>
      </w:tr>
    </w:tbl>
    <w:p w14:paraId="14E1AD9B" w14:textId="7C8872BA" w:rsidR="00ED3C4C" w:rsidRDefault="00ED3C4C">
      <w:pPr>
        <w:rPr>
          <w:rFonts w:ascii="Baskerville Old Face" w:hAnsi="Baskerville Old Face"/>
          <w:b/>
          <w:lang w:val="en-US"/>
        </w:rPr>
      </w:pPr>
    </w:p>
    <w:p w14:paraId="19A64CD9" w14:textId="1BDEDD4D" w:rsidR="006827EF" w:rsidRDefault="006827EF">
      <w:pPr>
        <w:rPr>
          <w:rFonts w:ascii="Baskerville Old Face" w:hAnsi="Baskerville Old Face"/>
          <w:b/>
          <w:lang w:val="en-US"/>
        </w:rPr>
      </w:pPr>
      <w:r>
        <w:rPr>
          <w:rFonts w:ascii="Baskerville Old Face" w:hAnsi="Baskerville Old Face"/>
          <w:b/>
          <w:lang w:val="en-US"/>
        </w:rPr>
        <w:br w:type="page"/>
      </w:r>
    </w:p>
    <w:p w14:paraId="0B6F40C4" w14:textId="72808E09" w:rsidR="001E294E" w:rsidRPr="005E2F5D" w:rsidRDefault="005E2F5D" w:rsidP="005E2F5D">
      <w:pPr>
        <w:pStyle w:val="Caption"/>
        <w:rPr>
          <w:rFonts w:ascii="Arial" w:hAnsi="Arial" w:cs="Arial"/>
          <w:b w:val="0"/>
          <w:color w:val="auto"/>
          <w:sz w:val="22"/>
          <w:szCs w:val="22"/>
        </w:rPr>
      </w:pPr>
      <w:r w:rsidRPr="005E2F5D">
        <w:rPr>
          <w:rFonts w:ascii="Arial" w:hAnsi="Arial" w:cs="Arial"/>
          <w:color w:val="auto"/>
          <w:sz w:val="22"/>
          <w:szCs w:val="22"/>
        </w:rPr>
        <w:lastRenderedPageBreak/>
        <w:t>Table 1.</w:t>
      </w:r>
      <w:r w:rsidR="006827EF">
        <w:rPr>
          <w:rFonts w:ascii="Arial" w:hAnsi="Arial" w:cs="Arial"/>
          <w:b w:val="0"/>
          <w:color w:val="auto"/>
          <w:sz w:val="22"/>
          <w:szCs w:val="22"/>
        </w:rPr>
        <w:t xml:space="preserve"> I</w:t>
      </w:r>
      <w:r w:rsidR="001E294E" w:rsidRPr="005E2F5D">
        <w:rPr>
          <w:rFonts w:ascii="Arial" w:hAnsi="Arial" w:cs="Arial"/>
          <w:b w:val="0"/>
          <w:color w:val="auto"/>
          <w:sz w:val="22"/>
          <w:szCs w:val="22"/>
        </w:rPr>
        <w:t>nclusion</w:t>
      </w:r>
      <w:r w:rsidRPr="005E2F5D">
        <w:rPr>
          <w:rFonts w:ascii="Arial" w:hAnsi="Arial" w:cs="Arial"/>
          <w:b w:val="0"/>
          <w:color w:val="auto"/>
          <w:sz w:val="22"/>
          <w:szCs w:val="22"/>
        </w:rPr>
        <w:t xml:space="preserve"> and exclusion</w:t>
      </w:r>
      <w:r w:rsidR="001E294E" w:rsidRPr="005E2F5D">
        <w:rPr>
          <w:rFonts w:ascii="Arial" w:hAnsi="Arial" w:cs="Arial"/>
          <w:b w:val="0"/>
          <w:color w:val="auto"/>
          <w:sz w:val="22"/>
          <w:szCs w:val="22"/>
        </w:rPr>
        <w:t xml:space="preserve"> criteria</w:t>
      </w:r>
    </w:p>
    <w:tbl>
      <w:tblPr>
        <w:tblStyle w:val="ListTable4-Accent1"/>
        <w:tblW w:w="0" w:type="auto"/>
        <w:tblBorders>
          <w:top w:val="none" w:sz="0" w:space="0" w:color="auto"/>
          <w:left w:val="none" w:sz="0" w:space="0" w:color="auto"/>
          <w:bottom w:val="none" w:sz="0" w:space="0" w:color="auto"/>
          <w:right w:val="none" w:sz="0" w:space="0" w:color="auto"/>
          <w:insideH w:val="none" w:sz="0" w:space="0" w:color="auto"/>
        </w:tblBorders>
        <w:tblCellMar>
          <w:top w:w="85" w:type="dxa"/>
          <w:bottom w:w="85" w:type="dxa"/>
        </w:tblCellMar>
        <w:tblLook w:val="04A0" w:firstRow="1" w:lastRow="0" w:firstColumn="1" w:lastColumn="0" w:noHBand="0" w:noVBand="1"/>
      </w:tblPr>
      <w:tblGrid>
        <w:gridCol w:w="1600"/>
        <w:gridCol w:w="3828"/>
        <w:gridCol w:w="3588"/>
      </w:tblGrid>
      <w:tr w:rsidR="00083F1C" w:rsidRPr="00ED3C4C" w14:paraId="3533D6BB" w14:textId="77777777" w:rsidTr="006827EF">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shd w:val="clear" w:color="auto" w:fill="BDD6EE" w:themeFill="accent1" w:themeFillTint="66"/>
            <w:vAlign w:val="center"/>
          </w:tcPr>
          <w:p w14:paraId="46144604" w14:textId="6E48599F" w:rsidR="001E294E" w:rsidRPr="00ED3C4C" w:rsidRDefault="006827EF" w:rsidP="006827EF">
            <w:pPr>
              <w:rPr>
                <w:rFonts w:ascii="Baskerville Old Face" w:eastAsia="Times New Roman" w:hAnsi="Baskerville Old Face" w:cstheme="minorHAnsi"/>
                <w:color w:val="000000"/>
                <w:lang w:eastAsia="en-GB"/>
              </w:rPr>
            </w:pPr>
            <w:r>
              <w:rPr>
                <w:rFonts w:ascii="Baskerville Old Face" w:eastAsia="Times New Roman" w:hAnsi="Baskerville Old Face" w:cstheme="minorHAnsi"/>
                <w:color w:val="000000"/>
                <w:lang w:eastAsia="en-GB"/>
              </w:rPr>
              <w:t>Criteria</w:t>
            </w:r>
          </w:p>
        </w:tc>
        <w:tc>
          <w:tcPr>
            <w:tcW w:w="0" w:type="auto"/>
            <w:shd w:val="clear" w:color="auto" w:fill="BDD6EE" w:themeFill="accent1" w:themeFillTint="66"/>
            <w:vAlign w:val="center"/>
          </w:tcPr>
          <w:p w14:paraId="12CEE4BE" w14:textId="59B1050C" w:rsidR="001E294E" w:rsidRPr="00ED3C4C" w:rsidRDefault="009A1289" w:rsidP="00034C4B">
            <w:pPr>
              <w:cnfStyle w:val="100000000000" w:firstRow="1" w:lastRow="0" w:firstColumn="0" w:lastColumn="0" w:oddVBand="0" w:evenVBand="0" w:oddHBand="0" w:evenHBand="0" w:firstRowFirstColumn="0" w:firstRowLastColumn="0" w:lastRowFirstColumn="0" w:lastRowLastColumn="0"/>
              <w:rPr>
                <w:rFonts w:ascii="Baskerville Old Face" w:eastAsia="Times New Roman" w:hAnsi="Baskerville Old Face" w:cstheme="minorHAnsi"/>
                <w:b w:val="0"/>
                <w:color w:val="000000"/>
                <w:lang w:eastAsia="en-GB"/>
              </w:rPr>
            </w:pPr>
            <w:r>
              <w:rPr>
                <w:rFonts w:ascii="Baskerville Old Face" w:eastAsia="Times New Roman" w:hAnsi="Baskerville Old Face" w:cstheme="minorHAnsi"/>
                <w:color w:val="000000"/>
                <w:lang w:eastAsia="en-GB"/>
              </w:rPr>
              <w:t>Included</w:t>
            </w:r>
          </w:p>
        </w:tc>
        <w:tc>
          <w:tcPr>
            <w:tcW w:w="0" w:type="auto"/>
            <w:shd w:val="clear" w:color="auto" w:fill="BDD6EE" w:themeFill="accent1" w:themeFillTint="66"/>
            <w:vAlign w:val="center"/>
          </w:tcPr>
          <w:p w14:paraId="262A05F9" w14:textId="5F1CAB5E" w:rsidR="001E294E" w:rsidRPr="00034C4B" w:rsidRDefault="001E294E" w:rsidP="006827EF">
            <w:pPr>
              <w:cnfStyle w:val="100000000000" w:firstRow="1" w:lastRow="0" w:firstColumn="0" w:lastColumn="0" w:oddVBand="0" w:evenVBand="0" w:oddHBand="0" w:evenHBand="0" w:firstRowFirstColumn="0" w:firstRowLastColumn="0" w:lastRowFirstColumn="0" w:lastRowLastColumn="0"/>
              <w:rPr>
                <w:rFonts w:ascii="Baskerville Old Face" w:eastAsia="Times New Roman" w:hAnsi="Baskerville Old Face" w:cstheme="minorHAnsi"/>
                <w:color w:val="000000"/>
                <w:lang w:eastAsia="en-GB"/>
              </w:rPr>
            </w:pPr>
            <w:r w:rsidRPr="00034C4B">
              <w:rPr>
                <w:rFonts w:ascii="Baskerville Old Face" w:eastAsia="Times New Roman" w:hAnsi="Baskerville Old Face" w:cstheme="minorHAnsi"/>
                <w:color w:val="000000"/>
                <w:lang w:eastAsia="en-GB"/>
              </w:rPr>
              <w:t>Excluded</w:t>
            </w:r>
          </w:p>
        </w:tc>
      </w:tr>
      <w:tr w:rsidR="00083F1C" w:rsidRPr="00ED3C4C" w14:paraId="06C57FAE" w14:textId="77777777" w:rsidTr="006827E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20C1A365" w14:textId="77777777" w:rsidR="001E294E" w:rsidRPr="00ED3C4C" w:rsidRDefault="001E294E" w:rsidP="006827EF">
            <w:pPr>
              <w:rPr>
                <w:rFonts w:ascii="Baskerville Old Face" w:eastAsia="Times New Roman" w:hAnsi="Baskerville Old Face" w:cstheme="minorHAnsi"/>
                <w:color w:val="000000"/>
                <w:lang w:eastAsia="en-GB"/>
              </w:rPr>
            </w:pPr>
            <w:r w:rsidRPr="00ED3C4C">
              <w:rPr>
                <w:rFonts w:ascii="Baskerville Old Face" w:eastAsia="Times New Roman" w:hAnsi="Baskerville Old Face" w:cstheme="minorHAnsi"/>
                <w:color w:val="000000"/>
                <w:lang w:eastAsia="en-GB"/>
              </w:rPr>
              <w:t>Timescales</w:t>
            </w:r>
          </w:p>
        </w:tc>
        <w:tc>
          <w:tcPr>
            <w:tcW w:w="0" w:type="auto"/>
            <w:shd w:val="clear" w:color="auto" w:fill="auto"/>
            <w:vAlign w:val="center"/>
          </w:tcPr>
          <w:p w14:paraId="3FA61CE7" w14:textId="77777777" w:rsidR="001E294E" w:rsidRPr="00ED3C4C" w:rsidRDefault="001E294E" w:rsidP="006827EF">
            <w:pPr>
              <w:cnfStyle w:val="000000100000" w:firstRow="0" w:lastRow="0" w:firstColumn="0" w:lastColumn="0" w:oddVBand="0" w:evenVBand="0" w:oddHBand="1" w:evenHBand="0" w:firstRowFirstColumn="0" w:firstRowLastColumn="0" w:lastRowFirstColumn="0" w:lastRowLastColumn="0"/>
              <w:rPr>
                <w:rFonts w:ascii="Baskerville Old Face" w:hAnsi="Baskerville Old Face" w:cstheme="minorHAnsi"/>
              </w:rPr>
            </w:pPr>
            <w:r w:rsidRPr="00ED3C4C">
              <w:rPr>
                <w:rFonts w:ascii="Baskerville Old Face" w:eastAsia="Times New Roman" w:hAnsi="Baskerville Old Face" w:cstheme="minorHAnsi"/>
                <w:color w:val="000000"/>
                <w:lang w:eastAsia="en-GB"/>
              </w:rPr>
              <w:t xml:space="preserve">Published </w:t>
            </w:r>
            <w:r w:rsidRPr="00ED3C4C">
              <w:rPr>
                <w:rFonts w:ascii="Baskerville Old Face" w:hAnsi="Baskerville Old Face" w:cstheme="minorHAnsi"/>
              </w:rPr>
              <w:t>2007 – 2019</w:t>
            </w:r>
          </w:p>
        </w:tc>
        <w:tc>
          <w:tcPr>
            <w:tcW w:w="0" w:type="auto"/>
            <w:shd w:val="clear" w:color="auto" w:fill="auto"/>
            <w:vAlign w:val="center"/>
          </w:tcPr>
          <w:p w14:paraId="62AFA122" w14:textId="77777777" w:rsidR="001E294E" w:rsidRPr="00ED3C4C" w:rsidRDefault="001E294E" w:rsidP="006827EF">
            <w:pPr>
              <w:cnfStyle w:val="000000100000" w:firstRow="0" w:lastRow="0" w:firstColumn="0" w:lastColumn="0" w:oddVBand="0" w:evenVBand="0" w:oddHBand="1" w:evenHBand="0" w:firstRowFirstColumn="0" w:firstRowLastColumn="0" w:lastRowFirstColumn="0" w:lastRowLastColumn="0"/>
              <w:rPr>
                <w:rFonts w:ascii="Baskerville Old Face" w:eastAsia="Times New Roman" w:hAnsi="Baskerville Old Face" w:cstheme="minorHAnsi"/>
                <w:color w:val="000000"/>
                <w:lang w:eastAsia="en-GB"/>
              </w:rPr>
            </w:pPr>
            <w:r w:rsidRPr="00ED3C4C">
              <w:rPr>
                <w:rFonts w:ascii="Baskerville Old Face" w:eastAsia="Times New Roman" w:hAnsi="Baskerville Old Face" w:cstheme="minorHAnsi"/>
                <w:color w:val="000000"/>
                <w:lang w:eastAsia="en-GB"/>
              </w:rPr>
              <w:t>Published before 2007</w:t>
            </w:r>
          </w:p>
        </w:tc>
      </w:tr>
      <w:tr w:rsidR="00083F1C" w:rsidRPr="00ED3C4C" w14:paraId="10C82932" w14:textId="77777777" w:rsidTr="006827EF">
        <w:trPr>
          <w:trHeight w:val="20"/>
        </w:trPr>
        <w:tc>
          <w:tcPr>
            <w:cnfStyle w:val="001000000000" w:firstRow="0" w:lastRow="0" w:firstColumn="1" w:lastColumn="0" w:oddVBand="0" w:evenVBand="0" w:oddHBand="0" w:evenHBand="0" w:firstRowFirstColumn="0" w:firstRowLastColumn="0" w:lastRowFirstColumn="0" w:lastRowLastColumn="0"/>
            <w:tcW w:w="0" w:type="auto"/>
            <w:shd w:val="clear" w:color="auto" w:fill="DEEAF6" w:themeFill="accent1" w:themeFillTint="33"/>
          </w:tcPr>
          <w:p w14:paraId="61BFE005" w14:textId="77777777" w:rsidR="001E294E" w:rsidRPr="00ED3C4C" w:rsidRDefault="001E294E" w:rsidP="006827EF">
            <w:pPr>
              <w:rPr>
                <w:rFonts w:ascii="Baskerville Old Face" w:eastAsia="Times New Roman" w:hAnsi="Baskerville Old Face" w:cstheme="minorHAnsi"/>
                <w:color w:val="000000"/>
                <w:lang w:eastAsia="en-GB"/>
              </w:rPr>
            </w:pPr>
            <w:r w:rsidRPr="00ED3C4C">
              <w:rPr>
                <w:rFonts w:ascii="Baskerville Old Face" w:eastAsia="Times New Roman" w:hAnsi="Baskerville Old Face" w:cstheme="minorHAnsi"/>
                <w:color w:val="000000"/>
                <w:lang w:eastAsia="en-GB"/>
              </w:rPr>
              <w:t>Health care delivery</w:t>
            </w:r>
          </w:p>
        </w:tc>
        <w:tc>
          <w:tcPr>
            <w:tcW w:w="0" w:type="auto"/>
            <w:shd w:val="clear" w:color="auto" w:fill="DEEAF6" w:themeFill="accent1" w:themeFillTint="33"/>
          </w:tcPr>
          <w:p w14:paraId="1902074C" w14:textId="77777777" w:rsidR="001E294E" w:rsidRPr="00ED3C4C" w:rsidRDefault="001E294E" w:rsidP="006827EF">
            <w:pPr>
              <w:cnfStyle w:val="000000000000" w:firstRow="0" w:lastRow="0" w:firstColumn="0" w:lastColumn="0" w:oddVBand="0" w:evenVBand="0" w:oddHBand="0" w:evenHBand="0" w:firstRowFirstColumn="0" w:firstRowLastColumn="0" w:lastRowFirstColumn="0" w:lastRowLastColumn="0"/>
              <w:rPr>
                <w:rFonts w:ascii="Baskerville Old Face" w:eastAsia="Times New Roman" w:hAnsi="Baskerville Old Face" w:cstheme="minorHAnsi"/>
                <w:color w:val="000000"/>
                <w:lang w:eastAsia="en-GB"/>
              </w:rPr>
            </w:pPr>
            <w:r w:rsidRPr="00ED3C4C">
              <w:rPr>
                <w:rFonts w:ascii="Baskerville Old Face" w:hAnsi="Baskerville Old Face" w:cstheme="minorHAnsi"/>
              </w:rPr>
              <w:t xml:space="preserve">Healthcare access, treatment/prescription, referral and diagnosis decisions and </w:t>
            </w:r>
            <w:r w:rsidRPr="00ED3C4C">
              <w:rPr>
                <w:rFonts w:ascii="Baskerville Old Face" w:eastAsia="Times New Roman" w:hAnsi="Baskerville Old Face" w:cstheme="minorHAnsi"/>
                <w:color w:val="000000"/>
                <w:lang w:eastAsia="en-GB"/>
              </w:rPr>
              <w:t xml:space="preserve">communication /consultation styles. </w:t>
            </w:r>
          </w:p>
          <w:p w14:paraId="7DDE9C2A" w14:textId="77777777" w:rsidR="001E294E" w:rsidRPr="00ED3C4C" w:rsidRDefault="001E294E" w:rsidP="006827EF">
            <w:pPr>
              <w:cnfStyle w:val="000000000000" w:firstRow="0" w:lastRow="0" w:firstColumn="0" w:lastColumn="0" w:oddVBand="0" w:evenVBand="0" w:oddHBand="0" w:evenHBand="0" w:firstRowFirstColumn="0" w:firstRowLastColumn="0" w:lastRowFirstColumn="0" w:lastRowLastColumn="0"/>
              <w:rPr>
                <w:rFonts w:ascii="Baskerville Old Face" w:eastAsia="Times New Roman" w:hAnsi="Baskerville Old Face" w:cstheme="minorHAnsi"/>
                <w:color w:val="000000"/>
                <w:lang w:eastAsia="en-GB"/>
              </w:rPr>
            </w:pPr>
          </w:p>
          <w:p w14:paraId="6019E1E1" w14:textId="77777777" w:rsidR="001E294E" w:rsidRPr="00ED3C4C" w:rsidRDefault="001E294E" w:rsidP="006827EF">
            <w:pPr>
              <w:cnfStyle w:val="000000000000" w:firstRow="0" w:lastRow="0" w:firstColumn="0" w:lastColumn="0" w:oddVBand="0" w:evenVBand="0" w:oddHBand="0" w:evenHBand="0" w:firstRowFirstColumn="0" w:firstRowLastColumn="0" w:lastRowFirstColumn="0" w:lastRowLastColumn="0"/>
              <w:rPr>
                <w:rFonts w:ascii="Baskerville Old Face" w:eastAsia="Times New Roman" w:hAnsi="Baskerville Old Face" w:cstheme="minorHAnsi"/>
                <w:color w:val="000000"/>
                <w:lang w:eastAsia="en-GB"/>
              </w:rPr>
            </w:pPr>
          </w:p>
        </w:tc>
        <w:tc>
          <w:tcPr>
            <w:tcW w:w="0" w:type="auto"/>
            <w:shd w:val="clear" w:color="auto" w:fill="DEEAF6" w:themeFill="accent1" w:themeFillTint="33"/>
          </w:tcPr>
          <w:p w14:paraId="5BFB60DC" w14:textId="77777777" w:rsidR="001E294E" w:rsidRPr="00ED3C4C" w:rsidRDefault="001E294E" w:rsidP="006827EF">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Baskerville Old Face" w:eastAsia="Times New Roman" w:hAnsi="Baskerville Old Face" w:cstheme="minorHAnsi"/>
                <w:color w:val="000000"/>
                <w:lang w:eastAsia="en-GB"/>
              </w:rPr>
            </w:pPr>
            <w:r w:rsidRPr="00ED3C4C">
              <w:rPr>
                <w:rFonts w:ascii="Baskerville Old Face" w:eastAsia="Times New Roman" w:hAnsi="Baskerville Old Face" w:cstheme="minorHAnsi"/>
                <w:color w:val="000000"/>
                <w:lang w:eastAsia="en-GB"/>
              </w:rPr>
              <w:t>Clinical trials of interventions to improve effectiveness of health care delivery</w:t>
            </w:r>
          </w:p>
          <w:p w14:paraId="55BFB5E2" w14:textId="77777777" w:rsidR="001E294E" w:rsidRPr="00ED3C4C" w:rsidRDefault="001E294E" w:rsidP="006827EF">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Baskerville Old Face" w:eastAsia="Times New Roman" w:hAnsi="Baskerville Old Face" w:cstheme="minorHAnsi"/>
                <w:color w:val="222222"/>
                <w:lang w:eastAsia="en-GB"/>
              </w:rPr>
            </w:pPr>
            <w:r w:rsidRPr="00ED3C4C">
              <w:rPr>
                <w:rFonts w:ascii="Baskerville Old Face" w:eastAsia="Times New Roman" w:hAnsi="Baskerville Old Face" w:cstheme="minorHAnsi"/>
                <w:color w:val="222222"/>
                <w:lang w:eastAsia="en-GB"/>
              </w:rPr>
              <w:t xml:space="preserve">studies conducted on students or clinicians in learning environments </w:t>
            </w:r>
          </w:p>
          <w:p w14:paraId="36B17066" w14:textId="77777777" w:rsidR="001E294E" w:rsidRPr="00ED3C4C" w:rsidRDefault="001E294E" w:rsidP="006827EF">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Baskerville Old Face" w:eastAsia="Times New Roman" w:hAnsi="Baskerville Old Face" w:cstheme="minorHAnsi"/>
                <w:color w:val="222222"/>
                <w:lang w:eastAsia="en-GB"/>
              </w:rPr>
            </w:pPr>
            <w:r w:rsidRPr="00ED3C4C">
              <w:rPr>
                <w:rFonts w:ascii="Baskerville Old Face" w:eastAsia="Times New Roman" w:hAnsi="Baskerville Old Face" w:cstheme="minorHAnsi"/>
                <w:color w:val="222222"/>
                <w:lang w:eastAsia="en-GB"/>
              </w:rPr>
              <w:t xml:space="preserve">studies of clinicians’ knowledge </w:t>
            </w:r>
          </w:p>
          <w:p w14:paraId="22EA4790" w14:textId="26BB6320" w:rsidR="001E294E" w:rsidRPr="00ED3C4C" w:rsidRDefault="001E294E" w:rsidP="006827EF">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Baskerville Old Face" w:eastAsia="Times New Roman" w:hAnsi="Baskerville Old Face" w:cstheme="minorHAnsi"/>
                <w:color w:val="000000"/>
                <w:lang w:eastAsia="en-GB"/>
              </w:rPr>
            </w:pPr>
            <w:r w:rsidRPr="00ED3C4C">
              <w:rPr>
                <w:rFonts w:ascii="Baskerville Old Face" w:eastAsia="Times New Roman" w:hAnsi="Baskerville Old Face" w:cstheme="minorHAnsi"/>
                <w:color w:val="222222"/>
                <w:lang w:eastAsia="en-GB"/>
              </w:rPr>
              <w:t xml:space="preserve">delivery </w:t>
            </w:r>
            <w:proofErr w:type="gramStart"/>
            <w:r w:rsidRPr="00ED3C4C">
              <w:rPr>
                <w:rFonts w:ascii="Baskerville Old Face" w:eastAsia="Times New Roman" w:hAnsi="Baskerville Old Face" w:cstheme="minorHAnsi"/>
                <w:color w:val="222222"/>
                <w:lang w:eastAsia="en-GB"/>
              </w:rPr>
              <w:t xml:space="preserve">of </w:t>
            </w:r>
            <w:r w:rsidRPr="00ED3C4C">
              <w:rPr>
                <w:rFonts w:ascii="Baskerville Old Face" w:eastAsia="Times New Roman" w:hAnsi="Baskerville Old Face" w:cstheme="minorHAnsi"/>
                <w:color w:val="000000"/>
                <w:lang w:eastAsia="en-GB"/>
              </w:rPr>
              <w:t xml:space="preserve"> social</w:t>
            </w:r>
            <w:proofErr w:type="gramEnd"/>
            <w:r w:rsidRPr="00ED3C4C">
              <w:rPr>
                <w:rFonts w:ascii="Baskerville Old Face" w:eastAsia="Times New Roman" w:hAnsi="Baskerville Old Face" w:cstheme="minorHAnsi"/>
                <w:color w:val="000000"/>
                <w:lang w:eastAsia="en-GB"/>
              </w:rPr>
              <w:t xml:space="preserve"> care, other services provided by local government</w:t>
            </w:r>
          </w:p>
        </w:tc>
      </w:tr>
      <w:tr w:rsidR="00083F1C" w:rsidRPr="00ED3C4C" w14:paraId="45172241" w14:textId="77777777" w:rsidTr="006827E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9E11A62" w14:textId="77777777" w:rsidR="001E294E" w:rsidRPr="00ED3C4C" w:rsidRDefault="001E294E" w:rsidP="006827EF">
            <w:pPr>
              <w:rPr>
                <w:rFonts w:ascii="Baskerville Old Face" w:eastAsia="Times New Roman" w:hAnsi="Baskerville Old Face" w:cstheme="minorHAnsi"/>
                <w:color w:val="000000"/>
                <w:lang w:eastAsia="en-GB"/>
              </w:rPr>
            </w:pPr>
            <w:r w:rsidRPr="00ED3C4C">
              <w:rPr>
                <w:rFonts w:ascii="Baskerville Old Face" w:eastAsia="Times New Roman" w:hAnsi="Baskerville Old Face" w:cstheme="minorHAnsi"/>
                <w:color w:val="000000"/>
                <w:lang w:eastAsia="en-GB"/>
              </w:rPr>
              <w:t>Patient characteristic</w:t>
            </w:r>
          </w:p>
        </w:tc>
        <w:tc>
          <w:tcPr>
            <w:tcW w:w="0" w:type="auto"/>
            <w:shd w:val="clear" w:color="auto" w:fill="auto"/>
          </w:tcPr>
          <w:p w14:paraId="4763162C" w14:textId="2FEF2AB3" w:rsidR="001E294E" w:rsidRPr="00ED3C4C" w:rsidRDefault="001E294E" w:rsidP="006827EF">
            <w:pPr>
              <w:shd w:val="clear" w:color="auto" w:fill="FFFFFF"/>
              <w:cnfStyle w:val="000000100000" w:firstRow="0" w:lastRow="0" w:firstColumn="0" w:lastColumn="0" w:oddVBand="0" w:evenVBand="0" w:oddHBand="1" w:evenHBand="0" w:firstRowFirstColumn="0" w:firstRowLastColumn="0" w:lastRowFirstColumn="0" w:lastRowLastColumn="0"/>
              <w:rPr>
                <w:rFonts w:ascii="Baskerville Old Face" w:eastAsia="Times New Roman" w:hAnsi="Baskerville Old Face" w:cstheme="minorHAnsi"/>
                <w:color w:val="222222"/>
                <w:lang w:eastAsia="en-GB"/>
              </w:rPr>
            </w:pPr>
            <w:r w:rsidRPr="00ED3C4C">
              <w:rPr>
                <w:rFonts w:ascii="Baskerville Old Face" w:eastAsia="Times New Roman" w:hAnsi="Baskerville Old Face" w:cstheme="minorHAnsi"/>
                <w:color w:val="000000"/>
                <w:lang w:eastAsia="en-GB"/>
              </w:rPr>
              <w:t xml:space="preserve">Studies examining variations linked to protected characteristics (in England defined under the Equality Act </w:t>
            </w:r>
            <w:r w:rsidRPr="00ED3C4C">
              <w:rPr>
                <w:rFonts w:ascii="Baskerville Old Face" w:hAnsi="Baskerville Old Face" w:cstheme="minorHAnsi"/>
              </w:rPr>
              <w:t>2010): age, gender, d</w:t>
            </w:r>
            <w:r w:rsidR="00083F1C">
              <w:rPr>
                <w:rFonts w:ascii="Baskerville Old Face" w:hAnsi="Baskerville Old Face" w:cstheme="minorHAnsi"/>
              </w:rPr>
              <w:t xml:space="preserve">isability, gender reassignment, </w:t>
            </w:r>
            <w:r w:rsidRPr="00ED3C4C">
              <w:rPr>
                <w:rFonts w:ascii="Baskerville Old Face" w:eastAsia="Times New Roman" w:hAnsi="Baskerville Old Face" w:cstheme="minorHAnsi"/>
                <w:color w:val="222222"/>
                <w:lang w:eastAsia="en-GB"/>
              </w:rPr>
              <w:t xml:space="preserve">pregnancy and maternity, race, </w:t>
            </w:r>
            <w:proofErr w:type="gramStart"/>
            <w:r w:rsidRPr="00ED3C4C">
              <w:rPr>
                <w:rFonts w:ascii="Baskerville Old Face" w:eastAsia="Times New Roman" w:hAnsi="Baskerville Old Face" w:cstheme="minorHAnsi"/>
                <w:color w:val="222222"/>
                <w:lang w:eastAsia="en-GB"/>
              </w:rPr>
              <w:t>religion</w:t>
            </w:r>
            <w:proofErr w:type="gramEnd"/>
            <w:r w:rsidRPr="00ED3C4C">
              <w:rPr>
                <w:rFonts w:ascii="Baskerville Old Face" w:eastAsia="Times New Roman" w:hAnsi="Baskerville Old Face" w:cstheme="minorHAnsi"/>
                <w:color w:val="222222"/>
                <w:lang w:eastAsia="en-GB"/>
              </w:rPr>
              <w:t xml:space="preserve"> or belief.</w:t>
            </w:r>
          </w:p>
          <w:p w14:paraId="3F567704" w14:textId="5A1433CC" w:rsidR="001E294E" w:rsidRPr="00ED3C4C" w:rsidRDefault="001E294E" w:rsidP="006827EF">
            <w:pPr>
              <w:shd w:val="clear" w:color="auto" w:fill="FFFFFF"/>
              <w:cnfStyle w:val="000000100000" w:firstRow="0" w:lastRow="0" w:firstColumn="0" w:lastColumn="0" w:oddVBand="0" w:evenVBand="0" w:oddHBand="1" w:evenHBand="0" w:firstRowFirstColumn="0" w:firstRowLastColumn="0" w:lastRowFirstColumn="0" w:lastRowLastColumn="0"/>
              <w:rPr>
                <w:rFonts w:ascii="Baskerville Old Face" w:eastAsia="Times New Roman" w:hAnsi="Baskerville Old Face" w:cstheme="minorHAnsi"/>
                <w:color w:val="000000"/>
                <w:lang w:eastAsia="en-GB"/>
              </w:rPr>
            </w:pPr>
            <w:r w:rsidRPr="00ED3C4C">
              <w:rPr>
                <w:rFonts w:ascii="Baskerville Old Face" w:eastAsia="Times New Roman" w:hAnsi="Baskerville Old Face" w:cstheme="minorHAnsi"/>
                <w:color w:val="000000"/>
                <w:lang w:eastAsia="en-GB"/>
              </w:rPr>
              <w:t>Plus: socioe</w:t>
            </w:r>
            <w:r w:rsidR="009A1289">
              <w:rPr>
                <w:rFonts w:ascii="Baskerville Old Face" w:eastAsia="Times New Roman" w:hAnsi="Baskerville Old Face" w:cstheme="minorHAnsi"/>
                <w:color w:val="000000"/>
                <w:lang w:eastAsia="en-GB"/>
              </w:rPr>
              <w:t xml:space="preserve">conomic status or circumstances. </w:t>
            </w:r>
            <w:r w:rsidR="009A1289">
              <w:rPr>
                <w:rFonts w:ascii="Baskerville Old Face" w:eastAsia="Times New Roman" w:hAnsi="Baskerville Old Face" w:cstheme="minorHAnsi"/>
                <w:color w:val="000000"/>
                <w:lang w:eastAsia="en-GB"/>
              </w:rPr>
              <w:fldChar w:fldCharType="begin"/>
            </w:r>
            <w:r w:rsidR="009A1289">
              <w:rPr>
                <w:rFonts w:ascii="Baskerville Old Face" w:eastAsia="Times New Roman" w:hAnsi="Baskerville Old Face" w:cstheme="minorHAnsi"/>
                <w:color w:val="000000"/>
                <w:lang w:eastAsia="en-GB"/>
              </w:rPr>
              <w:instrText xml:space="preserve"> ADDIN ZOTERO_ITEM CSL_CITATION {"citationID":"OjARhEJO","properties":{"formattedCitation":"[1,2]","plainCitation":"[1,2]","noteIndex":0},"citationItems":[{"id":6104,"uris":["http://zotero.org/users/2461043/items/PPK2SQG6"],"uri":["http://zotero.org/users/2461043/items/PPK2SQG6"],"itemData":{"id":6104,"type":"webpage","abstract":"The Institute of Medicine (IOM) established six aims, or domains, of health care quality: safe, effective, patient-centered, timely, efficient, equitable.","language":"en","note":"Library Catalog: www.ahrq.gov","title":"Six Domains of Health Care Quality","URL":"http://www.ahrq.gov/talkingquality/measures/six-domains.html","author":[{"literal":"Agency of Healthcare Quality"}],"accessed":{"date-parts":[["2020",2,28]]}}},{"id":6106,"uris":["http://zotero.org/users/2461043/items/FJLBN5P5"],"uri":["http://zotero.org/users/2461043/items/FJLBN5P5"],"itemData":{"id":6106,"type":"legislation","abstract":"An Act to make provision to require Ministers of the Crown and others when making strategic decisions about the exercise of their functions to have regard to the desirability of reducing socio-economic inequalities; to reform and harmonise equality law and restate the greater part of the enactments relating to discrimination and harassment related to certain personal characteristics; to enable certain employers to be required to publish information about the differences in pay between male and female employees; to prohibit victimisation in certain circumstances; to require the exercise of certain functions to be with regard to the need to eliminate discrimination and other prohibited conduct; to enable duties to be imposed in relation to the exercise of public procurement functions; to increase equality of opportunity; to amend the law relating to rights and responsibilities in family relationships; and for connected purposes.","language":"eng","note":"Library Catalog: www.legislation.gov.uk\npublisher: Statute Law Database","title":"Equality Act 2010","URL":"http://www.legislation.gov.uk/ukpga/2010/15/section/4","author":[{"literal":"UK Parliament"}],"accessed":{"date-parts":[["2020",2,28]]}}}],"schema":"https://github.com/citation-style-language/schema/raw/master/csl-citation.json"} </w:instrText>
            </w:r>
            <w:r w:rsidR="009A1289">
              <w:rPr>
                <w:rFonts w:ascii="Baskerville Old Face" w:eastAsia="Times New Roman" w:hAnsi="Baskerville Old Face" w:cstheme="minorHAnsi"/>
                <w:color w:val="000000"/>
                <w:lang w:eastAsia="en-GB"/>
              </w:rPr>
              <w:fldChar w:fldCharType="separate"/>
            </w:r>
            <w:r w:rsidR="00E0218C" w:rsidRPr="00E0218C">
              <w:rPr>
                <w:rFonts w:ascii="Baskerville Old Face" w:hAnsi="Baskerville Old Face"/>
              </w:rPr>
              <w:t>[1,2]</w:t>
            </w:r>
            <w:r w:rsidR="009A1289">
              <w:rPr>
                <w:rFonts w:ascii="Baskerville Old Face" w:eastAsia="Times New Roman" w:hAnsi="Baskerville Old Face" w:cstheme="minorHAnsi"/>
                <w:color w:val="000000"/>
                <w:lang w:eastAsia="en-GB"/>
              </w:rPr>
              <w:fldChar w:fldCharType="end"/>
            </w:r>
          </w:p>
        </w:tc>
        <w:tc>
          <w:tcPr>
            <w:tcW w:w="0" w:type="auto"/>
            <w:shd w:val="clear" w:color="auto" w:fill="auto"/>
          </w:tcPr>
          <w:p w14:paraId="4915D60C" w14:textId="74F67135" w:rsidR="001E294E" w:rsidRPr="00ED3C4C" w:rsidRDefault="001E294E" w:rsidP="006827EF">
            <w:pPr>
              <w:cnfStyle w:val="000000100000" w:firstRow="0" w:lastRow="0" w:firstColumn="0" w:lastColumn="0" w:oddVBand="0" w:evenVBand="0" w:oddHBand="1" w:evenHBand="0" w:firstRowFirstColumn="0" w:firstRowLastColumn="0" w:lastRowFirstColumn="0" w:lastRowLastColumn="0"/>
              <w:rPr>
                <w:rFonts w:ascii="Baskerville Old Face" w:eastAsia="Times New Roman" w:hAnsi="Baskerville Old Face" w:cstheme="minorHAnsi"/>
                <w:lang w:eastAsia="en-GB"/>
              </w:rPr>
            </w:pPr>
            <w:r w:rsidRPr="00ED3C4C">
              <w:rPr>
                <w:rFonts w:ascii="Baskerville Old Face" w:eastAsia="Times New Roman" w:hAnsi="Baskerville Old Face" w:cstheme="minorHAnsi"/>
                <w:lang w:eastAsia="en-GB"/>
              </w:rPr>
              <w:t>Studies only focusing on drivers of variation by professional clinical speciality,</w:t>
            </w:r>
            <w:r w:rsidR="006A74F9" w:rsidRPr="00ED3C4C">
              <w:rPr>
                <w:rFonts w:ascii="Baskerville Old Face" w:eastAsia="Times New Roman" w:hAnsi="Baskerville Old Face" w:cstheme="minorHAnsi"/>
                <w:lang w:eastAsia="en-GB"/>
              </w:rPr>
              <w:t xml:space="preserve"> </w:t>
            </w:r>
            <w:r w:rsidRPr="00ED3C4C">
              <w:rPr>
                <w:rFonts w:ascii="Baskerville Old Face" w:eastAsia="Times New Roman" w:hAnsi="Baskerville Old Face" w:cstheme="minorHAnsi"/>
                <w:lang w:eastAsia="en-GB"/>
              </w:rPr>
              <w:t xml:space="preserve">patient or clinician behaviour, geographic location </w:t>
            </w:r>
          </w:p>
          <w:p w14:paraId="65C15642" w14:textId="77777777" w:rsidR="001E294E" w:rsidRPr="00ED3C4C" w:rsidRDefault="001E294E" w:rsidP="006827EF">
            <w:pPr>
              <w:cnfStyle w:val="000000100000" w:firstRow="0" w:lastRow="0" w:firstColumn="0" w:lastColumn="0" w:oddVBand="0" w:evenVBand="0" w:oddHBand="1" w:evenHBand="0" w:firstRowFirstColumn="0" w:firstRowLastColumn="0" w:lastRowFirstColumn="0" w:lastRowLastColumn="0"/>
              <w:rPr>
                <w:rFonts w:ascii="Baskerville Old Face" w:eastAsia="Times New Roman" w:hAnsi="Baskerville Old Face" w:cstheme="minorHAnsi"/>
                <w:lang w:eastAsia="en-GB"/>
              </w:rPr>
            </w:pPr>
          </w:p>
        </w:tc>
      </w:tr>
      <w:tr w:rsidR="00083F1C" w:rsidRPr="00ED3C4C" w14:paraId="6BBE2A4E" w14:textId="77777777" w:rsidTr="006827EF">
        <w:trPr>
          <w:trHeight w:val="20"/>
        </w:trPr>
        <w:tc>
          <w:tcPr>
            <w:cnfStyle w:val="001000000000" w:firstRow="0" w:lastRow="0" w:firstColumn="1" w:lastColumn="0" w:oddVBand="0" w:evenVBand="0" w:oddHBand="0" w:evenHBand="0" w:firstRowFirstColumn="0" w:firstRowLastColumn="0" w:lastRowFirstColumn="0" w:lastRowLastColumn="0"/>
            <w:tcW w:w="0" w:type="auto"/>
            <w:shd w:val="clear" w:color="auto" w:fill="DEEAF6" w:themeFill="accent1" w:themeFillTint="33"/>
          </w:tcPr>
          <w:p w14:paraId="2389F041" w14:textId="77777777" w:rsidR="001E294E" w:rsidRPr="00ED3C4C" w:rsidRDefault="001E294E" w:rsidP="006827EF">
            <w:pPr>
              <w:rPr>
                <w:rFonts w:ascii="Baskerville Old Face" w:eastAsia="Times New Roman" w:hAnsi="Baskerville Old Face" w:cstheme="minorHAnsi"/>
                <w:color w:val="000000"/>
                <w:lang w:eastAsia="en-GB"/>
              </w:rPr>
            </w:pPr>
            <w:r w:rsidRPr="00ED3C4C">
              <w:rPr>
                <w:rFonts w:ascii="Baskerville Old Face" w:eastAsia="Times New Roman" w:hAnsi="Baskerville Old Face" w:cstheme="minorHAnsi"/>
                <w:color w:val="000000"/>
                <w:lang w:eastAsia="en-GB"/>
              </w:rPr>
              <w:t>Vignette methods</w:t>
            </w:r>
          </w:p>
        </w:tc>
        <w:tc>
          <w:tcPr>
            <w:tcW w:w="0" w:type="auto"/>
            <w:shd w:val="clear" w:color="auto" w:fill="DEEAF6" w:themeFill="accent1" w:themeFillTint="33"/>
          </w:tcPr>
          <w:p w14:paraId="7DD2C2E1" w14:textId="77777777" w:rsidR="001E294E" w:rsidRPr="00ED3C4C" w:rsidRDefault="001E294E" w:rsidP="006827EF">
            <w:pPr>
              <w:cnfStyle w:val="000000000000" w:firstRow="0" w:lastRow="0" w:firstColumn="0" w:lastColumn="0" w:oddVBand="0" w:evenVBand="0" w:oddHBand="0" w:evenHBand="0" w:firstRowFirstColumn="0" w:firstRowLastColumn="0" w:lastRowFirstColumn="0" w:lastRowLastColumn="0"/>
              <w:rPr>
                <w:rFonts w:ascii="Baskerville Old Face" w:hAnsi="Baskerville Old Face" w:cstheme="minorHAnsi"/>
              </w:rPr>
            </w:pPr>
            <w:r w:rsidRPr="00ED3C4C">
              <w:rPr>
                <w:rFonts w:ascii="Baskerville Old Face" w:hAnsi="Baskerville Old Face" w:cstheme="minorHAnsi"/>
              </w:rPr>
              <w:t xml:space="preserve">Interactive approaches (games, multimedia, fake patient, mystery shopper, simulation) </w:t>
            </w:r>
          </w:p>
          <w:p w14:paraId="198B26B4" w14:textId="77777777" w:rsidR="001E294E" w:rsidRPr="00ED3C4C" w:rsidRDefault="001E294E" w:rsidP="006827EF">
            <w:pPr>
              <w:cnfStyle w:val="000000000000" w:firstRow="0" w:lastRow="0" w:firstColumn="0" w:lastColumn="0" w:oddVBand="0" w:evenVBand="0" w:oddHBand="0" w:evenHBand="0" w:firstRowFirstColumn="0" w:firstRowLastColumn="0" w:lastRowFirstColumn="0" w:lastRowLastColumn="0"/>
              <w:rPr>
                <w:rFonts w:ascii="Baskerville Old Face" w:hAnsi="Baskerville Old Face" w:cstheme="minorHAnsi"/>
              </w:rPr>
            </w:pPr>
            <w:r w:rsidRPr="00ED3C4C">
              <w:rPr>
                <w:rFonts w:ascii="Baskerville Old Face" w:hAnsi="Baskerville Old Face" w:cstheme="minorHAnsi"/>
              </w:rPr>
              <w:t>Video</w:t>
            </w:r>
          </w:p>
          <w:p w14:paraId="028D845F" w14:textId="6BC65B0C" w:rsidR="001E294E" w:rsidRPr="00ED3C4C" w:rsidRDefault="001E294E" w:rsidP="006827EF">
            <w:pPr>
              <w:cnfStyle w:val="000000000000" w:firstRow="0" w:lastRow="0" w:firstColumn="0" w:lastColumn="0" w:oddVBand="0" w:evenVBand="0" w:oddHBand="0" w:evenHBand="0" w:firstRowFirstColumn="0" w:firstRowLastColumn="0" w:lastRowFirstColumn="0" w:lastRowLastColumn="0"/>
              <w:rPr>
                <w:rFonts w:ascii="Baskerville Old Face" w:hAnsi="Baskerville Old Face" w:cstheme="minorHAnsi"/>
              </w:rPr>
            </w:pPr>
            <w:r w:rsidRPr="00ED3C4C">
              <w:rPr>
                <w:rFonts w:ascii="Baskerville Old Face" w:hAnsi="Baskerville Old Face" w:cstheme="minorHAnsi"/>
              </w:rPr>
              <w:t>Text-based (paper, or internet administered surveys)</w:t>
            </w:r>
          </w:p>
        </w:tc>
        <w:tc>
          <w:tcPr>
            <w:tcW w:w="0" w:type="auto"/>
            <w:shd w:val="clear" w:color="auto" w:fill="DEEAF6" w:themeFill="accent1" w:themeFillTint="33"/>
          </w:tcPr>
          <w:p w14:paraId="0A1BE8C9" w14:textId="7942B534" w:rsidR="001E294E" w:rsidRPr="00ED3C4C" w:rsidRDefault="006A74F9" w:rsidP="006827EF">
            <w:pPr>
              <w:cnfStyle w:val="000000000000" w:firstRow="0" w:lastRow="0" w:firstColumn="0" w:lastColumn="0" w:oddVBand="0" w:evenVBand="0" w:oddHBand="0" w:evenHBand="0" w:firstRowFirstColumn="0" w:firstRowLastColumn="0" w:lastRowFirstColumn="0" w:lastRowLastColumn="0"/>
              <w:rPr>
                <w:rFonts w:ascii="Baskerville Old Face" w:eastAsia="Times New Roman" w:hAnsi="Baskerville Old Face" w:cstheme="minorHAnsi"/>
                <w:lang w:eastAsia="en-GB"/>
              </w:rPr>
            </w:pPr>
            <w:r w:rsidRPr="00ED3C4C">
              <w:rPr>
                <w:rFonts w:ascii="Baskerville Old Face" w:hAnsi="Baskerville Old Face" w:cstheme="minorHAnsi"/>
              </w:rPr>
              <w:t>D</w:t>
            </w:r>
            <w:r w:rsidR="001E294E" w:rsidRPr="00ED3C4C">
              <w:rPr>
                <w:rFonts w:ascii="Baskerville Old Face" w:hAnsi="Baskerville Old Face" w:cstheme="minorHAnsi"/>
              </w:rPr>
              <w:t>escriptions of clinical situations where patient attributes meeting inclusion criteria were not described, e.g. where physicians were given a scan and no other patient characteristics, discrete choice analysis, time trade-off designs</w:t>
            </w:r>
          </w:p>
        </w:tc>
      </w:tr>
      <w:tr w:rsidR="00083F1C" w:rsidRPr="00ED3C4C" w14:paraId="58727C7B" w14:textId="77777777" w:rsidTr="006827E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969E783" w14:textId="77777777" w:rsidR="001E294E" w:rsidRPr="00ED3C4C" w:rsidRDefault="001E294E" w:rsidP="006827EF">
            <w:pPr>
              <w:rPr>
                <w:rFonts w:ascii="Baskerville Old Face" w:eastAsia="Times New Roman" w:hAnsi="Baskerville Old Face" w:cstheme="minorHAnsi"/>
                <w:color w:val="000000"/>
                <w:lang w:eastAsia="en-GB"/>
              </w:rPr>
            </w:pPr>
            <w:r w:rsidRPr="00ED3C4C">
              <w:rPr>
                <w:rFonts w:ascii="Baskerville Old Face" w:eastAsia="Times New Roman" w:hAnsi="Baskerville Old Face" w:cstheme="minorHAnsi"/>
                <w:color w:val="000000"/>
                <w:lang w:eastAsia="en-GB"/>
              </w:rPr>
              <w:t>Setting</w:t>
            </w:r>
          </w:p>
        </w:tc>
        <w:tc>
          <w:tcPr>
            <w:tcW w:w="0" w:type="auto"/>
            <w:shd w:val="clear" w:color="auto" w:fill="auto"/>
          </w:tcPr>
          <w:p w14:paraId="6EE380F3" w14:textId="77777777" w:rsidR="001E294E" w:rsidRPr="00ED3C4C" w:rsidRDefault="001E294E" w:rsidP="006827EF">
            <w:pPr>
              <w:cnfStyle w:val="000000100000" w:firstRow="0" w:lastRow="0" w:firstColumn="0" w:lastColumn="0" w:oddVBand="0" w:evenVBand="0" w:oddHBand="1" w:evenHBand="0" w:firstRowFirstColumn="0" w:firstRowLastColumn="0" w:lastRowFirstColumn="0" w:lastRowLastColumn="0"/>
              <w:rPr>
                <w:rFonts w:ascii="Baskerville Old Face" w:eastAsia="Times New Roman" w:hAnsi="Baskerville Old Face" w:cstheme="minorHAnsi"/>
                <w:color w:val="000000"/>
                <w:lang w:eastAsia="en-GB"/>
              </w:rPr>
            </w:pPr>
            <w:r w:rsidRPr="00ED3C4C">
              <w:rPr>
                <w:rFonts w:ascii="Baskerville Old Face" w:eastAsia="Times New Roman" w:hAnsi="Baskerville Old Face" w:cstheme="minorHAnsi"/>
                <w:color w:val="000000"/>
                <w:lang w:eastAsia="en-GB"/>
              </w:rPr>
              <w:t>Europe, Canada, USA, Australia, New Zealand</w:t>
            </w:r>
          </w:p>
        </w:tc>
        <w:tc>
          <w:tcPr>
            <w:tcW w:w="0" w:type="auto"/>
            <w:shd w:val="clear" w:color="auto" w:fill="auto"/>
          </w:tcPr>
          <w:p w14:paraId="28D6EDEE" w14:textId="77777777" w:rsidR="001E294E" w:rsidRPr="00ED3C4C" w:rsidRDefault="001E294E" w:rsidP="006827EF">
            <w:pPr>
              <w:cnfStyle w:val="000000100000" w:firstRow="0" w:lastRow="0" w:firstColumn="0" w:lastColumn="0" w:oddVBand="0" w:evenVBand="0" w:oddHBand="1" w:evenHBand="0" w:firstRowFirstColumn="0" w:firstRowLastColumn="0" w:lastRowFirstColumn="0" w:lastRowLastColumn="0"/>
              <w:rPr>
                <w:rFonts w:ascii="Baskerville Old Face" w:eastAsia="Times New Roman" w:hAnsi="Baskerville Old Face" w:cstheme="minorHAnsi"/>
                <w:color w:val="000000"/>
                <w:lang w:eastAsia="en-GB"/>
              </w:rPr>
            </w:pPr>
            <w:r w:rsidRPr="00ED3C4C">
              <w:rPr>
                <w:rFonts w:ascii="Baskerville Old Face" w:eastAsia="Times New Roman" w:hAnsi="Baskerville Old Face" w:cstheme="minorHAnsi"/>
                <w:color w:val="000000"/>
                <w:lang w:eastAsia="en-GB"/>
              </w:rPr>
              <w:t>Africa, Asia</w:t>
            </w:r>
          </w:p>
        </w:tc>
      </w:tr>
      <w:tr w:rsidR="00083F1C" w:rsidRPr="00ED3C4C" w14:paraId="242039F1" w14:textId="77777777" w:rsidTr="006827EF">
        <w:trPr>
          <w:trHeight w:val="20"/>
        </w:trPr>
        <w:tc>
          <w:tcPr>
            <w:cnfStyle w:val="001000000000" w:firstRow="0" w:lastRow="0" w:firstColumn="1" w:lastColumn="0" w:oddVBand="0" w:evenVBand="0" w:oddHBand="0" w:evenHBand="0" w:firstRowFirstColumn="0" w:firstRowLastColumn="0" w:lastRowFirstColumn="0" w:lastRowLastColumn="0"/>
            <w:tcW w:w="0" w:type="auto"/>
            <w:shd w:val="clear" w:color="auto" w:fill="DEEAF6" w:themeFill="accent1" w:themeFillTint="33"/>
          </w:tcPr>
          <w:p w14:paraId="3B1E5D4A" w14:textId="77777777" w:rsidR="001E294E" w:rsidRPr="00ED3C4C" w:rsidRDefault="001E294E" w:rsidP="006827EF">
            <w:pPr>
              <w:rPr>
                <w:rFonts w:ascii="Baskerville Old Face" w:eastAsia="Times New Roman" w:hAnsi="Baskerville Old Face" w:cstheme="minorHAnsi"/>
                <w:color w:val="000000"/>
                <w:lang w:eastAsia="en-GB"/>
              </w:rPr>
            </w:pPr>
            <w:r w:rsidRPr="00ED3C4C">
              <w:rPr>
                <w:rFonts w:ascii="Baskerville Old Face" w:eastAsia="Times New Roman" w:hAnsi="Baskerville Old Face" w:cstheme="minorHAnsi"/>
                <w:color w:val="000000"/>
                <w:lang w:eastAsia="en-GB"/>
              </w:rPr>
              <w:t>Publication type</w:t>
            </w:r>
          </w:p>
        </w:tc>
        <w:tc>
          <w:tcPr>
            <w:tcW w:w="0" w:type="auto"/>
            <w:shd w:val="clear" w:color="auto" w:fill="DEEAF6" w:themeFill="accent1" w:themeFillTint="33"/>
          </w:tcPr>
          <w:p w14:paraId="16EDBB39" w14:textId="77777777" w:rsidR="001E294E" w:rsidRPr="00ED3C4C" w:rsidRDefault="001E294E" w:rsidP="006827EF">
            <w:pPr>
              <w:cnfStyle w:val="000000000000" w:firstRow="0" w:lastRow="0" w:firstColumn="0" w:lastColumn="0" w:oddVBand="0" w:evenVBand="0" w:oddHBand="0" w:evenHBand="0" w:firstRowFirstColumn="0" w:firstRowLastColumn="0" w:lastRowFirstColumn="0" w:lastRowLastColumn="0"/>
              <w:rPr>
                <w:rFonts w:ascii="Baskerville Old Face" w:hAnsi="Baskerville Old Face" w:cstheme="minorHAnsi"/>
              </w:rPr>
            </w:pPr>
            <w:r w:rsidRPr="00ED3C4C">
              <w:rPr>
                <w:rFonts w:ascii="Baskerville Old Face" w:hAnsi="Baskerville Old Face" w:cstheme="minorHAnsi"/>
              </w:rPr>
              <w:t>Empirical studies</w:t>
            </w:r>
          </w:p>
        </w:tc>
        <w:tc>
          <w:tcPr>
            <w:tcW w:w="0" w:type="auto"/>
            <w:shd w:val="clear" w:color="auto" w:fill="DEEAF6" w:themeFill="accent1" w:themeFillTint="33"/>
          </w:tcPr>
          <w:p w14:paraId="39343D4B" w14:textId="77777777" w:rsidR="001E294E" w:rsidRPr="00ED3C4C" w:rsidRDefault="001E294E" w:rsidP="006827EF">
            <w:pPr>
              <w:cnfStyle w:val="000000000000" w:firstRow="0" w:lastRow="0" w:firstColumn="0" w:lastColumn="0" w:oddVBand="0" w:evenVBand="0" w:oddHBand="0" w:evenHBand="0" w:firstRowFirstColumn="0" w:firstRowLastColumn="0" w:lastRowFirstColumn="0" w:lastRowLastColumn="0"/>
              <w:rPr>
                <w:rFonts w:ascii="Baskerville Old Face" w:eastAsia="Times New Roman" w:hAnsi="Baskerville Old Face" w:cstheme="minorHAnsi"/>
                <w:color w:val="000000"/>
                <w:lang w:eastAsia="en-GB"/>
              </w:rPr>
            </w:pPr>
            <w:r w:rsidRPr="00ED3C4C">
              <w:rPr>
                <w:rFonts w:ascii="Baskerville Old Face" w:hAnsi="Baskerville Old Face" w:cstheme="minorHAnsi"/>
              </w:rPr>
              <w:t>Reviews, editorials, letters, studies employing solely qualitative analysis techniques, abstracts only</w:t>
            </w:r>
          </w:p>
        </w:tc>
      </w:tr>
      <w:tr w:rsidR="00083F1C" w:rsidRPr="00ED3C4C" w14:paraId="727FC2C8" w14:textId="77777777" w:rsidTr="006827E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35BA846" w14:textId="77777777" w:rsidR="001E294E" w:rsidRPr="00ED3C4C" w:rsidRDefault="001E294E" w:rsidP="006827EF">
            <w:pPr>
              <w:rPr>
                <w:rFonts w:ascii="Baskerville Old Face" w:eastAsia="Times New Roman" w:hAnsi="Baskerville Old Face" w:cstheme="minorHAnsi"/>
                <w:color w:val="000000"/>
                <w:lang w:eastAsia="en-GB"/>
              </w:rPr>
            </w:pPr>
            <w:r w:rsidRPr="00ED3C4C">
              <w:rPr>
                <w:rFonts w:ascii="Baskerville Old Face" w:eastAsia="Times New Roman" w:hAnsi="Baskerville Old Face" w:cstheme="minorHAnsi"/>
                <w:color w:val="000000"/>
                <w:lang w:eastAsia="en-GB"/>
              </w:rPr>
              <w:t>Design</w:t>
            </w:r>
          </w:p>
        </w:tc>
        <w:tc>
          <w:tcPr>
            <w:tcW w:w="0" w:type="auto"/>
            <w:shd w:val="clear" w:color="auto" w:fill="auto"/>
          </w:tcPr>
          <w:p w14:paraId="6E53311C" w14:textId="77777777" w:rsidR="001E294E" w:rsidRPr="00ED3C4C" w:rsidRDefault="001E294E" w:rsidP="006827EF">
            <w:pPr>
              <w:cnfStyle w:val="000000100000" w:firstRow="0" w:lastRow="0" w:firstColumn="0" w:lastColumn="0" w:oddVBand="0" w:evenVBand="0" w:oddHBand="1" w:evenHBand="0" w:firstRowFirstColumn="0" w:firstRowLastColumn="0" w:lastRowFirstColumn="0" w:lastRowLastColumn="0"/>
              <w:rPr>
                <w:rFonts w:ascii="Baskerville Old Face" w:eastAsia="Times New Roman" w:hAnsi="Baskerville Old Face" w:cstheme="minorHAnsi"/>
                <w:color w:val="000000"/>
                <w:lang w:eastAsia="en-GB"/>
              </w:rPr>
            </w:pPr>
            <w:r w:rsidRPr="00ED3C4C">
              <w:rPr>
                <w:rFonts w:ascii="Baskerville Old Face" w:eastAsia="Times New Roman" w:hAnsi="Baskerville Old Face" w:cstheme="minorHAnsi"/>
                <w:color w:val="000000"/>
                <w:lang w:eastAsia="en-GB"/>
              </w:rPr>
              <w:t xml:space="preserve">Experimental designs: </w:t>
            </w:r>
            <w:r w:rsidRPr="00ED3C4C">
              <w:rPr>
                <w:rFonts w:ascii="Baskerville Old Face" w:hAnsi="Baskerville Old Face" w:cstheme="minorHAnsi"/>
              </w:rPr>
              <w:t xml:space="preserve">key variables intentionally modified and manipulated </w:t>
            </w:r>
            <w:r w:rsidRPr="00ED3C4C">
              <w:rPr>
                <w:rFonts w:ascii="Baskerville Old Face" w:eastAsia="Times New Roman" w:hAnsi="Baskerville Old Face" w:cstheme="minorHAnsi"/>
                <w:color w:val="000000"/>
                <w:lang w:eastAsia="en-GB"/>
              </w:rPr>
              <w:t xml:space="preserve">e.g. using random allocation, factorial designs </w:t>
            </w:r>
          </w:p>
        </w:tc>
        <w:tc>
          <w:tcPr>
            <w:tcW w:w="0" w:type="auto"/>
            <w:shd w:val="clear" w:color="auto" w:fill="auto"/>
          </w:tcPr>
          <w:p w14:paraId="16AC7E8E" w14:textId="15A2912A" w:rsidR="001E294E" w:rsidRPr="00ED3C4C" w:rsidRDefault="001E294E" w:rsidP="00034C4B">
            <w:pPr>
              <w:cnfStyle w:val="000000100000" w:firstRow="0" w:lastRow="0" w:firstColumn="0" w:lastColumn="0" w:oddVBand="0" w:evenVBand="0" w:oddHBand="1" w:evenHBand="0" w:firstRowFirstColumn="0" w:firstRowLastColumn="0" w:lastRowFirstColumn="0" w:lastRowLastColumn="0"/>
              <w:rPr>
                <w:rFonts w:ascii="Baskerville Old Face" w:eastAsia="Times New Roman" w:hAnsi="Baskerville Old Face" w:cstheme="minorHAnsi"/>
                <w:color w:val="000000"/>
                <w:lang w:eastAsia="en-GB"/>
              </w:rPr>
            </w:pPr>
            <w:r w:rsidRPr="00ED3C4C">
              <w:rPr>
                <w:rFonts w:ascii="Baskerville Old Face" w:eastAsia="Times New Roman" w:hAnsi="Baskerville Old Face" w:cstheme="minorHAnsi"/>
                <w:color w:val="000000"/>
                <w:lang w:eastAsia="en-GB"/>
              </w:rPr>
              <w:t>No systematic manipulation of vignette characteristics</w:t>
            </w:r>
          </w:p>
        </w:tc>
      </w:tr>
      <w:tr w:rsidR="00083F1C" w:rsidRPr="00ED3C4C" w14:paraId="49F7FDBB" w14:textId="77777777" w:rsidTr="006827EF">
        <w:trPr>
          <w:trHeight w:val="20"/>
        </w:trPr>
        <w:tc>
          <w:tcPr>
            <w:cnfStyle w:val="001000000000" w:firstRow="0" w:lastRow="0" w:firstColumn="1" w:lastColumn="0" w:oddVBand="0" w:evenVBand="0" w:oddHBand="0" w:evenHBand="0" w:firstRowFirstColumn="0" w:firstRowLastColumn="0" w:lastRowFirstColumn="0" w:lastRowLastColumn="0"/>
            <w:tcW w:w="0" w:type="auto"/>
            <w:shd w:val="clear" w:color="auto" w:fill="DEEAF6" w:themeFill="accent1" w:themeFillTint="33"/>
          </w:tcPr>
          <w:p w14:paraId="2A607183" w14:textId="77777777" w:rsidR="001E294E" w:rsidRPr="00ED3C4C" w:rsidRDefault="001E294E" w:rsidP="006827EF">
            <w:pPr>
              <w:rPr>
                <w:rFonts w:ascii="Baskerville Old Face" w:eastAsia="Times New Roman" w:hAnsi="Baskerville Old Face" w:cstheme="minorHAnsi"/>
                <w:color w:val="000000"/>
                <w:lang w:eastAsia="en-GB"/>
              </w:rPr>
            </w:pPr>
            <w:r w:rsidRPr="00ED3C4C">
              <w:rPr>
                <w:rFonts w:ascii="Baskerville Old Face" w:eastAsia="Times New Roman" w:hAnsi="Baskerville Old Face" w:cstheme="minorHAnsi"/>
                <w:color w:val="000000"/>
                <w:lang w:eastAsia="en-GB"/>
              </w:rPr>
              <w:t>Purpose</w:t>
            </w:r>
          </w:p>
        </w:tc>
        <w:tc>
          <w:tcPr>
            <w:tcW w:w="0" w:type="auto"/>
            <w:shd w:val="clear" w:color="auto" w:fill="DEEAF6" w:themeFill="accent1" w:themeFillTint="33"/>
          </w:tcPr>
          <w:p w14:paraId="0D8E9573" w14:textId="1244A847" w:rsidR="001E294E" w:rsidRPr="00ED3C4C" w:rsidRDefault="001E294E" w:rsidP="006827EF">
            <w:pPr>
              <w:pStyle w:val="CommentText"/>
              <w:spacing w:after="0"/>
              <w:cnfStyle w:val="000000000000" w:firstRow="0" w:lastRow="0" w:firstColumn="0" w:lastColumn="0" w:oddVBand="0" w:evenVBand="0" w:oddHBand="0" w:evenHBand="0" w:firstRowFirstColumn="0" w:firstRowLastColumn="0" w:lastRowFirstColumn="0" w:lastRowLastColumn="0"/>
              <w:rPr>
                <w:rFonts w:ascii="Baskerville Old Face" w:hAnsi="Baskerville Old Face" w:cstheme="minorHAnsi"/>
                <w:sz w:val="22"/>
                <w:szCs w:val="22"/>
              </w:rPr>
            </w:pPr>
            <w:r w:rsidRPr="00ED3C4C">
              <w:rPr>
                <w:rFonts w:ascii="Baskerville Old Face" w:hAnsi="Baskerville Old Face" w:cstheme="minorHAnsi"/>
                <w:sz w:val="22"/>
                <w:szCs w:val="22"/>
              </w:rPr>
              <w:t xml:space="preserve">Explanatory: how inequalities in the quality of healthcare delivery may arise. </w:t>
            </w:r>
          </w:p>
        </w:tc>
        <w:tc>
          <w:tcPr>
            <w:tcW w:w="0" w:type="auto"/>
            <w:shd w:val="clear" w:color="auto" w:fill="DEEAF6" w:themeFill="accent1" w:themeFillTint="33"/>
          </w:tcPr>
          <w:p w14:paraId="7CC5C3DD" w14:textId="761D5E51" w:rsidR="001E294E" w:rsidRPr="00ED3C4C" w:rsidRDefault="001E294E" w:rsidP="00034C4B">
            <w:pPr>
              <w:pStyle w:val="CommentText"/>
              <w:spacing w:after="0"/>
              <w:cnfStyle w:val="000000000000" w:firstRow="0" w:lastRow="0" w:firstColumn="0" w:lastColumn="0" w:oddVBand="0" w:evenVBand="0" w:oddHBand="0" w:evenHBand="0" w:firstRowFirstColumn="0" w:firstRowLastColumn="0" w:lastRowFirstColumn="0" w:lastRowLastColumn="0"/>
              <w:rPr>
                <w:rFonts w:ascii="Baskerville Old Face" w:hAnsi="Baskerville Old Face" w:cstheme="minorHAnsi"/>
                <w:sz w:val="22"/>
                <w:szCs w:val="22"/>
              </w:rPr>
            </w:pPr>
            <w:r w:rsidRPr="00ED3C4C">
              <w:rPr>
                <w:rFonts w:ascii="Baskerville Old Face" w:hAnsi="Baskerville Old Face" w:cstheme="minorHAnsi"/>
                <w:sz w:val="22"/>
                <w:szCs w:val="22"/>
              </w:rPr>
              <w:t>Descriptive: i.e. purpose is measuring or identifying inequalities.</w:t>
            </w:r>
          </w:p>
        </w:tc>
      </w:tr>
      <w:tr w:rsidR="00083F1C" w:rsidRPr="00ED3C4C" w14:paraId="4A11DF9E" w14:textId="77777777" w:rsidTr="006827E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9CDBFEE" w14:textId="77777777" w:rsidR="001E294E" w:rsidRPr="00ED3C4C" w:rsidRDefault="001E294E" w:rsidP="006827EF">
            <w:pPr>
              <w:rPr>
                <w:rFonts w:ascii="Baskerville Old Face" w:eastAsia="Times New Roman" w:hAnsi="Baskerville Old Face" w:cstheme="minorHAnsi"/>
                <w:color w:val="000000"/>
                <w:lang w:eastAsia="en-GB"/>
              </w:rPr>
            </w:pPr>
            <w:r w:rsidRPr="00ED3C4C">
              <w:rPr>
                <w:rFonts w:ascii="Baskerville Old Face" w:eastAsia="Times New Roman" w:hAnsi="Baskerville Old Face" w:cstheme="minorHAnsi"/>
                <w:color w:val="000000"/>
                <w:lang w:eastAsia="en-GB"/>
              </w:rPr>
              <w:t xml:space="preserve">Application of vignette designs or findings </w:t>
            </w:r>
          </w:p>
        </w:tc>
        <w:tc>
          <w:tcPr>
            <w:tcW w:w="0" w:type="auto"/>
            <w:shd w:val="clear" w:color="auto" w:fill="auto"/>
          </w:tcPr>
          <w:p w14:paraId="7548F4DC" w14:textId="77777777" w:rsidR="001E294E" w:rsidRPr="00ED3C4C" w:rsidRDefault="001E294E" w:rsidP="006827EF">
            <w:pPr>
              <w:pStyle w:val="CommentText"/>
              <w:spacing w:after="0"/>
              <w:cnfStyle w:val="000000100000" w:firstRow="0" w:lastRow="0" w:firstColumn="0" w:lastColumn="0" w:oddVBand="0" w:evenVBand="0" w:oddHBand="1" w:evenHBand="0" w:firstRowFirstColumn="0" w:firstRowLastColumn="0" w:lastRowFirstColumn="0" w:lastRowLastColumn="0"/>
              <w:rPr>
                <w:rFonts w:ascii="Baskerville Old Face" w:hAnsi="Baskerville Old Face" w:cstheme="minorHAnsi"/>
                <w:sz w:val="22"/>
                <w:szCs w:val="22"/>
              </w:rPr>
            </w:pPr>
            <w:r w:rsidRPr="00ED3C4C">
              <w:rPr>
                <w:rFonts w:ascii="Baskerville Old Face" w:hAnsi="Baskerville Old Face" w:cstheme="minorHAnsi"/>
                <w:sz w:val="22"/>
                <w:szCs w:val="22"/>
              </w:rPr>
              <w:t xml:space="preserve">Aims or conclusions relate to behavioural intentions, </w:t>
            </w:r>
            <w:proofErr w:type="gramStart"/>
            <w:r w:rsidRPr="00ED3C4C">
              <w:rPr>
                <w:rFonts w:ascii="Baskerville Old Face" w:hAnsi="Baskerville Old Face" w:cstheme="minorHAnsi"/>
                <w:sz w:val="22"/>
                <w:szCs w:val="22"/>
              </w:rPr>
              <w:t>preferences</w:t>
            </w:r>
            <w:proofErr w:type="gramEnd"/>
            <w:r w:rsidRPr="00ED3C4C">
              <w:rPr>
                <w:rFonts w:ascii="Baskerville Old Face" w:hAnsi="Baskerville Old Face" w:cstheme="minorHAnsi"/>
                <w:sz w:val="22"/>
                <w:szCs w:val="22"/>
              </w:rPr>
              <w:t xml:space="preserve"> or attitudes</w:t>
            </w:r>
          </w:p>
        </w:tc>
        <w:tc>
          <w:tcPr>
            <w:tcW w:w="0" w:type="auto"/>
            <w:shd w:val="clear" w:color="auto" w:fill="auto"/>
          </w:tcPr>
          <w:p w14:paraId="0AE68F3D" w14:textId="77777777" w:rsidR="001E294E" w:rsidRPr="00ED3C4C" w:rsidRDefault="001E294E" w:rsidP="006827EF">
            <w:pPr>
              <w:pStyle w:val="CommentText"/>
              <w:spacing w:after="0"/>
              <w:cnfStyle w:val="000000100000" w:firstRow="0" w:lastRow="0" w:firstColumn="0" w:lastColumn="0" w:oddVBand="0" w:evenVBand="0" w:oddHBand="1" w:evenHBand="0" w:firstRowFirstColumn="0" w:firstRowLastColumn="0" w:lastRowFirstColumn="0" w:lastRowLastColumn="0"/>
              <w:rPr>
                <w:rFonts w:ascii="Baskerville Old Face" w:hAnsi="Baskerville Old Face" w:cstheme="minorHAnsi"/>
                <w:sz w:val="22"/>
                <w:szCs w:val="22"/>
              </w:rPr>
            </w:pPr>
            <w:r w:rsidRPr="00ED3C4C">
              <w:rPr>
                <w:rFonts w:ascii="Baskerville Old Face" w:hAnsi="Baskerville Old Face" w:cstheme="minorHAnsi"/>
                <w:sz w:val="22"/>
                <w:szCs w:val="22"/>
              </w:rPr>
              <w:t>Aims or conclusions conflate vignette responses with actual healthcare behaviour</w:t>
            </w:r>
          </w:p>
        </w:tc>
      </w:tr>
    </w:tbl>
    <w:p w14:paraId="2ABC7CAD" w14:textId="17EC2BFC" w:rsidR="001E294E" w:rsidRDefault="001E294E" w:rsidP="001E294E">
      <w:pPr>
        <w:pStyle w:val="Heading3"/>
        <w:spacing w:before="0" w:beforeAutospacing="0" w:after="0" w:afterAutospacing="0" w:line="276" w:lineRule="auto"/>
        <w:rPr>
          <w:rFonts w:ascii="Baskerville Old Face" w:hAnsi="Baskerville Old Face" w:cstheme="minorHAnsi"/>
          <w:sz w:val="22"/>
          <w:szCs w:val="22"/>
        </w:rPr>
      </w:pPr>
    </w:p>
    <w:p w14:paraId="74582798" w14:textId="77777777" w:rsidR="00E0218C" w:rsidRPr="00D24D16" w:rsidRDefault="009A1289" w:rsidP="00D24D16">
      <w:pPr>
        <w:pStyle w:val="Bibliography"/>
        <w:spacing w:after="120"/>
        <w:ind w:left="266" w:hanging="266"/>
        <w:rPr>
          <w:rFonts w:ascii="Baskerville Old Face" w:hAnsi="Baskerville Old Face"/>
          <w:sz w:val="16"/>
          <w:szCs w:val="16"/>
        </w:rPr>
      </w:pPr>
      <w:r w:rsidRPr="00D24D16">
        <w:rPr>
          <w:rFonts w:ascii="Baskerville Old Face" w:hAnsi="Baskerville Old Face" w:cstheme="minorHAnsi"/>
          <w:sz w:val="16"/>
          <w:szCs w:val="16"/>
        </w:rPr>
        <w:fldChar w:fldCharType="begin"/>
      </w:r>
      <w:r w:rsidR="00E0218C" w:rsidRPr="00D24D16">
        <w:rPr>
          <w:rFonts w:ascii="Baskerville Old Face" w:hAnsi="Baskerville Old Face" w:cstheme="minorHAnsi"/>
          <w:sz w:val="16"/>
          <w:szCs w:val="16"/>
        </w:rPr>
        <w:instrText xml:space="preserve"> ADDIN ZOTERO_BIBL {"uncited":[],"omitted":[],"custom":[]} CSL_BIBLIOGRAPHY </w:instrText>
      </w:r>
      <w:r w:rsidRPr="00D24D16">
        <w:rPr>
          <w:rFonts w:ascii="Baskerville Old Face" w:hAnsi="Baskerville Old Face" w:cstheme="minorHAnsi"/>
          <w:sz w:val="16"/>
          <w:szCs w:val="16"/>
        </w:rPr>
        <w:fldChar w:fldCharType="separate"/>
      </w:r>
      <w:r w:rsidR="00E0218C" w:rsidRPr="00D24D16">
        <w:rPr>
          <w:rFonts w:ascii="Baskerville Old Face" w:hAnsi="Baskerville Old Face"/>
          <w:sz w:val="16"/>
          <w:szCs w:val="16"/>
        </w:rPr>
        <w:t xml:space="preserve">1 </w:t>
      </w:r>
      <w:r w:rsidR="00E0218C" w:rsidRPr="00D24D16">
        <w:rPr>
          <w:rFonts w:ascii="Baskerville Old Face" w:hAnsi="Baskerville Old Face"/>
          <w:sz w:val="16"/>
          <w:szCs w:val="16"/>
        </w:rPr>
        <w:tab/>
        <w:t>Agency of Healthcare Quality. Six Domains of Health Care Quality. http://www.ahrq.gov/talkingquality/measures/six-domains.html (accessed 28 Feb 2020).</w:t>
      </w:r>
    </w:p>
    <w:p w14:paraId="5A6020BC" w14:textId="286EB8DE" w:rsidR="00FA2365" w:rsidRDefault="00E0218C" w:rsidP="00D24D16">
      <w:pPr>
        <w:pStyle w:val="Bibliography"/>
        <w:spacing w:after="120"/>
        <w:ind w:left="266" w:hanging="266"/>
        <w:rPr>
          <w:rFonts w:ascii="Baskerville Old Face" w:hAnsi="Baskerville Old Face" w:cstheme="minorHAnsi"/>
          <w:sz w:val="16"/>
          <w:szCs w:val="16"/>
        </w:rPr>
      </w:pPr>
      <w:r w:rsidRPr="00D24D16">
        <w:rPr>
          <w:rFonts w:ascii="Baskerville Old Face" w:hAnsi="Baskerville Old Face"/>
          <w:sz w:val="16"/>
          <w:szCs w:val="16"/>
        </w:rPr>
        <w:t xml:space="preserve">2 </w:t>
      </w:r>
      <w:r w:rsidRPr="00D24D16">
        <w:rPr>
          <w:rFonts w:ascii="Baskerville Old Face" w:hAnsi="Baskerville Old Face"/>
          <w:sz w:val="16"/>
          <w:szCs w:val="16"/>
        </w:rPr>
        <w:tab/>
        <w:t>UK Parliament. Equality Act 2010. Statute Law Database http://www.legislation.gov.uk/ukpga/2010/15/section/4 (accessed 28 Feb 2020).</w:t>
      </w:r>
      <w:r w:rsidR="009A1289" w:rsidRPr="00D24D16">
        <w:rPr>
          <w:rFonts w:ascii="Baskerville Old Face" w:hAnsi="Baskerville Old Face" w:cstheme="minorHAnsi"/>
          <w:sz w:val="16"/>
          <w:szCs w:val="16"/>
        </w:rPr>
        <w:fldChar w:fldCharType="end"/>
      </w:r>
    </w:p>
    <w:p w14:paraId="3AB6DDB0" w14:textId="77777777" w:rsidR="00FA2365" w:rsidRDefault="00FA2365">
      <w:pPr>
        <w:rPr>
          <w:rFonts w:ascii="Baskerville Old Face" w:hAnsi="Baskerville Old Face" w:cstheme="minorHAnsi"/>
          <w:sz w:val="16"/>
          <w:szCs w:val="16"/>
        </w:rPr>
      </w:pPr>
      <w:r>
        <w:rPr>
          <w:rFonts w:ascii="Baskerville Old Face" w:hAnsi="Baskerville Old Face" w:cstheme="minorHAnsi"/>
          <w:sz w:val="16"/>
          <w:szCs w:val="16"/>
        </w:rPr>
        <w:br w:type="page"/>
      </w:r>
    </w:p>
    <w:p w14:paraId="17FB8D76" w14:textId="6766B617" w:rsidR="009A1289" w:rsidRPr="00FA2365" w:rsidRDefault="00FA2365" w:rsidP="00D24D16">
      <w:pPr>
        <w:pStyle w:val="Bibliography"/>
        <w:spacing w:after="120"/>
        <w:ind w:left="266" w:hanging="266"/>
        <w:rPr>
          <w:rFonts w:ascii="Arial" w:hAnsi="Arial" w:cs="Arial"/>
        </w:rPr>
      </w:pPr>
      <w:r w:rsidRPr="00FA2365">
        <w:rPr>
          <w:rFonts w:ascii="Arial" w:hAnsi="Arial" w:cs="Arial"/>
          <w:b/>
        </w:rPr>
        <w:lastRenderedPageBreak/>
        <w:t>Table 2.</w:t>
      </w:r>
      <w:r w:rsidRPr="00FA2365">
        <w:rPr>
          <w:rFonts w:ascii="Arial" w:hAnsi="Arial" w:cs="Arial"/>
        </w:rPr>
        <w:t xml:space="preserve"> Reported funding sources of included studies</w:t>
      </w:r>
    </w:p>
    <w:tbl>
      <w:tblPr>
        <w:tblStyle w:val="GridTable2-Accent1"/>
        <w:tblW w:w="7371" w:type="dxa"/>
        <w:tblLook w:val="04A0" w:firstRow="1" w:lastRow="0" w:firstColumn="1" w:lastColumn="0" w:noHBand="0" w:noVBand="1"/>
      </w:tblPr>
      <w:tblGrid>
        <w:gridCol w:w="2127"/>
        <w:gridCol w:w="5244"/>
      </w:tblGrid>
      <w:tr w:rsidR="00FA2365" w:rsidRPr="00FA2365" w14:paraId="04B99FBA" w14:textId="77777777" w:rsidTr="00FA2365">
        <w:trPr>
          <w:cnfStyle w:val="100000000000" w:firstRow="1" w:lastRow="0" w:firstColumn="0" w:lastColumn="0" w:oddVBand="0" w:evenVBand="0" w:oddHBand="0"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2127" w:type="dxa"/>
            <w:hideMark/>
          </w:tcPr>
          <w:p w14:paraId="27854C2F" w14:textId="77777777" w:rsidR="00FA2365" w:rsidRPr="00FA2365" w:rsidRDefault="00FA2365" w:rsidP="00FA2365">
            <w:pPr>
              <w:rPr>
                <w:rFonts w:ascii="Baskerville Old Face" w:hAnsi="Baskerville Old Face" w:cstheme="minorHAnsi"/>
                <w:b w:val="0"/>
                <w:sz w:val="18"/>
              </w:rPr>
            </w:pPr>
            <w:bookmarkStart w:id="0" w:name="RANGE!A1:U22"/>
            <w:r w:rsidRPr="00FA2365">
              <w:rPr>
                <w:rFonts w:ascii="Baskerville Old Face" w:hAnsi="Baskerville Old Face" w:cstheme="minorHAnsi"/>
                <w:b w:val="0"/>
                <w:sz w:val="18"/>
              </w:rPr>
              <w:t>Study</w:t>
            </w:r>
            <w:bookmarkEnd w:id="0"/>
          </w:p>
        </w:tc>
        <w:tc>
          <w:tcPr>
            <w:tcW w:w="5244" w:type="dxa"/>
            <w:hideMark/>
          </w:tcPr>
          <w:p w14:paraId="3FC85D8C" w14:textId="35EB53AB" w:rsidR="00FA2365" w:rsidRPr="00FA2365" w:rsidRDefault="00FA2365" w:rsidP="00FA2365">
            <w:pPr>
              <w:cnfStyle w:val="100000000000" w:firstRow="1" w:lastRow="0" w:firstColumn="0" w:lastColumn="0" w:oddVBand="0" w:evenVBand="0" w:oddHBand="0" w:evenHBand="0" w:firstRowFirstColumn="0" w:firstRowLastColumn="0" w:lastRowFirstColumn="0" w:lastRowLastColumn="0"/>
              <w:rPr>
                <w:rFonts w:ascii="Baskerville Old Face" w:hAnsi="Baskerville Old Face" w:cstheme="minorHAnsi"/>
                <w:b w:val="0"/>
                <w:sz w:val="18"/>
              </w:rPr>
            </w:pPr>
            <w:r w:rsidRPr="00FA2365">
              <w:rPr>
                <w:rFonts w:ascii="Baskerville Old Face" w:hAnsi="Baskerville Old Face" w:cstheme="minorHAnsi"/>
                <w:b w:val="0"/>
                <w:sz w:val="18"/>
              </w:rPr>
              <w:t>Funding Source</w:t>
            </w:r>
          </w:p>
        </w:tc>
      </w:tr>
      <w:tr w:rsidR="00FA2365" w:rsidRPr="00FA2365" w14:paraId="28969D93" w14:textId="77777777" w:rsidTr="00FA2365">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127" w:type="dxa"/>
            <w:hideMark/>
          </w:tcPr>
          <w:p w14:paraId="60314A35" w14:textId="77777777" w:rsidR="00FA2365" w:rsidRPr="00FA2365" w:rsidRDefault="00FA2365" w:rsidP="00FA2365">
            <w:pPr>
              <w:rPr>
                <w:rFonts w:ascii="Baskerville Old Face" w:hAnsi="Baskerville Old Face" w:cstheme="minorHAnsi"/>
                <w:sz w:val="18"/>
              </w:rPr>
            </w:pPr>
            <w:r w:rsidRPr="00FA2365">
              <w:rPr>
                <w:rFonts w:ascii="Baskerville Old Face" w:hAnsi="Baskerville Old Face" w:cstheme="minorHAnsi"/>
                <w:sz w:val="18"/>
              </w:rPr>
              <w:t>Adams et al, 2014</w:t>
            </w:r>
          </w:p>
        </w:tc>
        <w:tc>
          <w:tcPr>
            <w:tcW w:w="5244" w:type="dxa"/>
            <w:hideMark/>
          </w:tcPr>
          <w:p w14:paraId="5DF8B077" w14:textId="4AA1F340" w:rsidR="00FA2365" w:rsidRPr="00FA2365" w:rsidRDefault="00FA2365" w:rsidP="00FA2365">
            <w:pPr>
              <w:cnfStyle w:val="000000100000" w:firstRow="0" w:lastRow="0" w:firstColumn="0" w:lastColumn="0" w:oddVBand="0" w:evenVBand="0" w:oddHBand="1" w:evenHBand="0" w:firstRowFirstColumn="0" w:firstRowLastColumn="0" w:lastRowFirstColumn="0" w:lastRowLastColumn="0"/>
              <w:rPr>
                <w:rFonts w:ascii="Baskerville Old Face" w:hAnsi="Baskerville Old Face" w:cstheme="minorHAnsi"/>
                <w:sz w:val="18"/>
              </w:rPr>
            </w:pPr>
            <w:r w:rsidRPr="00FA2365">
              <w:rPr>
                <w:rFonts w:ascii="Baskerville Old Face" w:hAnsi="Baskerville Old Face" w:cstheme="minorHAnsi"/>
                <w:sz w:val="18"/>
              </w:rPr>
              <w:t>Economic and Social Research Council, grant RES-177-25-0014</w:t>
            </w:r>
          </w:p>
        </w:tc>
      </w:tr>
      <w:tr w:rsidR="00FA2365" w:rsidRPr="00FA2365" w14:paraId="7F4422E5" w14:textId="77777777" w:rsidTr="00FA2365">
        <w:trPr>
          <w:trHeight w:val="263"/>
        </w:trPr>
        <w:tc>
          <w:tcPr>
            <w:cnfStyle w:val="001000000000" w:firstRow="0" w:lastRow="0" w:firstColumn="1" w:lastColumn="0" w:oddVBand="0" w:evenVBand="0" w:oddHBand="0" w:evenHBand="0" w:firstRowFirstColumn="0" w:firstRowLastColumn="0" w:lastRowFirstColumn="0" w:lastRowLastColumn="0"/>
            <w:tcW w:w="2127" w:type="dxa"/>
            <w:hideMark/>
          </w:tcPr>
          <w:p w14:paraId="3527C9CC" w14:textId="77777777" w:rsidR="00FA2365" w:rsidRPr="00FA2365" w:rsidRDefault="00FA2365" w:rsidP="00FA2365">
            <w:pPr>
              <w:rPr>
                <w:rFonts w:ascii="Baskerville Old Face" w:hAnsi="Baskerville Old Face" w:cstheme="minorHAnsi"/>
                <w:sz w:val="18"/>
              </w:rPr>
            </w:pPr>
            <w:proofErr w:type="spellStart"/>
            <w:r w:rsidRPr="00FA2365">
              <w:rPr>
                <w:rFonts w:ascii="Baskerville Old Face" w:hAnsi="Baskerville Old Face" w:cstheme="minorHAnsi"/>
                <w:sz w:val="18"/>
              </w:rPr>
              <w:t>Begeer</w:t>
            </w:r>
            <w:proofErr w:type="spellEnd"/>
            <w:r w:rsidRPr="00FA2365">
              <w:rPr>
                <w:rFonts w:ascii="Baskerville Old Face" w:hAnsi="Baskerville Old Face" w:cstheme="minorHAnsi"/>
                <w:sz w:val="18"/>
              </w:rPr>
              <w:t>, 2009</w:t>
            </w:r>
          </w:p>
        </w:tc>
        <w:tc>
          <w:tcPr>
            <w:tcW w:w="5244" w:type="dxa"/>
            <w:hideMark/>
          </w:tcPr>
          <w:p w14:paraId="52757631" w14:textId="77777777" w:rsidR="00FA2365" w:rsidRPr="00FA2365" w:rsidRDefault="00FA2365" w:rsidP="00FA2365">
            <w:pPr>
              <w:cnfStyle w:val="000000000000" w:firstRow="0" w:lastRow="0" w:firstColumn="0" w:lastColumn="0" w:oddVBand="0" w:evenVBand="0" w:oddHBand="0" w:evenHBand="0" w:firstRowFirstColumn="0" w:firstRowLastColumn="0" w:lastRowFirstColumn="0" w:lastRowLastColumn="0"/>
              <w:rPr>
                <w:rFonts w:ascii="Baskerville Old Face" w:hAnsi="Baskerville Old Face" w:cstheme="minorHAnsi"/>
                <w:sz w:val="18"/>
              </w:rPr>
            </w:pPr>
            <w:r w:rsidRPr="00FA2365">
              <w:rPr>
                <w:rFonts w:ascii="Baskerville Old Face" w:hAnsi="Baskerville Old Face" w:cstheme="minorHAnsi"/>
                <w:sz w:val="18"/>
              </w:rPr>
              <w:t>not reported</w:t>
            </w:r>
          </w:p>
        </w:tc>
      </w:tr>
      <w:tr w:rsidR="00FA2365" w:rsidRPr="00FA2365" w14:paraId="62850DDC" w14:textId="77777777" w:rsidTr="00164EB5">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2127" w:type="dxa"/>
            <w:hideMark/>
          </w:tcPr>
          <w:p w14:paraId="73FB9703" w14:textId="77777777" w:rsidR="00FA2365" w:rsidRPr="00FA2365" w:rsidRDefault="00FA2365" w:rsidP="00FA2365">
            <w:pPr>
              <w:rPr>
                <w:rFonts w:ascii="Baskerville Old Face" w:hAnsi="Baskerville Old Face" w:cstheme="minorHAnsi"/>
                <w:sz w:val="18"/>
              </w:rPr>
            </w:pPr>
            <w:proofErr w:type="spellStart"/>
            <w:r w:rsidRPr="00FA2365">
              <w:rPr>
                <w:rFonts w:ascii="Baskerville Old Face" w:hAnsi="Baskerville Old Face" w:cstheme="minorHAnsi"/>
                <w:sz w:val="18"/>
              </w:rPr>
              <w:t>Bernades</w:t>
            </w:r>
            <w:proofErr w:type="spellEnd"/>
            <w:r w:rsidRPr="00FA2365">
              <w:rPr>
                <w:rFonts w:ascii="Baskerville Old Face" w:hAnsi="Baskerville Old Face" w:cstheme="minorHAnsi"/>
                <w:sz w:val="18"/>
              </w:rPr>
              <w:t xml:space="preserve"> et al, 2013</w:t>
            </w:r>
          </w:p>
        </w:tc>
        <w:tc>
          <w:tcPr>
            <w:tcW w:w="5244" w:type="dxa"/>
            <w:hideMark/>
          </w:tcPr>
          <w:p w14:paraId="15DD369E" w14:textId="5A4E7952" w:rsidR="00FA2365" w:rsidRPr="00FA2365" w:rsidRDefault="00FA2365" w:rsidP="00FA2365">
            <w:pPr>
              <w:cnfStyle w:val="000000100000" w:firstRow="0" w:lastRow="0" w:firstColumn="0" w:lastColumn="0" w:oddVBand="0" w:evenVBand="0" w:oddHBand="1" w:evenHBand="0" w:firstRowFirstColumn="0" w:firstRowLastColumn="0" w:lastRowFirstColumn="0" w:lastRowLastColumn="0"/>
              <w:rPr>
                <w:rFonts w:ascii="Baskerville Old Face" w:hAnsi="Baskerville Old Face" w:cstheme="minorHAnsi"/>
                <w:sz w:val="18"/>
              </w:rPr>
            </w:pPr>
            <w:r w:rsidRPr="00FA2365">
              <w:rPr>
                <w:rFonts w:ascii="Baskerville Old Face" w:hAnsi="Baskerville Old Face" w:cstheme="minorHAnsi"/>
                <w:sz w:val="18"/>
              </w:rPr>
              <w:t>Portuguese Science Funding Agency–</w:t>
            </w:r>
            <w:proofErr w:type="spellStart"/>
            <w:r w:rsidRPr="00FA2365">
              <w:rPr>
                <w:rFonts w:ascii="Baskerville Old Face" w:hAnsi="Baskerville Old Face" w:cstheme="minorHAnsi"/>
                <w:sz w:val="18"/>
              </w:rPr>
              <w:t>Fundac</w:t>
            </w:r>
            <w:proofErr w:type="spellEnd"/>
            <w:r w:rsidRPr="00FA2365">
              <w:rPr>
                <w:rFonts w:ascii="Baskerville Old Face" w:hAnsi="Baskerville Old Face" w:cstheme="minorHAnsi"/>
                <w:sz w:val="18"/>
              </w:rPr>
              <w:t>¸ ~</w:t>
            </w:r>
            <w:proofErr w:type="spellStart"/>
            <w:r w:rsidRPr="00FA2365">
              <w:rPr>
                <w:rFonts w:ascii="Baskerville Old Face" w:hAnsi="Baskerville Old Face" w:cstheme="minorHAnsi"/>
                <w:sz w:val="18"/>
              </w:rPr>
              <w:t>ao</w:t>
            </w:r>
            <w:proofErr w:type="spellEnd"/>
            <w:r w:rsidRPr="00FA2365">
              <w:rPr>
                <w:rFonts w:ascii="Baskerville Old Face" w:hAnsi="Baskerville Old Face" w:cstheme="minorHAnsi"/>
                <w:sz w:val="18"/>
              </w:rPr>
              <w:t xml:space="preserve"> para a </w:t>
            </w:r>
            <w:proofErr w:type="spellStart"/>
            <w:r w:rsidRPr="00FA2365">
              <w:rPr>
                <w:rFonts w:ascii="Baskerville Old Face" w:hAnsi="Baskerville Old Face" w:cstheme="minorHAnsi"/>
                <w:sz w:val="18"/>
              </w:rPr>
              <w:t>Ci^encia</w:t>
            </w:r>
            <w:proofErr w:type="spellEnd"/>
            <w:r w:rsidRPr="00FA2365">
              <w:rPr>
                <w:rFonts w:ascii="Baskerville Old Face" w:hAnsi="Baskerville Old Face" w:cstheme="minorHAnsi"/>
                <w:sz w:val="18"/>
              </w:rPr>
              <w:t xml:space="preserve"> e </w:t>
            </w:r>
            <w:proofErr w:type="spellStart"/>
            <w:r w:rsidRPr="00FA2365">
              <w:rPr>
                <w:rFonts w:ascii="Baskerville Old Face" w:hAnsi="Baskerville Old Face" w:cstheme="minorHAnsi"/>
                <w:sz w:val="18"/>
              </w:rPr>
              <w:t>T</w:t>
            </w:r>
            <w:r>
              <w:rPr>
                <w:rFonts w:ascii="Baskerville Old Face" w:hAnsi="Baskerville Old Face" w:cstheme="minorHAnsi"/>
                <w:sz w:val="18"/>
              </w:rPr>
              <w:t>ecnologia</w:t>
            </w:r>
            <w:proofErr w:type="spellEnd"/>
            <w:r>
              <w:rPr>
                <w:rFonts w:ascii="Baskerville Old Face" w:hAnsi="Baskerville Old Face" w:cstheme="minorHAnsi"/>
                <w:sz w:val="18"/>
              </w:rPr>
              <w:t xml:space="preserve"> (PTDC/PSI-PSO/099809/</w:t>
            </w:r>
            <w:r w:rsidRPr="00FA2365">
              <w:rPr>
                <w:rFonts w:ascii="Baskerville Old Face" w:hAnsi="Baskerville Old Face" w:cstheme="minorHAnsi"/>
                <w:sz w:val="18"/>
              </w:rPr>
              <w:t>2008).</w:t>
            </w:r>
          </w:p>
        </w:tc>
      </w:tr>
      <w:tr w:rsidR="00FA2365" w:rsidRPr="00FA2365" w14:paraId="5023DE87" w14:textId="77777777" w:rsidTr="00FA2365">
        <w:trPr>
          <w:trHeight w:val="278"/>
        </w:trPr>
        <w:tc>
          <w:tcPr>
            <w:cnfStyle w:val="001000000000" w:firstRow="0" w:lastRow="0" w:firstColumn="1" w:lastColumn="0" w:oddVBand="0" w:evenVBand="0" w:oddHBand="0" w:evenHBand="0" w:firstRowFirstColumn="0" w:firstRowLastColumn="0" w:lastRowFirstColumn="0" w:lastRowLastColumn="0"/>
            <w:tcW w:w="2127" w:type="dxa"/>
            <w:hideMark/>
          </w:tcPr>
          <w:p w14:paraId="25718F2F" w14:textId="77777777" w:rsidR="00FA2365" w:rsidRPr="00FA2365" w:rsidRDefault="00FA2365" w:rsidP="00FA2365">
            <w:pPr>
              <w:rPr>
                <w:rFonts w:ascii="Baskerville Old Face" w:hAnsi="Baskerville Old Face" w:cstheme="minorHAnsi"/>
                <w:sz w:val="18"/>
              </w:rPr>
            </w:pPr>
            <w:proofErr w:type="spellStart"/>
            <w:r w:rsidRPr="00FA2365">
              <w:rPr>
                <w:rFonts w:ascii="Baskerville Old Face" w:hAnsi="Baskerville Old Face" w:cstheme="minorHAnsi"/>
                <w:sz w:val="18"/>
              </w:rPr>
              <w:t>Bories</w:t>
            </w:r>
            <w:proofErr w:type="spellEnd"/>
            <w:r w:rsidRPr="00FA2365">
              <w:rPr>
                <w:rFonts w:ascii="Baskerville Old Face" w:hAnsi="Baskerville Old Face" w:cstheme="minorHAnsi"/>
                <w:sz w:val="18"/>
              </w:rPr>
              <w:t>, 2018</w:t>
            </w:r>
          </w:p>
        </w:tc>
        <w:tc>
          <w:tcPr>
            <w:tcW w:w="5244" w:type="dxa"/>
            <w:hideMark/>
          </w:tcPr>
          <w:p w14:paraId="108EC4E2" w14:textId="77777777" w:rsidR="00FA2365" w:rsidRPr="00FA2365" w:rsidRDefault="00FA2365" w:rsidP="00FA2365">
            <w:pPr>
              <w:cnfStyle w:val="000000000000" w:firstRow="0" w:lastRow="0" w:firstColumn="0" w:lastColumn="0" w:oddVBand="0" w:evenVBand="0" w:oddHBand="0" w:evenHBand="0" w:firstRowFirstColumn="0" w:firstRowLastColumn="0" w:lastRowFirstColumn="0" w:lastRowLastColumn="0"/>
              <w:rPr>
                <w:rFonts w:ascii="Baskerville Old Face" w:hAnsi="Baskerville Old Face" w:cstheme="minorHAnsi"/>
                <w:sz w:val="18"/>
              </w:rPr>
            </w:pPr>
            <w:r w:rsidRPr="00FA2365">
              <w:rPr>
                <w:rFonts w:ascii="Baskerville Old Face" w:hAnsi="Baskerville Old Face" w:cstheme="minorHAnsi"/>
                <w:sz w:val="18"/>
              </w:rPr>
              <w:t>not reported</w:t>
            </w:r>
          </w:p>
        </w:tc>
      </w:tr>
      <w:tr w:rsidR="00FA2365" w:rsidRPr="00FA2365" w14:paraId="6C7C0B02" w14:textId="77777777" w:rsidTr="00164EB5">
        <w:trPr>
          <w:cnfStyle w:val="000000100000" w:firstRow="0" w:lastRow="0" w:firstColumn="0" w:lastColumn="0" w:oddVBand="0" w:evenVBand="0" w:oddHBand="1" w:evenHBand="0" w:firstRowFirstColumn="0" w:firstRowLastColumn="0" w:lastRowFirstColumn="0" w:lastRowLastColumn="0"/>
          <w:trHeight w:val="991"/>
        </w:trPr>
        <w:tc>
          <w:tcPr>
            <w:cnfStyle w:val="001000000000" w:firstRow="0" w:lastRow="0" w:firstColumn="1" w:lastColumn="0" w:oddVBand="0" w:evenVBand="0" w:oddHBand="0" w:evenHBand="0" w:firstRowFirstColumn="0" w:firstRowLastColumn="0" w:lastRowFirstColumn="0" w:lastRowLastColumn="0"/>
            <w:tcW w:w="2127" w:type="dxa"/>
            <w:hideMark/>
          </w:tcPr>
          <w:p w14:paraId="0B1CC560" w14:textId="77777777" w:rsidR="00FA2365" w:rsidRPr="00FA2365" w:rsidRDefault="00FA2365" w:rsidP="00FA2365">
            <w:pPr>
              <w:rPr>
                <w:rFonts w:ascii="Baskerville Old Face" w:hAnsi="Baskerville Old Face" w:cstheme="minorHAnsi"/>
                <w:sz w:val="18"/>
              </w:rPr>
            </w:pPr>
            <w:r w:rsidRPr="00FA2365">
              <w:rPr>
                <w:rFonts w:ascii="Baskerville Old Face" w:hAnsi="Baskerville Old Face" w:cstheme="minorHAnsi"/>
                <w:sz w:val="18"/>
              </w:rPr>
              <w:t>Burgess et al, 2014</w:t>
            </w:r>
          </w:p>
        </w:tc>
        <w:tc>
          <w:tcPr>
            <w:tcW w:w="5244" w:type="dxa"/>
            <w:hideMark/>
          </w:tcPr>
          <w:p w14:paraId="69CCAFAA" w14:textId="77777777" w:rsidR="00FA2365" w:rsidRPr="00FA2365" w:rsidRDefault="00FA2365" w:rsidP="00FA2365">
            <w:pPr>
              <w:cnfStyle w:val="000000100000" w:firstRow="0" w:lastRow="0" w:firstColumn="0" w:lastColumn="0" w:oddVBand="0" w:evenVBand="0" w:oddHBand="1" w:evenHBand="0" w:firstRowFirstColumn="0" w:firstRowLastColumn="0" w:lastRowFirstColumn="0" w:lastRowLastColumn="0"/>
              <w:rPr>
                <w:rFonts w:ascii="Baskerville Old Face" w:hAnsi="Baskerville Old Face" w:cstheme="minorHAnsi"/>
                <w:sz w:val="18"/>
              </w:rPr>
            </w:pPr>
            <w:r w:rsidRPr="00FA2365">
              <w:rPr>
                <w:rFonts w:ascii="Baskerville Old Face" w:hAnsi="Baskerville Old Face" w:cstheme="minorHAnsi"/>
                <w:sz w:val="18"/>
              </w:rPr>
              <w:t>VA Health Services Research &amp; Development: PPO</w:t>
            </w:r>
            <w:r w:rsidRPr="00FA2365">
              <w:rPr>
                <w:rFonts w:ascii="Baskerville Old Face" w:hAnsi="Baskerville Old Face" w:cstheme="minorHAnsi"/>
                <w:sz w:val="18"/>
              </w:rPr>
              <w:br/>
              <w:t>09–247 (Burgess) and a locally initiated project grant</w:t>
            </w:r>
            <w:r w:rsidRPr="00FA2365">
              <w:rPr>
                <w:rFonts w:ascii="Baskerville Old Face" w:hAnsi="Baskerville Old Face" w:cstheme="minorHAnsi"/>
                <w:sz w:val="18"/>
              </w:rPr>
              <w:br/>
              <w:t xml:space="preserve">from the </w:t>
            </w:r>
            <w:proofErr w:type="spellStart"/>
            <w:r w:rsidRPr="00FA2365">
              <w:rPr>
                <w:rFonts w:ascii="Baskerville Old Face" w:hAnsi="Baskerville Old Face" w:cstheme="minorHAnsi"/>
                <w:sz w:val="18"/>
              </w:rPr>
              <w:t>Center</w:t>
            </w:r>
            <w:proofErr w:type="spellEnd"/>
            <w:r w:rsidRPr="00FA2365">
              <w:rPr>
                <w:rFonts w:ascii="Baskerville Old Face" w:hAnsi="Baskerville Old Face" w:cstheme="minorHAnsi"/>
                <w:sz w:val="18"/>
              </w:rPr>
              <w:t xml:space="preserve"> for Chronic Disease Outcomes</w:t>
            </w:r>
            <w:r w:rsidRPr="00FA2365">
              <w:rPr>
                <w:rFonts w:ascii="Baskerville Old Face" w:hAnsi="Baskerville Old Face" w:cstheme="minorHAnsi"/>
                <w:sz w:val="18"/>
              </w:rPr>
              <w:br/>
              <w:t xml:space="preserve">Research, Minneapolis VA Medical </w:t>
            </w:r>
            <w:proofErr w:type="spellStart"/>
            <w:r w:rsidRPr="00FA2365">
              <w:rPr>
                <w:rFonts w:ascii="Baskerville Old Face" w:hAnsi="Baskerville Old Face" w:cstheme="minorHAnsi"/>
                <w:sz w:val="18"/>
              </w:rPr>
              <w:t>Center</w:t>
            </w:r>
            <w:proofErr w:type="spellEnd"/>
          </w:p>
        </w:tc>
      </w:tr>
      <w:tr w:rsidR="00FA2365" w:rsidRPr="00FA2365" w14:paraId="3FBB8735" w14:textId="77777777" w:rsidTr="00FA2365">
        <w:trPr>
          <w:trHeight w:val="513"/>
        </w:trPr>
        <w:tc>
          <w:tcPr>
            <w:cnfStyle w:val="001000000000" w:firstRow="0" w:lastRow="0" w:firstColumn="1" w:lastColumn="0" w:oddVBand="0" w:evenVBand="0" w:oddHBand="0" w:evenHBand="0" w:firstRowFirstColumn="0" w:firstRowLastColumn="0" w:lastRowFirstColumn="0" w:lastRowLastColumn="0"/>
            <w:tcW w:w="2127" w:type="dxa"/>
            <w:hideMark/>
          </w:tcPr>
          <w:p w14:paraId="6DBF4E66" w14:textId="77777777" w:rsidR="00FA2365" w:rsidRPr="00FA2365" w:rsidRDefault="00FA2365" w:rsidP="00FA2365">
            <w:pPr>
              <w:rPr>
                <w:rFonts w:ascii="Baskerville Old Face" w:hAnsi="Baskerville Old Face" w:cstheme="minorHAnsi"/>
                <w:sz w:val="18"/>
              </w:rPr>
            </w:pPr>
            <w:r w:rsidRPr="00FA2365">
              <w:rPr>
                <w:rFonts w:ascii="Baskerville Old Face" w:hAnsi="Baskerville Old Face" w:cstheme="minorHAnsi"/>
                <w:sz w:val="18"/>
              </w:rPr>
              <w:t>Burt et al, 2016</w:t>
            </w:r>
          </w:p>
        </w:tc>
        <w:tc>
          <w:tcPr>
            <w:tcW w:w="5244" w:type="dxa"/>
            <w:hideMark/>
          </w:tcPr>
          <w:p w14:paraId="5F2F96DD" w14:textId="43A33F51" w:rsidR="00FA2365" w:rsidRPr="00FA2365" w:rsidRDefault="00FA2365" w:rsidP="00FA2365">
            <w:pPr>
              <w:cnfStyle w:val="000000000000" w:firstRow="0" w:lastRow="0" w:firstColumn="0" w:lastColumn="0" w:oddVBand="0" w:evenVBand="0" w:oddHBand="0" w:evenHBand="0" w:firstRowFirstColumn="0" w:firstRowLastColumn="0" w:lastRowFirstColumn="0" w:lastRowLastColumn="0"/>
              <w:rPr>
                <w:rFonts w:ascii="Baskerville Old Face" w:hAnsi="Baskerville Old Face" w:cstheme="minorHAnsi"/>
                <w:sz w:val="18"/>
              </w:rPr>
            </w:pPr>
            <w:r w:rsidRPr="00FA2365">
              <w:rPr>
                <w:rFonts w:ascii="Baskerville Old Face" w:hAnsi="Baskerville Old Face" w:cstheme="minorHAnsi"/>
                <w:sz w:val="18"/>
              </w:rPr>
              <w:t>National Institute for Health Research</w:t>
            </w:r>
            <w:r w:rsidRPr="00FA2365">
              <w:rPr>
                <w:rFonts w:ascii="Baskerville Old Face" w:hAnsi="Baskerville Old Face" w:cstheme="minorHAnsi"/>
                <w:sz w:val="18"/>
              </w:rPr>
              <w:br/>
              <w:t xml:space="preserve">Programme Grants for Applied Research (NIHR </w:t>
            </w:r>
            <w:proofErr w:type="spellStart"/>
            <w:r w:rsidRPr="00FA2365">
              <w:rPr>
                <w:rFonts w:ascii="Baskerville Old Face" w:hAnsi="Baskerville Old Face" w:cstheme="minorHAnsi"/>
                <w:sz w:val="18"/>
              </w:rPr>
              <w:t>PGfAR</w:t>
            </w:r>
            <w:proofErr w:type="spellEnd"/>
            <w:r w:rsidRPr="00FA2365">
              <w:rPr>
                <w:rFonts w:ascii="Baskerville Old Face" w:hAnsi="Baskerville Old Face" w:cstheme="minorHAnsi"/>
                <w:sz w:val="18"/>
              </w:rPr>
              <w:t>) Programme (RP-PG-0608-10050).</w:t>
            </w:r>
          </w:p>
        </w:tc>
      </w:tr>
      <w:tr w:rsidR="00FA2365" w:rsidRPr="00FA2365" w14:paraId="5576F874" w14:textId="77777777" w:rsidTr="00164EB5">
        <w:trPr>
          <w:cnfStyle w:val="000000100000" w:firstRow="0" w:lastRow="0" w:firstColumn="0" w:lastColumn="0" w:oddVBand="0" w:evenVBand="0" w:oddHBand="1" w:evenHBand="0" w:firstRowFirstColumn="0" w:firstRowLastColumn="0" w:lastRowFirstColumn="0" w:lastRowLastColumn="0"/>
          <w:trHeight w:val="929"/>
        </w:trPr>
        <w:tc>
          <w:tcPr>
            <w:cnfStyle w:val="001000000000" w:firstRow="0" w:lastRow="0" w:firstColumn="1" w:lastColumn="0" w:oddVBand="0" w:evenVBand="0" w:oddHBand="0" w:evenHBand="0" w:firstRowFirstColumn="0" w:firstRowLastColumn="0" w:lastRowFirstColumn="0" w:lastRowLastColumn="0"/>
            <w:tcW w:w="2127" w:type="dxa"/>
            <w:hideMark/>
          </w:tcPr>
          <w:p w14:paraId="183EDDD0" w14:textId="77777777" w:rsidR="00FA2365" w:rsidRPr="00FA2365" w:rsidRDefault="00FA2365" w:rsidP="00FA2365">
            <w:pPr>
              <w:rPr>
                <w:rFonts w:ascii="Baskerville Old Face" w:hAnsi="Baskerville Old Face" w:cstheme="minorHAnsi"/>
                <w:sz w:val="18"/>
              </w:rPr>
            </w:pPr>
            <w:proofErr w:type="spellStart"/>
            <w:proofErr w:type="gramStart"/>
            <w:r w:rsidRPr="00FA2365">
              <w:rPr>
                <w:rFonts w:ascii="Baskerville Old Face" w:hAnsi="Baskerville Old Face" w:cstheme="minorHAnsi"/>
                <w:sz w:val="18"/>
              </w:rPr>
              <w:t>Daugherty,et</w:t>
            </w:r>
            <w:proofErr w:type="spellEnd"/>
            <w:proofErr w:type="gramEnd"/>
            <w:r w:rsidRPr="00FA2365">
              <w:rPr>
                <w:rFonts w:ascii="Baskerville Old Face" w:hAnsi="Baskerville Old Face" w:cstheme="minorHAnsi"/>
                <w:sz w:val="18"/>
              </w:rPr>
              <w:t xml:space="preserve"> al 2017</w:t>
            </w:r>
          </w:p>
        </w:tc>
        <w:tc>
          <w:tcPr>
            <w:tcW w:w="5244" w:type="dxa"/>
            <w:hideMark/>
          </w:tcPr>
          <w:p w14:paraId="3ED03B12" w14:textId="104ED9FA" w:rsidR="00FA2365" w:rsidRPr="00FA2365" w:rsidRDefault="00FA2365" w:rsidP="00FA2365">
            <w:pPr>
              <w:cnfStyle w:val="000000100000" w:firstRow="0" w:lastRow="0" w:firstColumn="0" w:lastColumn="0" w:oddVBand="0" w:evenVBand="0" w:oddHBand="1" w:evenHBand="0" w:firstRowFirstColumn="0" w:firstRowLastColumn="0" w:lastRowFirstColumn="0" w:lastRowLastColumn="0"/>
              <w:rPr>
                <w:rFonts w:ascii="Baskerville Old Face" w:hAnsi="Baskerville Old Face" w:cstheme="minorHAnsi"/>
                <w:sz w:val="18"/>
              </w:rPr>
            </w:pPr>
            <w:r w:rsidRPr="00FA2365">
              <w:rPr>
                <w:rFonts w:ascii="Baskerville Old Face" w:hAnsi="Baskerville Old Face" w:cstheme="minorHAnsi"/>
                <w:sz w:val="18"/>
              </w:rPr>
              <w:t>National Heart,</w:t>
            </w:r>
            <w:r w:rsidR="00164EB5">
              <w:rPr>
                <w:rFonts w:ascii="Baskerville Old Face" w:hAnsi="Baskerville Old Face" w:cstheme="minorHAnsi"/>
                <w:sz w:val="18"/>
              </w:rPr>
              <w:t xml:space="preserve"> Lung, and Blood Institute. Drs </w:t>
            </w:r>
            <w:r w:rsidRPr="00FA2365">
              <w:rPr>
                <w:rFonts w:ascii="Baskerville Old Face" w:hAnsi="Baskerville Old Face" w:cstheme="minorHAnsi"/>
                <w:sz w:val="18"/>
              </w:rPr>
              <w:t xml:space="preserve">Daugherty, Blair and </w:t>
            </w:r>
            <w:proofErr w:type="spellStart"/>
            <w:r w:rsidRPr="00FA2365">
              <w:rPr>
                <w:rFonts w:ascii="Baskerville Old Face" w:hAnsi="Baskerville Old Face" w:cstheme="minorHAnsi"/>
                <w:sz w:val="18"/>
              </w:rPr>
              <w:t>Havr</w:t>
            </w:r>
            <w:r w:rsidR="00164EB5">
              <w:rPr>
                <w:rFonts w:ascii="Baskerville Old Face" w:hAnsi="Baskerville Old Face" w:cstheme="minorHAnsi"/>
                <w:sz w:val="18"/>
              </w:rPr>
              <w:t>anek</w:t>
            </w:r>
            <w:proofErr w:type="spellEnd"/>
            <w:r w:rsidR="00164EB5">
              <w:rPr>
                <w:rFonts w:ascii="Baskerville Old Face" w:hAnsi="Baskerville Old Face" w:cstheme="minorHAnsi"/>
                <w:sz w:val="18"/>
              </w:rPr>
              <w:t xml:space="preserve"> are currently supported by </w:t>
            </w:r>
            <w:r w:rsidRPr="00FA2365">
              <w:rPr>
                <w:rFonts w:ascii="Baskerville Old Face" w:hAnsi="Baskerville Old Face" w:cstheme="minorHAnsi"/>
                <w:sz w:val="18"/>
              </w:rPr>
              <w:t xml:space="preserve">R01 HL133343 from the </w:t>
            </w:r>
            <w:r w:rsidR="00164EB5">
              <w:rPr>
                <w:rFonts w:ascii="Baskerville Old Face" w:hAnsi="Baskerville Old Face" w:cstheme="minorHAnsi"/>
                <w:sz w:val="18"/>
              </w:rPr>
              <w:t xml:space="preserve">National Heart, Lung, and Blood </w:t>
            </w:r>
            <w:r w:rsidRPr="00FA2365">
              <w:rPr>
                <w:rFonts w:ascii="Baskerville Old Face" w:hAnsi="Baskerville Old Face" w:cstheme="minorHAnsi"/>
                <w:sz w:val="18"/>
              </w:rPr>
              <w:t>Institute and 15SFDRN2</w:t>
            </w:r>
            <w:r w:rsidR="00164EB5">
              <w:rPr>
                <w:rFonts w:ascii="Baskerville Old Face" w:hAnsi="Baskerville Old Face" w:cstheme="minorHAnsi"/>
                <w:sz w:val="18"/>
              </w:rPr>
              <w:t xml:space="preserve">4470027 from the American Heart </w:t>
            </w:r>
            <w:r w:rsidRPr="00FA2365">
              <w:rPr>
                <w:rFonts w:ascii="Baskerville Old Face" w:hAnsi="Baskerville Old Face" w:cstheme="minorHAnsi"/>
                <w:sz w:val="18"/>
              </w:rPr>
              <w:t>Association</w:t>
            </w:r>
          </w:p>
        </w:tc>
      </w:tr>
      <w:tr w:rsidR="00FA2365" w:rsidRPr="00FA2365" w14:paraId="3236B497" w14:textId="77777777" w:rsidTr="00FA2365">
        <w:trPr>
          <w:trHeight w:val="1140"/>
        </w:trPr>
        <w:tc>
          <w:tcPr>
            <w:cnfStyle w:val="001000000000" w:firstRow="0" w:lastRow="0" w:firstColumn="1" w:lastColumn="0" w:oddVBand="0" w:evenVBand="0" w:oddHBand="0" w:evenHBand="0" w:firstRowFirstColumn="0" w:firstRowLastColumn="0" w:lastRowFirstColumn="0" w:lastRowLastColumn="0"/>
            <w:tcW w:w="2127" w:type="dxa"/>
            <w:hideMark/>
          </w:tcPr>
          <w:p w14:paraId="50266EF4" w14:textId="77777777" w:rsidR="00FA2365" w:rsidRPr="00FA2365" w:rsidRDefault="00FA2365" w:rsidP="00FA2365">
            <w:pPr>
              <w:rPr>
                <w:rFonts w:ascii="Baskerville Old Face" w:hAnsi="Baskerville Old Face" w:cstheme="minorHAnsi"/>
                <w:sz w:val="18"/>
              </w:rPr>
            </w:pPr>
            <w:r w:rsidRPr="00FA2365">
              <w:rPr>
                <w:rFonts w:ascii="Baskerville Old Face" w:hAnsi="Baskerville Old Face" w:cstheme="minorHAnsi"/>
                <w:sz w:val="18"/>
              </w:rPr>
              <w:t>Elliott et al, 2016</w:t>
            </w:r>
          </w:p>
        </w:tc>
        <w:tc>
          <w:tcPr>
            <w:tcW w:w="5244" w:type="dxa"/>
            <w:hideMark/>
          </w:tcPr>
          <w:p w14:paraId="6D7B674C" w14:textId="64C49906" w:rsidR="00FA2365" w:rsidRPr="00FA2365" w:rsidRDefault="00FA2365" w:rsidP="00FA2365">
            <w:pPr>
              <w:cnfStyle w:val="000000000000" w:firstRow="0" w:lastRow="0" w:firstColumn="0" w:lastColumn="0" w:oddVBand="0" w:evenVBand="0" w:oddHBand="0" w:evenHBand="0" w:firstRowFirstColumn="0" w:firstRowLastColumn="0" w:lastRowFirstColumn="0" w:lastRowLastColumn="0"/>
              <w:rPr>
                <w:rFonts w:ascii="Baskerville Old Face" w:hAnsi="Baskerville Old Face" w:cstheme="minorHAnsi"/>
                <w:sz w:val="18"/>
              </w:rPr>
            </w:pPr>
            <w:r w:rsidRPr="00FA2365">
              <w:rPr>
                <w:rFonts w:ascii="Baskerville Old Face" w:hAnsi="Baskerville Old Face" w:cstheme="minorHAnsi"/>
                <w:sz w:val="18"/>
              </w:rPr>
              <w:t xml:space="preserve">Research grants awarded to </w:t>
            </w:r>
            <w:proofErr w:type="spellStart"/>
            <w:r w:rsidRPr="00FA2365">
              <w:rPr>
                <w:rFonts w:ascii="Baskerville Old Face" w:hAnsi="Baskerville Old Face" w:cstheme="minorHAnsi"/>
                <w:sz w:val="18"/>
              </w:rPr>
              <w:t>Dr.</w:t>
            </w:r>
            <w:proofErr w:type="spellEnd"/>
            <w:r w:rsidRPr="00FA2365">
              <w:rPr>
                <w:rFonts w:ascii="Baskerville Old Face" w:hAnsi="Baskerville Old Face" w:cstheme="minorHAnsi"/>
                <w:sz w:val="18"/>
              </w:rPr>
              <w:t xml:space="preserve"> </w:t>
            </w:r>
            <w:proofErr w:type="spellStart"/>
            <w:r w:rsidRPr="00FA2365">
              <w:rPr>
                <w:rFonts w:ascii="Baskerville Old Face" w:hAnsi="Baskerville Old Face" w:cstheme="minorHAnsi"/>
                <w:sz w:val="18"/>
              </w:rPr>
              <w:t>Barnato</w:t>
            </w:r>
            <w:proofErr w:type="spellEnd"/>
            <w:r w:rsidRPr="00FA2365">
              <w:rPr>
                <w:rFonts w:ascii="Baskerville Old Face" w:hAnsi="Baskerville Old Face" w:cstheme="minorHAnsi"/>
                <w:sz w:val="18"/>
              </w:rPr>
              <w:t xml:space="preserve"> by the American Cancer Society (PEP-08-276-01-PC2) and the National Cancer Institute (R21CA139264). </w:t>
            </w:r>
            <w:proofErr w:type="spellStart"/>
            <w:r w:rsidRPr="00FA2365">
              <w:rPr>
                <w:rFonts w:ascii="Baskerville Old Face" w:hAnsi="Baskerville Old Face" w:cstheme="minorHAnsi"/>
                <w:sz w:val="18"/>
              </w:rPr>
              <w:t>Dr.</w:t>
            </w:r>
            <w:proofErr w:type="spellEnd"/>
            <w:r w:rsidRPr="00FA2365">
              <w:rPr>
                <w:rFonts w:ascii="Baskerville Old Face" w:hAnsi="Baskerville Old Face" w:cstheme="minorHAnsi"/>
                <w:sz w:val="18"/>
              </w:rPr>
              <w:t xml:space="preserve"> Elliott was supported by the University</w:t>
            </w:r>
            <w:r w:rsidRPr="00FA2365">
              <w:rPr>
                <w:rFonts w:ascii="Baskerville Old Face" w:hAnsi="Baskerville Old Face" w:cstheme="minorHAnsi"/>
                <w:sz w:val="18"/>
              </w:rPr>
              <w:br/>
              <w:t xml:space="preserve">of Pittsburgh Medical </w:t>
            </w:r>
            <w:proofErr w:type="spellStart"/>
            <w:r w:rsidRPr="00FA2365">
              <w:rPr>
                <w:rFonts w:ascii="Baskerville Old Face" w:hAnsi="Baskerville Old Face" w:cstheme="minorHAnsi"/>
                <w:sz w:val="18"/>
              </w:rPr>
              <w:t>Center</w:t>
            </w:r>
            <w:proofErr w:type="spellEnd"/>
            <w:r w:rsidRPr="00FA2365">
              <w:rPr>
                <w:rFonts w:ascii="Baskerville Old Face" w:hAnsi="Baskerville Old Face" w:cstheme="minorHAnsi"/>
                <w:sz w:val="18"/>
              </w:rPr>
              <w:t xml:space="preserve"> (UPMC) Clinical</w:t>
            </w:r>
            <w:r w:rsidRPr="00FA2365">
              <w:rPr>
                <w:rFonts w:ascii="Baskerville Old Face" w:hAnsi="Baskerville Old Face" w:cstheme="minorHAnsi"/>
                <w:sz w:val="18"/>
              </w:rPr>
              <w:br/>
              <w:t>Scientist Track</w:t>
            </w:r>
          </w:p>
        </w:tc>
      </w:tr>
      <w:tr w:rsidR="00FA2365" w:rsidRPr="00FA2365" w14:paraId="44328896" w14:textId="77777777" w:rsidTr="00164EB5">
        <w:trPr>
          <w:cnfStyle w:val="000000100000" w:firstRow="0" w:lastRow="0" w:firstColumn="0" w:lastColumn="0" w:oddVBand="0" w:evenVBand="0" w:oddHBand="1" w:evenHBand="0" w:firstRowFirstColumn="0" w:firstRowLastColumn="0" w:lastRowFirstColumn="0" w:lastRowLastColumn="0"/>
          <w:trHeight w:val="972"/>
        </w:trPr>
        <w:tc>
          <w:tcPr>
            <w:cnfStyle w:val="001000000000" w:firstRow="0" w:lastRow="0" w:firstColumn="1" w:lastColumn="0" w:oddVBand="0" w:evenVBand="0" w:oddHBand="0" w:evenHBand="0" w:firstRowFirstColumn="0" w:firstRowLastColumn="0" w:lastRowFirstColumn="0" w:lastRowLastColumn="0"/>
            <w:tcW w:w="2127" w:type="dxa"/>
            <w:hideMark/>
          </w:tcPr>
          <w:p w14:paraId="77BAC092" w14:textId="77777777" w:rsidR="00FA2365" w:rsidRPr="00FA2365" w:rsidRDefault="00FA2365" w:rsidP="00FA2365">
            <w:pPr>
              <w:rPr>
                <w:rFonts w:ascii="Baskerville Old Face" w:hAnsi="Baskerville Old Face" w:cstheme="minorHAnsi"/>
                <w:sz w:val="18"/>
              </w:rPr>
            </w:pPr>
            <w:r w:rsidRPr="00FA2365">
              <w:rPr>
                <w:rFonts w:ascii="Baskerville Old Face" w:hAnsi="Baskerville Old Face" w:cstheme="minorHAnsi"/>
                <w:sz w:val="18"/>
              </w:rPr>
              <w:t>Fischer et al, 2017</w:t>
            </w:r>
          </w:p>
        </w:tc>
        <w:tc>
          <w:tcPr>
            <w:tcW w:w="5244" w:type="dxa"/>
            <w:hideMark/>
          </w:tcPr>
          <w:p w14:paraId="527A9853" w14:textId="7299C053" w:rsidR="00FA2365" w:rsidRPr="00FA2365" w:rsidRDefault="00FA2365" w:rsidP="00FA2365">
            <w:pPr>
              <w:cnfStyle w:val="000000100000" w:firstRow="0" w:lastRow="0" w:firstColumn="0" w:lastColumn="0" w:oddVBand="0" w:evenVBand="0" w:oddHBand="1" w:evenHBand="0" w:firstRowFirstColumn="0" w:firstRowLastColumn="0" w:lastRowFirstColumn="0" w:lastRowLastColumn="0"/>
              <w:rPr>
                <w:rFonts w:ascii="Baskerville Old Face" w:hAnsi="Baskerville Old Face" w:cstheme="minorHAnsi"/>
                <w:sz w:val="18"/>
              </w:rPr>
            </w:pPr>
            <w:r w:rsidRPr="00FA2365">
              <w:rPr>
                <w:rFonts w:ascii="Baskerville Old Face" w:hAnsi="Baskerville Old Face" w:cstheme="minorHAnsi"/>
                <w:sz w:val="18"/>
              </w:rPr>
              <w:t>Award number AR056992 from the National Institute of</w:t>
            </w:r>
            <w:r w:rsidRPr="00FA2365">
              <w:rPr>
                <w:rFonts w:ascii="Baskerville Old Face" w:hAnsi="Baskerville Old Face" w:cstheme="minorHAnsi"/>
                <w:sz w:val="18"/>
              </w:rPr>
              <w:br/>
              <w:t>Arthritis and Mus</w:t>
            </w:r>
            <w:r w:rsidR="00164EB5">
              <w:rPr>
                <w:rFonts w:ascii="Baskerville Old Face" w:hAnsi="Baskerville Old Face" w:cstheme="minorHAnsi"/>
                <w:sz w:val="18"/>
              </w:rPr>
              <w:t xml:space="preserve">culoskeletal and Skin Disorders </w:t>
            </w:r>
            <w:r w:rsidRPr="00FA2365">
              <w:rPr>
                <w:rFonts w:ascii="Baskerville Old Face" w:hAnsi="Baskerville Old Face" w:cstheme="minorHAnsi"/>
                <w:sz w:val="18"/>
              </w:rPr>
              <w:t>(NIAMS) (NIH). T</w:t>
            </w:r>
            <w:r w:rsidR="00164EB5">
              <w:rPr>
                <w:rFonts w:ascii="Baskerville Old Face" w:hAnsi="Baskerville Old Face" w:cstheme="minorHAnsi"/>
                <w:sz w:val="18"/>
              </w:rPr>
              <w:t xml:space="preserve">he funders had no role in study </w:t>
            </w:r>
            <w:r w:rsidRPr="00FA2365">
              <w:rPr>
                <w:rFonts w:ascii="Baskerville Old Face" w:hAnsi="Baskerville Old Face" w:cstheme="minorHAnsi"/>
                <w:sz w:val="18"/>
              </w:rPr>
              <w:t>design, data colle</w:t>
            </w:r>
            <w:r w:rsidR="00164EB5">
              <w:rPr>
                <w:rFonts w:ascii="Baskerville Old Face" w:hAnsi="Baskerville Old Face" w:cstheme="minorHAnsi"/>
                <w:sz w:val="18"/>
              </w:rPr>
              <w:t xml:space="preserve">ction and analysis, decision to </w:t>
            </w:r>
            <w:r w:rsidRPr="00FA2365">
              <w:rPr>
                <w:rFonts w:ascii="Baskerville Old Face" w:hAnsi="Baskerville Old Face" w:cstheme="minorHAnsi"/>
                <w:sz w:val="18"/>
              </w:rPr>
              <w:t>publish, or preparation of the manuscript.</w:t>
            </w:r>
          </w:p>
        </w:tc>
      </w:tr>
      <w:tr w:rsidR="00FA2365" w:rsidRPr="00FA2365" w14:paraId="4F4DC767" w14:textId="77777777" w:rsidTr="00FA2365">
        <w:trPr>
          <w:trHeight w:val="279"/>
        </w:trPr>
        <w:tc>
          <w:tcPr>
            <w:cnfStyle w:val="001000000000" w:firstRow="0" w:lastRow="0" w:firstColumn="1" w:lastColumn="0" w:oddVBand="0" w:evenVBand="0" w:oddHBand="0" w:evenHBand="0" w:firstRowFirstColumn="0" w:firstRowLastColumn="0" w:lastRowFirstColumn="0" w:lastRowLastColumn="0"/>
            <w:tcW w:w="2127" w:type="dxa"/>
            <w:hideMark/>
          </w:tcPr>
          <w:p w14:paraId="61AEB390" w14:textId="77777777" w:rsidR="00FA2365" w:rsidRPr="00FA2365" w:rsidRDefault="00FA2365" w:rsidP="00FA2365">
            <w:pPr>
              <w:rPr>
                <w:rFonts w:ascii="Baskerville Old Face" w:hAnsi="Baskerville Old Face" w:cstheme="minorHAnsi"/>
                <w:sz w:val="18"/>
              </w:rPr>
            </w:pPr>
            <w:r w:rsidRPr="00FA2365">
              <w:rPr>
                <w:rFonts w:ascii="Baskerville Old Face" w:hAnsi="Baskerville Old Face" w:cstheme="minorHAnsi"/>
                <w:sz w:val="18"/>
              </w:rPr>
              <w:t>Gao, 2017</w:t>
            </w:r>
          </w:p>
        </w:tc>
        <w:tc>
          <w:tcPr>
            <w:tcW w:w="5244" w:type="dxa"/>
            <w:hideMark/>
          </w:tcPr>
          <w:p w14:paraId="062B89B0" w14:textId="77777777" w:rsidR="00FA2365" w:rsidRPr="00FA2365" w:rsidRDefault="00FA2365" w:rsidP="00FA2365">
            <w:pPr>
              <w:cnfStyle w:val="000000000000" w:firstRow="0" w:lastRow="0" w:firstColumn="0" w:lastColumn="0" w:oddVBand="0" w:evenVBand="0" w:oddHBand="0" w:evenHBand="0" w:firstRowFirstColumn="0" w:firstRowLastColumn="0" w:lastRowFirstColumn="0" w:lastRowLastColumn="0"/>
              <w:rPr>
                <w:rFonts w:ascii="Baskerville Old Face" w:hAnsi="Baskerville Old Face" w:cstheme="minorHAnsi"/>
                <w:sz w:val="18"/>
              </w:rPr>
            </w:pPr>
            <w:r w:rsidRPr="00FA2365">
              <w:rPr>
                <w:rFonts w:ascii="Baskerville Old Face" w:hAnsi="Baskerville Old Face" w:cstheme="minorHAnsi"/>
                <w:sz w:val="18"/>
              </w:rPr>
              <w:t>not reported</w:t>
            </w:r>
          </w:p>
        </w:tc>
      </w:tr>
      <w:tr w:rsidR="00FA2365" w:rsidRPr="00FA2365" w14:paraId="1E7827CB" w14:textId="77777777" w:rsidTr="00FA2365">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2127" w:type="dxa"/>
            <w:hideMark/>
          </w:tcPr>
          <w:p w14:paraId="75E7A989" w14:textId="77777777" w:rsidR="00FA2365" w:rsidRPr="00FA2365" w:rsidRDefault="00FA2365" w:rsidP="00FA2365">
            <w:pPr>
              <w:rPr>
                <w:rFonts w:ascii="Baskerville Old Face" w:hAnsi="Baskerville Old Face" w:cstheme="minorHAnsi"/>
                <w:sz w:val="18"/>
              </w:rPr>
            </w:pPr>
            <w:r w:rsidRPr="00FA2365">
              <w:rPr>
                <w:rFonts w:ascii="Baskerville Old Face" w:hAnsi="Baskerville Old Face" w:cstheme="minorHAnsi"/>
                <w:sz w:val="18"/>
              </w:rPr>
              <w:t>Green et al, 2007</w:t>
            </w:r>
          </w:p>
        </w:tc>
        <w:tc>
          <w:tcPr>
            <w:tcW w:w="5244" w:type="dxa"/>
            <w:hideMark/>
          </w:tcPr>
          <w:p w14:paraId="535FD4EB" w14:textId="6DBEE174" w:rsidR="00FA2365" w:rsidRPr="00FA2365" w:rsidRDefault="00FA2365" w:rsidP="00FA2365">
            <w:pPr>
              <w:cnfStyle w:val="000000100000" w:firstRow="0" w:lastRow="0" w:firstColumn="0" w:lastColumn="0" w:oddVBand="0" w:evenVBand="0" w:oddHBand="1" w:evenHBand="0" w:firstRowFirstColumn="0" w:firstRowLastColumn="0" w:lastRowFirstColumn="0" w:lastRowLastColumn="0"/>
              <w:rPr>
                <w:rFonts w:ascii="Baskerville Old Face" w:hAnsi="Baskerville Old Face" w:cstheme="minorHAnsi"/>
                <w:sz w:val="18"/>
              </w:rPr>
            </w:pPr>
            <w:r w:rsidRPr="00FA2365">
              <w:rPr>
                <w:rFonts w:ascii="Baskerville Old Face" w:hAnsi="Baskerville Old Face" w:cstheme="minorHAnsi"/>
                <w:sz w:val="18"/>
              </w:rPr>
              <w:t xml:space="preserve">Esther B. Kahn Fund of the Department of Emergency Medicine of Brigham and Women’s Hospital. </w:t>
            </w:r>
            <w:proofErr w:type="spellStart"/>
            <w:r w:rsidRPr="00FA2365">
              <w:rPr>
                <w:rFonts w:ascii="Baskerville Old Face" w:hAnsi="Baskerville Old Face" w:cstheme="minorHAnsi"/>
                <w:sz w:val="18"/>
              </w:rPr>
              <w:t>Dr.</w:t>
            </w:r>
            <w:proofErr w:type="spellEnd"/>
            <w:r w:rsidRPr="00FA2365">
              <w:rPr>
                <w:rFonts w:ascii="Baskerville Old Face" w:hAnsi="Baskerville Old Face" w:cstheme="minorHAnsi"/>
                <w:sz w:val="18"/>
              </w:rPr>
              <w:t xml:space="preserve"> Green received support from a National Research Service Award, grant no. T32HP11001-15. </w:t>
            </w:r>
            <w:proofErr w:type="spellStart"/>
            <w:r w:rsidRPr="00FA2365">
              <w:rPr>
                <w:rFonts w:ascii="Baskerville Old Face" w:hAnsi="Baskerville Old Face" w:cstheme="minorHAnsi"/>
                <w:sz w:val="18"/>
              </w:rPr>
              <w:t>Dr.</w:t>
            </w:r>
            <w:proofErr w:type="spellEnd"/>
            <w:r w:rsidRPr="00FA2365">
              <w:rPr>
                <w:rFonts w:ascii="Baskerville Old Face" w:hAnsi="Baskerville Old Face" w:cstheme="minorHAnsi"/>
                <w:sz w:val="18"/>
              </w:rPr>
              <w:t xml:space="preserve"> Banaji and </w:t>
            </w:r>
            <w:proofErr w:type="spellStart"/>
            <w:r w:rsidRPr="00FA2365">
              <w:rPr>
                <w:rFonts w:ascii="Baskerville Old Face" w:hAnsi="Baskerville Old Face" w:cstheme="minorHAnsi"/>
                <w:sz w:val="18"/>
              </w:rPr>
              <w:t>Dr.Carney</w:t>
            </w:r>
            <w:proofErr w:type="spellEnd"/>
            <w:r w:rsidRPr="00FA2365">
              <w:rPr>
                <w:rFonts w:ascii="Baskerville Old Face" w:hAnsi="Baskerville Old Face" w:cstheme="minorHAnsi"/>
                <w:sz w:val="18"/>
              </w:rPr>
              <w:t xml:space="preserve"> received support from the Mind, Brain, and </w:t>
            </w:r>
            <w:proofErr w:type="spellStart"/>
            <w:r w:rsidRPr="00FA2365">
              <w:rPr>
                <w:rFonts w:ascii="Baskerville Old Face" w:hAnsi="Baskerville Old Face" w:cstheme="minorHAnsi"/>
                <w:sz w:val="18"/>
              </w:rPr>
              <w:t>Behavior</w:t>
            </w:r>
            <w:proofErr w:type="spellEnd"/>
            <w:r w:rsidRPr="00FA2365">
              <w:rPr>
                <w:rFonts w:ascii="Baskerville Old Face" w:hAnsi="Baskerville Old Face" w:cstheme="minorHAnsi"/>
                <w:sz w:val="18"/>
              </w:rPr>
              <w:t xml:space="preserve"> Initiative at Harvard University and </w:t>
            </w:r>
            <w:proofErr w:type="spellStart"/>
            <w:r w:rsidRPr="00FA2365">
              <w:rPr>
                <w:rFonts w:ascii="Baskerville Old Face" w:hAnsi="Baskerville Old Face" w:cstheme="minorHAnsi"/>
                <w:sz w:val="18"/>
              </w:rPr>
              <w:t>Dr.</w:t>
            </w:r>
            <w:proofErr w:type="spellEnd"/>
            <w:r w:rsidRPr="00FA2365">
              <w:rPr>
                <w:rFonts w:ascii="Baskerville Old Face" w:hAnsi="Baskerville Old Face" w:cstheme="minorHAnsi"/>
                <w:sz w:val="18"/>
              </w:rPr>
              <w:t xml:space="preserve"> Banaji received support for the development of the internet-based</w:t>
            </w:r>
            <w:r w:rsidR="00164EB5">
              <w:rPr>
                <w:rFonts w:ascii="Baskerville Old Face" w:hAnsi="Baskerville Old Face" w:cstheme="minorHAnsi"/>
                <w:sz w:val="18"/>
              </w:rPr>
              <w:t xml:space="preserve"> portion of this study from the </w:t>
            </w:r>
            <w:r w:rsidRPr="00FA2365">
              <w:rPr>
                <w:rFonts w:ascii="Baskerville Old Face" w:hAnsi="Baskerville Old Face" w:cstheme="minorHAnsi"/>
                <w:sz w:val="18"/>
              </w:rPr>
              <w:t>National Institute of Mental Health Grant HL-0000013 as well as the Mind Science Foundation. The funding organizations had no role in the design and conduct of the study, including data collection and management, analysis, interpretation of the data, and preparation, review, or approval of the manuscript.</w:t>
            </w:r>
          </w:p>
        </w:tc>
      </w:tr>
      <w:tr w:rsidR="00FA2365" w:rsidRPr="00FA2365" w14:paraId="748787F1" w14:textId="77777777" w:rsidTr="00FA2365">
        <w:trPr>
          <w:trHeight w:val="1140"/>
        </w:trPr>
        <w:tc>
          <w:tcPr>
            <w:cnfStyle w:val="001000000000" w:firstRow="0" w:lastRow="0" w:firstColumn="1" w:lastColumn="0" w:oddVBand="0" w:evenVBand="0" w:oddHBand="0" w:evenHBand="0" w:firstRowFirstColumn="0" w:firstRowLastColumn="0" w:lastRowFirstColumn="0" w:lastRowLastColumn="0"/>
            <w:tcW w:w="2127" w:type="dxa"/>
            <w:hideMark/>
          </w:tcPr>
          <w:p w14:paraId="029B6A38" w14:textId="77777777" w:rsidR="00FA2365" w:rsidRPr="00FA2365" w:rsidRDefault="00FA2365" w:rsidP="00FA2365">
            <w:pPr>
              <w:rPr>
                <w:rFonts w:ascii="Baskerville Old Face" w:hAnsi="Baskerville Old Face" w:cstheme="minorHAnsi"/>
                <w:sz w:val="18"/>
              </w:rPr>
            </w:pPr>
            <w:r w:rsidRPr="00FA2365">
              <w:rPr>
                <w:rFonts w:ascii="Baskerville Old Face" w:hAnsi="Baskerville Old Face" w:cstheme="minorHAnsi"/>
                <w:sz w:val="18"/>
              </w:rPr>
              <w:t>Hirsh, 2009</w:t>
            </w:r>
          </w:p>
        </w:tc>
        <w:tc>
          <w:tcPr>
            <w:tcW w:w="5244" w:type="dxa"/>
            <w:hideMark/>
          </w:tcPr>
          <w:p w14:paraId="1F46A729" w14:textId="4B6D8028" w:rsidR="00FA2365" w:rsidRPr="00FA2365" w:rsidRDefault="00FA2365" w:rsidP="00FA2365">
            <w:pPr>
              <w:cnfStyle w:val="000000000000" w:firstRow="0" w:lastRow="0" w:firstColumn="0" w:lastColumn="0" w:oddVBand="0" w:evenVBand="0" w:oddHBand="0" w:evenHBand="0" w:firstRowFirstColumn="0" w:firstRowLastColumn="0" w:lastRowFirstColumn="0" w:lastRowLastColumn="0"/>
              <w:rPr>
                <w:rFonts w:ascii="Baskerville Old Face" w:hAnsi="Baskerville Old Face" w:cstheme="minorHAnsi"/>
                <w:sz w:val="18"/>
              </w:rPr>
            </w:pPr>
            <w:r w:rsidRPr="00FA2365">
              <w:rPr>
                <w:rFonts w:ascii="Baskerville Old Face" w:hAnsi="Baskerville Old Face" w:cstheme="minorHAnsi"/>
                <w:sz w:val="18"/>
              </w:rPr>
              <w:t xml:space="preserve">Grant F31 (NS049675) to A.T. Hirsh from the National Institutes of Health, National Institute of Neurological Disorders and Stroke. Support was also provided, in part, from the National Institutes of Health, National Institute of Child Health and Human Development, National </w:t>
            </w:r>
            <w:proofErr w:type="spellStart"/>
            <w:r w:rsidRPr="00FA2365">
              <w:rPr>
                <w:rFonts w:ascii="Baskerville Old Face" w:hAnsi="Baskerville Old Face" w:cstheme="minorHAnsi"/>
                <w:sz w:val="18"/>
              </w:rPr>
              <w:t>Center</w:t>
            </w:r>
            <w:proofErr w:type="spellEnd"/>
            <w:r w:rsidRPr="00FA2365">
              <w:rPr>
                <w:rFonts w:ascii="Baskerville Old Face" w:hAnsi="Baskerville Old Face" w:cstheme="minorHAnsi"/>
                <w:sz w:val="18"/>
              </w:rPr>
              <w:t xml:space="preserve"> for Medical Rehabilitation Research (T32HD007424)</w:t>
            </w:r>
          </w:p>
        </w:tc>
      </w:tr>
      <w:tr w:rsidR="00FA2365" w:rsidRPr="00FA2365" w14:paraId="3E67DD00" w14:textId="77777777" w:rsidTr="00FA2365">
        <w:trPr>
          <w:cnfStyle w:val="000000100000" w:firstRow="0" w:lastRow="0" w:firstColumn="0" w:lastColumn="0" w:oddVBand="0" w:evenVBand="0" w:oddHBand="1"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2127" w:type="dxa"/>
            <w:hideMark/>
          </w:tcPr>
          <w:p w14:paraId="0E77144D" w14:textId="7C1902AA" w:rsidR="00FA2365" w:rsidRPr="00FA2365" w:rsidRDefault="00FA2365" w:rsidP="00FA2365">
            <w:pPr>
              <w:rPr>
                <w:rFonts w:ascii="Baskerville Old Face" w:hAnsi="Baskerville Old Face" w:cstheme="minorHAnsi"/>
                <w:sz w:val="18"/>
              </w:rPr>
            </w:pPr>
            <w:r w:rsidRPr="00FA2365">
              <w:rPr>
                <w:rFonts w:ascii="Baskerville Old Face" w:hAnsi="Baskerville Old Face" w:cstheme="minorHAnsi"/>
                <w:sz w:val="18"/>
              </w:rPr>
              <w:t>Johnson-Jennings et al, 2015</w:t>
            </w:r>
          </w:p>
        </w:tc>
        <w:tc>
          <w:tcPr>
            <w:tcW w:w="5244" w:type="dxa"/>
            <w:hideMark/>
          </w:tcPr>
          <w:p w14:paraId="0952893F" w14:textId="06B37BBF" w:rsidR="00FA2365" w:rsidRPr="00FA2365" w:rsidRDefault="00FA2365" w:rsidP="00FA2365">
            <w:pPr>
              <w:cnfStyle w:val="000000100000" w:firstRow="0" w:lastRow="0" w:firstColumn="0" w:lastColumn="0" w:oddVBand="0" w:evenVBand="0" w:oddHBand="1" w:evenHBand="0" w:firstRowFirstColumn="0" w:firstRowLastColumn="0" w:lastRowFirstColumn="0" w:lastRowLastColumn="0"/>
              <w:rPr>
                <w:rFonts w:ascii="Baskerville Old Face" w:hAnsi="Baskerville Old Face" w:cstheme="minorHAnsi"/>
                <w:sz w:val="18"/>
              </w:rPr>
            </w:pPr>
            <w:r w:rsidRPr="00FA2365">
              <w:rPr>
                <w:rFonts w:ascii="Baskerville Old Face" w:hAnsi="Baskerville Old Face" w:cstheme="minorHAnsi"/>
                <w:sz w:val="18"/>
              </w:rPr>
              <w:t>NIH Grants 5 R01 DA034466 03, L16 Career Award NOT-OD-10-105, and 5R25MH084565</w:t>
            </w:r>
          </w:p>
        </w:tc>
      </w:tr>
      <w:tr w:rsidR="00FA2365" w:rsidRPr="00FA2365" w14:paraId="4FFCC0F6" w14:textId="77777777" w:rsidTr="00FA2365">
        <w:trPr>
          <w:trHeight w:val="1140"/>
        </w:trPr>
        <w:tc>
          <w:tcPr>
            <w:cnfStyle w:val="001000000000" w:firstRow="0" w:lastRow="0" w:firstColumn="1" w:lastColumn="0" w:oddVBand="0" w:evenVBand="0" w:oddHBand="0" w:evenHBand="0" w:firstRowFirstColumn="0" w:firstRowLastColumn="0" w:lastRowFirstColumn="0" w:lastRowLastColumn="0"/>
            <w:tcW w:w="2127" w:type="dxa"/>
            <w:hideMark/>
          </w:tcPr>
          <w:p w14:paraId="31961BCC" w14:textId="77777777" w:rsidR="00FA2365" w:rsidRPr="00FA2365" w:rsidRDefault="00FA2365" w:rsidP="00FA2365">
            <w:pPr>
              <w:rPr>
                <w:rFonts w:ascii="Baskerville Old Face" w:hAnsi="Baskerville Old Face" w:cstheme="minorHAnsi"/>
                <w:sz w:val="18"/>
              </w:rPr>
            </w:pPr>
            <w:proofErr w:type="spellStart"/>
            <w:r w:rsidRPr="00FA2365">
              <w:rPr>
                <w:rFonts w:ascii="Baskerville Old Face" w:hAnsi="Baskerville Old Face" w:cstheme="minorHAnsi"/>
                <w:sz w:val="18"/>
              </w:rPr>
              <w:t>Lutfey</w:t>
            </w:r>
            <w:proofErr w:type="spellEnd"/>
            <w:r w:rsidRPr="00FA2365">
              <w:rPr>
                <w:rFonts w:ascii="Baskerville Old Face" w:hAnsi="Baskerville Old Face" w:cstheme="minorHAnsi"/>
                <w:sz w:val="18"/>
              </w:rPr>
              <w:t xml:space="preserve"> et al, 2009 &amp; 2010</w:t>
            </w:r>
          </w:p>
        </w:tc>
        <w:tc>
          <w:tcPr>
            <w:tcW w:w="5244" w:type="dxa"/>
            <w:hideMark/>
          </w:tcPr>
          <w:p w14:paraId="66B52FEF" w14:textId="459DD874" w:rsidR="00FA2365" w:rsidRPr="00FA2365" w:rsidRDefault="00FA2365" w:rsidP="00FA2365">
            <w:pPr>
              <w:cnfStyle w:val="000000000000" w:firstRow="0" w:lastRow="0" w:firstColumn="0" w:lastColumn="0" w:oddVBand="0" w:evenVBand="0" w:oddHBand="0" w:evenHBand="0" w:firstRowFirstColumn="0" w:firstRowLastColumn="0" w:lastRowFirstColumn="0" w:lastRowLastColumn="0"/>
              <w:rPr>
                <w:rFonts w:ascii="Baskerville Old Face" w:hAnsi="Baskerville Old Face" w:cstheme="minorHAnsi"/>
                <w:sz w:val="18"/>
              </w:rPr>
            </w:pPr>
            <w:r w:rsidRPr="00FA2365">
              <w:rPr>
                <w:rFonts w:ascii="Baskerville Old Face" w:hAnsi="Baskerville Old Face" w:cstheme="minorHAnsi"/>
                <w:sz w:val="18"/>
              </w:rPr>
              <w:t xml:space="preserve">National Institutes of Health, National Institute on Aging (grant #AG16747). The study sponsors </w:t>
            </w:r>
            <w:proofErr w:type="gramStart"/>
            <w:r w:rsidRPr="00FA2365">
              <w:rPr>
                <w:rFonts w:ascii="Baskerville Old Face" w:hAnsi="Baskerville Old Face" w:cstheme="minorHAnsi"/>
                <w:sz w:val="18"/>
              </w:rPr>
              <w:t>had no involvement</w:t>
            </w:r>
            <w:proofErr w:type="gramEnd"/>
            <w:r w:rsidRPr="00FA2365">
              <w:rPr>
                <w:rFonts w:ascii="Baskerville Old Face" w:hAnsi="Baskerville Old Face" w:cstheme="minorHAnsi"/>
                <w:sz w:val="18"/>
              </w:rPr>
              <w:t xml:space="preserve"> in the study design; in the collection, analysis, and interpretation of data; in the writing of the report; or in the decision</w:t>
            </w:r>
            <w:r w:rsidRPr="00FA2365">
              <w:rPr>
                <w:rFonts w:ascii="Baskerville Old Face" w:hAnsi="Baskerville Old Face" w:cstheme="minorHAnsi"/>
                <w:sz w:val="18"/>
              </w:rPr>
              <w:br/>
              <w:t>to submit the paper for publication.</w:t>
            </w:r>
          </w:p>
        </w:tc>
      </w:tr>
      <w:tr w:rsidR="00FA2365" w:rsidRPr="00FA2365" w14:paraId="368588D8" w14:textId="77777777" w:rsidTr="00FA2365">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2127" w:type="dxa"/>
            <w:hideMark/>
          </w:tcPr>
          <w:p w14:paraId="2E836EBE" w14:textId="77777777" w:rsidR="00FA2365" w:rsidRPr="00FA2365" w:rsidRDefault="00FA2365" w:rsidP="00FA2365">
            <w:pPr>
              <w:rPr>
                <w:rFonts w:ascii="Baskerville Old Face" w:hAnsi="Baskerville Old Face" w:cstheme="minorHAnsi"/>
                <w:sz w:val="18"/>
              </w:rPr>
            </w:pPr>
            <w:r w:rsidRPr="00FA2365">
              <w:rPr>
                <w:rFonts w:ascii="Baskerville Old Face" w:hAnsi="Baskerville Old Face" w:cstheme="minorHAnsi"/>
                <w:sz w:val="18"/>
              </w:rPr>
              <w:t>McKinlay et al, 2012</w:t>
            </w:r>
          </w:p>
        </w:tc>
        <w:tc>
          <w:tcPr>
            <w:tcW w:w="5244" w:type="dxa"/>
            <w:hideMark/>
          </w:tcPr>
          <w:p w14:paraId="033C2C8B" w14:textId="65AAA9BA" w:rsidR="00FA2365" w:rsidRPr="00FA2365" w:rsidRDefault="00FA2365" w:rsidP="00FA2365">
            <w:pPr>
              <w:cnfStyle w:val="000000100000" w:firstRow="0" w:lastRow="0" w:firstColumn="0" w:lastColumn="0" w:oddVBand="0" w:evenVBand="0" w:oddHBand="1" w:evenHBand="0" w:firstRowFirstColumn="0" w:firstRowLastColumn="0" w:lastRowFirstColumn="0" w:lastRowLastColumn="0"/>
              <w:rPr>
                <w:rFonts w:ascii="Baskerville Old Face" w:hAnsi="Baskerville Old Face" w:cstheme="minorHAnsi"/>
                <w:sz w:val="18"/>
              </w:rPr>
            </w:pPr>
            <w:r w:rsidRPr="00FA2365">
              <w:rPr>
                <w:rFonts w:ascii="Baskerville Old Face" w:hAnsi="Baskerville Old Face" w:cstheme="minorHAnsi"/>
                <w:sz w:val="18"/>
              </w:rPr>
              <w:t>Grants from the National Institutes of Health, National</w:t>
            </w:r>
            <w:r w:rsidRPr="00FA2365">
              <w:rPr>
                <w:rFonts w:ascii="Baskerville Old Face" w:hAnsi="Baskerville Old Face" w:cstheme="minorHAnsi"/>
                <w:sz w:val="18"/>
              </w:rPr>
              <w:br/>
              <w:t>Institute of Diabetes, Digestive and Kidney Disorders (Grant Nos. DK66425 and DK056842).</w:t>
            </w:r>
          </w:p>
        </w:tc>
      </w:tr>
      <w:tr w:rsidR="00FA2365" w:rsidRPr="00FA2365" w14:paraId="01F12CF2" w14:textId="77777777" w:rsidTr="00FA2365">
        <w:trPr>
          <w:trHeight w:val="1140"/>
        </w:trPr>
        <w:tc>
          <w:tcPr>
            <w:cnfStyle w:val="001000000000" w:firstRow="0" w:lastRow="0" w:firstColumn="1" w:lastColumn="0" w:oddVBand="0" w:evenVBand="0" w:oddHBand="0" w:evenHBand="0" w:firstRowFirstColumn="0" w:firstRowLastColumn="0" w:lastRowFirstColumn="0" w:lastRowLastColumn="0"/>
            <w:tcW w:w="2127" w:type="dxa"/>
            <w:hideMark/>
          </w:tcPr>
          <w:p w14:paraId="3BDF90BA" w14:textId="77777777" w:rsidR="00FA2365" w:rsidRPr="00FA2365" w:rsidRDefault="00FA2365" w:rsidP="00FA2365">
            <w:pPr>
              <w:rPr>
                <w:rFonts w:ascii="Baskerville Old Face" w:hAnsi="Baskerville Old Face" w:cstheme="minorHAnsi"/>
                <w:sz w:val="18"/>
              </w:rPr>
            </w:pPr>
            <w:proofErr w:type="spellStart"/>
            <w:r w:rsidRPr="00FA2365">
              <w:rPr>
                <w:rFonts w:ascii="Baskerville Old Face" w:hAnsi="Baskerville Old Face" w:cstheme="minorHAnsi"/>
                <w:sz w:val="18"/>
              </w:rPr>
              <w:lastRenderedPageBreak/>
              <w:t>Papaleontiou</w:t>
            </w:r>
            <w:proofErr w:type="spellEnd"/>
            <w:r w:rsidRPr="00FA2365">
              <w:rPr>
                <w:rFonts w:ascii="Baskerville Old Face" w:hAnsi="Baskerville Old Face" w:cstheme="minorHAnsi"/>
                <w:sz w:val="18"/>
              </w:rPr>
              <w:t>, et al 2016</w:t>
            </w:r>
          </w:p>
        </w:tc>
        <w:tc>
          <w:tcPr>
            <w:tcW w:w="5244" w:type="dxa"/>
            <w:hideMark/>
          </w:tcPr>
          <w:p w14:paraId="0ABFFA47" w14:textId="1BB6CD33" w:rsidR="00FA2365" w:rsidRPr="00FA2365" w:rsidRDefault="00FA2365" w:rsidP="00FA2365">
            <w:pPr>
              <w:cnfStyle w:val="000000000000" w:firstRow="0" w:lastRow="0" w:firstColumn="0" w:lastColumn="0" w:oddVBand="0" w:evenVBand="0" w:oddHBand="0" w:evenHBand="0" w:firstRowFirstColumn="0" w:firstRowLastColumn="0" w:lastRowFirstColumn="0" w:lastRowLastColumn="0"/>
              <w:rPr>
                <w:rFonts w:ascii="Baskerville Old Face" w:hAnsi="Baskerville Old Face" w:cstheme="minorHAnsi"/>
                <w:sz w:val="18"/>
              </w:rPr>
            </w:pPr>
            <w:r w:rsidRPr="00FA2365">
              <w:rPr>
                <w:rFonts w:ascii="Baskerville Old Face" w:hAnsi="Baskerville Old Face" w:cstheme="minorHAnsi"/>
                <w:sz w:val="18"/>
              </w:rPr>
              <w:t xml:space="preserve">University of Michigan Comprehensive Cancer </w:t>
            </w:r>
            <w:proofErr w:type="spellStart"/>
            <w:r w:rsidRPr="00FA2365">
              <w:rPr>
                <w:rFonts w:ascii="Baskerville Old Face" w:hAnsi="Baskerville Old Face" w:cstheme="minorHAnsi"/>
                <w:sz w:val="18"/>
              </w:rPr>
              <w:t>Center</w:t>
            </w:r>
            <w:proofErr w:type="spellEnd"/>
            <w:r w:rsidRPr="00FA2365">
              <w:rPr>
                <w:rFonts w:ascii="Baskerville Old Face" w:hAnsi="Baskerville Old Face" w:cstheme="minorHAnsi"/>
                <w:sz w:val="18"/>
              </w:rPr>
              <w:t xml:space="preserve"> IDEA Fund to </w:t>
            </w:r>
            <w:proofErr w:type="spellStart"/>
            <w:r w:rsidRPr="00FA2365">
              <w:rPr>
                <w:rFonts w:ascii="Baskerville Old Face" w:hAnsi="Baskerville Old Face" w:cstheme="minorHAnsi"/>
                <w:sz w:val="18"/>
              </w:rPr>
              <w:t>Dr.</w:t>
            </w:r>
            <w:proofErr w:type="spellEnd"/>
            <w:r w:rsidRPr="00FA2365">
              <w:rPr>
                <w:rFonts w:ascii="Baskerville Old Face" w:hAnsi="Baskerville Old Face" w:cstheme="minorHAnsi"/>
                <w:sz w:val="18"/>
              </w:rPr>
              <w:t xml:space="preserve"> </w:t>
            </w:r>
            <w:proofErr w:type="spellStart"/>
            <w:r w:rsidRPr="00FA2365">
              <w:rPr>
                <w:rFonts w:ascii="Baskerville Old Face" w:hAnsi="Baskerville Old Face" w:cstheme="minorHAnsi"/>
                <w:sz w:val="18"/>
              </w:rPr>
              <w:t>Papaleontiou</w:t>
            </w:r>
            <w:proofErr w:type="spellEnd"/>
            <w:r w:rsidRPr="00FA2365">
              <w:rPr>
                <w:rFonts w:ascii="Baskerville Old Face" w:hAnsi="Baskerville Old Face" w:cstheme="minorHAnsi"/>
                <w:sz w:val="18"/>
              </w:rPr>
              <w:t xml:space="preserve">. </w:t>
            </w:r>
            <w:proofErr w:type="spellStart"/>
            <w:r w:rsidRPr="00FA2365">
              <w:rPr>
                <w:rFonts w:ascii="Baskerville Old Face" w:hAnsi="Baskerville Old Face" w:cstheme="minorHAnsi"/>
                <w:sz w:val="18"/>
              </w:rPr>
              <w:t>Dr.</w:t>
            </w:r>
            <w:proofErr w:type="spellEnd"/>
            <w:r w:rsidRPr="00FA2365">
              <w:rPr>
                <w:rFonts w:ascii="Baskerville Old Face" w:hAnsi="Baskerville Old Face" w:cstheme="minorHAnsi"/>
                <w:sz w:val="18"/>
              </w:rPr>
              <w:t xml:space="preserve"> </w:t>
            </w:r>
            <w:proofErr w:type="spellStart"/>
            <w:r w:rsidRPr="00FA2365">
              <w:rPr>
                <w:rFonts w:ascii="Baskerville Old Face" w:hAnsi="Baskerville Old Face" w:cstheme="minorHAnsi"/>
                <w:sz w:val="18"/>
              </w:rPr>
              <w:t>Papaleontiou</w:t>
            </w:r>
            <w:proofErr w:type="spellEnd"/>
            <w:r w:rsidRPr="00FA2365">
              <w:rPr>
                <w:rFonts w:ascii="Baskerville Old Face" w:hAnsi="Baskerville Old Face" w:cstheme="minorHAnsi"/>
                <w:sz w:val="18"/>
              </w:rPr>
              <w:t xml:space="preserve"> is also funded by the National Institute on Aging of the National Institutes of Health under Award Number K08 AG049684 and the Career Development Pilot Grant from the Cancer Control and Population Sciences Program at the University of Michigan. </w:t>
            </w:r>
            <w:proofErr w:type="spellStart"/>
            <w:r w:rsidRPr="00FA2365">
              <w:rPr>
                <w:rFonts w:ascii="Baskerville Old Face" w:hAnsi="Baskerville Old Face" w:cstheme="minorHAnsi"/>
                <w:sz w:val="18"/>
              </w:rPr>
              <w:t>Dr.</w:t>
            </w:r>
            <w:proofErr w:type="spellEnd"/>
            <w:r w:rsidRPr="00FA2365">
              <w:rPr>
                <w:rFonts w:ascii="Baskerville Old Face" w:hAnsi="Baskerville Old Face" w:cstheme="minorHAnsi"/>
                <w:sz w:val="18"/>
              </w:rPr>
              <w:t xml:space="preserve"> </w:t>
            </w:r>
            <w:proofErr w:type="spellStart"/>
            <w:r w:rsidRPr="00FA2365">
              <w:rPr>
                <w:rFonts w:ascii="Baskerville Old Face" w:hAnsi="Baskerville Old Face" w:cstheme="minorHAnsi"/>
                <w:sz w:val="18"/>
              </w:rPr>
              <w:t>Haymart</w:t>
            </w:r>
            <w:proofErr w:type="spellEnd"/>
            <w:r w:rsidRPr="00FA2365">
              <w:rPr>
                <w:rFonts w:ascii="Baskerville Old Face" w:hAnsi="Baskerville Old Face" w:cstheme="minorHAnsi"/>
                <w:sz w:val="18"/>
              </w:rPr>
              <w:t xml:space="preserve"> is funded by R01 CA201198 from the National Cancer Institute and by R01HS024512 from the Agency for Healthcare Research and Quality.</w:t>
            </w:r>
          </w:p>
        </w:tc>
      </w:tr>
      <w:tr w:rsidR="00FA2365" w:rsidRPr="00FA2365" w14:paraId="299B62E3" w14:textId="77777777" w:rsidTr="00FA2365">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127" w:type="dxa"/>
            <w:hideMark/>
          </w:tcPr>
          <w:p w14:paraId="1C55E767" w14:textId="77777777" w:rsidR="00FA2365" w:rsidRPr="00FA2365" w:rsidRDefault="00FA2365" w:rsidP="00FA2365">
            <w:pPr>
              <w:rPr>
                <w:rFonts w:ascii="Baskerville Old Face" w:hAnsi="Baskerville Old Face" w:cstheme="minorHAnsi"/>
                <w:sz w:val="18"/>
              </w:rPr>
            </w:pPr>
            <w:r w:rsidRPr="00FA2365">
              <w:rPr>
                <w:rFonts w:ascii="Baskerville Old Face" w:hAnsi="Baskerville Old Face" w:cstheme="minorHAnsi"/>
                <w:sz w:val="18"/>
              </w:rPr>
              <w:t>Samuelsson et al, 2013</w:t>
            </w:r>
          </w:p>
        </w:tc>
        <w:tc>
          <w:tcPr>
            <w:tcW w:w="5244" w:type="dxa"/>
            <w:hideMark/>
          </w:tcPr>
          <w:p w14:paraId="269B29B2" w14:textId="157993D4" w:rsidR="00FA2365" w:rsidRPr="00FA2365" w:rsidRDefault="00FA2365" w:rsidP="00FA2365">
            <w:pPr>
              <w:cnfStyle w:val="000000100000" w:firstRow="0" w:lastRow="0" w:firstColumn="0" w:lastColumn="0" w:oddVBand="0" w:evenVBand="0" w:oddHBand="1" w:evenHBand="0" w:firstRowFirstColumn="0" w:firstRowLastColumn="0" w:lastRowFirstColumn="0" w:lastRowLastColumn="0"/>
              <w:rPr>
                <w:rFonts w:ascii="Baskerville Old Face" w:hAnsi="Baskerville Old Face" w:cstheme="minorHAnsi"/>
                <w:sz w:val="18"/>
              </w:rPr>
            </w:pPr>
            <w:r w:rsidRPr="00FA2365">
              <w:rPr>
                <w:rFonts w:ascii="Baskerville Old Face" w:hAnsi="Baskerville Old Face" w:cstheme="minorHAnsi"/>
                <w:sz w:val="18"/>
              </w:rPr>
              <w:t xml:space="preserve">Swedish Council for Working Life and Social Research (FAS) as part of the Centre of Excellence program at </w:t>
            </w:r>
            <w:proofErr w:type="spellStart"/>
            <w:r w:rsidRPr="00FA2365">
              <w:rPr>
                <w:rFonts w:ascii="Baskerville Old Face" w:hAnsi="Baskerville Old Face" w:cstheme="minorHAnsi"/>
                <w:sz w:val="18"/>
              </w:rPr>
              <w:t>SoRAD</w:t>
            </w:r>
            <w:proofErr w:type="spellEnd"/>
          </w:p>
        </w:tc>
      </w:tr>
      <w:tr w:rsidR="00FA2365" w:rsidRPr="00FA2365" w14:paraId="3E3E15CD" w14:textId="77777777" w:rsidTr="00FA2365">
        <w:trPr>
          <w:trHeight w:val="578"/>
        </w:trPr>
        <w:tc>
          <w:tcPr>
            <w:cnfStyle w:val="001000000000" w:firstRow="0" w:lastRow="0" w:firstColumn="1" w:lastColumn="0" w:oddVBand="0" w:evenVBand="0" w:oddHBand="0" w:evenHBand="0" w:firstRowFirstColumn="0" w:firstRowLastColumn="0" w:lastRowFirstColumn="0" w:lastRowLastColumn="0"/>
            <w:tcW w:w="2127" w:type="dxa"/>
            <w:hideMark/>
          </w:tcPr>
          <w:p w14:paraId="492D7468" w14:textId="77777777" w:rsidR="00FA2365" w:rsidRPr="00FA2365" w:rsidRDefault="00FA2365" w:rsidP="00FA2365">
            <w:pPr>
              <w:rPr>
                <w:rFonts w:ascii="Baskerville Old Face" w:hAnsi="Baskerville Old Face" w:cstheme="minorHAnsi"/>
                <w:sz w:val="18"/>
              </w:rPr>
            </w:pPr>
            <w:r w:rsidRPr="00FA2365">
              <w:rPr>
                <w:rFonts w:ascii="Baskerville Old Face" w:hAnsi="Baskerville Old Face" w:cstheme="minorHAnsi"/>
                <w:sz w:val="18"/>
              </w:rPr>
              <w:t>Shapiro, et al. 2018</w:t>
            </w:r>
          </w:p>
        </w:tc>
        <w:tc>
          <w:tcPr>
            <w:tcW w:w="5244" w:type="dxa"/>
            <w:hideMark/>
          </w:tcPr>
          <w:p w14:paraId="6FD7A0BB" w14:textId="1195596D" w:rsidR="00FA2365" w:rsidRPr="00FA2365" w:rsidRDefault="00FA2365" w:rsidP="00FA2365">
            <w:pPr>
              <w:cnfStyle w:val="000000000000" w:firstRow="0" w:lastRow="0" w:firstColumn="0" w:lastColumn="0" w:oddVBand="0" w:evenVBand="0" w:oddHBand="0" w:evenHBand="0" w:firstRowFirstColumn="0" w:firstRowLastColumn="0" w:lastRowFirstColumn="0" w:lastRowLastColumn="0"/>
              <w:rPr>
                <w:rFonts w:ascii="Baskerville Old Face" w:hAnsi="Baskerville Old Face" w:cstheme="minorHAnsi"/>
                <w:sz w:val="18"/>
              </w:rPr>
            </w:pPr>
            <w:r w:rsidRPr="00FA2365">
              <w:rPr>
                <w:rFonts w:ascii="Baskerville Old Face" w:hAnsi="Baskerville Old Face" w:cstheme="minorHAnsi"/>
                <w:sz w:val="18"/>
              </w:rPr>
              <w:t>Stefan Bennett Research Fund in Neonatology at NYU School of</w:t>
            </w:r>
            <w:r w:rsidRPr="00FA2365">
              <w:rPr>
                <w:rFonts w:ascii="Baskerville Old Face" w:hAnsi="Baskerville Old Face" w:cstheme="minorHAnsi"/>
                <w:sz w:val="18"/>
              </w:rPr>
              <w:br/>
              <w:t>Medicine</w:t>
            </w:r>
          </w:p>
        </w:tc>
      </w:tr>
      <w:tr w:rsidR="00FA2365" w:rsidRPr="00FA2365" w14:paraId="4D526FF9" w14:textId="77777777" w:rsidTr="00FA2365">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2127" w:type="dxa"/>
            <w:hideMark/>
          </w:tcPr>
          <w:p w14:paraId="6ED73AA7" w14:textId="77777777" w:rsidR="00FA2365" w:rsidRPr="00FA2365" w:rsidRDefault="00FA2365" w:rsidP="00FA2365">
            <w:pPr>
              <w:rPr>
                <w:rFonts w:ascii="Baskerville Old Face" w:hAnsi="Baskerville Old Face" w:cstheme="minorHAnsi"/>
                <w:sz w:val="18"/>
              </w:rPr>
            </w:pPr>
            <w:r w:rsidRPr="00FA2365">
              <w:rPr>
                <w:rFonts w:ascii="Baskerville Old Face" w:hAnsi="Baskerville Old Face" w:cstheme="minorHAnsi"/>
                <w:sz w:val="18"/>
              </w:rPr>
              <w:t>Sheringham et al, 2016</w:t>
            </w:r>
          </w:p>
        </w:tc>
        <w:tc>
          <w:tcPr>
            <w:tcW w:w="5244" w:type="dxa"/>
            <w:hideMark/>
          </w:tcPr>
          <w:p w14:paraId="51F2090F" w14:textId="77777777" w:rsidR="00FA2365" w:rsidRPr="00FA2365" w:rsidRDefault="00FA2365" w:rsidP="00FA2365">
            <w:pPr>
              <w:cnfStyle w:val="000000100000" w:firstRow="0" w:lastRow="0" w:firstColumn="0" w:lastColumn="0" w:oddVBand="0" w:evenVBand="0" w:oddHBand="1" w:evenHBand="0" w:firstRowFirstColumn="0" w:firstRowLastColumn="0" w:lastRowFirstColumn="0" w:lastRowLastColumn="0"/>
              <w:rPr>
                <w:rFonts w:ascii="Baskerville Old Face" w:hAnsi="Baskerville Old Face" w:cstheme="minorHAnsi"/>
                <w:sz w:val="18"/>
              </w:rPr>
            </w:pPr>
            <w:r w:rsidRPr="00FA2365">
              <w:rPr>
                <w:rFonts w:ascii="Baskerville Old Face" w:hAnsi="Baskerville Old Face" w:cstheme="minorHAnsi"/>
                <w:sz w:val="18"/>
              </w:rPr>
              <w:t>Department of Health Policy Research Programme</w:t>
            </w:r>
          </w:p>
        </w:tc>
      </w:tr>
      <w:tr w:rsidR="00FA2365" w:rsidRPr="00FA2365" w14:paraId="6BCAD2F9" w14:textId="77777777" w:rsidTr="00FA2365">
        <w:trPr>
          <w:trHeight w:val="1140"/>
        </w:trPr>
        <w:tc>
          <w:tcPr>
            <w:cnfStyle w:val="001000000000" w:firstRow="0" w:lastRow="0" w:firstColumn="1" w:lastColumn="0" w:oddVBand="0" w:evenVBand="0" w:oddHBand="0" w:evenHBand="0" w:firstRowFirstColumn="0" w:firstRowLastColumn="0" w:lastRowFirstColumn="0" w:lastRowLastColumn="0"/>
            <w:tcW w:w="2127" w:type="dxa"/>
            <w:hideMark/>
          </w:tcPr>
          <w:p w14:paraId="6E9E7008" w14:textId="77777777" w:rsidR="00FA2365" w:rsidRPr="00FA2365" w:rsidRDefault="00FA2365" w:rsidP="00FA2365">
            <w:pPr>
              <w:rPr>
                <w:rFonts w:ascii="Baskerville Old Face" w:hAnsi="Baskerville Old Face" w:cstheme="minorHAnsi"/>
                <w:sz w:val="18"/>
              </w:rPr>
            </w:pPr>
            <w:proofErr w:type="spellStart"/>
            <w:proofErr w:type="gramStart"/>
            <w:r w:rsidRPr="00FA2365">
              <w:rPr>
                <w:rFonts w:ascii="Baskerville Old Face" w:hAnsi="Baskerville Old Face" w:cstheme="minorHAnsi"/>
                <w:sz w:val="18"/>
              </w:rPr>
              <w:t>Tinkler</w:t>
            </w:r>
            <w:proofErr w:type="spellEnd"/>
            <w:r w:rsidRPr="00FA2365">
              <w:rPr>
                <w:rFonts w:ascii="Baskerville Old Face" w:hAnsi="Baskerville Old Face" w:cstheme="minorHAnsi"/>
                <w:sz w:val="18"/>
              </w:rPr>
              <w:t>,  2018</w:t>
            </w:r>
            <w:proofErr w:type="gramEnd"/>
          </w:p>
        </w:tc>
        <w:tc>
          <w:tcPr>
            <w:tcW w:w="5244" w:type="dxa"/>
            <w:hideMark/>
          </w:tcPr>
          <w:p w14:paraId="4F3CD52C" w14:textId="4F5D5957" w:rsidR="00FA2365" w:rsidRPr="00FA2365" w:rsidRDefault="00FA2365" w:rsidP="00FA2365">
            <w:pPr>
              <w:cnfStyle w:val="000000000000" w:firstRow="0" w:lastRow="0" w:firstColumn="0" w:lastColumn="0" w:oddVBand="0" w:evenVBand="0" w:oddHBand="0" w:evenHBand="0" w:firstRowFirstColumn="0" w:firstRowLastColumn="0" w:lastRowFirstColumn="0" w:lastRowLastColumn="0"/>
              <w:rPr>
                <w:rFonts w:ascii="Baskerville Old Face" w:hAnsi="Baskerville Old Face" w:cstheme="minorHAnsi"/>
                <w:sz w:val="18"/>
              </w:rPr>
            </w:pPr>
            <w:r w:rsidRPr="00FA2365">
              <w:rPr>
                <w:rFonts w:ascii="Baskerville Old Face" w:hAnsi="Baskerville Old Face" w:cstheme="minorHAnsi"/>
                <w:sz w:val="18"/>
              </w:rPr>
              <w:t xml:space="preserve">Sarah </w:t>
            </w:r>
            <w:proofErr w:type="spellStart"/>
            <w:r w:rsidRPr="00FA2365">
              <w:rPr>
                <w:rFonts w:ascii="Baskerville Old Face" w:hAnsi="Baskerville Old Face" w:cstheme="minorHAnsi"/>
                <w:sz w:val="18"/>
              </w:rPr>
              <w:t>Tinkler</w:t>
            </w:r>
            <w:proofErr w:type="spellEnd"/>
            <w:r w:rsidRPr="00FA2365">
              <w:rPr>
                <w:rFonts w:ascii="Baskerville Old Face" w:hAnsi="Baskerville Old Face" w:cstheme="minorHAnsi"/>
                <w:sz w:val="18"/>
              </w:rPr>
              <w:t xml:space="preserve"> Faculty Enhancement Grant, Portland State</w:t>
            </w:r>
            <w:r w:rsidRPr="00FA2365">
              <w:rPr>
                <w:rFonts w:ascii="Baskerville Old Face" w:hAnsi="Baskerville Old Face" w:cstheme="minorHAnsi"/>
                <w:sz w:val="18"/>
              </w:rPr>
              <w:br/>
              <w:t>University. Rajiv Sharma, National Institutes of Health grant #</w:t>
            </w:r>
            <w:r w:rsidRPr="00FA2365">
              <w:rPr>
                <w:rFonts w:ascii="Baskerville Old Face" w:hAnsi="Baskerville Old Face" w:cstheme="minorHAnsi"/>
                <w:sz w:val="18"/>
              </w:rPr>
              <w:br/>
              <w:t xml:space="preserve">1R15MD010224-01, and Incentive Grant, Portland State University. Raven Susu-Mago National Institutes of Health grant #1R15MD010224-01, and Incentive Grant, Portland State University. </w:t>
            </w:r>
            <w:proofErr w:type="spellStart"/>
            <w:r w:rsidRPr="00FA2365">
              <w:rPr>
                <w:rFonts w:ascii="Baskerville Old Face" w:hAnsi="Baskerville Old Face" w:cstheme="minorHAnsi"/>
                <w:sz w:val="18"/>
              </w:rPr>
              <w:t>Miron</w:t>
            </w:r>
            <w:proofErr w:type="spellEnd"/>
            <w:r w:rsidRPr="00FA2365">
              <w:rPr>
                <w:rFonts w:ascii="Baskerville Old Face" w:hAnsi="Baskerville Old Face" w:cstheme="minorHAnsi"/>
                <w:sz w:val="18"/>
              </w:rPr>
              <w:t xml:space="preserve"> </w:t>
            </w:r>
            <w:proofErr w:type="spellStart"/>
            <w:r w:rsidRPr="00FA2365">
              <w:rPr>
                <w:rFonts w:ascii="Baskerville Old Face" w:hAnsi="Baskerville Old Face" w:cstheme="minorHAnsi"/>
                <w:sz w:val="18"/>
              </w:rPr>
              <w:t>Stano</w:t>
            </w:r>
            <w:proofErr w:type="spellEnd"/>
            <w:r w:rsidRPr="00FA2365">
              <w:rPr>
                <w:rFonts w:ascii="Baskerville Old Face" w:hAnsi="Baskerville Old Face" w:cstheme="minorHAnsi"/>
                <w:sz w:val="18"/>
              </w:rPr>
              <w:t>, National Institutes of Health grant # 1R15MD010224-01.</w:t>
            </w:r>
          </w:p>
        </w:tc>
      </w:tr>
      <w:tr w:rsidR="00FA2365" w:rsidRPr="00FA2365" w14:paraId="1459D221" w14:textId="77777777" w:rsidTr="00FA2365">
        <w:trPr>
          <w:cnfStyle w:val="000000100000" w:firstRow="0" w:lastRow="0" w:firstColumn="0" w:lastColumn="0" w:oddVBand="0" w:evenVBand="0" w:oddHBand="1" w:evenHBand="0" w:firstRowFirstColumn="0" w:firstRowLastColumn="0" w:lastRowFirstColumn="0" w:lastRowLastColumn="0"/>
          <w:trHeight w:val="940"/>
        </w:trPr>
        <w:tc>
          <w:tcPr>
            <w:cnfStyle w:val="001000000000" w:firstRow="0" w:lastRow="0" w:firstColumn="1" w:lastColumn="0" w:oddVBand="0" w:evenVBand="0" w:oddHBand="0" w:evenHBand="0" w:firstRowFirstColumn="0" w:firstRowLastColumn="0" w:lastRowFirstColumn="0" w:lastRowLastColumn="0"/>
            <w:tcW w:w="2127" w:type="dxa"/>
            <w:hideMark/>
          </w:tcPr>
          <w:p w14:paraId="5F0C7A10" w14:textId="77777777" w:rsidR="00FA2365" w:rsidRPr="00FA2365" w:rsidRDefault="00FA2365" w:rsidP="00FA2365">
            <w:pPr>
              <w:rPr>
                <w:rFonts w:ascii="Baskerville Old Face" w:hAnsi="Baskerville Old Face" w:cstheme="minorHAnsi"/>
                <w:sz w:val="18"/>
              </w:rPr>
            </w:pPr>
            <w:proofErr w:type="spellStart"/>
            <w:proofErr w:type="gramStart"/>
            <w:r w:rsidRPr="00FA2365">
              <w:rPr>
                <w:rFonts w:ascii="Baskerville Old Face" w:hAnsi="Baskerville Old Face" w:cstheme="minorHAnsi"/>
                <w:sz w:val="18"/>
              </w:rPr>
              <w:t>Wiltshire,et</w:t>
            </w:r>
            <w:proofErr w:type="spellEnd"/>
            <w:r w:rsidRPr="00FA2365">
              <w:rPr>
                <w:rFonts w:ascii="Baskerville Old Face" w:hAnsi="Baskerville Old Face" w:cstheme="minorHAnsi"/>
                <w:sz w:val="18"/>
              </w:rPr>
              <w:t xml:space="preserve"> al.</w:t>
            </w:r>
            <w:proofErr w:type="gramEnd"/>
            <w:r w:rsidRPr="00FA2365">
              <w:rPr>
                <w:rFonts w:ascii="Baskerville Old Face" w:hAnsi="Baskerville Old Face" w:cstheme="minorHAnsi"/>
                <w:sz w:val="18"/>
              </w:rPr>
              <w:t xml:space="preserve"> 2018</w:t>
            </w:r>
          </w:p>
        </w:tc>
        <w:tc>
          <w:tcPr>
            <w:tcW w:w="5244" w:type="dxa"/>
            <w:hideMark/>
          </w:tcPr>
          <w:p w14:paraId="7CB3AF52" w14:textId="77777777" w:rsidR="00FA2365" w:rsidRPr="00FA2365" w:rsidRDefault="00FA2365" w:rsidP="00FA2365">
            <w:pPr>
              <w:cnfStyle w:val="000000100000" w:firstRow="0" w:lastRow="0" w:firstColumn="0" w:lastColumn="0" w:oddVBand="0" w:evenVBand="0" w:oddHBand="1" w:evenHBand="0" w:firstRowFirstColumn="0" w:firstRowLastColumn="0" w:lastRowFirstColumn="0" w:lastRowLastColumn="0"/>
              <w:rPr>
                <w:rFonts w:ascii="Baskerville Old Face" w:hAnsi="Baskerville Old Face" w:cstheme="minorHAnsi"/>
                <w:sz w:val="18"/>
              </w:rPr>
            </w:pPr>
            <w:r w:rsidRPr="00FA2365">
              <w:rPr>
                <w:rFonts w:ascii="Baskerville Old Face" w:hAnsi="Baskerville Old Face" w:cstheme="minorHAnsi"/>
                <w:sz w:val="18"/>
              </w:rPr>
              <w:t xml:space="preserve">NIH Loan Repayment Program and the Clinical and Translational Science Award (CTSA) program, through the NIH National </w:t>
            </w:r>
            <w:proofErr w:type="spellStart"/>
            <w:r w:rsidRPr="00FA2365">
              <w:rPr>
                <w:rFonts w:ascii="Baskerville Old Face" w:hAnsi="Baskerville Old Face" w:cstheme="minorHAnsi"/>
                <w:sz w:val="18"/>
              </w:rPr>
              <w:t>Center</w:t>
            </w:r>
            <w:proofErr w:type="spellEnd"/>
            <w:r w:rsidRPr="00FA2365">
              <w:rPr>
                <w:rFonts w:ascii="Baskerville Old Face" w:hAnsi="Baskerville Old Face" w:cstheme="minorHAnsi"/>
                <w:sz w:val="18"/>
              </w:rPr>
              <w:t xml:space="preserve"> for Advancing Translational Sciences (NCATS), grant UL1TR000427</w:t>
            </w:r>
          </w:p>
        </w:tc>
      </w:tr>
    </w:tbl>
    <w:p w14:paraId="1BD33532" w14:textId="471C5C6E" w:rsidR="004907F1" w:rsidRDefault="004907F1" w:rsidP="00FA2365">
      <w:pPr>
        <w:rPr>
          <w:rFonts w:ascii="Baskerville Old Face" w:hAnsi="Baskerville Old Face" w:cstheme="minorHAnsi"/>
        </w:rPr>
      </w:pPr>
      <w:r>
        <w:rPr>
          <w:rFonts w:ascii="Baskerville Old Face" w:hAnsi="Baskerville Old Face" w:cstheme="minorHAnsi"/>
        </w:rPr>
        <w:br w:type="page"/>
      </w:r>
    </w:p>
    <w:p w14:paraId="5B78DEAC" w14:textId="77777777" w:rsidR="004907F1" w:rsidRDefault="004907F1" w:rsidP="004907F1">
      <w:pPr>
        <w:rPr>
          <w:rFonts w:ascii="Arial" w:hAnsi="Arial" w:cs="Arial"/>
          <w:b/>
          <w:lang w:val="en-US"/>
        </w:rPr>
      </w:pPr>
      <w:r>
        <w:rPr>
          <w:rFonts w:ascii="Arial" w:hAnsi="Arial" w:cs="Arial"/>
          <w:b/>
          <w:lang w:val="en-US"/>
        </w:rPr>
        <w:lastRenderedPageBreak/>
        <w:t xml:space="preserve">Supplementary file 2: </w:t>
      </w:r>
    </w:p>
    <w:p w14:paraId="4703449A" w14:textId="77777777" w:rsidR="004907F1" w:rsidRDefault="004907F1" w:rsidP="004907F1">
      <w:pPr>
        <w:rPr>
          <w:rFonts w:ascii="Arial" w:hAnsi="Arial" w:cs="Arial"/>
          <w:b/>
        </w:rPr>
      </w:pPr>
      <w:r>
        <w:rPr>
          <w:rFonts w:ascii="Arial" w:hAnsi="Arial" w:cs="Arial"/>
          <w:b/>
          <w:lang w:val="en-US"/>
        </w:rPr>
        <w:t>Report of review of reviews and d</w:t>
      </w:r>
      <w:proofErr w:type="spellStart"/>
      <w:r>
        <w:rPr>
          <w:rFonts w:ascii="Arial" w:hAnsi="Arial" w:cs="Arial"/>
          <w:b/>
        </w:rPr>
        <w:t>evelopment</w:t>
      </w:r>
      <w:proofErr w:type="spellEnd"/>
      <w:r>
        <w:rPr>
          <w:rFonts w:ascii="Arial" w:hAnsi="Arial" w:cs="Arial"/>
          <w:b/>
        </w:rPr>
        <w:t xml:space="preserve"> of methodological framework for the design and conduct of experimental vignette studies</w:t>
      </w:r>
    </w:p>
    <w:p w14:paraId="636B92CC" w14:textId="77777777" w:rsidR="004907F1" w:rsidRDefault="004907F1" w:rsidP="004907F1">
      <w:pPr>
        <w:spacing w:after="0" w:line="360" w:lineRule="auto"/>
        <w:rPr>
          <w:rFonts w:ascii="Baskerville Old Face" w:hAnsi="Baskerville Old Face" w:cstheme="minorHAnsi"/>
          <w:b/>
          <w:sz w:val="24"/>
          <w:szCs w:val="24"/>
        </w:rPr>
      </w:pPr>
    </w:p>
    <w:p w14:paraId="30EB878F" w14:textId="77777777" w:rsidR="004907F1" w:rsidRDefault="004907F1" w:rsidP="004907F1">
      <w:pPr>
        <w:spacing w:after="0" w:line="360" w:lineRule="auto"/>
        <w:rPr>
          <w:rFonts w:ascii="Baskerville Old Face" w:hAnsi="Baskerville Old Face" w:cstheme="minorHAnsi"/>
          <w:b/>
          <w:sz w:val="24"/>
          <w:szCs w:val="24"/>
        </w:rPr>
      </w:pPr>
      <w:r>
        <w:rPr>
          <w:rFonts w:ascii="Baskerville Old Face" w:hAnsi="Baskerville Old Face" w:cstheme="minorHAnsi"/>
          <w:b/>
          <w:sz w:val="24"/>
          <w:szCs w:val="24"/>
        </w:rPr>
        <w:t>Aim</w:t>
      </w:r>
    </w:p>
    <w:p w14:paraId="56BC3E8E" w14:textId="77777777" w:rsidR="004907F1" w:rsidRDefault="004907F1" w:rsidP="004907F1">
      <w:pPr>
        <w:spacing w:after="0" w:line="360" w:lineRule="auto"/>
        <w:rPr>
          <w:rFonts w:ascii="Baskerville Old Face" w:hAnsi="Baskerville Old Face" w:cstheme="minorHAnsi"/>
          <w:sz w:val="24"/>
          <w:szCs w:val="24"/>
        </w:rPr>
      </w:pPr>
      <w:r>
        <w:rPr>
          <w:rFonts w:ascii="Baskerville Old Face" w:hAnsi="Baskerville Old Face" w:cstheme="minorHAnsi"/>
          <w:sz w:val="24"/>
          <w:szCs w:val="24"/>
        </w:rPr>
        <w:t>The aim of this review was to locate and synthesise previous literature reviews on the use of experimental vignette methods in empirical investigations into the delivery of health care, to inform the development of a methodological framework to appraise the design and conduct of experimental vignette studies.</w:t>
      </w:r>
    </w:p>
    <w:p w14:paraId="0EB8C3FA" w14:textId="77777777" w:rsidR="004907F1" w:rsidRDefault="004907F1" w:rsidP="004907F1">
      <w:pPr>
        <w:spacing w:after="0" w:line="360" w:lineRule="auto"/>
        <w:rPr>
          <w:rFonts w:ascii="Baskerville Old Face" w:hAnsi="Baskerville Old Face" w:cstheme="minorHAnsi"/>
          <w:b/>
          <w:sz w:val="24"/>
          <w:szCs w:val="24"/>
        </w:rPr>
      </w:pPr>
    </w:p>
    <w:p w14:paraId="614300FF" w14:textId="77777777" w:rsidR="004907F1" w:rsidRDefault="004907F1" w:rsidP="004907F1">
      <w:pPr>
        <w:spacing w:after="0" w:line="360" w:lineRule="auto"/>
        <w:rPr>
          <w:rFonts w:ascii="Baskerville Old Face" w:hAnsi="Baskerville Old Face" w:cstheme="minorHAnsi"/>
          <w:b/>
          <w:sz w:val="24"/>
          <w:szCs w:val="24"/>
        </w:rPr>
      </w:pPr>
      <w:r>
        <w:rPr>
          <w:rFonts w:ascii="Baskerville Old Face" w:hAnsi="Baskerville Old Face" w:cstheme="minorHAnsi"/>
          <w:b/>
          <w:sz w:val="24"/>
          <w:szCs w:val="24"/>
        </w:rPr>
        <w:t>Methods</w:t>
      </w:r>
    </w:p>
    <w:p w14:paraId="628A12CC" w14:textId="77777777" w:rsidR="004907F1" w:rsidRDefault="004907F1" w:rsidP="004907F1">
      <w:pPr>
        <w:pStyle w:val="ThesisHeading2"/>
        <w:keepNext w:val="0"/>
        <w:keepLines w:val="0"/>
        <w:rPr>
          <w:rFonts w:ascii="Baskerville Old Face" w:hAnsi="Baskerville Old Face" w:cstheme="minorHAnsi"/>
          <w:szCs w:val="24"/>
        </w:rPr>
      </w:pPr>
      <w:r>
        <w:rPr>
          <w:rFonts w:ascii="Baskerville Old Face" w:hAnsi="Baskerville Old Face" w:cstheme="minorHAnsi"/>
          <w:szCs w:val="24"/>
        </w:rPr>
        <w:t>Search strategy</w:t>
      </w:r>
    </w:p>
    <w:p w14:paraId="660005FB" w14:textId="77777777" w:rsidR="004907F1" w:rsidRDefault="004907F1" w:rsidP="004907F1">
      <w:pPr>
        <w:spacing w:after="0" w:line="360" w:lineRule="auto"/>
        <w:rPr>
          <w:rFonts w:ascii="Baskerville Old Face" w:hAnsi="Baskerville Old Face" w:cstheme="minorHAnsi"/>
          <w:sz w:val="24"/>
          <w:szCs w:val="24"/>
        </w:rPr>
      </w:pPr>
      <w:r>
        <w:rPr>
          <w:rFonts w:ascii="Baskerville Old Face" w:hAnsi="Baskerville Old Face" w:cstheme="minorHAnsi"/>
          <w:sz w:val="24"/>
          <w:szCs w:val="24"/>
        </w:rPr>
        <w:t xml:space="preserve">Articles published between January 2000 and January 2017 were searched using four bibliographic databases: MEDLINE (via Ovid), Embase (via Ovid), Web of Science, and CINAHL (via EBSCO).The search strategy was initially developed in MEDLINE, and adapted for other databases as appropriate. Search terms were developed to encompass all vignette methods applied to studies of medical decision-making, quality improvement, patient safety and variations in health care use, with the addition of a review article search filter adapted from SIGN (see </w:t>
      </w:r>
      <w:hyperlink r:id="rId7" w:history="1">
        <w:r>
          <w:rPr>
            <w:rStyle w:val="Hyperlink"/>
            <w:rFonts w:ascii="Baskerville Old Face" w:hAnsi="Baskerville Old Face" w:cstheme="minorHAnsi"/>
            <w:sz w:val="24"/>
            <w:szCs w:val="24"/>
          </w:rPr>
          <w:t>https://www.sign.ac.uk/search-filters.html</w:t>
        </w:r>
      </w:hyperlink>
      <w:r>
        <w:rPr>
          <w:rFonts w:ascii="Baskerville Old Face" w:hAnsi="Baskerville Old Face" w:cstheme="minorHAnsi"/>
          <w:sz w:val="24"/>
          <w:szCs w:val="24"/>
        </w:rPr>
        <w:t>) (Box 1). Forward and backwards citation searches were conducted for each included full text publication.</w:t>
      </w:r>
    </w:p>
    <w:p w14:paraId="29F26146" w14:textId="77777777" w:rsidR="004907F1" w:rsidRDefault="004907F1" w:rsidP="004907F1">
      <w:pPr>
        <w:autoSpaceDE w:val="0"/>
        <w:autoSpaceDN w:val="0"/>
        <w:adjustRightInd w:val="0"/>
        <w:spacing w:after="0" w:line="360" w:lineRule="auto"/>
        <w:jc w:val="both"/>
        <w:rPr>
          <w:rFonts w:ascii="Baskerville Old Face" w:hAnsi="Baskerville Old Face" w:cstheme="minorHAnsi"/>
          <w:b/>
          <w:sz w:val="24"/>
          <w:szCs w:val="24"/>
        </w:rPr>
      </w:pPr>
    </w:p>
    <w:p w14:paraId="528A9445" w14:textId="77777777" w:rsidR="004907F1" w:rsidRDefault="004907F1" w:rsidP="004907F1">
      <w:pPr>
        <w:pStyle w:val="Heading3"/>
        <w:rPr>
          <w:rFonts w:ascii="Baskerville Old Face" w:hAnsi="Baskerville Old Face" w:cstheme="minorHAnsi"/>
          <w:b w:val="0"/>
          <w:sz w:val="24"/>
          <w:szCs w:val="24"/>
        </w:rPr>
      </w:pPr>
      <w:r>
        <w:rPr>
          <w:rFonts w:ascii="Arial" w:hAnsi="Arial" w:cs="Arial"/>
          <w:sz w:val="22"/>
          <w:szCs w:val="22"/>
        </w:rPr>
        <w:t xml:space="preserve">Box 1. </w:t>
      </w:r>
      <w:r>
        <w:rPr>
          <w:rFonts w:ascii="Arial" w:hAnsi="Arial" w:cs="Arial"/>
          <w:b w:val="0"/>
          <w:sz w:val="22"/>
          <w:szCs w:val="22"/>
        </w:rPr>
        <w:t>Medline search strategy (adapted for other databases)</w:t>
      </w:r>
    </w:p>
    <w:tbl>
      <w:tblPr>
        <w:tblStyle w:val="GridTable1Light"/>
        <w:tblW w:w="0" w:type="auto"/>
        <w:tblInd w:w="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8926"/>
      </w:tblGrid>
      <w:tr w:rsidR="004907F1" w14:paraId="57AC92FC" w14:textId="77777777" w:rsidTr="004907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tcBorders>
              <w:top w:val="single" w:sz="4" w:space="0" w:color="auto"/>
              <w:left w:val="single" w:sz="4" w:space="0" w:color="auto"/>
              <w:bottom w:val="single" w:sz="4" w:space="0" w:color="auto"/>
              <w:right w:val="single" w:sz="4" w:space="0" w:color="auto"/>
            </w:tcBorders>
            <w:hideMark/>
          </w:tcPr>
          <w:p w14:paraId="2966ECBD" w14:textId="77777777" w:rsidR="004907F1" w:rsidRDefault="004907F1">
            <w:pPr>
              <w:pStyle w:val="PlainText"/>
              <w:spacing w:line="360" w:lineRule="auto"/>
              <w:rPr>
                <w:rFonts w:ascii="Baskerville Old Face" w:hAnsi="Baskerville Old Face" w:cstheme="minorHAnsi"/>
                <w:b w:val="0"/>
                <w:szCs w:val="22"/>
              </w:rPr>
            </w:pPr>
            <w:r>
              <w:rPr>
                <w:rFonts w:ascii="Baskerville Old Face" w:hAnsi="Baskerville Old Face" w:cstheme="minorHAnsi"/>
                <w:b w:val="0"/>
                <w:szCs w:val="22"/>
              </w:rPr>
              <w:t>Vignette*.</w:t>
            </w:r>
            <w:proofErr w:type="spellStart"/>
            <w:r>
              <w:rPr>
                <w:rFonts w:ascii="Baskerville Old Face" w:hAnsi="Baskerville Old Face" w:cstheme="minorHAnsi"/>
                <w:b w:val="0"/>
                <w:szCs w:val="22"/>
              </w:rPr>
              <w:t>mp</w:t>
            </w:r>
            <w:proofErr w:type="spellEnd"/>
            <w:r>
              <w:rPr>
                <w:rFonts w:ascii="Baskerville Old Face" w:hAnsi="Baskerville Old Face" w:cstheme="minorHAnsi"/>
                <w:b w:val="0"/>
                <w:szCs w:val="22"/>
              </w:rPr>
              <w:t xml:space="preserve">. </w:t>
            </w:r>
          </w:p>
          <w:p w14:paraId="6C94E80C" w14:textId="77777777" w:rsidR="004907F1" w:rsidRDefault="004907F1">
            <w:pPr>
              <w:pStyle w:val="PlainText"/>
              <w:spacing w:line="360" w:lineRule="auto"/>
              <w:rPr>
                <w:rFonts w:ascii="Baskerville Old Face" w:hAnsi="Baskerville Old Face" w:cstheme="minorHAnsi"/>
                <w:b w:val="0"/>
                <w:szCs w:val="22"/>
              </w:rPr>
            </w:pPr>
            <w:r>
              <w:rPr>
                <w:rFonts w:ascii="Baskerville Old Face" w:hAnsi="Baskerville Old Face" w:cstheme="minorHAnsi"/>
                <w:b w:val="0"/>
                <w:szCs w:val="22"/>
              </w:rPr>
              <w:t xml:space="preserve">AND </w:t>
            </w:r>
          </w:p>
          <w:p w14:paraId="279708F3" w14:textId="77777777" w:rsidR="004907F1" w:rsidRDefault="004907F1">
            <w:pPr>
              <w:pStyle w:val="PlainText"/>
              <w:spacing w:line="360" w:lineRule="auto"/>
              <w:rPr>
                <w:rFonts w:ascii="Baskerville Old Face" w:hAnsi="Baskerville Old Face" w:cstheme="minorHAnsi"/>
                <w:b w:val="0"/>
                <w:szCs w:val="22"/>
              </w:rPr>
            </w:pPr>
            <w:r>
              <w:rPr>
                <w:rFonts w:ascii="Baskerville Old Face" w:hAnsi="Baskerville Old Face" w:cstheme="minorHAnsi"/>
                <w:b w:val="0"/>
                <w:szCs w:val="22"/>
              </w:rPr>
              <w:t>(exp Decision Making/ or exp Diagnostic Errors/ or exp Medication Errors/ or exp Medical Errors/ or exp "Quality of Health Care"/ or exp Quality Improvement/ or exp Quality Control/ or exp Quality Indicators, Health Care/ or exp Patient Safety/ or exp Safety Management/ or exp Safety/ or exp Socioeconomic Factors or exp Health Services Accessibility/ or exp Healthcare Disparities/)</w:t>
            </w:r>
          </w:p>
          <w:p w14:paraId="683F1E07" w14:textId="77777777" w:rsidR="004907F1" w:rsidRDefault="004907F1">
            <w:pPr>
              <w:spacing w:line="360" w:lineRule="auto"/>
              <w:rPr>
                <w:rFonts w:ascii="Baskerville Old Face" w:hAnsi="Baskerville Old Face" w:cstheme="minorHAnsi"/>
                <w:b w:val="0"/>
              </w:rPr>
            </w:pPr>
            <w:r>
              <w:rPr>
                <w:rFonts w:ascii="Baskerville Old Face" w:hAnsi="Baskerville Old Face" w:cstheme="minorHAnsi"/>
                <w:b w:val="0"/>
              </w:rPr>
              <w:t>AND</w:t>
            </w:r>
          </w:p>
          <w:p w14:paraId="586FE4E2" w14:textId="77777777" w:rsidR="004907F1" w:rsidRDefault="004907F1">
            <w:pPr>
              <w:spacing w:line="360" w:lineRule="auto"/>
              <w:rPr>
                <w:rFonts w:ascii="Baskerville Old Face" w:hAnsi="Baskerville Old Face" w:cstheme="minorHAnsi"/>
                <w:b w:val="0"/>
              </w:rPr>
            </w:pPr>
            <w:r>
              <w:rPr>
                <w:rFonts w:ascii="Baskerville Old Face" w:hAnsi="Baskerville Old Face" w:cstheme="minorHAnsi"/>
                <w:b w:val="0"/>
                <w:color w:val="000000" w:themeColor="text1"/>
              </w:rPr>
              <w:t xml:space="preserve">(Meta-Analysis as Topic/ or (systematic </w:t>
            </w:r>
            <w:proofErr w:type="spellStart"/>
            <w:r>
              <w:rPr>
                <w:rFonts w:ascii="Baskerville Old Face" w:hAnsi="Baskerville Old Face" w:cstheme="minorHAnsi"/>
                <w:b w:val="0"/>
                <w:color w:val="000000" w:themeColor="text1"/>
              </w:rPr>
              <w:t>adj</w:t>
            </w:r>
            <w:proofErr w:type="spellEnd"/>
            <w:r>
              <w:rPr>
                <w:rFonts w:ascii="Baskerville Old Face" w:hAnsi="Baskerville Old Face" w:cstheme="minorHAnsi"/>
                <w:b w:val="0"/>
                <w:color w:val="000000" w:themeColor="text1"/>
              </w:rPr>
              <w:t xml:space="preserve"> (review$1 or overview$1)).</w:t>
            </w:r>
            <w:proofErr w:type="spellStart"/>
            <w:r>
              <w:rPr>
                <w:rFonts w:ascii="Baskerville Old Face" w:hAnsi="Baskerville Old Face" w:cstheme="minorHAnsi"/>
                <w:b w:val="0"/>
                <w:color w:val="000000" w:themeColor="text1"/>
              </w:rPr>
              <w:t>tw</w:t>
            </w:r>
            <w:proofErr w:type="spellEnd"/>
            <w:r>
              <w:rPr>
                <w:rFonts w:ascii="Baskerville Old Face" w:hAnsi="Baskerville Old Face" w:cstheme="minorHAnsi"/>
                <w:b w:val="0"/>
                <w:color w:val="000000" w:themeColor="text1"/>
              </w:rPr>
              <w:t>. or exp Review Literature as Topic/ or meta analy$.tw. or metaanaly$.tw. or Meta-Analysis/ or Review/)</w:t>
            </w:r>
          </w:p>
        </w:tc>
      </w:tr>
    </w:tbl>
    <w:p w14:paraId="128FA212" w14:textId="77777777" w:rsidR="004907F1" w:rsidRDefault="004907F1" w:rsidP="004907F1">
      <w:pPr>
        <w:spacing w:after="0" w:line="360" w:lineRule="auto"/>
        <w:rPr>
          <w:rFonts w:ascii="Baskerville Old Face" w:hAnsi="Baskerville Old Face" w:cstheme="minorHAnsi"/>
          <w:b/>
          <w:sz w:val="24"/>
          <w:szCs w:val="24"/>
        </w:rPr>
      </w:pPr>
      <w:r>
        <w:rPr>
          <w:rFonts w:ascii="Baskerville Old Face" w:hAnsi="Baskerville Old Face" w:cstheme="minorHAnsi"/>
          <w:b/>
          <w:sz w:val="24"/>
          <w:szCs w:val="24"/>
        </w:rPr>
        <w:t>Inclusion and exclusion criteria</w:t>
      </w:r>
    </w:p>
    <w:p w14:paraId="2B493BD2" w14:textId="77777777" w:rsidR="004907F1" w:rsidRDefault="004907F1" w:rsidP="004907F1">
      <w:pPr>
        <w:spacing w:after="0" w:line="360" w:lineRule="auto"/>
        <w:rPr>
          <w:rFonts w:ascii="Baskerville Old Face" w:hAnsi="Baskerville Old Face"/>
          <w:sz w:val="24"/>
          <w:szCs w:val="24"/>
        </w:rPr>
      </w:pPr>
      <w:r>
        <w:rPr>
          <w:rFonts w:ascii="Baskerville Old Face" w:hAnsi="Baskerville Old Face"/>
          <w:sz w:val="24"/>
          <w:szCs w:val="24"/>
        </w:rPr>
        <w:lastRenderedPageBreak/>
        <w:t>We included all publications which reviewed the use of vignette methods in empirical research studies concerned with the quality and safety of, or variations in, health care. We excluded empirical research papers, editorials, letters, and publications not in English.</w:t>
      </w:r>
    </w:p>
    <w:p w14:paraId="3388B25E" w14:textId="77777777" w:rsidR="004907F1" w:rsidRDefault="004907F1" w:rsidP="004907F1">
      <w:pPr>
        <w:spacing w:after="0" w:line="360" w:lineRule="auto"/>
        <w:rPr>
          <w:rFonts w:ascii="Baskerville Old Face" w:hAnsi="Baskerville Old Face"/>
          <w:sz w:val="24"/>
          <w:szCs w:val="24"/>
        </w:rPr>
      </w:pPr>
    </w:p>
    <w:p w14:paraId="1E2F9A24" w14:textId="77777777" w:rsidR="004907F1" w:rsidRDefault="004907F1" w:rsidP="004907F1">
      <w:pPr>
        <w:spacing w:after="0" w:line="360" w:lineRule="auto"/>
        <w:rPr>
          <w:rFonts w:ascii="Baskerville Old Face" w:hAnsi="Baskerville Old Face" w:cstheme="minorHAnsi"/>
          <w:b/>
          <w:sz w:val="24"/>
          <w:szCs w:val="24"/>
        </w:rPr>
      </w:pPr>
      <w:r>
        <w:rPr>
          <w:rFonts w:ascii="Baskerville Old Face" w:hAnsi="Baskerville Old Face" w:cstheme="minorHAnsi"/>
          <w:b/>
          <w:sz w:val="24"/>
          <w:szCs w:val="24"/>
        </w:rPr>
        <w:t>Study selection</w:t>
      </w:r>
    </w:p>
    <w:p w14:paraId="23391053" w14:textId="77777777" w:rsidR="004907F1" w:rsidRDefault="004907F1" w:rsidP="004907F1">
      <w:pPr>
        <w:autoSpaceDE w:val="0"/>
        <w:autoSpaceDN w:val="0"/>
        <w:adjustRightInd w:val="0"/>
        <w:spacing w:after="0" w:line="360" w:lineRule="auto"/>
        <w:rPr>
          <w:rFonts w:ascii="Baskerville Old Face" w:hAnsi="Baskerville Old Face" w:cstheme="minorHAnsi"/>
          <w:sz w:val="24"/>
          <w:szCs w:val="24"/>
          <w:lang w:eastAsia="en-GB"/>
        </w:rPr>
      </w:pPr>
      <w:r>
        <w:rPr>
          <w:rFonts w:ascii="Baskerville Old Face" w:hAnsi="Baskerville Old Face" w:cstheme="minorHAnsi"/>
          <w:sz w:val="24"/>
          <w:szCs w:val="24"/>
          <w:lang w:eastAsia="en-GB"/>
        </w:rPr>
        <w:t xml:space="preserve">Following the removal of duplicate references, JB screened all titles and abstracts against the inclusion and exclusion criteria. A random sample of titles and abstracts </w:t>
      </w:r>
      <w:r>
        <w:rPr>
          <w:rFonts w:ascii="Baskerville Old Face" w:hAnsi="Baskerville Old Face" w:cstheme="minorHAnsi"/>
          <w:sz w:val="24"/>
          <w:szCs w:val="24"/>
        </w:rPr>
        <w:t>(10% of the total) were additionally screened by JS to confirm agreement.</w:t>
      </w:r>
      <w:r>
        <w:rPr>
          <w:rFonts w:ascii="Baskerville Old Face" w:hAnsi="Baskerville Old Face" w:cstheme="minorHAnsi"/>
          <w:sz w:val="24"/>
          <w:szCs w:val="24"/>
          <w:lang w:eastAsia="en-GB"/>
        </w:rPr>
        <w:t xml:space="preserve"> Full texts were obtained for all publications with potential relevance; both JB and JS screened these to identify studies for inclusion in the review. </w:t>
      </w:r>
    </w:p>
    <w:p w14:paraId="5F34114C" w14:textId="77777777" w:rsidR="004907F1" w:rsidRDefault="004907F1" w:rsidP="004907F1">
      <w:pPr>
        <w:autoSpaceDE w:val="0"/>
        <w:autoSpaceDN w:val="0"/>
        <w:adjustRightInd w:val="0"/>
        <w:spacing w:after="0" w:line="360" w:lineRule="auto"/>
        <w:rPr>
          <w:rFonts w:ascii="Baskerville Old Face" w:hAnsi="Baskerville Old Face" w:cstheme="minorHAnsi"/>
          <w:sz w:val="24"/>
          <w:szCs w:val="24"/>
          <w:lang w:eastAsia="en-GB"/>
        </w:rPr>
      </w:pPr>
    </w:p>
    <w:p w14:paraId="6B8885F2" w14:textId="77777777" w:rsidR="004907F1" w:rsidRDefault="004907F1" w:rsidP="004907F1">
      <w:pPr>
        <w:autoSpaceDE w:val="0"/>
        <w:autoSpaceDN w:val="0"/>
        <w:adjustRightInd w:val="0"/>
        <w:spacing w:after="0" w:line="360" w:lineRule="auto"/>
        <w:jc w:val="both"/>
        <w:rPr>
          <w:rFonts w:ascii="Baskerville Old Face" w:hAnsi="Baskerville Old Face" w:cstheme="minorHAnsi"/>
          <w:b/>
          <w:sz w:val="24"/>
          <w:szCs w:val="24"/>
        </w:rPr>
      </w:pPr>
      <w:r>
        <w:rPr>
          <w:rFonts w:ascii="Baskerville Old Face" w:hAnsi="Baskerville Old Face" w:cstheme="minorHAnsi"/>
          <w:b/>
          <w:sz w:val="24"/>
          <w:szCs w:val="24"/>
        </w:rPr>
        <w:t>Data extraction</w:t>
      </w:r>
    </w:p>
    <w:p w14:paraId="6F877FFC" w14:textId="77777777" w:rsidR="004907F1" w:rsidRDefault="004907F1" w:rsidP="004907F1">
      <w:pPr>
        <w:spacing w:after="0" w:line="360" w:lineRule="auto"/>
        <w:rPr>
          <w:rFonts w:ascii="Baskerville Old Face" w:hAnsi="Baskerville Old Face" w:cstheme="minorHAnsi"/>
          <w:sz w:val="24"/>
          <w:szCs w:val="24"/>
        </w:rPr>
      </w:pPr>
      <w:r>
        <w:rPr>
          <w:rFonts w:ascii="Baskerville Old Face" w:hAnsi="Baskerville Old Face" w:cstheme="minorHAnsi"/>
          <w:sz w:val="24"/>
          <w:szCs w:val="24"/>
        </w:rPr>
        <w:t xml:space="preserve">Information from each of the included reviews was extracted by JB, covering the study aim, method, search strategy used, number of vignette studies included, how the vignette studies were classified, key results, and any recommendations for or classifications of vignette studies presented. The extracted data were reviewed by JS to confirm completeness.     </w:t>
      </w:r>
    </w:p>
    <w:p w14:paraId="3C45D61E" w14:textId="77777777" w:rsidR="004907F1" w:rsidRDefault="004907F1" w:rsidP="004907F1">
      <w:pPr>
        <w:spacing w:after="0" w:line="360" w:lineRule="auto"/>
        <w:rPr>
          <w:rFonts w:ascii="Baskerville Old Face" w:hAnsi="Baskerville Old Face" w:cstheme="minorHAnsi"/>
          <w:sz w:val="24"/>
          <w:szCs w:val="24"/>
        </w:rPr>
      </w:pPr>
    </w:p>
    <w:p w14:paraId="5E340235" w14:textId="77777777" w:rsidR="004907F1" w:rsidRDefault="004907F1" w:rsidP="004907F1">
      <w:pPr>
        <w:spacing w:after="0" w:line="360" w:lineRule="auto"/>
        <w:rPr>
          <w:rFonts w:ascii="Baskerville Old Face" w:hAnsi="Baskerville Old Face" w:cstheme="minorHAnsi"/>
          <w:b/>
          <w:sz w:val="24"/>
          <w:szCs w:val="24"/>
        </w:rPr>
      </w:pPr>
      <w:r>
        <w:rPr>
          <w:rFonts w:ascii="Baskerville Old Face" w:hAnsi="Baskerville Old Face" w:cstheme="minorHAnsi"/>
          <w:b/>
          <w:sz w:val="24"/>
          <w:szCs w:val="24"/>
        </w:rPr>
        <w:t>Development of framework to appraise the design and conduct of experimental vignette studies</w:t>
      </w:r>
    </w:p>
    <w:p w14:paraId="0C4585C5" w14:textId="77777777" w:rsidR="004907F1" w:rsidRDefault="004907F1" w:rsidP="004907F1">
      <w:pPr>
        <w:spacing w:after="0" w:line="360" w:lineRule="auto"/>
        <w:rPr>
          <w:rFonts w:ascii="Baskerville Old Face" w:hAnsi="Baskerville Old Face" w:cstheme="minorHAnsi"/>
          <w:sz w:val="24"/>
          <w:szCs w:val="24"/>
        </w:rPr>
      </w:pPr>
      <w:r>
        <w:rPr>
          <w:rFonts w:ascii="Baskerville Old Face" w:hAnsi="Baskerville Old Face" w:cstheme="minorHAnsi"/>
          <w:sz w:val="24"/>
          <w:szCs w:val="24"/>
        </w:rPr>
        <w:t xml:space="preserve">Recommendations for the conduct of vignette studies identified within located reviews were examined and extracted. To ensure methodological developments from outside of the health care field were considered, we conducted a further search to identify additional reviews and commentaries with </w:t>
      </w:r>
      <w:proofErr w:type="gramStart"/>
      <w:r>
        <w:rPr>
          <w:rFonts w:ascii="Baskerville Old Face" w:hAnsi="Baskerville Old Face" w:cstheme="minorHAnsi"/>
          <w:sz w:val="24"/>
          <w:szCs w:val="24"/>
        </w:rPr>
        <w:t>particular relevance</w:t>
      </w:r>
      <w:proofErr w:type="gramEnd"/>
      <w:r>
        <w:rPr>
          <w:rFonts w:ascii="Baskerville Old Face" w:hAnsi="Baskerville Old Face" w:cstheme="minorHAnsi"/>
          <w:sz w:val="24"/>
          <w:szCs w:val="24"/>
        </w:rPr>
        <w:t xml:space="preserve"> for the development of quality criteria. Using forward and backward citation searching, we traced the field of experimental vignette research in disciplines including organisational research, applied psychology, social research, and educational research. Recommendations for the conduct of experimental vignette studies were extracted and added to those made within the health care literature. </w:t>
      </w:r>
    </w:p>
    <w:p w14:paraId="62299A3A" w14:textId="77777777" w:rsidR="004907F1" w:rsidRDefault="004907F1" w:rsidP="004907F1">
      <w:pPr>
        <w:autoSpaceDE w:val="0"/>
        <w:autoSpaceDN w:val="0"/>
        <w:adjustRightInd w:val="0"/>
        <w:spacing w:after="0" w:line="360" w:lineRule="auto"/>
        <w:rPr>
          <w:rFonts w:ascii="Baskerville Old Face" w:hAnsi="Baskerville Old Face" w:cstheme="minorHAnsi"/>
          <w:sz w:val="24"/>
          <w:szCs w:val="24"/>
          <w:lang w:eastAsia="en-GB"/>
        </w:rPr>
      </w:pPr>
    </w:p>
    <w:p w14:paraId="710E7DBB" w14:textId="77777777" w:rsidR="004907F1" w:rsidRDefault="004907F1" w:rsidP="004907F1">
      <w:pPr>
        <w:spacing w:after="0" w:line="360" w:lineRule="auto"/>
        <w:rPr>
          <w:rFonts w:ascii="Baskerville Old Face" w:hAnsi="Baskerville Old Face" w:cstheme="minorHAnsi"/>
          <w:b/>
          <w:sz w:val="24"/>
          <w:szCs w:val="24"/>
        </w:rPr>
      </w:pPr>
      <w:r>
        <w:rPr>
          <w:rFonts w:ascii="Baskerville Old Face" w:hAnsi="Baskerville Old Face" w:cstheme="minorHAnsi"/>
          <w:b/>
          <w:sz w:val="24"/>
          <w:szCs w:val="24"/>
        </w:rPr>
        <w:t>Results</w:t>
      </w:r>
    </w:p>
    <w:p w14:paraId="53FA66E5" w14:textId="77777777" w:rsidR="004907F1" w:rsidRDefault="004907F1" w:rsidP="004907F1">
      <w:pPr>
        <w:spacing w:after="0" w:line="360" w:lineRule="auto"/>
        <w:rPr>
          <w:rFonts w:ascii="Baskerville Old Face" w:hAnsi="Baskerville Old Face" w:cstheme="minorHAnsi"/>
          <w:b/>
          <w:sz w:val="24"/>
          <w:szCs w:val="24"/>
        </w:rPr>
      </w:pPr>
      <w:r>
        <w:rPr>
          <w:rFonts w:ascii="Baskerville Old Face" w:hAnsi="Baskerville Old Face" w:cstheme="minorHAnsi"/>
          <w:b/>
          <w:sz w:val="24"/>
          <w:szCs w:val="24"/>
        </w:rPr>
        <w:t>Review selection</w:t>
      </w:r>
    </w:p>
    <w:p w14:paraId="484A31B0" w14:textId="77777777" w:rsidR="004907F1" w:rsidRDefault="004907F1" w:rsidP="004907F1">
      <w:pPr>
        <w:pStyle w:val="ThesisHeading2"/>
        <w:keepNext w:val="0"/>
        <w:keepLines w:val="0"/>
        <w:rPr>
          <w:rFonts w:ascii="Baskerville Old Face" w:hAnsi="Baskerville Old Face" w:cstheme="minorHAnsi"/>
          <w:bCs w:val="0"/>
          <w:szCs w:val="24"/>
        </w:rPr>
      </w:pPr>
      <w:r>
        <w:rPr>
          <w:rFonts w:ascii="Baskerville Old Face" w:hAnsi="Baskerville Old Face" w:cstheme="minorHAnsi"/>
          <w:b w:val="0"/>
          <w:szCs w:val="24"/>
        </w:rPr>
        <w:t xml:space="preserve">Database searches identified 482 citations; following de-duplication, 423 citations were left for title and abstract screening. Of these, 11 full text publications were obtained to review in detail, of which 6 met the inclusion criteria for this review. </w:t>
      </w:r>
      <w:r>
        <w:rPr>
          <w:rFonts w:ascii="Baskerville Old Face" w:hAnsi="Baskerville Old Face" w:cstheme="minorHAnsi"/>
          <w:b w:val="0"/>
          <w:szCs w:val="24"/>
        </w:rPr>
        <w:fldChar w:fldCharType="begin"/>
      </w:r>
      <w:r>
        <w:rPr>
          <w:rFonts w:ascii="Baskerville Old Face" w:hAnsi="Baskerville Old Face" w:cstheme="minorHAnsi"/>
          <w:b w:val="0"/>
          <w:szCs w:val="24"/>
        </w:rPr>
        <w:instrText xml:space="preserve"> ADDIN ZOTERO_ITEM CSL_CITATION {"citationID":"a9f5oh23uv","properties":{"formattedCitation":"[1\\uc0\\u8211{}6]","plainCitation":"[1–6]","noteIndex":0},"citationItems":[{"id":1339,"uris":["http://zotero.org/users/2461043/items/SACPUP8P"],"uri":["http://zotero.org/users/2461043/items/SACPUP8P"],"itemData":{"id":1339,"type":"article-journal","title":"The application of vignettes in social and nursing research","container-title":"Journal of advanced nursing","page":"382–386","volume":"37","issue":"4","source":"Google Scholar","author":[{"family":"Hughes","given":"Rhidian"},{"family":"Huby","given":"Meg"}],"issued":{"date-parts":[["2002"]]}}},{"id":3282,"uris":["http://zotero.org/users/2461043/items/2TFJ26X3"],"uri":["http://zotero.org/users/2461043/items/2TFJ26X3"],"itemData":{"id":3282,"type":"article-journal","title":"Clinical Vignette-Based Surveys: A Tool for Assessing Physician Practice Variation","container-title":"American Journal of Medical Quality","page":"151-157","volume":"20","issue":"3","source":"CrossRef","DOI":"10.1177/1062860605274520","ISSN":"1062-8606, 1555-824X","title-short":"Clinical Vignette-Based Surveys","language":"en","author":[{"family":"Veloski","given":"Jon"},{"family":"Tai","given":"Stephen"},{"family":"Evans","given":"Adam S."},{"family":"Nash","given":"David B."}],"issued":{"date-parts":[["2005",5]]}}},{"id":1344,"uris":["http://zotero.org/users/2461043/items/T4FC3S86"],"uri":["http://zotero.org/users/2461043/items/T4FC3S86"],"itemData":{"id":1344,"type":"article-journal","title":"Vignette studies of medical choice and judgement to study caregivers' medical decision behaviour: systematic review","container-title":"BMC Medical Research Methodology","page":"50","volume":"8","issue":"1","source":"CrossRef","DOI":"10.1186/1471-2288-8-50","ISSN":"1471-2288","title-short":"Vignette studies of medical choice and judgement to study caregivers' medical decision behaviour","language":"en","author":[{"family":"Bachmann","given":"Lucas M"},{"family":"Mühleisen","given":"Andrea"},{"family":"Bock","given":"Annekatrin"},{"family":"Riet","given":"Gerben","non-dropping-particle":"ter"},{"family":"Held","given":"Ulrike"},{"family":"Kessels","given":"Alfons GH"}],"issued":{"date-parts":[["2008"]]}}},{"id":994,"uris":["http://zotero.org/users/2461043/items/NG3FISHG"],"uri":["http://zotero.org/users/2461043/items/NG3FISHG"],"itemData":{"id":994,"type":"article-journal","title":"How to create and administer scripted video-vignettes in an experimental study on disclosure of a palliative breast cancer diagnosis","container-title":"Patient Education and Counseling","page":"56-64","volume":"91","issue":"1","archive_location":"WOS:000316778600009","abstract":"Objective: Scripted consultations provide the opportunity to vary and study the effect of specific elements of medical communication. These scripted consultations are role-played, videotaped and then judged by analogue patients. Most studies applying this methodology have provided little insight into how they created internally and externally valid written and role-played scripts. In this paper we aim to address this gap by providing a detailed description of a scripted video-vignette study's methodology.\nMethods: Following the five phases of creating and implementing scripted video-vignettes the current study's methodology is described: (1) deciding if video-vignettes are appropriate, (2) developing a valid script, (3) designing valid manipulations, (4) converting the scripted consultations to video, (5) administering the videos in an experiment.\nResults: Following these phases and four validation steps internally and externally valid vignettes were developed.\nConclusions: The detailed description of the current study's methodology produced general recommendations for scripted video-vignette studies, such as the importance of validating both the written as well as the role-played scripts and involving both experts and lay people in validating the scripts. For other choices no golden standard exists.\nPractice implications: The presented methodology and recommendations may serve as a source of inspiration for future scripted video-vignette studies. (C) 2012 Elsevier Ireland Ltd. All rights reserved.","DOI":"10.1016/j.pec.2012.10.017","ISSN":"0738-3991","title-short":"How to create and administer scripted video-vignettes in an experimental study on disclosure of a palliative breast cancer diagnosis","journalAbbreviation":"Patient Educ Couns","language":"English","author":[{"family":"Vliet","given":"L. M.","non-dropping-particle":"van"},{"family":"Hillen","given":"M. A."},{"family":"Wall","given":"E.","non-dropping-particle":"van der"},{"family":"Plum","given":"N."},{"family":"Bensing","given":"J. M."}],"issued":{"date-parts":[["2013",4]]}}},{"id":1020,"uris":["http://zotero.org/users/2461043/items/CJISNAQA"],"uri":["http://zotero.org/users/2461043/items/CJISNAQA"],"itemData":{"id":1020,"type":"article-journal","title":"Developing and administering scripted video vignettes for experimental research of patient-provider communication","container-title":"Patient Education and Counseling","page":"295-309","volume":"91","issue":"3","archive_location":"WOS:000319645900006","abstract":"Objective: Scripted video-vignette studies enable experimental investigation of specific elements of patient-provider communication, separating cause and effect. However, scripted video vignettes are infrequently used to this end. Resultantly, few guidelines are available for their, design, development and administration. We aim to suggest guidelines enabling more informed decisions when designing and conducting these studies.\nMethods: Based on the available methodological literature, we discuss methodological considerations when developing and administering scripted video vignettes.\nResults: Developing and using valid video vignettes requires: (I) deciding if using video vignettes is appropriate, (II) developing a valid script, (III) designing valid manipulations, (IV) converting the scripted consultation to video, and (V) administering the videos. We provide a first checklist of the methodological considerations in each phase. Advantages and pitfalls of possible approaches are discussed.\nConclusions: No 'gold standard' exists for most methodological issues, as literature testing the consequences of different approaches is lacking. The best approach when developing and implementing video vignettes depends upon the aims and practical limitations of a particular study.\nPractice implications: Our checklist may serve as a starting point for further study of scripted video vignettes methodology. More detailed methodological reporting would yield new knowledge, thus allowing the research field to progress. (C) 2013 Elsevier Ireland Ltd. All rights reserved.","DOI":"10.1016/j.pec.2013.01.020","ISSN":"0738-3991","title-short":"Developing and administering scripted video vignettes for experimental research of patient-provider communication","journalAbbreviation":"Patient Educ Couns","language":"English","author":[{"family":"Hillen","given":"M. A."},{"family":"Vliet","given":"L. M.","non-dropping-particle":"van"},{"family":"Haes","given":"H. C. J. M.","non-dropping-particle":"de"},{"family":"Smets","given":"E. M. A."}],"issued":{"date-parts":[["2013",6]]}}},{"id":3283,"uris":["http://zotero.org/users/2461043/items/Y5IP2K6A"],"uri":["http://zotero.org/users/2461043/items/Y5IP2K6A"],"itemData":{"id":3283,"type":"article-journal","title":"Methods of Observing Variations in Physicians’ Decisions: The Opportunities of Clinical Vignettes","container-title":"Journal of General Internal Medicine","page":"586-594","volume":"30","issue":"S3","source":"CrossRef","DOI":"10.1007/s11606-015-3365-8","ISSN":"0884-8734, 1525-1497","title-short":"Methods of Observing Variations in Physicians’ Decisions","language":"en","author":[{"family":"Converse","given":"Lara"},{"family":"Barrett","given":"Kirsten"},{"family":"Rich","given":"Eugene"},{"family":"Reschovsky","given":"James"}],"issued":{"date-parts":[["2015",8]]}}}],"schema":"https://github.com/citation-style-language/schema/raw/master/csl-citation.json"} </w:instrText>
      </w:r>
      <w:r>
        <w:rPr>
          <w:rFonts w:ascii="Baskerville Old Face" w:hAnsi="Baskerville Old Face" w:cstheme="minorHAnsi"/>
          <w:b w:val="0"/>
          <w:szCs w:val="24"/>
        </w:rPr>
        <w:fldChar w:fldCharType="separate"/>
      </w:r>
      <w:r>
        <w:rPr>
          <w:rFonts w:ascii="Baskerville Old Face" w:hAnsi="Baskerville Old Face" w:cs="Calibri"/>
          <w:szCs w:val="24"/>
        </w:rPr>
        <w:t>[1–6]</w:t>
      </w:r>
      <w:r>
        <w:rPr>
          <w:rFonts w:ascii="Baskerville Old Face" w:hAnsi="Baskerville Old Face" w:cstheme="minorHAnsi"/>
          <w:b w:val="0"/>
          <w:szCs w:val="24"/>
        </w:rPr>
        <w:fldChar w:fldCharType="end"/>
      </w:r>
      <w:r>
        <w:rPr>
          <w:rFonts w:ascii="Baskerville Old Face" w:hAnsi="Baskerville Old Face" w:cstheme="minorHAnsi"/>
          <w:b w:val="0"/>
          <w:szCs w:val="24"/>
        </w:rPr>
        <w:t xml:space="preserve"> An additional review, which was </w:t>
      </w:r>
      <w:r>
        <w:rPr>
          <w:rFonts w:ascii="Baskerville Old Face" w:hAnsi="Baskerville Old Face" w:cstheme="minorHAnsi"/>
          <w:b w:val="0"/>
          <w:szCs w:val="24"/>
        </w:rPr>
        <w:lastRenderedPageBreak/>
        <w:t xml:space="preserve">eligible for inclusion, was located through forward citation searches </w:t>
      </w:r>
      <w:r>
        <w:rPr>
          <w:rFonts w:ascii="Baskerville Old Face" w:hAnsi="Baskerville Old Face" w:cstheme="minorHAnsi"/>
          <w:b w:val="0"/>
          <w:szCs w:val="24"/>
        </w:rPr>
        <w:fldChar w:fldCharType="begin"/>
      </w:r>
      <w:r>
        <w:rPr>
          <w:rFonts w:ascii="Baskerville Old Face" w:hAnsi="Baskerville Old Face" w:cstheme="minorHAnsi"/>
          <w:b w:val="0"/>
          <w:szCs w:val="24"/>
        </w:rPr>
        <w:instrText xml:space="preserve"> ADDIN ZOTERO_ITEM CSL_CITATION {"citationID":"a288rr3ti3h","properties":{"formattedCitation":"[7]","plainCitation":"[7]","noteIndex":0},"citationItems":[{"id":3288,"uris":["http://zotero.org/users/2461043/items/J2SUPVPZ"],"uri":["http://zotero.org/users/2461043/items/J2SUPVPZ"],"itemData":{"id":3288,"type":"article-journal","title":"Vignette methodologies for studying clinicians’ decision-making: Validity, utility, and application in ICD-11 field studies","container-title":"International Journal of Clinical and Health Psychology","page":"160-170","volume":"15","issue":"2","source":"CrossRef","DOI":"10.1016/j.ijchp.2014.12.001","ISSN":"16972600","title-short":"Vignette methodologies for studying clinicians’ decision-making","language":"en","author":[{"family":"Evans","given":"Spencer C."},{"family":"Roberts","given":"Michael C."},{"family":"Keeley","given":"Jared W."},{"family":"Blossom","given":"Jennifer B."},{"family":"Amaro","given":"Christina M."},{"family":"Garcia","given":"Andrea M."},{"family":"Stough","given":"Cathleen Odar"},{"family":"Canter","given":"Kimberly S."},{"family":"Robles","given":"Rebeca"},{"family":"Reed","given":"Geoffrey M."}],"issued":{"date-parts":[["2015",5]]}}}],"schema":"https://github.com/citation-style-language/schema/raw/master/csl-citation.json"} </w:instrText>
      </w:r>
      <w:r>
        <w:rPr>
          <w:rFonts w:ascii="Baskerville Old Face" w:hAnsi="Baskerville Old Face" w:cstheme="minorHAnsi"/>
          <w:b w:val="0"/>
          <w:szCs w:val="24"/>
        </w:rPr>
        <w:fldChar w:fldCharType="separate"/>
      </w:r>
      <w:r>
        <w:rPr>
          <w:rFonts w:ascii="Baskerville Old Face" w:hAnsi="Baskerville Old Face"/>
          <w:b w:val="0"/>
          <w:szCs w:val="24"/>
        </w:rPr>
        <w:t>[7]</w:t>
      </w:r>
      <w:r>
        <w:rPr>
          <w:rFonts w:ascii="Baskerville Old Face" w:hAnsi="Baskerville Old Face" w:cstheme="minorHAnsi"/>
          <w:b w:val="0"/>
          <w:szCs w:val="24"/>
        </w:rPr>
        <w:fldChar w:fldCharType="end"/>
      </w:r>
      <w:r>
        <w:rPr>
          <w:rFonts w:ascii="Baskerville Old Face" w:hAnsi="Baskerville Old Face" w:cstheme="minorHAnsi"/>
          <w:b w:val="0"/>
          <w:szCs w:val="24"/>
        </w:rPr>
        <w:t xml:space="preserve"> (see PRISMA flowchart, Figure 1). </w:t>
      </w:r>
    </w:p>
    <w:p w14:paraId="61610640" w14:textId="159072D5" w:rsidR="004907F1" w:rsidRDefault="004907F1" w:rsidP="004907F1">
      <w:pPr>
        <w:rPr>
          <w:rFonts w:ascii="Baskerville Old Face" w:hAnsi="Baskerville Old Face"/>
          <w:sz w:val="24"/>
          <w:szCs w:val="24"/>
        </w:rPr>
      </w:pPr>
      <w:r>
        <w:rPr>
          <w:noProof/>
        </w:rPr>
        <mc:AlternateContent>
          <mc:Choice Requires="wps">
            <w:drawing>
              <wp:anchor distT="0" distB="0" distL="114300" distR="114300" simplePos="0" relativeHeight="251659264" behindDoc="0" locked="0" layoutInCell="1" allowOverlap="1" wp14:anchorId="6CA81882" wp14:editId="1A750012">
                <wp:simplePos x="0" y="0"/>
                <wp:positionH relativeFrom="column">
                  <wp:posOffset>3469005</wp:posOffset>
                </wp:positionH>
                <wp:positionV relativeFrom="paragraph">
                  <wp:posOffset>2818130</wp:posOffset>
                </wp:positionV>
                <wp:extent cx="2304415" cy="602615"/>
                <wp:effectExtent l="0" t="0" r="19685" b="26035"/>
                <wp:wrapTopAndBottom/>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415" cy="602615"/>
                        </a:xfrm>
                        <a:prstGeom prst="rect">
                          <a:avLst/>
                        </a:prstGeom>
                        <a:solidFill>
                          <a:srgbClr val="FFFFFF"/>
                        </a:solidFill>
                        <a:ln w="6350">
                          <a:solidFill>
                            <a:srgbClr val="000000"/>
                          </a:solidFill>
                          <a:miter lim="800000"/>
                          <a:headEnd/>
                          <a:tailEnd/>
                        </a:ln>
                      </wps:spPr>
                      <wps:txbx>
                        <w:txbxContent>
                          <w:p w14:paraId="34367069" w14:textId="77777777" w:rsidR="004907F1" w:rsidRDefault="004907F1" w:rsidP="004907F1">
                            <w:pPr>
                              <w:spacing w:after="0" w:line="240" w:lineRule="auto"/>
                              <w:rPr>
                                <w:rFonts w:ascii="Arial" w:hAnsi="Arial" w:cs="Arial"/>
                                <w:sz w:val="20"/>
                                <w:szCs w:val="20"/>
                              </w:rPr>
                            </w:pPr>
                            <w:r>
                              <w:rPr>
                                <w:rFonts w:ascii="Arial" w:hAnsi="Arial" w:cs="Arial"/>
                                <w:sz w:val="20"/>
                                <w:szCs w:val="20"/>
                              </w:rPr>
                              <w:t xml:space="preserve">Full text articles excluded (n = 5) </w:t>
                            </w:r>
                          </w:p>
                          <w:p w14:paraId="278337C0" w14:textId="77777777" w:rsidR="004907F1" w:rsidRDefault="004907F1" w:rsidP="004907F1">
                            <w:pPr>
                              <w:spacing w:after="0" w:line="240" w:lineRule="auto"/>
                              <w:rPr>
                                <w:rFonts w:ascii="Arial" w:hAnsi="Arial" w:cs="Arial"/>
                                <w:sz w:val="20"/>
                                <w:szCs w:val="20"/>
                              </w:rPr>
                            </w:pPr>
                            <w:r>
                              <w:rPr>
                                <w:rFonts w:ascii="Arial" w:hAnsi="Arial" w:cs="Arial"/>
                                <w:sz w:val="20"/>
                                <w:szCs w:val="20"/>
                              </w:rPr>
                              <w:t>(not reviews of vignette methods in health care)</w:t>
                            </w:r>
                          </w:p>
                        </w:txbxContent>
                      </wps:txbx>
                      <wps:bodyPr rot="0" vert="horz" wrap="square" lIns="91440" tIns="72000" rIns="91440" bIns="7200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CA81882" id="_x0000_t202" coordsize="21600,21600" o:spt="202" path="m,l,21600r21600,l21600,xe">
                <v:stroke joinstyle="miter"/>
                <v:path gradientshapeok="t" o:connecttype="rect"/>
              </v:shapetype>
              <v:shape id="Text Box 29" o:spid="_x0000_s1026" type="#_x0000_t202" style="position:absolute;margin-left:273.15pt;margin-top:221.9pt;width:181.45pt;height:4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jmJKgIAAFQEAAAOAAAAZHJzL2Uyb0RvYy54bWysVNtu2zAMfR+wfxD0vthJ06w14hRdugwD&#10;ugvQ7gNkWY6FyaJGKbGzrx8lp2l2exnmB0G86JA8JL28GTrD9gq9Blvy6STnTFkJtbbbkn953Ly6&#10;4swHYWthwKqSH5TnN6uXL5a9K9QMWjC1QkYg1he9K3kbgiuyzMtWdcJPwClLxgawE4FE3GY1ip7Q&#10;O5PN8nyR9YC1Q5DKe9LejUa+SvhNo2T41DReBWZKTrmFdGI6q3hmq6Uotihcq+UxDfEPWXRCWwp6&#10;groTQbAd6t+gOi0RPDRhIqHLoGm0VKkGqmaa/1LNQyucSrUQOd6daPL/D1Z+3H9GpuuSz645s6Kj&#10;Hj2qIbA3MDBSET+98wW5PThyDAPpqc+pVu/uQX71zMK6FXarbhGhb5WoKb9pfJmdPR1xfASp+g9Q&#10;UxyxC5CAhga7SB7RwQid+nQ49SbmIkk5u8jn8+klZ5Jsi3y2oHsMIYqn1w59eKegY/FScqTeJ3Sx&#10;v/dhdH1yicE8GF1vtDFJwG21Nsj2guZkk74j+k9uxrKeol9c5iMBf4XI0/cniE4HGniju5JfnZxE&#10;EWl7a2tKUxRBaDPeqTpjjzxG6kYSw1AN5BjJraA+EKMI42DTItKlBfzOWU9DXXL/bSdQcWbeW+rK&#10;9XQ+j1uQhNe0PyTguaU6twgrCarkMiBno7AO4+7sHOptS7HGSbBwS71sdKL5Oa9j5jS6qVHHNYu7&#10;cS4nr+efweoHAAAA//8DAFBLAwQUAAYACAAAACEAO9fjSt8AAAALAQAADwAAAGRycy9kb3ducmV2&#10;LnhtbEyPQU+DQBCF7yb+h82YeLOLBWtLWRpj9KptMT0v7BZI2VnCLBT/veNJj5P35c33st3sOjHZ&#10;gVqPCh4XEQiLlTct1gq+iveHNQgKGo3uPFoF35Zgl9/eZDo1/ooHOx1DLbgEKdUKmhD6VEqqGus0&#10;LXxvkbOzH5wOfA61NIO+crnr5DKKVtLpFvlDo3v72tjqchydgo8y+pwKKqbT5XDe79+IinaslLq/&#10;m1+2IIKdwx8Mv/qsDjk7lX5EQ6JT8JSsYkYVJEnMG5jYRJsliJKjeP0MMs/k/w35DwAAAP//AwBQ&#10;SwECLQAUAAYACAAAACEAtoM4kv4AAADhAQAAEwAAAAAAAAAAAAAAAAAAAAAAW0NvbnRlbnRfVHlw&#10;ZXNdLnhtbFBLAQItABQABgAIAAAAIQA4/SH/1gAAAJQBAAALAAAAAAAAAAAAAAAAAC8BAABfcmVs&#10;cy8ucmVsc1BLAQItABQABgAIAAAAIQCngjmJKgIAAFQEAAAOAAAAAAAAAAAAAAAAAC4CAABkcnMv&#10;ZTJvRG9jLnhtbFBLAQItABQABgAIAAAAIQA71+NK3wAAAAsBAAAPAAAAAAAAAAAAAAAAAIQEAABk&#10;cnMvZG93bnJldi54bWxQSwUGAAAAAAQABADzAAAAkAUAAAAA&#10;" strokeweight=".5pt">
                <v:textbox inset=",2mm,,2mm">
                  <w:txbxContent>
                    <w:p w14:paraId="34367069" w14:textId="77777777" w:rsidR="004907F1" w:rsidRDefault="004907F1" w:rsidP="004907F1">
                      <w:pPr>
                        <w:spacing w:after="0" w:line="240" w:lineRule="auto"/>
                        <w:rPr>
                          <w:rFonts w:ascii="Arial" w:hAnsi="Arial" w:cs="Arial"/>
                          <w:sz w:val="20"/>
                          <w:szCs w:val="20"/>
                        </w:rPr>
                      </w:pPr>
                      <w:r>
                        <w:rPr>
                          <w:rFonts w:ascii="Arial" w:hAnsi="Arial" w:cs="Arial"/>
                          <w:sz w:val="20"/>
                          <w:szCs w:val="20"/>
                        </w:rPr>
                        <w:t xml:space="preserve">Full text articles excluded (n = 5) </w:t>
                      </w:r>
                    </w:p>
                    <w:p w14:paraId="278337C0" w14:textId="77777777" w:rsidR="004907F1" w:rsidRDefault="004907F1" w:rsidP="004907F1">
                      <w:pPr>
                        <w:spacing w:after="0" w:line="240" w:lineRule="auto"/>
                        <w:rPr>
                          <w:rFonts w:ascii="Arial" w:hAnsi="Arial" w:cs="Arial"/>
                          <w:sz w:val="20"/>
                          <w:szCs w:val="20"/>
                        </w:rPr>
                      </w:pPr>
                      <w:r>
                        <w:rPr>
                          <w:rFonts w:ascii="Arial" w:hAnsi="Arial" w:cs="Arial"/>
                          <w:sz w:val="20"/>
                          <w:szCs w:val="20"/>
                        </w:rPr>
                        <w:t>(not reviews of vignette methods in health care)</w:t>
                      </w:r>
                    </w:p>
                  </w:txbxContent>
                </v:textbox>
                <w10:wrap type="topAndBottom"/>
              </v:shape>
            </w:pict>
          </mc:Fallback>
        </mc:AlternateContent>
      </w:r>
      <w:r>
        <w:rPr>
          <w:noProof/>
        </w:rPr>
        <mc:AlternateContent>
          <mc:Choice Requires="wps">
            <w:drawing>
              <wp:anchor distT="0" distB="0" distL="114300" distR="114300" simplePos="0" relativeHeight="251660288" behindDoc="0" locked="0" layoutInCell="1" allowOverlap="1" wp14:anchorId="07C12E6A" wp14:editId="03E11D2C">
                <wp:simplePos x="0" y="0"/>
                <wp:positionH relativeFrom="column">
                  <wp:posOffset>100965</wp:posOffset>
                </wp:positionH>
                <wp:positionV relativeFrom="paragraph">
                  <wp:posOffset>405765</wp:posOffset>
                </wp:positionV>
                <wp:extent cx="2959100" cy="929005"/>
                <wp:effectExtent l="0" t="0" r="12700" b="23495"/>
                <wp:wrapTopAndBottom/>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9100" cy="929005"/>
                        </a:xfrm>
                        <a:prstGeom prst="rect">
                          <a:avLst/>
                        </a:prstGeom>
                        <a:solidFill>
                          <a:srgbClr val="FFFFFF"/>
                        </a:solidFill>
                        <a:ln w="6350">
                          <a:solidFill>
                            <a:srgbClr val="000000"/>
                          </a:solidFill>
                          <a:miter lim="800000"/>
                          <a:headEnd/>
                          <a:tailEnd/>
                        </a:ln>
                      </wps:spPr>
                      <wps:txbx>
                        <w:txbxContent>
                          <w:p w14:paraId="1152F483" w14:textId="77777777" w:rsidR="004907F1" w:rsidRDefault="004907F1" w:rsidP="004907F1">
                            <w:pPr>
                              <w:spacing w:after="0" w:line="240" w:lineRule="auto"/>
                              <w:rPr>
                                <w:rFonts w:ascii="Arial" w:hAnsi="Arial" w:cs="Arial"/>
                                <w:sz w:val="20"/>
                                <w:szCs w:val="20"/>
                              </w:rPr>
                            </w:pPr>
                            <w:r>
                              <w:rPr>
                                <w:rFonts w:ascii="Arial" w:hAnsi="Arial" w:cs="Arial"/>
                                <w:sz w:val="20"/>
                                <w:szCs w:val="20"/>
                              </w:rPr>
                              <w:t>References identified through databases (n=482)</w:t>
                            </w:r>
                          </w:p>
                          <w:p w14:paraId="367AF312" w14:textId="77777777" w:rsidR="004907F1" w:rsidRDefault="004907F1" w:rsidP="004907F1">
                            <w:pPr>
                              <w:spacing w:after="0" w:line="240" w:lineRule="auto"/>
                              <w:rPr>
                                <w:rFonts w:ascii="Arial" w:hAnsi="Arial" w:cs="Arial"/>
                                <w:sz w:val="4"/>
                                <w:szCs w:val="4"/>
                              </w:rPr>
                            </w:pPr>
                          </w:p>
                          <w:p w14:paraId="25CBDD32" w14:textId="77777777" w:rsidR="004907F1" w:rsidRDefault="004907F1" w:rsidP="004907F1">
                            <w:pPr>
                              <w:numPr>
                                <w:ilvl w:val="0"/>
                                <w:numId w:val="4"/>
                              </w:numPr>
                              <w:spacing w:after="0" w:line="240" w:lineRule="auto"/>
                              <w:ind w:left="142" w:hanging="142"/>
                              <w:rPr>
                                <w:rFonts w:ascii="Arial" w:hAnsi="Arial" w:cs="Arial"/>
                                <w:sz w:val="20"/>
                                <w:szCs w:val="20"/>
                                <w:lang w:val="en"/>
                              </w:rPr>
                            </w:pPr>
                            <w:r>
                              <w:rPr>
                                <w:rFonts w:ascii="Arial" w:hAnsi="Arial" w:cs="Arial"/>
                                <w:sz w:val="20"/>
                                <w:szCs w:val="20"/>
                              </w:rPr>
                              <w:t>176 – Medline</w:t>
                            </w:r>
                          </w:p>
                          <w:p w14:paraId="18F190F9" w14:textId="77777777" w:rsidR="004907F1" w:rsidRDefault="004907F1" w:rsidP="004907F1">
                            <w:pPr>
                              <w:numPr>
                                <w:ilvl w:val="0"/>
                                <w:numId w:val="4"/>
                              </w:numPr>
                              <w:spacing w:after="0" w:line="240" w:lineRule="auto"/>
                              <w:ind w:left="142" w:hanging="142"/>
                              <w:rPr>
                                <w:rFonts w:ascii="Arial" w:hAnsi="Arial" w:cs="Arial"/>
                                <w:sz w:val="20"/>
                                <w:szCs w:val="20"/>
                                <w:lang w:val="en"/>
                              </w:rPr>
                            </w:pPr>
                            <w:r>
                              <w:rPr>
                                <w:rFonts w:ascii="Arial" w:hAnsi="Arial" w:cs="Arial"/>
                                <w:sz w:val="20"/>
                                <w:szCs w:val="20"/>
                              </w:rPr>
                              <w:t>107 – Embase</w:t>
                            </w:r>
                          </w:p>
                          <w:p w14:paraId="065350B7" w14:textId="77777777" w:rsidR="004907F1" w:rsidRDefault="004907F1" w:rsidP="004907F1">
                            <w:pPr>
                              <w:numPr>
                                <w:ilvl w:val="0"/>
                                <w:numId w:val="4"/>
                              </w:numPr>
                              <w:spacing w:after="0" w:line="240" w:lineRule="auto"/>
                              <w:ind w:left="142" w:hanging="142"/>
                              <w:rPr>
                                <w:rFonts w:ascii="Arial" w:hAnsi="Arial" w:cs="Arial"/>
                                <w:sz w:val="20"/>
                                <w:szCs w:val="20"/>
                                <w:lang w:val="en"/>
                              </w:rPr>
                            </w:pPr>
                            <w:r>
                              <w:rPr>
                                <w:rFonts w:ascii="Arial" w:hAnsi="Arial" w:cs="Arial"/>
                                <w:sz w:val="20"/>
                                <w:szCs w:val="20"/>
                              </w:rPr>
                              <w:t>181 – Web of Science</w:t>
                            </w:r>
                          </w:p>
                          <w:p w14:paraId="454C2F0F" w14:textId="77777777" w:rsidR="004907F1" w:rsidRDefault="004907F1" w:rsidP="004907F1">
                            <w:pPr>
                              <w:numPr>
                                <w:ilvl w:val="0"/>
                                <w:numId w:val="4"/>
                              </w:numPr>
                              <w:spacing w:after="0" w:line="240" w:lineRule="auto"/>
                              <w:ind w:left="142" w:hanging="142"/>
                              <w:rPr>
                                <w:rFonts w:ascii="Arial" w:hAnsi="Arial" w:cs="Arial"/>
                                <w:sz w:val="20"/>
                                <w:szCs w:val="20"/>
                                <w:lang w:val="en"/>
                              </w:rPr>
                            </w:pPr>
                            <w:r>
                              <w:rPr>
                                <w:rFonts w:ascii="Arial" w:hAnsi="Arial" w:cs="Arial"/>
                                <w:sz w:val="20"/>
                                <w:szCs w:val="20"/>
                              </w:rPr>
                              <w:t>18 - CINAHL</w:t>
                            </w:r>
                          </w:p>
                        </w:txbxContent>
                      </wps:txbx>
                      <wps:bodyPr rot="0" vert="horz" wrap="square" lIns="91440" tIns="72000" rIns="91440" bIns="720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7C12E6A" id="Text Box 30" o:spid="_x0000_s1027" type="#_x0000_t202" style="position:absolute;margin-left:7.95pt;margin-top:31.95pt;width:233pt;height:7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0pLAIAAFsEAAAOAAAAZHJzL2Uyb0RvYy54bWysVNtu2zAMfR+wfxD0vthJm64x4hRdugwD&#10;ugvQ7gNkWY6FyaJGKbGzrx8lp2l2exnmB0G86JA8JL28GTrD9gq9Blvy6STnTFkJtbbbkn953Ly6&#10;5swHYWthwKqSH5TnN6uXL5a9K9QMWjC1QkYg1he9K3kbgiuyzMtWdcJPwClLxgawE4FE3GY1ip7Q&#10;O5PN8vwq6wFrhyCV96S9G418lfCbRsnwqWm8CsyUnHIL6cR0VvHMVktRbFG4VstjGuIfsuiEthT0&#10;BHUngmA71L9BdVoieGjCREKXQdNoqVINVM00/6Wah1Y4lWohcrw70eT/H6z8uP+MTNclvyB6rOio&#10;R49qCOwNDIxUxE/vfEFuD44cw0B66nOq1bt7kF89s7Buhd2qW0ToWyVqym8aX2ZnT0ccH0Gq/gPU&#10;FEfsAiSgocEukkd0MEKnRA6n3sRcJClni/limpNJkm0xW+T5PIUQxdNrhz68U9CxeCk5Uu8Tutjf&#10;+xCzEcWTSwzmweh6o41JAm6rtUG2FzQnm/Qd0X9yM5b1Jb+6mOcjAX+FyNP3J4hOBxp4o7uSX5+c&#10;RBFpe2vrNI5BaDPeKWVjjzxG6kYSw1ANqWWJ5MhxBfWBiEUY55v2kS4t4HfOeprtkvtvO4GKM/Pe&#10;UnMW08vLuAxJeE1rRAKeW6pzi7CSoEouA3I2CuswrtDOod62FGscCAu31NJGJ7af8zoWQBOcmnDc&#10;trgi53Lyev4nrH4AAAD//wMAUEsDBBQABgAIAAAAIQDoU2Sq3AAAAAkBAAAPAAAAZHJzL2Rvd25y&#10;ZXYueG1sTI9BT8MwDIXvSPyHyEjcWNIC0yhNJ4TgCtuKOKeN11ZrkqpOu/LvMSd2sp/e0/PnfLu4&#10;Xsw4Uhe8hmSlQKCvg+18o+GrfL/bgKBovDV98KjhBwm2xfVVbjIbzn6P8yE2gks8ZUZDG+OQSUl1&#10;i87QKgzo2TuG0ZnIcmykHc2Zy10vU6XW0pnO84XWDPjaYn06TE7DR6U+55LK+fu0P+52b0RlN9Va&#10;394sL88gIi7xPwx/+IwOBTNVYfKWRM/68YmTGtb3PNl/2CS8VBrSRKUgi1xeflD8AgAA//8DAFBL&#10;AQItABQABgAIAAAAIQC2gziS/gAAAOEBAAATAAAAAAAAAAAAAAAAAAAAAABbQ29udGVudF9UeXBl&#10;c10ueG1sUEsBAi0AFAAGAAgAAAAhADj9If/WAAAAlAEAAAsAAAAAAAAAAAAAAAAALwEAAF9yZWxz&#10;Ly5yZWxzUEsBAi0AFAAGAAgAAAAhALT57SksAgAAWwQAAA4AAAAAAAAAAAAAAAAALgIAAGRycy9l&#10;Mm9Eb2MueG1sUEsBAi0AFAAGAAgAAAAhAOhTZKrcAAAACQEAAA8AAAAAAAAAAAAAAAAAhgQAAGRy&#10;cy9kb3ducmV2LnhtbFBLBQYAAAAABAAEAPMAAACPBQAAAAA=&#10;" strokeweight=".5pt">
                <v:textbox inset=",2mm,,2mm">
                  <w:txbxContent>
                    <w:p w14:paraId="1152F483" w14:textId="77777777" w:rsidR="004907F1" w:rsidRDefault="004907F1" w:rsidP="004907F1">
                      <w:pPr>
                        <w:spacing w:after="0" w:line="240" w:lineRule="auto"/>
                        <w:rPr>
                          <w:rFonts w:ascii="Arial" w:hAnsi="Arial" w:cs="Arial"/>
                          <w:sz w:val="20"/>
                          <w:szCs w:val="20"/>
                        </w:rPr>
                      </w:pPr>
                      <w:r>
                        <w:rPr>
                          <w:rFonts w:ascii="Arial" w:hAnsi="Arial" w:cs="Arial"/>
                          <w:sz w:val="20"/>
                          <w:szCs w:val="20"/>
                        </w:rPr>
                        <w:t>References identified through databases (n=482)</w:t>
                      </w:r>
                    </w:p>
                    <w:p w14:paraId="367AF312" w14:textId="77777777" w:rsidR="004907F1" w:rsidRDefault="004907F1" w:rsidP="004907F1">
                      <w:pPr>
                        <w:spacing w:after="0" w:line="240" w:lineRule="auto"/>
                        <w:rPr>
                          <w:rFonts w:ascii="Arial" w:hAnsi="Arial" w:cs="Arial"/>
                          <w:sz w:val="4"/>
                          <w:szCs w:val="4"/>
                        </w:rPr>
                      </w:pPr>
                    </w:p>
                    <w:p w14:paraId="25CBDD32" w14:textId="77777777" w:rsidR="004907F1" w:rsidRDefault="004907F1" w:rsidP="004907F1">
                      <w:pPr>
                        <w:numPr>
                          <w:ilvl w:val="0"/>
                          <w:numId w:val="4"/>
                        </w:numPr>
                        <w:spacing w:after="0" w:line="240" w:lineRule="auto"/>
                        <w:ind w:left="142" w:hanging="142"/>
                        <w:rPr>
                          <w:rFonts w:ascii="Arial" w:hAnsi="Arial" w:cs="Arial"/>
                          <w:sz w:val="20"/>
                          <w:szCs w:val="20"/>
                          <w:lang w:val="en"/>
                        </w:rPr>
                      </w:pPr>
                      <w:r>
                        <w:rPr>
                          <w:rFonts w:ascii="Arial" w:hAnsi="Arial" w:cs="Arial"/>
                          <w:sz w:val="20"/>
                          <w:szCs w:val="20"/>
                        </w:rPr>
                        <w:t>176 – Medline</w:t>
                      </w:r>
                    </w:p>
                    <w:p w14:paraId="18F190F9" w14:textId="77777777" w:rsidR="004907F1" w:rsidRDefault="004907F1" w:rsidP="004907F1">
                      <w:pPr>
                        <w:numPr>
                          <w:ilvl w:val="0"/>
                          <w:numId w:val="4"/>
                        </w:numPr>
                        <w:spacing w:after="0" w:line="240" w:lineRule="auto"/>
                        <w:ind w:left="142" w:hanging="142"/>
                        <w:rPr>
                          <w:rFonts w:ascii="Arial" w:hAnsi="Arial" w:cs="Arial"/>
                          <w:sz w:val="20"/>
                          <w:szCs w:val="20"/>
                          <w:lang w:val="en"/>
                        </w:rPr>
                      </w:pPr>
                      <w:r>
                        <w:rPr>
                          <w:rFonts w:ascii="Arial" w:hAnsi="Arial" w:cs="Arial"/>
                          <w:sz w:val="20"/>
                          <w:szCs w:val="20"/>
                        </w:rPr>
                        <w:t>107 – Embase</w:t>
                      </w:r>
                    </w:p>
                    <w:p w14:paraId="065350B7" w14:textId="77777777" w:rsidR="004907F1" w:rsidRDefault="004907F1" w:rsidP="004907F1">
                      <w:pPr>
                        <w:numPr>
                          <w:ilvl w:val="0"/>
                          <w:numId w:val="4"/>
                        </w:numPr>
                        <w:spacing w:after="0" w:line="240" w:lineRule="auto"/>
                        <w:ind w:left="142" w:hanging="142"/>
                        <w:rPr>
                          <w:rFonts w:ascii="Arial" w:hAnsi="Arial" w:cs="Arial"/>
                          <w:sz w:val="20"/>
                          <w:szCs w:val="20"/>
                          <w:lang w:val="en"/>
                        </w:rPr>
                      </w:pPr>
                      <w:r>
                        <w:rPr>
                          <w:rFonts w:ascii="Arial" w:hAnsi="Arial" w:cs="Arial"/>
                          <w:sz w:val="20"/>
                          <w:szCs w:val="20"/>
                        </w:rPr>
                        <w:t>181 – Web of Science</w:t>
                      </w:r>
                    </w:p>
                    <w:p w14:paraId="454C2F0F" w14:textId="77777777" w:rsidR="004907F1" w:rsidRDefault="004907F1" w:rsidP="004907F1">
                      <w:pPr>
                        <w:numPr>
                          <w:ilvl w:val="0"/>
                          <w:numId w:val="4"/>
                        </w:numPr>
                        <w:spacing w:after="0" w:line="240" w:lineRule="auto"/>
                        <w:ind w:left="142" w:hanging="142"/>
                        <w:rPr>
                          <w:rFonts w:ascii="Arial" w:hAnsi="Arial" w:cs="Arial"/>
                          <w:sz w:val="20"/>
                          <w:szCs w:val="20"/>
                          <w:lang w:val="en"/>
                        </w:rPr>
                      </w:pPr>
                      <w:r>
                        <w:rPr>
                          <w:rFonts w:ascii="Arial" w:hAnsi="Arial" w:cs="Arial"/>
                          <w:sz w:val="20"/>
                          <w:szCs w:val="20"/>
                        </w:rPr>
                        <w:t>18 - CINAHL</w:t>
                      </w:r>
                    </w:p>
                  </w:txbxContent>
                </v:textbox>
                <w10:wrap type="topAndBottom"/>
              </v:shape>
            </w:pict>
          </mc:Fallback>
        </mc:AlternateContent>
      </w:r>
      <w:r>
        <w:rPr>
          <w:noProof/>
        </w:rPr>
        <mc:AlternateContent>
          <mc:Choice Requires="wps">
            <w:drawing>
              <wp:anchor distT="0" distB="0" distL="114300" distR="114300" simplePos="0" relativeHeight="251661312" behindDoc="0" locked="0" layoutInCell="1" allowOverlap="1" wp14:anchorId="191E3D4D" wp14:editId="430B40B0">
                <wp:simplePos x="0" y="0"/>
                <wp:positionH relativeFrom="column">
                  <wp:posOffset>125730</wp:posOffset>
                </wp:positionH>
                <wp:positionV relativeFrom="paragraph">
                  <wp:posOffset>3965575</wp:posOffset>
                </wp:positionV>
                <wp:extent cx="2959100" cy="466725"/>
                <wp:effectExtent l="0" t="0" r="12700" b="28575"/>
                <wp:wrapTopAndBottom/>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9100" cy="466725"/>
                        </a:xfrm>
                        <a:prstGeom prst="rect">
                          <a:avLst/>
                        </a:prstGeom>
                        <a:solidFill>
                          <a:srgbClr val="FFFFFF"/>
                        </a:solidFill>
                        <a:ln w="6350">
                          <a:solidFill>
                            <a:srgbClr val="000000"/>
                          </a:solidFill>
                          <a:miter lim="800000"/>
                          <a:headEnd/>
                          <a:tailEnd/>
                        </a:ln>
                      </wps:spPr>
                      <wps:txbx>
                        <w:txbxContent>
                          <w:p w14:paraId="638C1E8C" w14:textId="77777777" w:rsidR="004907F1" w:rsidRDefault="004907F1" w:rsidP="004907F1">
                            <w:pPr>
                              <w:spacing w:after="0" w:line="240" w:lineRule="auto"/>
                              <w:jc w:val="center"/>
                              <w:rPr>
                                <w:rFonts w:ascii="Arial" w:hAnsi="Arial" w:cs="Arial"/>
                                <w:sz w:val="20"/>
                                <w:szCs w:val="20"/>
                              </w:rPr>
                            </w:pPr>
                            <w:r>
                              <w:rPr>
                                <w:rFonts w:ascii="Arial" w:hAnsi="Arial" w:cs="Arial"/>
                                <w:sz w:val="20"/>
                                <w:szCs w:val="20"/>
                              </w:rPr>
                              <w:t>Reviews included in review</w:t>
                            </w:r>
                          </w:p>
                          <w:p w14:paraId="117CD0F5" w14:textId="77777777" w:rsidR="004907F1" w:rsidRDefault="004907F1" w:rsidP="004907F1">
                            <w:pPr>
                              <w:spacing w:after="0" w:line="240" w:lineRule="auto"/>
                              <w:jc w:val="center"/>
                              <w:rPr>
                                <w:rFonts w:ascii="Arial" w:hAnsi="Arial" w:cs="Arial"/>
                                <w:sz w:val="20"/>
                                <w:szCs w:val="20"/>
                                <w:lang w:val="en"/>
                              </w:rPr>
                            </w:pPr>
                            <w:r>
                              <w:rPr>
                                <w:rFonts w:ascii="Arial" w:hAnsi="Arial" w:cs="Arial"/>
                                <w:sz w:val="20"/>
                                <w:szCs w:val="20"/>
                              </w:rPr>
                              <w:t>(n = 7)</w:t>
                            </w:r>
                          </w:p>
                          <w:p w14:paraId="7C68F049" w14:textId="77777777" w:rsidR="004907F1" w:rsidRDefault="004907F1" w:rsidP="004907F1">
                            <w:pPr>
                              <w:spacing w:after="0" w:line="240" w:lineRule="auto"/>
                              <w:rPr>
                                <w:sz w:val="20"/>
                                <w:szCs w:val="20"/>
                              </w:rPr>
                            </w:pPr>
                          </w:p>
                        </w:txbxContent>
                      </wps:txbx>
                      <wps:bodyPr rot="0" vert="horz" wrap="square" lIns="91440" tIns="72000" rIns="91440" bIns="720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91E3D4D" id="Text Box 28" o:spid="_x0000_s1028" type="#_x0000_t202" style="position:absolute;margin-left:9.9pt;margin-top:312.25pt;width:233pt;height:3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7g/LQIAAFsEAAAOAAAAZHJzL2Uyb0RvYy54bWysVNtu2zAMfR+wfxD0vtjJkrQx4hRdugwD&#10;ugvQ7gMUWY6FyaJGKbGzrx8lp2l2exnmB0G86JA8JL286VvDDgq9Blvy8SjnTFkJlba7kn953Ly6&#10;5swHYSthwKqSH5XnN6uXL5adK9QEGjCVQkYg1hedK3kTgiuyzMtGtcKPwClLxhqwFYFE3GUVio7Q&#10;W5NN8nyedYCVQ5DKe9LeDUa+Svh1rWT4VNdeBWZKTrmFdGI6t/HMVktR7FC4RstTGuIfsmiFthT0&#10;DHUngmB71L9BtVoieKjDSEKbQV1rqVINVM04/6Wah0Y4lWohcrw70+T/H6z8ePiMTFcln1CnrGip&#10;R4+qD+wN9IxUxE/nfEFuD44cQ0966nOq1bt7kF89s7BuhN2pW0ToGiUqym8cX2YXTwccH0G23Qeo&#10;KI7YB0hAfY1tJI/oYIROfTqeexNzkaScLGaLcU4mSbbpfH41maUQonh67dCHdwpaFi8lR+p9QheH&#10;ex9iNqJ4conBPBhdbbQxScDddm2QHQTNySZ9J/Sf3IxlXcnnr2f5QMBfIfL0/Qmi1YEG3ui25Ndn&#10;J1FE2t7aKo1jENoMd0rZ2BOPkbqBxNBv+6FlMUDkeAvVkYhFGOab9pEuDeB3zjqa7ZL7b3uBijPz&#10;3lJzFuPpNC5DEq5ojUjAS8v20iKsJKiSy4CcDcI6DCu0d6h3DcUaBsLCLbW01ont57xOBdAEpyac&#10;ti2uyKWcvJ7/CasfAAAA//8DAFBLAwQUAAYACAAAACEAWA58Zt0AAAAKAQAADwAAAGRycy9kb3du&#10;cmV2LnhtbEyPwU7DMBBE70j9B2srcaM2VVulIU6FEFyhbRBnJ94mUeN1FDtp+HuWExxndjT7JjvM&#10;rhMTDqH1pOFxpUAgVd62VGv4LN4eEhAhGrKm84QavjHAIV/cZSa1/kYnnM6xFlxCITUamhj7VMpQ&#10;NehMWPkeiW8XPzgTWQ61tIO5cbnr5FqpnXSmJf7QmB5fGqyu59FpeC/Vx1SEYvq6ni7H42sIRTtW&#10;Wt8v5+cnEBHn+BeGX3xGh5yZSj+SDaJjvWfyqGG33mxBcGCTbNkp2dknCmSeyf8T8h8AAAD//wMA&#10;UEsBAi0AFAAGAAgAAAAhALaDOJL+AAAA4QEAABMAAAAAAAAAAAAAAAAAAAAAAFtDb250ZW50X1R5&#10;cGVzXS54bWxQSwECLQAUAAYACAAAACEAOP0h/9YAAACUAQAACwAAAAAAAAAAAAAAAAAvAQAAX3Jl&#10;bHMvLnJlbHNQSwECLQAUAAYACAAAACEAdn+4Py0CAABbBAAADgAAAAAAAAAAAAAAAAAuAgAAZHJz&#10;L2Uyb0RvYy54bWxQSwECLQAUAAYACAAAACEAWA58Zt0AAAAKAQAADwAAAAAAAAAAAAAAAACHBAAA&#10;ZHJzL2Rvd25yZXYueG1sUEsFBgAAAAAEAAQA8wAAAJEFAAAAAA==&#10;" strokeweight=".5pt">
                <v:textbox inset=",2mm,,2mm">
                  <w:txbxContent>
                    <w:p w14:paraId="638C1E8C" w14:textId="77777777" w:rsidR="004907F1" w:rsidRDefault="004907F1" w:rsidP="004907F1">
                      <w:pPr>
                        <w:spacing w:after="0" w:line="240" w:lineRule="auto"/>
                        <w:jc w:val="center"/>
                        <w:rPr>
                          <w:rFonts w:ascii="Arial" w:hAnsi="Arial" w:cs="Arial"/>
                          <w:sz w:val="20"/>
                          <w:szCs w:val="20"/>
                        </w:rPr>
                      </w:pPr>
                      <w:r>
                        <w:rPr>
                          <w:rFonts w:ascii="Arial" w:hAnsi="Arial" w:cs="Arial"/>
                          <w:sz w:val="20"/>
                          <w:szCs w:val="20"/>
                        </w:rPr>
                        <w:t>Reviews included in review</w:t>
                      </w:r>
                    </w:p>
                    <w:p w14:paraId="117CD0F5" w14:textId="77777777" w:rsidR="004907F1" w:rsidRDefault="004907F1" w:rsidP="004907F1">
                      <w:pPr>
                        <w:spacing w:after="0" w:line="240" w:lineRule="auto"/>
                        <w:jc w:val="center"/>
                        <w:rPr>
                          <w:rFonts w:ascii="Arial" w:hAnsi="Arial" w:cs="Arial"/>
                          <w:sz w:val="20"/>
                          <w:szCs w:val="20"/>
                          <w:lang w:val="en"/>
                        </w:rPr>
                      </w:pPr>
                      <w:r>
                        <w:rPr>
                          <w:rFonts w:ascii="Arial" w:hAnsi="Arial" w:cs="Arial"/>
                          <w:sz w:val="20"/>
                          <w:szCs w:val="20"/>
                        </w:rPr>
                        <w:t>(n = 7)</w:t>
                      </w:r>
                    </w:p>
                    <w:p w14:paraId="7C68F049" w14:textId="77777777" w:rsidR="004907F1" w:rsidRDefault="004907F1" w:rsidP="004907F1">
                      <w:pPr>
                        <w:spacing w:after="0" w:line="240" w:lineRule="auto"/>
                        <w:rPr>
                          <w:sz w:val="20"/>
                          <w:szCs w:val="20"/>
                        </w:rPr>
                      </w:pPr>
                    </w:p>
                  </w:txbxContent>
                </v:textbox>
                <w10:wrap type="topAndBottom"/>
              </v:shape>
            </w:pict>
          </mc:Fallback>
        </mc:AlternateContent>
      </w:r>
      <w:r>
        <w:rPr>
          <w:noProof/>
        </w:rPr>
        <mc:AlternateContent>
          <mc:Choice Requires="wps">
            <w:drawing>
              <wp:anchor distT="0" distB="0" distL="114300" distR="114300" simplePos="0" relativeHeight="251662336" behindDoc="0" locked="0" layoutInCell="1" allowOverlap="1" wp14:anchorId="38226D91" wp14:editId="6C360F17">
                <wp:simplePos x="0" y="0"/>
                <wp:positionH relativeFrom="column">
                  <wp:posOffset>1580515</wp:posOffset>
                </wp:positionH>
                <wp:positionV relativeFrom="paragraph">
                  <wp:posOffset>3667125</wp:posOffset>
                </wp:positionV>
                <wp:extent cx="1888490" cy="0"/>
                <wp:effectExtent l="38100" t="76200" r="0" b="9525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8490" cy="0"/>
                        </a:xfrm>
                        <a:prstGeom prst="straightConnector1">
                          <a:avLst/>
                        </a:prstGeom>
                        <a:noFill/>
                        <a:ln w="6350" algn="ctr">
                          <a:solidFill>
                            <a:srgbClr val="000000"/>
                          </a:solidFill>
                          <a:miter lim="800000"/>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BE771B" id="_x0000_t32" coordsize="21600,21600" o:spt="32" o:oned="t" path="m,l21600,21600e" filled="f">
                <v:path arrowok="t" fillok="f" o:connecttype="none"/>
                <o:lock v:ext="edit" shapetype="t"/>
              </v:shapetype>
              <v:shape id="Straight Arrow Connector 27" o:spid="_x0000_s1026" type="#_x0000_t32" style="position:absolute;margin-left:124.45pt;margin-top:288.75pt;width:148.7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Xw9AEAAMcDAAAOAAAAZHJzL2Uyb0RvYy54bWysU02PEzEMvSPxH6Lc6bQFljLqdIW6LJeF&#10;rdTlB7iZzExEEkdOttP+e5z0gwVuiDlEcWw/+z17lrcHZ8VeUzToGzmbTKXQXmFrfN/I70/3bxZS&#10;xAS+BYteN/Koo7xdvX61HEOt5zigbTUJBvGxHkMjh5RCXVVRDdpBnGDQnp0dkoPEJvVVSzAyurPV&#10;fDq9qUakNhAqHSO/3p2cclXwu06r9Nh1USdhG8m9pXJSOXf5rFZLqHuCMBh1bgP+oQsHxnPRK9Qd&#10;JBDPZP6CckYRRuzSRKGrsOuM0oUDs5lN/2CzHSDowoXFieEqU/x/sOrbfkPCtI2cf5DCg+MZbROB&#10;6YckPhHhKNboPeuIJDiE9RpDrDlt7TeUGauD34YHVD+i8LgewPe69P10DIw1yxnVbynZiIGr7sav&#10;2HIMPCcs4h06chmSZRGHMqPjdUb6kITix9lisXj3kUepLr4K6ktioJi+aHQiXxoZz0SuDGalDOwf&#10;YsptQX1JyFU93htry0JYL8ZG3rx9z3XA9rzZKlHJjWhNm+NyRqR+t7Yk9pC3q3yFLntehjmTeMet&#10;cY1cXIOgHjS0n30rUhEqkWHprJa5stOtFFZz3XwrLSUwlqNPbVt/FjXreJrIDtvjhrI768vbUvid&#10;Nzuv40u7RP36/1Y/AQAA//8DAFBLAwQUAAYACAAAACEAliKVOuAAAAALAQAADwAAAGRycy9kb3du&#10;cmV2LnhtbEyPwUrDQBCG74LvsIzgzW5sm6bGbEoRehFBbAX1NsmOSXB3NmQ3bfTpXUHQ48x8/PP9&#10;xWayRhxp8J1jBdezBARx7XTHjYLnw+5qDcIHZI3GMSn4JA+b8vyswFy7Ez/RcR8aEUPY56igDaHP&#10;pfR1Sxb9zPXE8fbuBoshjkMj9YCnGG6NnCfJSlrsOH5osae7luqP/WgVvI6P28RkuHtIcfFWpS9f&#10;2X1zUOryYtreggg0hT8YfvSjOpTRqXIjay+MgvlyfRNRBWmWpSAikS5XCxDV70aWhfzfofwGAAD/&#10;/wMAUEsBAi0AFAAGAAgAAAAhALaDOJL+AAAA4QEAABMAAAAAAAAAAAAAAAAAAAAAAFtDb250ZW50&#10;X1R5cGVzXS54bWxQSwECLQAUAAYACAAAACEAOP0h/9YAAACUAQAACwAAAAAAAAAAAAAAAAAvAQAA&#10;X3JlbHMvLnJlbHNQSwECLQAUAAYACAAAACEAvUnl8PQBAADHAwAADgAAAAAAAAAAAAAAAAAuAgAA&#10;ZHJzL2Uyb0RvYy54bWxQSwECLQAUAAYACAAAACEAliKVOuAAAAALAQAADwAAAAAAAAAAAAAAAABO&#10;BAAAZHJzL2Rvd25yZXYueG1sUEsFBgAAAAAEAAQA8wAAAFsFAAAAAA==&#10;" strokeweight=".5pt">
                <v:stroke startarrow="block" joinstyle="miter"/>
              </v:shape>
            </w:pict>
          </mc:Fallback>
        </mc:AlternateContent>
      </w:r>
      <w:r>
        <w:rPr>
          <w:noProof/>
        </w:rPr>
        <mc:AlternateContent>
          <mc:Choice Requires="wps">
            <w:drawing>
              <wp:anchor distT="0" distB="0" distL="114300" distR="114300" simplePos="0" relativeHeight="251663360" behindDoc="0" locked="0" layoutInCell="1" allowOverlap="1" wp14:anchorId="1BD22F2A" wp14:editId="1690754C">
                <wp:simplePos x="0" y="0"/>
                <wp:positionH relativeFrom="column">
                  <wp:posOffset>3469005</wp:posOffset>
                </wp:positionH>
                <wp:positionV relativeFrom="paragraph">
                  <wp:posOffset>3462020</wp:posOffset>
                </wp:positionV>
                <wp:extent cx="2304415" cy="441960"/>
                <wp:effectExtent l="0" t="0" r="19685" b="15240"/>
                <wp:wrapTopAndBottom/>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415" cy="441960"/>
                        </a:xfrm>
                        <a:prstGeom prst="rect">
                          <a:avLst/>
                        </a:prstGeom>
                        <a:solidFill>
                          <a:srgbClr val="FFFFFF"/>
                        </a:solidFill>
                        <a:ln w="6350">
                          <a:solidFill>
                            <a:srgbClr val="000000"/>
                          </a:solidFill>
                          <a:miter lim="800000"/>
                          <a:headEnd/>
                          <a:tailEnd/>
                        </a:ln>
                      </wps:spPr>
                      <wps:txbx>
                        <w:txbxContent>
                          <w:p w14:paraId="388AC578" w14:textId="77777777" w:rsidR="004907F1" w:rsidRDefault="004907F1" w:rsidP="004907F1">
                            <w:pPr>
                              <w:spacing w:after="0" w:line="240" w:lineRule="auto"/>
                              <w:rPr>
                                <w:rFonts w:ascii="Arial" w:hAnsi="Arial" w:cs="Arial"/>
                                <w:sz w:val="20"/>
                                <w:szCs w:val="20"/>
                              </w:rPr>
                            </w:pPr>
                            <w:r>
                              <w:rPr>
                                <w:rFonts w:ascii="Arial" w:hAnsi="Arial" w:cs="Arial"/>
                                <w:sz w:val="20"/>
                                <w:szCs w:val="20"/>
                              </w:rPr>
                              <w:t>Full text located from citation search (n=1)</w:t>
                            </w:r>
                          </w:p>
                        </w:txbxContent>
                      </wps:txbx>
                      <wps:bodyPr rot="0" vert="horz" wrap="square" lIns="91440" tIns="72000" rIns="91440" bIns="720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BD22F2A" id="Text Box 26" o:spid="_x0000_s1029" type="#_x0000_t202" style="position:absolute;margin-left:273.15pt;margin-top:272.6pt;width:181.45pt;height:3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EFLgIAAFsEAAAOAAAAZHJzL2Uyb0RvYy54bWysVNtu2zAMfR+wfxD0vti5NGuNOEWXLsOA&#10;7gK0+wBFlmNhsqhRSuzs60vJSRZ028swPwiiSB2R55Be3PatYXuFXoMt+XiUc6ashErbbcm/Pa3f&#10;XHPmg7CVMGBVyQ/K89vl61eLzhVqAg2YSiEjEOuLzpW8CcEVWeZlo1rhR+CUJWcN2IpAJm6zCkVH&#10;6K3JJnk+zzrAyiFI5T2d3g9Ovkz4da1k+FLXXgVmSk65hbRiWjdxzZYLUWxRuEbLYxriH7Johbb0&#10;6BnqXgTBdqh/g2q1RPBQh5GENoO61lKlGqiacf6imsdGOJVqIXK8O9Pk/x+s/Lz/ikxXJZ/MObOi&#10;JY2eVB/YO+gZHRE/nfMFhT06Cgw9nZPOqVbvHkB+98zCqhF2q+4QoWuUqCi/cbyZXVwdcHwE2XSf&#10;oKJ3xC5AAuprbCN5RAcjdNLpcNYm5iLpcDLNZ7PxFWeSfLS7mSfxMlGcbjv04YOClsVNyZG0T+hi&#10;/+BDzEYUp5D4mAejq7U2Jhm43awMsr2gPlmnLxXwIsxY1pV8Pr3KBwL+CpGn708QrQ7U8Ea3Jb8+&#10;B4ki0vbeVqkdg9Bm2FPKxh55jNQNJIZ+0yfJpid5NlAdiFiEob9pHmnTAP7krKPeLrn/sROoODMf&#10;LYlzM57N4jAk4y2NERl46dlceoSVBFVyGZCzwViFYYR2DvW2obeGhrBwR5LWOrEdtR/yOhZAHZxE&#10;OE5bHJFLO0X9+icsnwEAAP//AwBQSwMEFAAGAAgAAAAhAKvHVTXfAAAACwEAAA8AAABkcnMvZG93&#10;bnJldi54bWxMj01vgzAMhu+T9h8iT9ptTdq1qGWEapq26/rBtHMAF1BJgnCg7N/PPbW31/Kj14+T&#10;7WRbMWJPjXca5jMFAl3hy8ZVGn6yr5c1CArGlab1DjX8IcE2fXxITFz6izvgeAyV4BJHsdFQh9DF&#10;UlJRozU08x063p18b03gsa9k2ZsLl9tWLpSKpDWN4wu16fCjxuJ8HKyG71ztxoyy8fd8OO33n0RZ&#10;MxRaPz9N728gAk7hBsNVn9UhZafcD64k0WpYLaNXRq9htQDBxEZtOOQaovlyDTJN5P0P6T8AAAD/&#10;/wMAUEsBAi0AFAAGAAgAAAAhALaDOJL+AAAA4QEAABMAAAAAAAAAAAAAAAAAAAAAAFtDb250ZW50&#10;X1R5cGVzXS54bWxQSwECLQAUAAYACAAAACEAOP0h/9YAAACUAQAACwAAAAAAAAAAAAAAAAAvAQAA&#10;X3JlbHMvLnJlbHNQSwECLQAUAAYACAAAACEAR5ZRBS4CAABbBAAADgAAAAAAAAAAAAAAAAAuAgAA&#10;ZHJzL2Uyb0RvYy54bWxQSwECLQAUAAYACAAAACEAq8dVNd8AAAALAQAADwAAAAAAAAAAAAAAAACI&#10;BAAAZHJzL2Rvd25yZXYueG1sUEsFBgAAAAAEAAQA8wAAAJQFAAAAAA==&#10;" strokeweight=".5pt">
                <v:textbox inset=",2mm,,2mm">
                  <w:txbxContent>
                    <w:p w14:paraId="388AC578" w14:textId="77777777" w:rsidR="004907F1" w:rsidRDefault="004907F1" w:rsidP="004907F1">
                      <w:pPr>
                        <w:spacing w:after="0" w:line="240" w:lineRule="auto"/>
                        <w:rPr>
                          <w:rFonts w:ascii="Arial" w:hAnsi="Arial" w:cs="Arial"/>
                          <w:sz w:val="20"/>
                          <w:szCs w:val="20"/>
                        </w:rPr>
                      </w:pPr>
                      <w:r>
                        <w:rPr>
                          <w:rFonts w:ascii="Arial" w:hAnsi="Arial" w:cs="Arial"/>
                          <w:sz w:val="20"/>
                          <w:szCs w:val="20"/>
                        </w:rPr>
                        <w:t>Full text located from citation search (n=1)</w:t>
                      </w:r>
                    </w:p>
                  </w:txbxContent>
                </v:textbox>
                <w10:wrap type="topAndBottom"/>
              </v:shape>
            </w:pict>
          </mc:Fallback>
        </mc:AlternateContent>
      </w:r>
      <w:r>
        <w:rPr>
          <w:noProof/>
        </w:rPr>
        <mc:AlternateContent>
          <mc:Choice Requires="wps">
            <w:drawing>
              <wp:anchor distT="0" distB="0" distL="114300" distR="114300" simplePos="0" relativeHeight="251664384" behindDoc="0" locked="0" layoutInCell="1" allowOverlap="1" wp14:anchorId="69682FC7" wp14:editId="0A213CB5">
                <wp:simplePos x="0" y="0"/>
                <wp:positionH relativeFrom="column">
                  <wp:posOffset>1580515</wp:posOffset>
                </wp:positionH>
                <wp:positionV relativeFrom="paragraph">
                  <wp:posOffset>2992120</wp:posOffset>
                </wp:positionV>
                <wp:extent cx="0" cy="973455"/>
                <wp:effectExtent l="76200" t="0" r="76200" b="5524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73455"/>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E688B3" id="Straight Arrow Connector 25" o:spid="_x0000_s1026" type="#_x0000_t32" style="position:absolute;margin-left:124.45pt;margin-top:235.6pt;width:0;height:76.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giw8wEAAMYDAAAOAAAAZHJzL2Uyb0RvYy54bWysU01vEzEQvSPxHyzfySYpKWWVTYVSyqXQ&#10;SCk/YOL17lrYHmvsZpN/z9hJQ4EbYg+W7fl67/nt8vbgrNhrigZ9I2eTqRTaK2yN7xv5/en+3Y0U&#10;MYFvwaLXjTzqKG9Xb98sx1DrOQ5oW02Cm/hYj6GRQ0qhrqqoBu0gTjBoz8EOyUHiI/VVSzByd2er&#10;+XR6XY1IbSBUOka+vTsF5ar07zqt0mPXRZ2EbSRjS2Wlsu7yWq2WUPcEYTDqDAP+AYUD43nopdUd&#10;JBDPZP5q5YwijNiliUJXYdcZpQsHZjOb/sFmO0DQhQuLE8NFpvj/2qpv+w0J0zZyvpDCg+M32iYC&#10;0w9JfCLCUazRe9YRSXAK6zWGWHPZ2m8oM1YHvw0PqH5E4XE9gO91wf10DNxrliuq30ryIQaeuhu/&#10;Yss58JywiHfoyOWWLIs4lDc6Xt5IH5JQp0vFtx8/XL1fFDgV1C91gWL6otGJvGlkPPO4EJiVKbB/&#10;iCmjgvqlIA/1eG+sLX6wXoyNvL5asGPA9mxslajURrSmzXm5IlK/W1sSe8jmKl9hy5HXac4ktrg1&#10;rpE3lySoBw3tZ9+WgQmM5b1IRbNEhlW0WmYUTrdSWM0Y8u4E2/qzplnG04PssD1uKIezvGyWwu9s&#10;7OzG1+eS9ev3W/0EAAD//wMAUEsDBBQABgAIAAAAIQCo5m493gAAAAsBAAAPAAAAZHJzL2Rvd25y&#10;ZXYueG1sTI/BToNAEIbvJr7DZky82QWKlVKGxphwMybW6nnLTgHLzhJ2S/HtXeNBjzPz5Z/vL7az&#10;6cVEo+ssI8SLCARxbXXHDcL+rbrLQDivWKveMiF8kYNteX1VqFzbC7/StPONCCHscoXQej/kUrq6&#10;JaPcwg7E4Xa0o1E+jGMj9aguIdz0MomilTSq4/ChVQM9tVSfdmeD8PyyzvaneJqqqv74XI5cqaV8&#10;R7y9mR83IDzN/g+GH/2gDmVwOtgzayd6hCTN1gFFSB/iBEQgfjcHhFWS3oMsC/m/Q/kNAAD//wMA&#10;UEsBAi0AFAAGAAgAAAAhALaDOJL+AAAA4QEAABMAAAAAAAAAAAAAAAAAAAAAAFtDb250ZW50X1R5&#10;cGVzXS54bWxQSwECLQAUAAYACAAAACEAOP0h/9YAAACUAQAACwAAAAAAAAAAAAAAAAAvAQAAX3Jl&#10;bHMvLnJlbHNQSwECLQAUAAYACAAAACEA2VYIsPMBAADGAwAADgAAAAAAAAAAAAAAAAAuAgAAZHJz&#10;L2Uyb0RvYy54bWxQSwECLQAUAAYACAAAACEAqOZuPd4AAAALAQAADwAAAAAAAAAAAAAAAABNBAAA&#10;ZHJzL2Rvd25yZXYueG1sUEsFBgAAAAAEAAQA8wAAAFgFAAAAAA==&#10;" strokeweight=".5pt">
                <v:stroke endarrow="block" joinstyle="miter"/>
              </v:shape>
            </w:pict>
          </mc:Fallback>
        </mc:AlternateContent>
      </w:r>
      <w:r>
        <w:rPr>
          <w:noProof/>
        </w:rPr>
        <mc:AlternateContent>
          <mc:Choice Requires="wps">
            <w:drawing>
              <wp:anchor distT="0" distB="0" distL="114300" distR="114300" simplePos="0" relativeHeight="251665408" behindDoc="0" locked="0" layoutInCell="1" allowOverlap="1" wp14:anchorId="5CFDD71C" wp14:editId="679391CD">
                <wp:simplePos x="0" y="0"/>
                <wp:positionH relativeFrom="column">
                  <wp:posOffset>1580515</wp:posOffset>
                </wp:positionH>
                <wp:positionV relativeFrom="paragraph">
                  <wp:posOffset>3134360</wp:posOffset>
                </wp:positionV>
                <wp:extent cx="1888490" cy="0"/>
                <wp:effectExtent l="0" t="76200" r="16510" b="9525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8490" cy="0"/>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496B2B" id="Straight Arrow Connector 24" o:spid="_x0000_s1026" type="#_x0000_t32" style="position:absolute;margin-left:124.45pt;margin-top:246.8pt;width:148.7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Y2s9AEAAMcDAAAOAAAAZHJzL2Uyb0RvYy54bWysU01vEzEQvSPxHyzfySahVGGVTYVSyqVA&#10;pJQfMPF6dy1sjzV2s8m/Z+x8tMANkYNl78y8ee/NZHl3cFbsNUWDvpGzyVQK7RW2xveN/PH08G4h&#10;RUzgW7DodSOPOsq71ds3yzHUeo4D2laTYBAf6zE0ckgp1FUV1aAdxAkG7TnYITlI/KS+aglGRne2&#10;mk+nt9WI1AZCpWPkr/enoFwV/K7TKn3vuqiTsI1kbqmcVM5dPqvVEuqeIAxGnWnAP7BwYDw3vULd&#10;QwLxTOYvKGcUYcQuTRS6CrvOKF00sJrZ9A812wGCLlrYnBiuNsX/B6u+7TckTNvI+Y0UHhzPaJsI&#10;TD8k8YkIR7FG79lHJMEp7NcYYs1la7+hrFgd/DY8ovoZhcf1AL7XhffTMTDWLFdUv5XkRwzcdTd+&#10;xZZz4DlhMe/QkcuQbIs4lBkdrzPShyQUf5wtFoubjzxKdYlVUF8KA8X0RaMT+dLIeBZyVTArbWD/&#10;GFOmBfWlIHf1+GCsLQthvRgbefv+A/cB2/Nmq0SlNqI1bc7LFZH63dqS2EPervIrcjnyOs2ZxDtu&#10;jWvk4poE9aCh/ezb0jCBsXwXqZiWyLCNVsvMwulWCquZQ76daFt/NjX7eJrIDtvjhnI4+8vbUvSd&#10;Nzuv4+t3yXr5/61+AQAA//8DAFBLAwQUAAYACAAAACEAX9qh3d4AAAALAQAADwAAAGRycy9kb3du&#10;cmV2LnhtbEyPwU6DQBCG7ya+w2ZMvNmlBQkgS2NMuBkTa/U8ZUfAsrOE3VJ8e9fExB5n5ss/319u&#10;FzOImSbXW1awXkUgiBure24V7N/quwyE88gaB8uk4JscbKvrqxILbc/8SvPOtyKEsCtQQef9WEjp&#10;mo4MupUdicPt004GfRinVuoJzyHcDHITRak02HP40OFITx01x93JKHh+ybP9cT3Pdd18fMUT1xjL&#10;d6Vub5bHBxCeFv8Pw69+UIcqOB3sibUTg4JNkuUBVZDkcQoiEPdJGoM4/G1kVcrLDtUPAAAA//8D&#10;AFBLAQItABQABgAIAAAAIQC2gziS/gAAAOEBAAATAAAAAAAAAAAAAAAAAAAAAABbQ29udGVudF9U&#10;eXBlc10ueG1sUEsBAi0AFAAGAAgAAAAhADj9If/WAAAAlAEAAAsAAAAAAAAAAAAAAAAALwEAAF9y&#10;ZWxzLy5yZWxzUEsBAi0AFAAGAAgAAAAhANfBjaz0AQAAxwMAAA4AAAAAAAAAAAAAAAAALgIAAGRy&#10;cy9lMm9Eb2MueG1sUEsBAi0AFAAGAAgAAAAhAF/aod3eAAAACwEAAA8AAAAAAAAAAAAAAAAATgQA&#10;AGRycy9kb3ducmV2LnhtbFBLBQYAAAAABAAEAPMAAABZBQAAAAA=&#10;" strokeweight=".5pt">
                <v:stroke endarrow="block" joinstyle="miter"/>
              </v:shape>
            </w:pict>
          </mc:Fallback>
        </mc:AlternateContent>
      </w:r>
      <w:r>
        <w:rPr>
          <w:noProof/>
        </w:rPr>
        <mc:AlternateContent>
          <mc:Choice Requires="wps">
            <w:drawing>
              <wp:anchor distT="0" distB="0" distL="114300" distR="114300" simplePos="0" relativeHeight="251666432" behindDoc="0" locked="0" layoutInCell="1" allowOverlap="1" wp14:anchorId="113223A4" wp14:editId="6FFF67FD">
                <wp:simplePos x="0" y="0"/>
                <wp:positionH relativeFrom="column">
                  <wp:posOffset>100965</wp:posOffset>
                </wp:positionH>
                <wp:positionV relativeFrom="paragraph">
                  <wp:posOffset>2519680</wp:posOffset>
                </wp:positionV>
                <wp:extent cx="2959100" cy="466725"/>
                <wp:effectExtent l="0" t="0" r="12700" b="28575"/>
                <wp:wrapTopAndBottom/>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9100" cy="466725"/>
                        </a:xfrm>
                        <a:prstGeom prst="rect">
                          <a:avLst/>
                        </a:prstGeom>
                        <a:solidFill>
                          <a:srgbClr val="FFFFFF"/>
                        </a:solidFill>
                        <a:ln w="6350">
                          <a:solidFill>
                            <a:srgbClr val="000000"/>
                          </a:solidFill>
                          <a:miter lim="800000"/>
                          <a:headEnd/>
                          <a:tailEnd/>
                        </a:ln>
                      </wps:spPr>
                      <wps:txbx>
                        <w:txbxContent>
                          <w:p w14:paraId="5ACAB3B6" w14:textId="77777777" w:rsidR="004907F1" w:rsidRDefault="004907F1" w:rsidP="004907F1">
                            <w:pPr>
                              <w:spacing w:after="0" w:line="240" w:lineRule="auto"/>
                              <w:jc w:val="center"/>
                              <w:rPr>
                                <w:rFonts w:ascii="Arial" w:hAnsi="Arial" w:cs="Arial"/>
                                <w:sz w:val="20"/>
                                <w:szCs w:val="20"/>
                              </w:rPr>
                            </w:pPr>
                            <w:r>
                              <w:rPr>
                                <w:rFonts w:ascii="Arial" w:hAnsi="Arial" w:cs="Arial"/>
                                <w:sz w:val="20"/>
                                <w:szCs w:val="20"/>
                              </w:rPr>
                              <w:t>Full texts for screening</w:t>
                            </w:r>
                          </w:p>
                          <w:p w14:paraId="2D5D4202" w14:textId="77777777" w:rsidR="004907F1" w:rsidRDefault="004907F1" w:rsidP="004907F1">
                            <w:pPr>
                              <w:spacing w:after="0" w:line="240" w:lineRule="auto"/>
                              <w:jc w:val="center"/>
                              <w:rPr>
                                <w:rFonts w:ascii="Arial" w:hAnsi="Arial" w:cs="Arial"/>
                                <w:sz w:val="20"/>
                                <w:szCs w:val="20"/>
                                <w:lang w:val="en"/>
                              </w:rPr>
                            </w:pPr>
                            <w:r>
                              <w:rPr>
                                <w:rFonts w:ascii="Arial" w:hAnsi="Arial" w:cs="Arial"/>
                                <w:sz w:val="20"/>
                                <w:szCs w:val="20"/>
                              </w:rPr>
                              <w:t>(n = 11)</w:t>
                            </w:r>
                          </w:p>
                          <w:p w14:paraId="6DBA07FD" w14:textId="77777777" w:rsidR="004907F1" w:rsidRDefault="004907F1" w:rsidP="004907F1">
                            <w:pPr>
                              <w:spacing w:after="0" w:line="240" w:lineRule="auto"/>
                              <w:rPr>
                                <w:sz w:val="20"/>
                                <w:szCs w:val="20"/>
                              </w:rPr>
                            </w:pPr>
                          </w:p>
                        </w:txbxContent>
                      </wps:txbx>
                      <wps:bodyPr rot="0" vert="horz" wrap="square" lIns="91440" tIns="72000" rIns="91440" bIns="720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13223A4" id="Text Box 23" o:spid="_x0000_s1030" type="#_x0000_t202" style="position:absolute;margin-left:7.95pt;margin-top:198.4pt;width:233pt;height:3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Uy2LgIAAFsEAAAOAAAAZHJzL2Uyb0RvYy54bWysVNtu2zAMfR+wfxD0vthJk7Qx4hRdugwD&#10;ugvQ7gMUWY6FyaJGKbG7ry8lp2l2exnmB0G86JA8JL287lvDDgq9Blvy8SjnTFkJlba7kn992Ly5&#10;4swHYSthwKqSPyrPr1evXy07V6gJNGAqhYxArC86V/ImBFdkmZeNaoUfgVOWjDVgKwKJuMsqFB2h&#10;tyab5Pk86wArhyCV96S9HYx8lfDrWsnwua69CsyUnHIL6cR0buOZrZai2KFwjZbHNMQ/ZNEKbSno&#10;CepWBMH2qH+DarVE8FCHkYQ2g7rWUqUaqJpx/ks1941wKtVC5Hh3osn/P1j56fAFma5KPrngzIqW&#10;evSg+sDeQs9IRfx0zhfkdu/IMfSkpz6nWr27A/nNMwvrRtidukGErlGiovzG8WV29nTA8RFk232E&#10;iuKIfYAE1NfYRvKIDkbo1KfHU29iLpKUk8VsMc7JJMk2nc8vJ7MUQhTPrx368F5By+Kl5Ei9T+ji&#10;cOdDzEYUzy4xmAejq402Jgm4264NsoOgOdmk74j+k5uxrCv5/GKWDwT8FSJP358gWh1o4I1uS351&#10;chJFpO2drdI4BqHNcKeUjT3yGKkbSAz9tk8tm8YAkeMtVI9ELMIw37SPdGkAf3DW0WyX3H/fC1Sc&#10;mQ+WmrMYT6dxGZJwSWtEAp5btucWYSVBlVwG5GwQ1mFYob1DvWso1jAQFm6opbVObL/kdSyAJjg1&#10;4bhtcUXO5eT18k9YPQEAAP//AwBQSwMEFAAGAAgAAAAhAOBoI0jdAAAACgEAAA8AAABkcnMvZG93&#10;bnJldi54bWxMj0FPwzAMhe9I/IfIk7ixZAzG1jWdEIIrbCvinDZZW61xqjrtyr/HnMbNz356/l66&#10;m3wrRtdTE1DDYq5AOCyDbbDS8JW/369BUDRoTRvQafhxBLvs9iY1iQ0XPLjxGCvBIUiJ0VDH2CVS&#10;Ulk7b2geOod8O4Xem8iyr6TtzYXDfSsflFpJbxrkD7Xp3GvtyvNx8Bo+CvU55pSP3+fDab9/I8qb&#10;odT6bja9bEFEN8WrGf7wGR0yZirCgJZEy/ppw04Ny82KK7Dhcb3gTcHDs1qCzFL5v0L2CwAA//8D&#10;AFBLAQItABQABgAIAAAAIQC2gziS/gAAAOEBAAATAAAAAAAAAAAAAAAAAAAAAABbQ29udGVudF9U&#10;eXBlc10ueG1sUEsBAi0AFAAGAAgAAAAhADj9If/WAAAAlAEAAAsAAAAAAAAAAAAAAAAALwEAAF9y&#10;ZWxzLy5yZWxzUEsBAi0AFAAGAAgAAAAhAOzJTLYuAgAAWwQAAA4AAAAAAAAAAAAAAAAALgIAAGRy&#10;cy9lMm9Eb2MueG1sUEsBAi0AFAAGAAgAAAAhAOBoI0jdAAAACgEAAA8AAAAAAAAAAAAAAAAAiAQA&#10;AGRycy9kb3ducmV2LnhtbFBLBQYAAAAABAAEAPMAAACSBQAAAAA=&#10;" strokeweight=".5pt">
                <v:textbox inset=",2mm,,2mm">
                  <w:txbxContent>
                    <w:p w14:paraId="5ACAB3B6" w14:textId="77777777" w:rsidR="004907F1" w:rsidRDefault="004907F1" w:rsidP="004907F1">
                      <w:pPr>
                        <w:spacing w:after="0" w:line="240" w:lineRule="auto"/>
                        <w:jc w:val="center"/>
                        <w:rPr>
                          <w:rFonts w:ascii="Arial" w:hAnsi="Arial" w:cs="Arial"/>
                          <w:sz w:val="20"/>
                          <w:szCs w:val="20"/>
                        </w:rPr>
                      </w:pPr>
                      <w:r>
                        <w:rPr>
                          <w:rFonts w:ascii="Arial" w:hAnsi="Arial" w:cs="Arial"/>
                          <w:sz w:val="20"/>
                          <w:szCs w:val="20"/>
                        </w:rPr>
                        <w:t>Full texts for screening</w:t>
                      </w:r>
                    </w:p>
                    <w:p w14:paraId="2D5D4202" w14:textId="77777777" w:rsidR="004907F1" w:rsidRDefault="004907F1" w:rsidP="004907F1">
                      <w:pPr>
                        <w:spacing w:after="0" w:line="240" w:lineRule="auto"/>
                        <w:jc w:val="center"/>
                        <w:rPr>
                          <w:rFonts w:ascii="Arial" w:hAnsi="Arial" w:cs="Arial"/>
                          <w:sz w:val="20"/>
                          <w:szCs w:val="20"/>
                          <w:lang w:val="en"/>
                        </w:rPr>
                      </w:pPr>
                      <w:r>
                        <w:rPr>
                          <w:rFonts w:ascii="Arial" w:hAnsi="Arial" w:cs="Arial"/>
                          <w:sz w:val="20"/>
                          <w:szCs w:val="20"/>
                        </w:rPr>
                        <w:t>(n = 11)</w:t>
                      </w:r>
                    </w:p>
                    <w:p w14:paraId="6DBA07FD" w14:textId="77777777" w:rsidR="004907F1" w:rsidRDefault="004907F1" w:rsidP="004907F1">
                      <w:pPr>
                        <w:spacing w:after="0" w:line="240" w:lineRule="auto"/>
                        <w:rPr>
                          <w:sz w:val="20"/>
                          <w:szCs w:val="20"/>
                        </w:rPr>
                      </w:pPr>
                    </w:p>
                  </w:txbxContent>
                </v:textbox>
                <w10:wrap type="topAndBottom"/>
              </v:shape>
            </w:pict>
          </mc:Fallback>
        </mc:AlternateContent>
      </w:r>
      <w:r>
        <w:rPr>
          <w:noProof/>
        </w:rPr>
        <mc:AlternateContent>
          <mc:Choice Requires="wps">
            <w:drawing>
              <wp:anchor distT="0" distB="0" distL="114300" distR="114300" simplePos="0" relativeHeight="251667456" behindDoc="0" locked="0" layoutInCell="1" allowOverlap="1" wp14:anchorId="4B8E1595" wp14:editId="47B24133">
                <wp:simplePos x="0" y="0"/>
                <wp:positionH relativeFrom="column">
                  <wp:posOffset>3469005</wp:posOffset>
                </wp:positionH>
                <wp:positionV relativeFrom="paragraph">
                  <wp:posOffset>2161540</wp:posOffset>
                </wp:positionV>
                <wp:extent cx="2304415" cy="316865"/>
                <wp:effectExtent l="0" t="0" r="19685" b="26035"/>
                <wp:wrapTopAndBottom/>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415" cy="316865"/>
                        </a:xfrm>
                        <a:prstGeom prst="rect">
                          <a:avLst/>
                        </a:prstGeom>
                        <a:solidFill>
                          <a:srgbClr val="FFFFFF"/>
                        </a:solidFill>
                        <a:ln w="6350">
                          <a:solidFill>
                            <a:srgbClr val="000000"/>
                          </a:solidFill>
                          <a:miter lim="800000"/>
                          <a:headEnd/>
                          <a:tailEnd/>
                        </a:ln>
                      </wps:spPr>
                      <wps:txbx>
                        <w:txbxContent>
                          <w:p w14:paraId="3DFA7FBC" w14:textId="77777777" w:rsidR="004907F1" w:rsidRDefault="004907F1" w:rsidP="004907F1">
                            <w:pPr>
                              <w:spacing w:after="0" w:line="240" w:lineRule="auto"/>
                              <w:rPr>
                                <w:rFonts w:ascii="Arial" w:hAnsi="Arial" w:cs="Arial"/>
                                <w:sz w:val="20"/>
                                <w:szCs w:val="20"/>
                              </w:rPr>
                            </w:pPr>
                            <w:r>
                              <w:rPr>
                                <w:rFonts w:ascii="Arial" w:hAnsi="Arial" w:cs="Arial"/>
                                <w:sz w:val="20"/>
                                <w:szCs w:val="20"/>
                              </w:rPr>
                              <w:t>Titles/abstracts excluded (n = 412)</w:t>
                            </w:r>
                          </w:p>
                        </w:txbxContent>
                      </wps:txbx>
                      <wps:bodyPr rot="0" vert="horz" wrap="square" lIns="91440" tIns="72000" rIns="91440" bIns="720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B8E1595" id="Text Box 22" o:spid="_x0000_s1031" type="#_x0000_t202" style="position:absolute;margin-left:273.15pt;margin-top:170.2pt;width:181.45pt;height:24.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AxRLQIAAFsEAAAOAAAAZHJzL2Uyb0RvYy54bWysVNtu2zAMfR+wfxD0vti5LjPiFF26DAO6&#10;C9DuAxRZjoXJokYpsbuvLyWnaXZ7GeYHQbzokDwkvbrqW8OOCr0GW/LxKOdMWQmVtvuSf73fvlpy&#10;5oOwlTBgVckflOdX65cvVp0r1AQaMJVCRiDWF50reROCK7LMy0a1wo/AKUvGGrAVgUTcZxWKjtBb&#10;k03yfJF1gJVDkMp70t4MRr5O+HWtZPhc114FZkpOuYV0Yjp38czWK1HsUbhGy1Ma4h+yaIW2FPQM&#10;dSOCYAfUv0G1WiJ4qMNIQptBXWupUg1UzTj/pZq7RjiVaiFyvDvT5P8frPx0/IJMVyWfTDizoqUe&#10;3as+sLfQM1IRP53zBbndOXIMPempz6lW725BfvPMwqYRdq+uEaFrlKgov3F8mV08HXB8BNl1H6Gi&#10;OOIQIAH1NbaRPKKDETr16eHcm5iLJOVkms9m4zlnkmzT8WK5mKcQonh67dCH9wpaFi8lR+p9QhfH&#10;Wx9iNqJ4conBPBhdbbUxScD9bmOQHQXNyTZ9J/Sf3IxlXckX03k+EPBXiDx9f4JodaCBN7ot+fLs&#10;JIpI2ztbpXEMQpvhTikbe+IxUjeQGPpdn1qWGIgc76B6IGIRhvmmfaRLA/iDs45mu+T++0Gg4sx8&#10;sNScN+PZLC5DEl7TGpGAl5bdpUVYSVAllwE5G4RNGFbo4FDvG4o1DISFa2pprRPbz3mdCqAJTk04&#10;bVtckUs5eT3/E9aPAAAA//8DAFBLAwQUAAYACAAAACEAEVa3iN4AAAALAQAADwAAAGRycy9kb3du&#10;cmV2LnhtbEyPwU6DQBCG7ya+w2ZMvNldCzYFWRpj9KptMT0vsAVSdpYwC8W3dzzpcWa+/PP92W5x&#10;vZjtSJ1HDY8rBcJi5esOGw1fxfvDFgQFg7XpPVoN35Zgl9/eZCat/RUPdj6GRnAIUmo0tCEMqZRU&#10;tdYZWvnBIt/OfnQm8Dg2sh7NlcNdL9dKbaQzHfKH1gz2tbXV5Tg5DR+l+pwLKubT5XDe79+Iim6q&#10;tL6/W16eQQS7hD8YfvVZHXJ2Kv2ENYlew1O8iRjVEMUqBsFEopI1iJI3iYpA5pn83yH/AQAA//8D&#10;AFBLAQItABQABgAIAAAAIQC2gziS/gAAAOEBAAATAAAAAAAAAAAAAAAAAAAAAABbQ29udGVudF9U&#10;eXBlc10ueG1sUEsBAi0AFAAGAAgAAAAhADj9If/WAAAAlAEAAAsAAAAAAAAAAAAAAAAALwEAAF9y&#10;ZWxzLy5yZWxzUEsBAi0AFAAGAAgAAAAhAFvEDFEtAgAAWwQAAA4AAAAAAAAAAAAAAAAALgIAAGRy&#10;cy9lMm9Eb2MueG1sUEsBAi0AFAAGAAgAAAAhABFWt4jeAAAACwEAAA8AAAAAAAAAAAAAAAAAhwQA&#10;AGRycy9kb3ducmV2LnhtbFBLBQYAAAAABAAEAPMAAACSBQAAAAA=&#10;" strokeweight=".5pt">
                <v:textbox inset=",2mm,,2mm">
                  <w:txbxContent>
                    <w:p w14:paraId="3DFA7FBC" w14:textId="77777777" w:rsidR="004907F1" w:rsidRDefault="004907F1" w:rsidP="004907F1">
                      <w:pPr>
                        <w:spacing w:after="0" w:line="240" w:lineRule="auto"/>
                        <w:rPr>
                          <w:rFonts w:ascii="Arial" w:hAnsi="Arial" w:cs="Arial"/>
                          <w:sz w:val="20"/>
                          <w:szCs w:val="20"/>
                        </w:rPr>
                      </w:pPr>
                      <w:r>
                        <w:rPr>
                          <w:rFonts w:ascii="Arial" w:hAnsi="Arial" w:cs="Arial"/>
                          <w:sz w:val="20"/>
                          <w:szCs w:val="20"/>
                        </w:rPr>
                        <w:t>Titles/abstracts excluded (n = 412)</w:t>
                      </w:r>
                    </w:p>
                  </w:txbxContent>
                </v:textbox>
                <w10:wrap type="topAndBottom"/>
              </v:shape>
            </w:pict>
          </mc:Fallback>
        </mc:AlternateContent>
      </w:r>
      <w:r>
        <w:rPr>
          <w:noProof/>
        </w:rPr>
        <mc:AlternateContent>
          <mc:Choice Requires="wps">
            <w:drawing>
              <wp:anchor distT="0" distB="0" distL="114300" distR="114300" simplePos="0" relativeHeight="251668480" behindDoc="0" locked="0" layoutInCell="1" allowOverlap="1" wp14:anchorId="24DEC827" wp14:editId="0614407A">
                <wp:simplePos x="0" y="0"/>
                <wp:positionH relativeFrom="column">
                  <wp:posOffset>1580515</wp:posOffset>
                </wp:positionH>
                <wp:positionV relativeFrom="paragraph">
                  <wp:posOffset>2161540</wp:posOffset>
                </wp:positionV>
                <wp:extent cx="0" cy="358140"/>
                <wp:effectExtent l="76200" t="0" r="76200" b="6096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8140"/>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6273B5" id="Straight Arrow Connector 20" o:spid="_x0000_s1026" type="#_x0000_t32" style="position:absolute;margin-left:124.45pt;margin-top:170.2pt;width:0;height:28.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jpn8gEAAMYDAAAOAAAAZHJzL2Uyb0RvYy54bWysU8FuGyEQvVfqPyDu9dpJE1mrrKPKaXpJ&#10;20hOP2AM7C4qMGggXvvvO2DHSdtb1T0gYGbevPeYvbndeyd2hpLF0MnFbC6FCQq1DUMnfzzdf1hK&#10;kTIEDQ6D6eTBJHm7ev/uZoqtucARnTYkGCSkdoqdHHOObdMkNRoPaYbRBA72SB4yH2loNMHE6N41&#10;F/P5dTMh6UioTEp8e3cMylXF73uj8ve+TyYL10nmlutKdd2WtVndQDsQxNGqEw34BxYebOCmZ6g7&#10;yCCeyf4F5a0iTNjnmULfYN9bZaoGVrOY/6FmM0I0VQubk+LZpvT/YNW33SMJqzt5wfYE8PxGm0xg&#10;hzGLT0Q4iTWGwD4iCU5hv6aYWi5bh0cqitU+bOIDqp9JBFyPEAZTeT8dImMtSkXzW0k5pMhdt9NX&#10;1JwDzxmrefuefIFkW8S+vtHh/EZmn4U6Xiq+vbxaLj5WOg20L3WRUv5i0Iuy6WQ66TgLWNQusHtI&#10;ubCC9qWgNA14b52r8+CCmDp5fXnFloAbeLBVplqb0Fld8kpFomG7diR2UIarflUtR96meZt5xJ31&#10;nVyek6AdDejPQdeGGazjvcjVs0yWXXRGFhbeaCmcYQ5ld6TtwsnTYuPxQbaoD49UwsVeHpaq7zTY&#10;ZRrfnmvW6++3+gUAAP//AwBQSwMEFAAGAAgAAAAhAMAQAsXdAAAACwEAAA8AAABkcnMvZG93bnJl&#10;di54bWxMj8FOwzAMhu9IvENkJG4s3VpNbWk6IaTeEBJjcM4a05Y1TpVkXXl7jDjA0b8//f5c7RY7&#10;ihl9GBwpWK8SEEitMwN1Cg6vzV0OIkRNRo+OUMEXBtjV11eVLo270AvO+9gJLqFQagV9jFMpZWh7&#10;tDqs3ITEuw/nrY48+k4ary9cbke5SZKttHogvtDrCR97bE/7s1Xw9Fzkh9N6npumff9MPTU6lW9K&#10;3d4sD/cgIi7xD4YffVaHmp2O7kwmiFHBJssLRhWkWZKBYOI3OXJSbHOQdSX//1B/AwAA//8DAFBL&#10;AQItABQABgAIAAAAIQC2gziS/gAAAOEBAAATAAAAAAAAAAAAAAAAAAAAAABbQ29udGVudF9UeXBl&#10;c10ueG1sUEsBAi0AFAAGAAgAAAAhADj9If/WAAAAlAEAAAsAAAAAAAAAAAAAAAAALwEAAF9yZWxz&#10;Ly5yZWxzUEsBAi0AFAAGAAgAAAAhALEGOmfyAQAAxgMAAA4AAAAAAAAAAAAAAAAALgIAAGRycy9l&#10;Mm9Eb2MueG1sUEsBAi0AFAAGAAgAAAAhAMAQAsXdAAAACwEAAA8AAAAAAAAAAAAAAAAATAQAAGRy&#10;cy9kb3ducmV2LnhtbFBLBQYAAAAABAAEAPMAAABWBQAAAAA=&#10;" strokeweight=".5pt">
                <v:stroke endarrow="block" joinstyle="miter"/>
              </v:shape>
            </w:pict>
          </mc:Fallback>
        </mc:AlternateContent>
      </w:r>
      <w:r>
        <w:rPr>
          <w:noProof/>
        </w:rPr>
        <mc:AlternateContent>
          <mc:Choice Requires="wps">
            <w:drawing>
              <wp:anchor distT="0" distB="0" distL="114300" distR="114300" simplePos="0" relativeHeight="251669504" behindDoc="0" locked="0" layoutInCell="1" allowOverlap="1" wp14:anchorId="11B13D8A" wp14:editId="51AD4E70">
                <wp:simplePos x="0" y="0"/>
                <wp:positionH relativeFrom="column">
                  <wp:posOffset>1580515</wp:posOffset>
                </wp:positionH>
                <wp:positionV relativeFrom="paragraph">
                  <wp:posOffset>2322830</wp:posOffset>
                </wp:positionV>
                <wp:extent cx="1888490" cy="0"/>
                <wp:effectExtent l="0" t="76200" r="16510" b="9525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8490" cy="0"/>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8FD6AF" id="Straight Arrow Connector 21" o:spid="_x0000_s1026" type="#_x0000_t32" style="position:absolute;margin-left:124.45pt;margin-top:182.9pt;width:148.7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U3L8gEAAMcDAAAOAAAAZHJzL2Uyb0RvYy54bWysU01vEzEQvSPxHyzfySYBqrDKpkIp5VKg&#10;UsoPmNjeXQvbY43dbPLvGbtNoHBD7MHyx7w3897Mrq+P3omDoWQxdHIxm0thgkJtw9DJ7w+3b1ZS&#10;pAxBg8NgOnkySV5vXr9aT7E1SxzRaUOCSUJqp9jJMefYNk1So/GQZhhN4MceyUPmIw2NJpiY3btm&#10;OZ9fNROSjoTKpMS3N0+PclP5+96o/K3vk8nCdZJry3Wluu7L2mzW0A4EcbTquQz4hyo82MBJL1Q3&#10;kEE8kv2LyltFmLDPM4W+wb63ylQNrGYx/0PNboRoqhY2J8WLTen/0aqvh3sSVndyuZAigOce7TKB&#10;HcYsPhLhJLYYAvuIJDiE/Zpiahm2DfdUFKtj2MU7VD+SCLgdIQym1v1wisxVEc0LSDmkyFn30xfU&#10;HAOPGat5x558oWRbxLH26HTpkTlmofhysVqt3n3gVqrzWwPtGRgp5c8GvSibTqZnIRcFi5oGDncp&#10;sxAGngEla8Bb61wdCBfE1Mmrt+85D7iBJ1tlqtiEzuoSVxCJhv3WkThAma76FYOY90WYt5ln3Fnf&#10;ydUlCNrRgP4UdE2YwTrei1xNy2TZRmdkqcIbLYUzXEPZPdG7wFnOPj51ZI/6dE/ludzztNQ6nie7&#10;jOPv5xr16//b/AQAAP//AwBQSwMEFAAGAAgAAAAhAMCjr8beAAAACwEAAA8AAABkcnMvZG93bnJl&#10;di54bWxMj8FKw0AQhu+C77CM4M1u2rQhjdkUEXITwVo9T7NrEpudDbvbNL69Iwh6nJmPf76/3M12&#10;EJPxoXekYLlIQBhqnO6pVXB4re9yECEiaRwcGQVfJsCuur4qsdDuQi9m2sdWcAiFAhV0MY6FlKHp&#10;jMWwcKMhvn04bzHy6FupPV443A5ylSSZtNgTf+hwNI+daU77s1Xw9LzND6flNNV18/6ZeqoxlW9K&#10;3d7MD/cgopnjHww/+qwOFTsd3Zl0EIOC1TrfMqogzTbcgYnNOktBHH83sirl/w7VNwAAAP//AwBQ&#10;SwECLQAUAAYACAAAACEAtoM4kv4AAADhAQAAEwAAAAAAAAAAAAAAAAAAAAAAW0NvbnRlbnRfVHlw&#10;ZXNdLnhtbFBLAQItABQABgAIAAAAIQA4/SH/1gAAAJQBAAALAAAAAAAAAAAAAAAAAC8BAABfcmVs&#10;cy8ucmVsc1BLAQItABQABgAIAAAAIQCvAU3L8gEAAMcDAAAOAAAAAAAAAAAAAAAAAC4CAABkcnMv&#10;ZTJvRG9jLnhtbFBLAQItABQABgAIAAAAIQDAo6/G3gAAAAsBAAAPAAAAAAAAAAAAAAAAAEwEAABk&#10;cnMvZG93bnJldi54bWxQSwUGAAAAAAQABADzAAAAVwUAAAAA&#10;" strokeweight=".5pt">
                <v:stroke endarrow="block" joinstyle="miter"/>
              </v:shape>
            </w:pict>
          </mc:Fallback>
        </mc:AlternateContent>
      </w:r>
      <w:r>
        <w:rPr>
          <w:noProof/>
        </w:rPr>
        <mc:AlternateContent>
          <mc:Choice Requires="wps">
            <w:drawing>
              <wp:anchor distT="0" distB="0" distL="114300" distR="114300" simplePos="0" relativeHeight="251670528" behindDoc="0" locked="0" layoutInCell="1" allowOverlap="1" wp14:anchorId="5792818B" wp14:editId="6005A94F">
                <wp:simplePos x="0" y="0"/>
                <wp:positionH relativeFrom="column">
                  <wp:posOffset>3469005</wp:posOffset>
                </wp:positionH>
                <wp:positionV relativeFrom="paragraph">
                  <wp:posOffset>1334770</wp:posOffset>
                </wp:positionV>
                <wp:extent cx="2304415" cy="311150"/>
                <wp:effectExtent l="0" t="0" r="19685" b="12700"/>
                <wp:wrapTopAndBottom/>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415" cy="311150"/>
                        </a:xfrm>
                        <a:prstGeom prst="rect">
                          <a:avLst/>
                        </a:prstGeom>
                        <a:solidFill>
                          <a:srgbClr val="FFFFFF"/>
                        </a:solidFill>
                        <a:ln w="6350">
                          <a:solidFill>
                            <a:srgbClr val="000000"/>
                          </a:solidFill>
                          <a:miter lim="800000"/>
                          <a:headEnd/>
                          <a:tailEnd/>
                        </a:ln>
                      </wps:spPr>
                      <wps:txbx>
                        <w:txbxContent>
                          <w:p w14:paraId="697C1ED3" w14:textId="77777777" w:rsidR="004907F1" w:rsidRDefault="004907F1" w:rsidP="004907F1">
                            <w:pPr>
                              <w:spacing w:after="0" w:line="240" w:lineRule="auto"/>
                              <w:rPr>
                                <w:rFonts w:ascii="Arial" w:hAnsi="Arial" w:cs="Arial"/>
                                <w:sz w:val="20"/>
                                <w:szCs w:val="20"/>
                              </w:rPr>
                            </w:pPr>
                            <w:r>
                              <w:rPr>
                                <w:rFonts w:ascii="Arial" w:hAnsi="Arial" w:cs="Arial"/>
                                <w:sz w:val="20"/>
                                <w:szCs w:val="20"/>
                              </w:rPr>
                              <w:t>Duplicates excluded (n = 59)</w:t>
                            </w:r>
                          </w:p>
                        </w:txbxContent>
                      </wps:txbx>
                      <wps:bodyPr rot="0" vert="horz" wrap="square" lIns="91440" tIns="72000" rIns="91440" bIns="720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792818B" id="Text Box 19" o:spid="_x0000_s1032" type="#_x0000_t202" style="position:absolute;margin-left:273.15pt;margin-top:105.1pt;width:181.45pt;height:2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v5uLQIAAFsEAAAOAAAAZHJzL2Uyb0RvYy54bWysVNtu2zAMfR+wfxD0vjhO0qw14hRdugwD&#10;ugvQ7gMUWY6FyaJGKbGzry8lJ1nQDXsY5gdBlKhD8hzSi9u+NWyv0GuwJc9HY86UlVBpuy35t6f1&#10;m2vOfBC2EgasKvlBeX67fP1q0blCTaABUylkBGJ90bmSNyG4Isu8bFQr/AicsnRZA7YikInbrELR&#10;EXprssl4PM86wMohSOU9nd4Pl3yZ8OtayfClrr0KzJSccgtpxbRu4potF6LYonCNlsc0xD9k0Qpt&#10;KegZ6l4EwXaof4NqtUTwUIeRhDaDutZSpRqomnz8oprHRjiVaiFyvDvT5P8frPy8/4pMV6TdDWdW&#10;tKTRk+oDewc9oyPip3O+ILdHR46hp3PyTbV69wDyu2cWVo2wW3WHCF2jREX55fFldvF0wPERZNN9&#10;goriiF2ABNTX2EbyiA5G6KTT4axNzEXS4WQ6ns3yK84k3U3zPL9K4mWiOL126MMHBS2Lm5IjaZ/Q&#10;xf7Bh5iNKE4uMZgHo6u1NiYZuN2sDLK9oD5Zpy8V8MLNWNaVfD6l2H+HGKfvTxCtDtTwRrclvz47&#10;iSLS9t5WqR2D0GbYU8rGHnmM1A0khn7TJ8nmJ3k2UB2IWIShv2keadMA/uSso94uuf+xE6g4Mx8t&#10;iXOTz2ZxGJLxlsaIDLy82VzeCCsJquQyIGeDsQrDCO0c6m1DsYaGsHBHktY6sR21H/I6FkAdnEQ4&#10;TlsckUs7ef36JyyfAQAA//8DAFBLAwQUAAYACAAAACEAe52QM94AAAALAQAADwAAAGRycy9kb3du&#10;cmV2LnhtbEyPQU/DMAyF70j8h8iTuLFkhU2sazohBFfYVsQ5bby2WpNUddqVf485we3Z7+n5c7af&#10;XScmHKgNXsNqqUCgr4Jtfa3hs3i7fwJB0XhruuBRwzcS7PPbm8ykNlz9EadTrAWXeEqNhibGPpWS&#10;qgadoWXo0bN3DoMzkcehlnYwVy53nUyU2khnWs8XGtPjS4PV5TQ6De+l+pgKKqavy/F8OLwSFe1Y&#10;aX23mJ93ICLO8S8Mv/iMDjkzlWH0lkSnYf24eeCohmSlEhCc2Koti5I3axYyz+T/H/IfAAAA//8D&#10;AFBLAQItABQABgAIAAAAIQC2gziS/gAAAOEBAAATAAAAAAAAAAAAAAAAAAAAAABbQ29udGVudF9U&#10;eXBlc10ueG1sUEsBAi0AFAAGAAgAAAAhADj9If/WAAAAlAEAAAsAAAAAAAAAAAAAAAAALwEAAF9y&#10;ZWxzLy5yZWxzUEsBAi0AFAAGAAgAAAAhAFa6/m4tAgAAWwQAAA4AAAAAAAAAAAAAAAAALgIAAGRy&#10;cy9lMm9Eb2MueG1sUEsBAi0AFAAGAAgAAAAhAHudkDPeAAAACwEAAA8AAAAAAAAAAAAAAAAAhwQA&#10;AGRycy9kb3ducmV2LnhtbFBLBQYAAAAABAAEAPMAAACSBQAAAAA=&#10;" strokeweight=".5pt">
                <v:textbox inset=",2mm,,2mm">
                  <w:txbxContent>
                    <w:p w14:paraId="697C1ED3" w14:textId="77777777" w:rsidR="004907F1" w:rsidRDefault="004907F1" w:rsidP="004907F1">
                      <w:pPr>
                        <w:spacing w:after="0" w:line="240" w:lineRule="auto"/>
                        <w:rPr>
                          <w:rFonts w:ascii="Arial" w:hAnsi="Arial" w:cs="Arial"/>
                          <w:sz w:val="20"/>
                          <w:szCs w:val="20"/>
                        </w:rPr>
                      </w:pPr>
                      <w:r>
                        <w:rPr>
                          <w:rFonts w:ascii="Arial" w:hAnsi="Arial" w:cs="Arial"/>
                          <w:sz w:val="20"/>
                          <w:szCs w:val="20"/>
                        </w:rPr>
                        <w:t>Duplicates excluded (n = 59)</w:t>
                      </w:r>
                    </w:p>
                  </w:txbxContent>
                </v:textbox>
                <w10:wrap type="topAndBottom"/>
              </v:shape>
            </w:pict>
          </mc:Fallback>
        </mc:AlternateContent>
      </w:r>
      <w:r>
        <w:rPr>
          <w:noProof/>
        </w:rPr>
        <mc:AlternateContent>
          <mc:Choice Requires="wps">
            <w:drawing>
              <wp:anchor distT="0" distB="0" distL="114300" distR="114300" simplePos="0" relativeHeight="251671552" behindDoc="0" locked="0" layoutInCell="1" allowOverlap="1" wp14:anchorId="2A8083FE" wp14:editId="14C0C358">
                <wp:simplePos x="0" y="0"/>
                <wp:positionH relativeFrom="column">
                  <wp:posOffset>1580515</wp:posOffset>
                </wp:positionH>
                <wp:positionV relativeFrom="paragraph">
                  <wp:posOffset>1496060</wp:posOffset>
                </wp:positionV>
                <wp:extent cx="1888490" cy="0"/>
                <wp:effectExtent l="0" t="76200" r="16510" b="952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8490" cy="0"/>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CDB343" id="Straight Arrow Connector 18" o:spid="_x0000_s1026" type="#_x0000_t32" style="position:absolute;margin-left:124.45pt;margin-top:117.8pt;width:148.7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eQT8gEAAMcDAAAOAAAAZHJzL2Uyb0RvYy54bWysU8FuEzEQvSPxD5bvZJMCVVhlU6GUcilQ&#10;KeUDJrZ318L2WGM3m/w9YycNBW6IHCx7Z+bNe28mq5uDd2JvKFkMnVzM5lKYoFDbMHTy++Pdm6UU&#10;KUPQ4DCYTh5Nkjfr169WU2zNFY7otCHBICG1U+zkmHNsmyap0XhIM4wmcLBH8pD5SUOjCSZG9665&#10;ms+vmwlJR0JlUuKvt6egXFf8vjcqf+v7ZLJwnWRuuZ5Uz105m/UK2oEgjladacA/sPBgAze9QN1C&#10;BvFE9i8obxVhwj7PFPoG+94qUzWwmsX8DzXbEaKpWticFC82pf8Hq77uH0hYzbPjSQXwPKNtJrDD&#10;mMVHIpzEBkNgH5EEp7BfU0wtl23CAxXF6hC28R7VjyQCbkYIg6m8H4+RsRalovmtpDxS5K676Qtq&#10;zoGnjNW8Q0++QLIt4lBndLzMyByyUPxxsVwu333gUarnWAPtc2GklD8b9KJcOpnOQi4KFrUN7O9T&#10;LrSgfS4oXQPeWefqQrggpk5ev33PfcANvNkqU61N6KwueaUi0bDbOBJ7KNtVf1UuR16meZt5x531&#10;nVxekqAdDehPQdeGGazju8jVtEyWbXRGFhbeaCmcYQ7ldqLtwtnU4uNpIjvUxwcq4eIvb0vVd97s&#10;so4v3zXr1/9v/RMAAP//AwBQSwMEFAAGAAgAAAAhAAY0JaDdAAAACwEAAA8AAABkcnMvZG93bnJl&#10;di54bWxMj01Lw0AQhu+C/2EZwZvdtGlDGrMpIuQmgrV6nmbXJDY7G3a3afz3jiDobT4e3nmm3M12&#10;EJPxoXekYLlIQBhqnO6pVXB4re9yECEiaRwcGQVfJsCuur4qsdDuQi9m2sdWcAiFAhV0MY6FlKHp&#10;jMWwcKMh3n04bzFy61upPV443A5ylSSZtNgTX+hwNI+daU77s1Xw9LzND6flNNV18/6ZeqoxlW9K&#10;3d7MD/cgopnjHww/+qwOFTsd3Zl0EIOC1TrfMspFuslAMLFZZymI4+9EVqX8/0P1DQAA//8DAFBL&#10;AQItABQABgAIAAAAIQC2gziS/gAAAOEBAAATAAAAAAAAAAAAAAAAAAAAAABbQ29udGVudF9UeXBl&#10;c10ueG1sUEsBAi0AFAAGAAgAAAAhADj9If/WAAAAlAEAAAsAAAAAAAAAAAAAAAAALwEAAF9yZWxz&#10;Ly5yZWxzUEsBAi0AFAAGAAgAAAAhAM0p5BPyAQAAxwMAAA4AAAAAAAAAAAAAAAAALgIAAGRycy9l&#10;Mm9Eb2MueG1sUEsBAi0AFAAGAAgAAAAhAAY0JaDdAAAACwEAAA8AAAAAAAAAAAAAAAAATAQAAGRy&#10;cy9kb3ducmV2LnhtbFBLBQYAAAAABAAEAPMAAABWBQAAAAA=&#10;" strokeweight=".5pt">
                <v:stroke endarrow="block" joinstyle="miter"/>
              </v:shape>
            </w:pict>
          </mc:Fallback>
        </mc:AlternateContent>
      </w:r>
      <w:r>
        <w:rPr>
          <w:noProof/>
        </w:rPr>
        <mc:AlternateContent>
          <mc:Choice Requires="wps">
            <w:drawing>
              <wp:anchor distT="0" distB="0" distL="114300" distR="114300" simplePos="0" relativeHeight="251672576" behindDoc="0" locked="0" layoutInCell="1" allowOverlap="1" wp14:anchorId="1F548097" wp14:editId="14AE8EF9">
                <wp:simplePos x="0" y="0"/>
                <wp:positionH relativeFrom="column">
                  <wp:posOffset>100965</wp:posOffset>
                </wp:positionH>
                <wp:positionV relativeFrom="paragraph">
                  <wp:posOffset>1694815</wp:posOffset>
                </wp:positionV>
                <wp:extent cx="2959100" cy="466725"/>
                <wp:effectExtent l="0" t="0" r="12700" b="28575"/>
                <wp:wrapTopAndBottom/>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9100" cy="466725"/>
                        </a:xfrm>
                        <a:prstGeom prst="rect">
                          <a:avLst/>
                        </a:prstGeom>
                        <a:solidFill>
                          <a:srgbClr val="FFFFFF"/>
                        </a:solidFill>
                        <a:ln w="6350">
                          <a:solidFill>
                            <a:srgbClr val="000000"/>
                          </a:solidFill>
                          <a:miter lim="800000"/>
                          <a:headEnd/>
                          <a:tailEnd/>
                        </a:ln>
                      </wps:spPr>
                      <wps:txbx>
                        <w:txbxContent>
                          <w:p w14:paraId="6F76827B" w14:textId="77777777" w:rsidR="004907F1" w:rsidRDefault="004907F1" w:rsidP="004907F1">
                            <w:pPr>
                              <w:spacing w:after="0" w:line="240" w:lineRule="auto"/>
                              <w:jc w:val="center"/>
                              <w:rPr>
                                <w:rFonts w:ascii="Arial" w:hAnsi="Arial" w:cs="Arial"/>
                                <w:sz w:val="20"/>
                                <w:szCs w:val="20"/>
                              </w:rPr>
                            </w:pPr>
                            <w:r>
                              <w:rPr>
                                <w:rFonts w:ascii="Arial" w:hAnsi="Arial" w:cs="Arial"/>
                                <w:sz w:val="20"/>
                                <w:szCs w:val="20"/>
                              </w:rPr>
                              <w:t xml:space="preserve">Titles/abstracts for screening </w:t>
                            </w:r>
                          </w:p>
                          <w:p w14:paraId="30788F56" w14:textId="77777777" w:rsidR="004907F1" w:rsidRDefault="004907F1" w:rsidP="004907F1">
                            <w:pPr>
                              <w:spacing w:after="0" w:line="240" w:lineRule="auto"/>
                              <w:jc w:val="center"/>
                              <w:rPr>
                                <w:rFonts w:ascii="Arial" w:hAnsi="Arial" w:cs="Arial"/>
                                <w:sz w:val="20"/>
                                <w:szCs w:val="20"/>
                                <w:lang w:val="en"/>
                              </w:rPr>
                            </w:pPr>
                            <w:r>
                              <w:rPr>
                                <w:rFonts w:ascii="Arial" w:hAnsi="Arial" w:cs="Arial"/>
                                <w:sz w:val="20"/>
                                <w:szCs w:val="20"/>
                              </w:rPr>
                              <w:t>(n = 423)</w:t>
                            </w:r>
                          </w:p>
                          <w:p w14:paraId="1C1FAA64" w14:textId="77777777" w:rsidR="004907F1" w:rsidRDefault="004907F1" w:rsidP="004907F1">
                            <w:pPr>
                              <w:spacing w:after="0" w:line="240" w:lineRule="auto"/>
                              <w:rPr>
                                <w:sz w:val="20"/>
                                <w:szCs w:val="20"/>
                              </w:rPr>
                            </w:pPr>
                          </w:p>
                        </w:txbxContent>
                      </wps:txbx>
                      <wps:bodyPr rot="0" vert="horz" wrap="square" lIns="91440" tIns="72000" rIns="91440" bIns="720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F548097" id="Text Box 17" o:spid="_x0000_s1033" type="#_x0000_t202" style="position:absolute;margin-left:7.95pt;margin-top:133.45pt;width:233pt;height:36.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sMlLQIAAFsEAAAOAAAAZHJzL2Uyb0RvYy54bWysVNtu2zAMfR+wfxD0vtjJkrQx4hRdugwD&#10;ugvQ7gMUWY6FyaJGKbGzry8lp1l2exnmB0EUqSPyHNLLm7417KDQa7AlH49yzpSVUGm7K/mXx82r&#10;a858ELYSBqwq+VF5frN6+WLZuUJNoAFTKWQEYn3RuZI3Ibgiy7xsVCv8CJyy5KwBWxHIxF1WoegI&#10;vTXZJM/nWQdYOQSpvKfTu8HJVwm/rpUMn+raq8BMySm3kFZM6zau2Wopih0K12h5SkP8Qxat0JYe&#10;PUPdiSDYHvVvUK2WCB7qMJLQZlDXWqpUA1Uzzn+p5qERTqVaiBzvzjT5/wcrPx4+I9MVaXfFmRUt&#10;afSo+sDeQM/oiPjpnC8o7MFRYOjpnGJTrd7dg/zqmYV1I+xO3SJC1yhRUX7jeDO7uDrg+Aiy7T5A&#10;Re+IfYAE1NfYRvKIDkbopNPxrE3MRdLhZDFbjHNySfJN5/OrySw9IYrn2w59eKegZXFTciTtE7o4&#10;3PsQsxHFc0h8zIPR1UYbkwzcbdcG2UFQn2zSd0L/KcxY1pV8/nqWDwT8FSJP358gWh2o4Y1uS359&#10;DhJFpO2trVI7BqHNsKeUjT3xGKkbSAz9tk+SneXZQnUkYhGG/qZ5pE0D+J2zjnq75P7bXqDizLy3&#10;JM5iPJ3GYUjGFY0RGXjp2V56hJUEVXIZkLPBWIdhhPYO9a6ht4aGsHBLktY6sR21H/I6FUAdnEQ4&#10;TVsckUs7Rf34J6yeAAAA//8DAFBLAwQUAAYACAAAACEAxbl7GN0AAAAKAQAADwAAAGRycy9kb3du&#10;cmV2LnhtbEyPwU7DMBBE70j8g7VI3KjdEqIS4lQIwRXaBnF24m0SNV5HsZOGv2c5wW1G+zQ7k+8W&#10;14sZx9B50rBeKRBItbcdNRo+y7e7LYgQDVnTe0IN3xhgV1xf5Saz/kIHnI+xERxCITMa2hiHTMpQ&#10;t+hMWPkBiW8nPzoT2Y6NtKO5cLjr5UapVDrTEX9ozYAvLdbn4+Q0vFfqYy5DOX+dD6f9/jWEsptq&#10;rW9vlucnEBGX+AfDb32uDgV3qvxENoie/cMjkxo2acqCgWS7ZlFpuE9UArLI5f8JxQ8AAAD//wMA&#10;UEsBAi0AFAAGAAgAAAAhALaDOJL+AAAA4QEAABMAAAAAAAAAAAAAAAAAAAAAAFtDb250ZW50X1R5&#10;cGVzXS54bWxQSwECLQAUAAYACAAAACEAOP0h/9YAAACUAQAACwAAAAAAAAAAAAAAAAAvAQAAX3Jl&#10;bHMvLnJlbHNQSwECLQAUAAYACAAAACEA91rDJS0CAABbBAAADgAAAAAAAAAAAAAAAAAuAgAAZHJz&#10;L2Uyb0RvYy54bWxQSwECLQAUAAYACAAAACEAxbl7GN0AAAAKAQAADwAAAAAAAAAAAAAAAACHBAAA&#10;ZHJzL2Rvd25yZXYueG1sUEsFBgAAAAAEAAQA8wAAAJEFAAAAAA==&#10;" strokeweight=".5pt">
                <v:textbox inset=",2mm,,2mm">
                  <w:txbxContent>
                    <w:p w14:paraId="6F76827B" w14:textId="77777777" w:rsidR="004907F1" w:rsidRDefault="004907F1" w:rsidP="004907F1">
                      <w:pPr>
                        <w:spacing w:after="0" w:line="240" w:lineRule="auto"/>
                        <w:jc w:val="center"/>
                        <w:rPr>
                          <w:rFonts w:ascii="Arial" w:hAnsi="Arial" w:cs="Arial"/>
                          <w:sz w:val="20"/>
                          <w:szCs w:val="20"/>
                        </w:rPr>
                      </w:pPr>
                      <w:r>
                        <w:rPr>
                          <w:rFonts w:ascii="Arial" w:hAnsi="Arial" w:cs="Arial"/>
                          <w:sz w:val="20"/>
                          <w:szCs w:val="20"/>
                        </w:rPr>
                        <w:t xml:space="preserve">Titles/abstracts for screening </w:t>
                      </w:r>
                    </w:p>
                    <w:p w14:paraId="30788F56" w14:textId="77777777" w:rsidR="004907F1" w:rsidRDefault="004907F1" w:rsidP="004907F1">
                      <w:pPr>
                        <w:spacing w:after="0" w:line="240" w:lineRule="auto"/>
                        <w:jc w:val="center"/>
                        <w:rPr>
                          <w:rFonts w:ascii="Arial" w:hAnsi="Arial" w:cs="Arial"/>
                          <w:sz w:val="20"/>
                          <w:szCs w:val="20"/>
                          <w:lang w:val="en"/>
                        </w:rPr>
                      </w:pPr>
                      <w:r>
                        <w:rPr>
                          <w:rFonts w:ascii="Arial" w:hAnsi="Arial" w:cs="Arial"/>
                          <w:sz w:val="20"/>
                          <w:szCs w:val="20"/>
                        </w:rPr>
                        <w:t>(n = 423)</w:t>
                      </w:r>
                    </w:p>
                    <w:p w14:paraId="1C1FAA64" w14:textId="77777777" w:rsidR="004907F1" w:rsidRDefault="004907F1" w:rsidP="004907F1">
                      <w:pPr>
                        <w:spacing w:after="0" w:line="240" w:lineRule="auto"/>
                        <w:rPr>
                          <w:sz w:val="20"/>
                          <w:szCs w:val="20"/>
                        </w:rPr>
                      </w:pPr>
                    </w:p>
                  </w:txbxContent>
                </v:textbox>
                <w10:wrap type="topAndBottom"/>
              </v:shape>
            </w:pict>
          </mc:Fallback>
        </mc:AlternateContent>
      </w:r>
      <w:r>
        <w:rPr>
          <w:noProof/>
        </w:rPr>
        <mc:AlternateContent>
          <mc:Choice Requires="wps">
            <w:drawing>
              <wp:anchor distT="0" distB="0" distL="114300" distR="114300" simplePos="0" relativeHeight="251673600" behindDoc="0" locked="0" layoutInCell="1" allowOverlap="1" wp14:anchorId="07D5E81E" wp14:editId="0F947AB8">
                <wp:simplePos x="0" y="0"/>
                <wp:positionH relativeFrom="column">
                  <wp:posOffset>1580515</wp:posOffset>
                </wp:positionH>
                <wp:positionV relativeFrom="paragraph">
                  <wp:posOffset>1334770</wp:posOffset>
                </wp:positionV>
                <wp:extent cx="0" cy="360045"/>
                <wp:effectExtent l="76200" t="0" r="76200" b="5905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D52878" id="Straight Arrow Connector 16" o:spid="_x0000_s1026" type="#_x0000_t32" style="position:absolute;margin-left:124.45pt;margin-top:105.1pt;width:0;height:28.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BUw8gEAAMYDAAAOAAAAZHJzL2Uyb0RvYy54bWysU01v2zAMvQ/YfxB0X+y0a1AYcYohXXfp&#10;tgDpfgAjy7YwSRQoNU7+/SglTdftNswHQR/k43uP9PLu4KzYa4oGfSvns1oK7RV2xg+t/PH08OFW&#10;ipjAd2DR61YedZR3q/fvllNo9BWOaDtNgkF8bKbQyjGl0FRVVKN2EGcYtOfHHslB4iMNVUcwMbqz&#10;1VVdL6oJqQuESsfIt/enR7kq+H2vVfre91EnYVvJ3FJZqay7vFarJTQDQRiNOtOAf2DhwHgueoG6&#10;hwTimcxfUM4owoh9mil0Ffa9UbpoYDXz+g812xGCLlrYnBguNsX/B6u+7TckTMe9W0jhwXGPtonA&#10;DGMSn4hwEmv0nn1EEhzCfk0hNpy29hvKitXBb8Mjqp9ReFyP4AddeD8dA2PNc0b1JiUfYuCqu+kr&#10;dhwDzwmLeYeeXIZkW8Sh9Oh46ZE+JKFOl4pvrxd1/fGmgEPzkhcopi8ancibVsazjouAeakC+8eY&#10;MitoXhJyUY8PxtoyD9aLqZWL6xueGLADD7ZKVHIjWtPluJwRaditLYk95OEq35nQmzBnEo+4Na6V&#10;t5cgaEYN3WfflYIJjOW9SMWzRIZdtFpmFk53UljNHPLuRNv6s6fZxlNDdtgdN5Sfs708LEXfebDz&#10;NP5+LlGvv9/qFwAAAP//AwBQSwMEFAAGAAgAAAAhAL20h/3dAAAACwEAAA8AAABkcnMvZG93bnJl&#10;di54bWxMj0FPg0AQhe8m/ofNNPFmF6ghgCyNMeFmTKzV85YdgZadJeyW4r93jAd7ezPv5c035Xax&#10;g5hx8r0jBfE6AoHUONNTq2D/Xt9nIHzQZPTgCBV8o4dtdXtT6sK4C73hvAut4BLyhVbQhTAWUvqm&#10;Q6v92o1I7H25yerA49RKM+kLl9tBJlGUSqt74gudHvG5w+a0O1sFL695tj/F81zXzedxM1GtN/JD&#10;qbvV8vQIIuAS/sPwi8/oUDHTwZ3JeDEoSB6ynKMs4igBwYm/zYFFmuYgq1Je/1D9AAAA//8DAFBL&#10;AQItABQABgAIAAAAIQC2gziS/gAAAOEBAAATAAAAAAAAAAAAAAAAAAAAAABbQ29udGVudF9UeXBl&#10;c10ueG1sUEsBAi0AFAAGAAgAAAAhADj9If/WAAAAlAEAAAsAAAAAAAAAAAAAAAAALwEAAF9yZWxz&#10;Ly5yZWxzUEsBAi0AFAAGAAgAAAAhAHbAFTDyAQAAxgMAAA4AAAAAAAAAAAAAAAAALgIAAGRycy9l&#10;Mm9Eb2MueG1sUEsBAi0AFAAGAAgAAAAhAL20h/3dAAAACwEAAA8AAAAAAAAAAAAAAAAATAQAAGRy&#10;cy9kb3ducmV2LnhtbFBLBQYAAAAABAAEAPMAAABWBQAAAAA=&#10;" strokeweight=".5pt">
                <v:stroke endarrow="block" joinstyle="miter"/>
              </v:shape>
            </w:pict>
          </mc:Fallback>
        </mc:AlternateContent>
      </w:r>
    </w:p>
    <w:p w14:paraId="6239B2DE" w14:textId="77777777" w:rsidR="004907F1" w:rsidRDefault="004907F1" w:rsidP="004907F1">
      <w:pPr>
        <w:pStyle w:val="ThesisHeading2"/>
        <w:keepNext w:val="0"/>
        <w:keepLines w:val="0"/>
        <w:rPr>
          <w:rFonts w:ascii="Baskerville Old Face" w:hAnsi="Baskerville Old Face" w:cstheme="minorHAnsi"/>
          <w:b w:val="0"/>
          <w:szCs w:val="24"/>
        </w:rPr>
      </w:pPr>
    </w:p>
    <w:p w14:paraId="5A8FE4E2" w14:textId="77777777" w:rsidR="004907F1" w:rsidRDefault="004907F1" w:rsidP="004907F1">
      <w:pPr>
        <w:pStyle w:val="ThesisHeading2"/>
        <w:keepNext w:val="0"/>
        <w:keepLines w:val="0"/>
        <w:rPr>
          <w:rFonts w:cs="Arial"/>
          <w:b w:val="0"/>
          <w:sz w:val="22"/>
          <w:szCs w:val="22"/>
        </w:rPr>
      </w:pPr>
      <w:r>
        <w:rPr>
          <w:rFonts w:cs="Arial"/>
          <w:sz w:val="22"/>
          <w:szCs w:val="22"/>
        </w:rPr>
        <w:t xml:space="preserve">Figure 1. </w:t>
      </w:r>
      <w:r>
        <w:rPr>
          <w:rFonts w:cs="Arial"/>
          <w:b w:val="0"/>
          <w:sz w:val="22"/>
          <w:szCs w:val="22"/>
        </w:rPr>
        <w:t xml:space="preserve">PRISMA flowchart </w:t>
      </w:r>
    </w:p>
    <w:p w14:paraId="5D4CA411" w14:textId="77777777" w:rsidR="004907F1" w:rsidRDefault="004907F1" w:rsidP="004907F1">
      <w:pPr>
        <w:spacing w:after="0" w:line="360" w:lineRule="auto"/>
        <w:rPr>
          <w:rFonts w:ascii="Baskerville Old Face" w:hAnsi="Baskerville Old Face" w:cstheme="minorHAnsi"/>
          <w:sz w:val="24"/>
          <w:szCs w:val="24"/>
        </w:rPr>
      </w:pPr>
    </w:p>
    <w:p w14:paraId="603F0494" w14:textId="77777777" w:rsidR="004907F1" w:rsidRDefault="004907F1" w:rsidP="004907F1">
      <w:pPr>
        <w:spacing w:after="0" w:line="360" w:lineRule="auto"/>
        <w:rPr>
          <w:rFonts w:ascii="Baskerville Old Face" w:hAnsi="Baskerville Old Face" w:cstheme="minorHAnsi"/>
          <w:b/>
          <w:sz w:val="24"/>
          <w:szCs w:val="24"/>
        </w:rPr>
      </w:pPr>
      <w:r>
        <w:rPr>
          <w:rFonts w:ascii="Baskerville Old Face" w:hAnsi="Baskerville Old Face" w:cstheme="minorHAnsi"/>
          <w:b/>
          <w:sz w:val="24"/>
          <w:szCs w:val="24"/>
        </w:rPr>
        <w:t>Review characteristics</w:t>
      </w:r>
    </w:p>
    <w:p w14:paraId="6C9F8AE3" w14:textId="77777777" w:rsidR="004907F1" w:rsidRDefault="004907F1" w:rsidP="004907F1">
      <w:pPr>
        <w:spacing w:after="0" w:line="360" w:lineRule="auto"/>
        <w:rPr>
          <w:rFonts w:ascii="Baskerville Old Face" w:hAnsi="Baskerville Old Face"/>
          <w:sz w:val="24"/>
          <w:szCs w:val="24"/>
        </w:rPr>
      </w:pPr>
      <w:r>
        <w:rPr>
          <w:rFonts w:ascii="Baskerville Old Face" w:hAnsi="Baskerville Old Face"/>
          <w:sz w:val="24"/>
          <w:szCs w:val="24"/>
        </w:rPr>
        <w:t xml:space="preserve">The majority of reviews focussed on the use of vignettes in a particular research area of interest, commonly clinical decision-making </w:t>
      </w:r>
      <w:r>
        <w:rPr>
          <w:rFonts w:ascii="Baskerville Old Face" w:hAnsi="Baskerville Old Face"/>
          <w:sz w:val="24"/>
          <w:szCs w:val="24"/>
        </w:rPr>
        <w:fldChar w:fldCharType="begin"/>
      </w:r>
      <w:r>
        <w:rPr>
          <w:rFonts w:ascii="Baskerville Old Face" w:hAnsi="Baskerville Old Face"/>
          <w:sz w:val="24"/>
          <w:szCs w:val="24"/>
        </w:rPr>
        <w:instrText xml:space="preserve"> ADDIN ZOTERO_ITEM CSL_CITATION {"citationID":"auqakloj23","properties":{"formattedCitation":"[2,3,6,7]","plainCitation":"[2,3,6,7]","noteIndex":0},"citationItems":[{"id":3282,"uris":["http://zotero.org/users/2461043/items/2TFJ26X3"],"uri":["http://zotero.org/users/2461043/items/2TFJ26X3"],"itemData":{"id":3282,"type":"article-journal","title":"Clinical Vignette-Based Surveys: A Tool for Assessing Physician Practice Variation","container-title":"American Journal of Medical Quality","page":"151-157","volume":"20","issue":"3","source":"CrossRef","DOI":"10.1177/1062860605274520","ISSN":"1062-8606, 1555-824X","title-short":"Clinical Vignette-Based Surveys","language":"en","author":[{"family":"Veloski","given":"Jon"},{"family":"Tai","given":"Stephen"},{"family":"Evans","given":"Adam S."},{"family":"Nash","given":"David B."}],"issued":{"date-parts":[["2005",5]]}}},{"id":1344,"uris":["http://zotero.org/users/2461043/items/T4FC3S86"],"uri":["http://zotero.org/users/2461043/items/T4FC3S86"],"itemData":{"id":1344,"type":"article-journal","title":"Vignette studies of medical choice and judgement to study caregivers' medical decision behaviour: systematic review","container-title":"BMC Medical Research Methodology","page":"50","volume":"8","issue":"1","source":"CrossRef","DOI":"10.1186/1471-2288-8-50","ISSN":"1471-2288","title-short":"Vignette studies of medical choice and judgement to study caregivers' medical decision behaviour","language":"en","author":[{"family":"Bachmann","given":"Lucas M"},{"family":"Mühleisen","given":"Andrea"},{"family":"Bock","given":"Annekatrin"},{"family":"Riet","given":"Gerben","non-dropping-particle":"ter"},{"family":"Held","given":"Ulrike"},{"family":"Kessels","given":"Alfons GH"}],"issued":{"date-parts":[["2008"]]}}},{"id":3288,"uris":["http://zotero.org/users/2461043/items/J2SUPVPZ"],"uri":["http://zotero.org/users/2461043/items/J2SUPVPZ"],"itemData":{"id":3288,"type":"article-journal","title":"Vignette methodologies for studying clinicians’ decision-making: Validity, utility, and application in ICD-11 field studies","container-title":"International Journal of Clinical and Health Psychology","page":"160-170","volume":"15","issue":"2","source":"CrossRef","DOI":"10.1016/j.ijchp.2014.12.001","ISSN":"16972600","title-short":"Vignette methodologies for studying clinicians’ decision-making","language":"en","author":[{"family":"Evans","given":"Spencer C."},{"family":"Roberts","given":"Michael C."},{"family":"Keeley","given":"Jared W."},{"family":"Blossom","given":"Jennifer B."},{"family":"Amaro","given":"Christina M."},{"family":"Garcia","given":"Andrea M."},{"family":"Stough","given":"Cathleen Odar"},{"family":"Canter","given":"Kimberly S."},{"family":"Robles","given":"Rebeca"},{"family":"Reed","given":"Geoffrey M."}],"issued":{"date-parts":[["2015",5]]}}},{"id":3283,"uris":["http://zotero.org/users/2461043/items/Y5IP2K6A"],"uri":["http://zotero.org/users/2461043/items/Y5IP2K6A"],"itemData":{"id":3283,"type":"article-journal","title":"Methods of Observing Variations in Physicians’ Decisions: The Opportunities of Clinical Vignettes","container-title":"Journal of General Internal Medicine","page":"586-594","volume":"30","issue":"S3","source":"CrossRef","DOI":"10.1007/s11606-015-3365-8","ISSN":"0884-8734, 1525-1497","title-short":"Methods of Observing Variations in Physicians’ Decisions","language":"en","author":[{"family":"Converse","given":"Lara"},{"family":"Barrett","given":"Kirsten"},{"family":"Rich","given":"Eugene"},{"family":"Reschovsky","given":"James"}],"issued":{"date-parts":[["2015",8]]}}}],"schema":"https://github.com/citation-style-language/schema/raw/master/csl-citation.json"} </w:instrText>
      </w:r>
      <w:r>
        <w:rPr>
          <w:rFonts w:ascii="Baskerville Old Face" w:hAnsi="Baskerville Old Face"/>
          <w:sz w:val="24"/>
          <w:szCs w:val="24"/>
        </w:rPr>
        <w:fldChar w:fldCharType="separate"/>
      </w:r>
      <w:r>
        <w:rPr>
          <w:rFonts w:ascii="Baskerville Old Face" w:hAnsi="Baskerville Old Face"/>
          <w:sz w:val="24"/>
          <w:szCs w:val="24"/>
        </w:rPr>
        <w:t>[2,3,6,7]</w:t>
      </w:r>
      <w:r>
        <w:rPr>
          <w:rFonts w:ascii="Baskerville Old Face" w:hAnsi="Baskerville Old Face"/>
          <w:sz w:val="24"/>
          <w:szCs w:val="24"/>
        </w:rPr>
        <w:fldChar w:fldCharType="end"/>
      </w:r>
      <w:r>
        <w:rPr>
          <w:rFonts w:ascii="Baskerville Old Face" w:hAnsi="Baskerville Old Face"/>
          <w:sz w:val="24"/>
          <w:szCs w:val="24"/>
        </w:rPr>
        <w:t xml:space="preserve"> or doctor-patient communication </w:t>
      </w:r>
      <w:r>
        <w:rPr>
          <w:rFonts w:ascii="Baskerville Old Face" w:hAnsi="Baskerville Old Face"/>
          <w:sz w:val="24"/>
          <w:szCs w:val="24"/>
        </w:rPr>
        <w:fldChar w:fldCharType="begin"/>
      </w:r>
      <w:r>
        <w:rPr>
          <w:rFonts w:ascii="Baskerville Old Face" w:hAnsi="Baskerville Old Face"/>
          <w:sz w:val="24"/>
          <w:szCs w:val="24"/>
        </w:rPr>
        <w:instrText xml:space="preserve"> ADDIN ZOTERO_ITEM CSL_CITATION {"citationID":"aukm6rucdr","properties":{"formattedCitation":"[4,5]","plainCitation":"[4,5]","noteIndex":0},"citationItems":[{"id":1020,"uris":["http://zotero.org/users/2461043/items/CJISNAQA"],"uri":["http://zotero.org/users/2461043/items/CJISNAQA"],"itemData":{"id":1020,"type":"article-journal","title":"Developing and administering scripted video vignettes for experimental research of patient-provider communication","container-title":"Patient Education and Counseling","page":"295-309","volume":"91","issue":"3","archive_location":"WOS:000319645900006","abstract":"Objective: Scripted video-vignette studies enable experimental investigation of specific elements of patient-provider communication, separating cause and effect. However, scripted video vignettes are infrequently used to this end. Resultantly, few guidelines are available for their, design, development and administration. We aim to suggest guidelines enabling more informed decisions when designing and conducting these studies.\nMethods: Based on the available methodological literature, we discuss methodological considerations when developing and administering scripted video vignettes.\nResults: Developing and using valid video vignettes requires: (I) deciding if using video vignettes is appropriate, (II) developing a valid script, (III) designing valid manipulations, (IV) converting the scripted consultation to video, and (V) administering the videos. We provide a first checklist of the methodological considerations in each phase. Advantages and pitfalls of possible approaches are discussed.\nConclusions: No 'gold standard' exists for most methodological issues, as literature testing the consequences of different approaches is lacking. The best approach when developing and implementing video vignettes depends upon the aims and practical limitations of a particular study.\nPractice implications: Our checklist may serve as a starting point for further study of scripted video vignettes methodology. More detailed methodological reporting would yield new knowledge, thus allowing the research field to progress. (C) 2013 Elsevier Ireland Ltd. All rights reserved.","DOI":"10.1016/j.pec.2013.01.020","ISSN":"0738-3991","title-short":"Developing and administering scripted video vignettes for experimental research of patient-provider communication","journalAbbreviation":"Patient Educ Couns","language":"English","author":[{"family":"Hillen","given":"M. A."},{"family":"Vliet","given":"L. M.","non-dropping-particle":"van"},{"family":"Haes","given":"H. C. J. M.","non-dropping-particle":"de"},{"family":"Smets","given":"E. M. A."}],"issued":{"date-parts":[["2013",6]]}}},{"id":994,"uris":["http://zotero.org/users/2461043/items/NG3FISHG"],"uri":["http://zotero.org/users/2461043/items/NG3FISHG"],"itemData":{"id":994,"type":"article-journal","title":"How to create and administer scripted video-vignettes in an experimental study on disclosure of a palliative breast cancer diagnosis","container-title":"Patient Education and Counseling","page":"56-64","volume":"91","issue":"1","archive_location":"WOS:000316778600009","abstract":"Objective: Scripted consultations provide the opportunity to vary and study the effect of specific elements of medical communication. These scripted consultations are role-played, videotaped and then judged by analogue patients. Most studies applying this methodology have provided little insight into how they created internally and externally valid written and role-played scripts. In this paper we aim to address this gap by providing a detailed description of a scripted video-vignette study's methodology.\nMethods: Following the five phases of creating and implementing scripted video-vignettes the current study's methodology is described: (1) deciding if video-vignettes are appropriate, (2) developing a valid script, (3) designing valid manipulations, (4) converting the scripted consultations to video, (5) administering the videos in an experiment.\nResults: Following these phases and four validation steps internally and externally valid vignettes were developed.\nConclusions: The detailed description of the current study's methodology produced general recommendations for scripted video-vignette studies, such as the importance of validating both the written as well as the role-played scripts and involving both experts and lay people in validating the scripts. For other choices no golden standard exists.\nPractice implications: The presented methodology and recommendations may serve as a source of inspiration for future scripted video-vignette studies. (C) 2012 Elsevier Ireland Ltd. All rights reserved.","DOI":"10.1016/j.pec.2012.10.017","ISSN":"0738-3991","title-short":"How to create and administer scripted video-vignettes in an experimental study on disclosure of a palliative breast cancer diagnosis","journalAbbreviation":"Patient Educ Couns","language":"English","author":[{"family":"Vliet","given":"L. M.","non-dropping-particle":"van"},{"family":"Hillen","given":"M. A."},{"family":"Wall","given":"E.","non-dropping-particle":"van der"},{"family":"Plum","given":"N."},{"family":"Bensing","given":"J. M."}],"issued":{"date-parts":[["2013",4]]}}}],"schema":"https://github.com/citation-style-language/schema/raw/master/csl-citation.json"} </w:instrText>
      </w:r>
      <w:r>
        <w:rPr>
          <w:rFonts w:ascii="Baskerville Old Face" w:hAnsi="Baskerville Old Face"/>
          <w:sz w:val="24"/>
          <w:szCs w:val="24"/>
        </w:rPr>
        <w:fldChar w:fldCharType="separate"/>
      </w:r>
      <w:r>
        <w:rPr>
          <w:rFonts w:ascii="Baskerville Old Face" w:hAnsi="Baskerville Old Face"/>
          <w:sz w:val="24"/>
          <w:szCs w:val="24"/>
        </w:rPr>
        <w:t>[4,5]</w:t>
      </w:r>
      <w:r>
        <w:rPr>
          <w:rFonts w:ascii="Baskerville Old Face" w:hAnsi="Baskerville Old Face"/>
          <w:sz w:val="24"/>
          <w:szCs w:val="24"/>
        </w:rPr>
        <w:fldChar w:fldCharType="end"/>
      </w:r>
      <w:r>
        <w:rPr>
          <w:rFonts w:ascii="Baskerville Old Face" w:hAnsi="Baskerville Old Face"/>
          <w:sz w:val="24"/>
          <w:szCs w:val="24"/>
        </w:rPr>
        <w:t xml:space="preserve">. with one review providing a narrative of the use of vignettes in general in the health care field </w:t>
      </w:r>
      <w:r>
        <w:rPr>
          <w:rFonts w:ascii="Baskerville Old Face" w:hAnsi="Baskerville Old Face"/>
          <w:sz w:val="24"/>
          <w:szCs w:val="24"/>
        </w:rPr>
        <w:fldChar w:fldCharType="begin"/>
      </w:r>
      <w:r>
        <w:rPr>
          <w:rFonts w:ascii="Baskerville Old Face" w:hAnsi="Baskerville Old Face"/>
          <w:sz w:val="24"/>
          <w:szCs w:val="24"/>
        </w:rPr>
        <w:instrText xml:space="preserve"> ADDIN ZOTERO_ITEM CSL_CITATION {"citationID":"asurkgqbn4","properties":{"formattedCitation":"[1]","plainCitation":"[1]","noteIndex":0},"citationItems":[{"id":1339,"uris":["http://zotero.org/users/2461043/items/SACPUP8P"],"uri":["http://zotero.org/users/2461043/items/SACPUP8P"],"itemData":{"id":1339,"type":"article-journal","title":"The application of vignettes in social and nursing research","container-title":"Journal of advanced nursing","page":"382–386","volume":"37","issue":"4","source":"Google Scholar","author":[{"family":"Hughes","given":"Rhidian"},{"family":"Huby","given":"Meg"}],"issued":{"date-parts":[["2002"]]}}}],"schema":"https://github.com/citation-style-language/schema/raw/master/csl-citation.json"} </w:instrText>
      </w:r>
      <w:r>
        <w:rPr>
          <w:rFonts w:ascii="Baskerville Old Face" w:hAnsi="Baskerville Old Face"/>
          <w:sz w:val="24"/>
          <w:szCs w:val="24"/>
        </w:rPr>
        <w:fldChar w:fldCharType="separate"/>
      </w:r>
      <w:r>
        <w:rPr>
          <w:rFonts w:ascii="Baskerville Old Face" w:hAnsi="Baskerville Old Face"/>
          <w:sz w:val="24"/>
          <w:szCs w:val="24"/>
        </w:rPr>
        <w:t>[1]</w:t>
      </w:r>
      <w:r>
        <w:rPr>
          <w:rFonts w:ascii="Baskerville Old Face" w:hAnsi="Baskerville Old Face"/>
          <w:sz w:val="24"/>
          <w:szCs w:val="24"/>
        </w:rPr>
        <w:fldChar w:fldCharType="end"/>
      </w:r>
      <w:r>
        <w:rPr>
          <w:rFonts w:ascii="Baskerville Old Face" w:hAnsi="Baskerville Old Face"/>
          <w:sz w:val="24"/>
          <w:szCs w:val="24"/>
        </w:rPr>
        <w:t xml:space="preserve"> (see Table 1). With the exception of Hughes, </w:t>
      </w:r>
      <w:r>
        <w:rPr>
          <w:rFonts w:ascii="Baskerville Old Face" w:hAnsi="Baskerville Old Face"/>
          <w:sz w:val="24"/>
          <w:szCs w:val="24"/>
        </w:rPr>
        <w:fldChar w:fldCharType="begin"/>
      </w:r>
      <w:r>
        <w:rPr>
          <w:rFonts w:ascii="Baskerville Old Face" w:hAnsi="Baskerville Old Face"/>
          <w:sz w:val="24"/>
          <w:szCs w:val="24"/>
        </w:rPr>
        <w:instrText xml:space="preserve"> ADDIN ZOTERO_ITEM CSL_CITATION {"citationID":"a26af07ds7k","properties":{"formattedCitation":"[1]","plainCitation":"[1]","noteIndex":0},"citationItems":[{"id":1339,"uris":["http://zotero.org/users/2461043/items/SACPUP8P"],"uri":["http://zotero.org/users/2461043/items/SACPUP8P"],"itemData":{"id":1339,"type":"article-journal","title":"The application of vignettes in social and nursing research","container-title":"Journal of advanced nursing","page":"382–386","volume":"37","issue":"4","source":"Google Scholar","author":[{"family":"Hughes","given":"Rhidian"},{"family":"Huby","given":"Meg"}],"issued":{"date-parts":[["2002"]]}}}],"schema":"https://github.com/citation-style-language/schema/raw/master/csl-citation.json"} </w:instrText>
      </w:r>
      <w:r>
        <w:rPr>
          <w:rFonts w:ascii="Baskerville Old Face" w:hAnsi="Baskerville Old Face"/>
          <w:sz w:val="24"/>
          <w:szCs w:val="24"/>
        </w:rPr>
        <w:fldChar w:fldCharType="separate"/>
      </w:r>
      <w:r>
        <w:rPr>
          <w:rFonts w:ascii="Baskerville Old Face" w:hAnsi="Baskerville Old Face"/>
          <w:sz w:val="24"/>
          <w:szCs w:val="24"/>
        </w:rPr>
        <w:t>[1]</w:t>
      </w:r>
      <w:r>
        <w:rPr>
          <w:rFonts w:ascii="Baskerville Old Face" w:hAnsi="Baskerville Old Face"/>
          <w:sz w:val="24"/>
          <w:szCs w:val="24"/>
        </w:rPr>
        <w:fldChar w:fldCharType="end"/>
      </w:r>
      <w:r>
        <w:rPr>
          <w:rFonts w:ascii="Baskerville Old Face" w:hAnsi="Baskerville Old Face"/>
          <w:sz w:val="24"/>
          <w:szCs w:val="24"/>
        </w:rPr>
        <w:t xml:space="preserve"> reviews were concerned with one vignette modality and/or type of respondent; written vignettes for clinicians </w:t>
      </w:r>
      <w:r>
        <w:rPr>
          <w:rFonts w:ascii="Baskerville Old Face" w:hAnsi="Baskerville Old Face"/>
          <w:sz w:val="24"/>
          <w:szCs w:val="24"/>
        </w:rPr>
        <w:fldChar w:fldCharType="begin"/>
      </w:r>
      <w:r>
        <w:rPr>
          <w:rFonts w:ascii="Baskerville Old Face" w:hAnsi="Baskerville Old Face"/>
          <w:sz w:val="24"/>
          <w:szCs w:val="24"/>
        </w:rPr>
        <w:instrText xml:space="preserve"> ADDIN ZOTERO_ITEM CSL_CITATION {"citationID":"a17dhoag7gq","properties":{"formattedCitation":"[2,3,6,7]","plainCitation":"[2,3,6,7]","noteIndex":0},"citationItems":[{"id":3282,"uris":["http://zotero.org/users/2461043/items/2TFJ26X3"],"uri":["http://zotero.org/users/2461043/items/2TFJ26X3"],"itemData":{"id":3282,"type":"article-journal","title":"Clinical Vignette-Based Surveys: A Tool for Assessing Physician Practice Variation","container-title":"American Journal of Medical Quality","page":"151-157","volume":"20","issue":"3","source":"CrossRef","DOI":"10.1177/1062860605274520","ISSN":"1062-8606, 1555-824X","title-short":"Clinical Vignette-Based Surveys","language":"en","author":[{"family":"Veloski","given":"Jon"},{"family":"Tai","given":"Stephen"},{"family":"Evans","given":"Adam S."},{"family":"Nash","given":"David B."}],"issued":{"date-parts":[["2005",5]]}}},{"id":1344,"uris":["http://zotero.org/users/2461043/items/T4FC3S86"],"uri":["http://zotero.org/users/2461043/items/T4FC3S86"],"itemData":{"id":1344,"type":"article-journal","title":"Vignette studies of medical choice and judgement to study caregivers' medical decision behaviour: systematic review","container-title":"BMC Medical Research Methodology","page":"50","volume":"8","issue":"1","source":"CrossRef","DOI":"10.1186/1471-2288-8-50","ISSN":"1471-2288","title-short":"Vignette studies of medical choice and judgement to study caregivers' medical decision behaviour","language":"en","author":[{"family":"Bachmann","given":"Lucas M"},{"family":"Mühleisen","given":"Andrea"},{"family":"Bock","given":"Annekatrin"},{"family":"Riet","given":"Gerben","non-dropping-particle":"ter"},{"family":"Held","given":"Ulrike"},{"family":"Kessels","given":"Alfons GH"}],"issued":{"date-parts":[["2008"]]}}},{"id":3288,"uris":["http://zotero.org/users/2461043/items/J2SUPVPZ"],"uri":["http://zotero.org/users/2461043/items/J2SUPVPZ"],"itemData":{"id":3288,"type":"article-journal","title":"Vignette methodologies for studying clinicians’ decision-making: Validity, utility, and application in ICD-11 field studies","container-title":"International Journal of Clinical and Health Psychology","page":"160-170","volume":"15","issue":"2","source":"CrossRef","DOI":"10.1016/j.ijchp.2014.12.001","ISSN":"16972600","title-short":"Vignette methodologies for studying clinicians’ decision-making","language":"en","author":[{"family":"Evans","given":"Spencer C."},{"family":"Roberts","given":"Michael C."},{"family":"Keeley","given":"Jared W."},{"family":"Blossom","given":"Jennifer B."},{"family":"Amaro","given":"Christina M."},{"family":"Garcia","given":"Andrea M."},{"family":"Stough","given":"Cathleen Odar"},{"family":"Canter","given":"Kimberly S."},{"family":"Robles","given":"Rebeca"},{"family":"Reed","given":"Geoffrey M."}],"issued":{"date-parts":[["2015",5]]}}},{"id":3283,"uris":["http://zotero.org/users/2461043/items/Y5IP2K6A"],"uri":["http://zotero.org/users/2461043/items/Y5IP2K6A"],"itemData":{"id":3283,"type":"article-journal","title":"Methods of Observing Variations in Physicians’ Decisions: The Opportunities of Clinical Vignettes","container-title":"Journal of General Internal Medicine","page":"586-594","volume":"30","issue":"S3","source":"CrossRef","DOI":"10.1007/s11606-015-3365-8","ISSN":"0884-8734, 1525-1497","title-short":"Methods of Observing Variations in Physicians’ Decisions","language":"en","author":[{"family":"Converse","given":"Lara"},{"family":"Barrett","given":"Kirsten"},{"family":"Rich","given":"Eugene"},{"family":"Reschovsky","given":"James"}],"issued":{"date-parts":[["2015",8]]}}}],"schema":"https://github.com/citation-style-language/schema/raw/master/csl-citation.json"} </w:instrText>
      </w:r>
      <w:r>
        <w:rPr>
          <w:rFonts w:ascii="Baskerville Old Face" w:hAnsi="Baskerville Old Face"/>
          <w:sz w:val="24"/>
          <w:szCs w:val="24"/>
        </w:rPr>
        <w:fldChar w:fldCharType="separate"/>
      </w:r>
      <w:r>
        <w:rPr>
          <w:rFonts w:ascii="Baskerville Old Face" w:hAnsi="Baskerville Old Face"/>
          <w:sz w:val="24"/>
          <w:szCs w:val="24"/>
        </w:rPr>
        <w:t>[2,3,6,7]</w:t>
      </w:r>
      <w:r>
        <w:rPr>
          <w:rFonts w:ascii="Baskerville Old Face" w:hAnsi="Baskerville Old Face"/>
          <w:sz w:val="24"/>
          <w:szCs w:val="24"/>
        </w:rPr>
        <w:fldChar w:fldCharType="end"/>
      </w:r>
      <w:r>
        <w:rPr>
          <w:rFonts w:ascii="Baskerville Old Face" w:hAnsi="Baskerville Old Face"/>
          <w:sz w:val="24"/>
          <w:szCs w:val="24"/>
        </w:rPr>
        <w:t xml:space="preserve">; vignettes for ‘analogue patients’  </w:t>
      </w:r>
      <w:r>
        <w:rPr>
          <w:rFonts w:ascii="Baskerville Old Face" w:hAnsi="Baskerville Old Face"/>
          <w:sz w:val="24"/>
          <w:szCs w:val="24"/>
        </w:rPr>
        <w:fldChar w:fldCharType="begin"/>
      </w:r>
      <w:r>
        <w:rPr>
          <w:rFonts w:ascii="Baskerville Old Face" w:hAnsi="Baskerville Old Face"/>
          <w:sz w:val="24"/>
          <w:szCs w:val="24"/>
        </w:rPr>
        <w:instrText xml:space="preserve"> ADDIN ZOTERO_ITEM CSL_CITATION {"citationID":"a1mgsafp9c3","properties":{"formattedCitation":"[4]","plainCitation":"[4]","noteIndex":0},"citationItems":[{"id":994,"uris":["http://zotero.org/users/2461043/items/NG3FISHG"],"uri":["http://zotero.org/users/2461043/items/NG3FISHG"],"itemData":{"id":994,"type":"article-journal","title":"How to create and administer scripted video-vignettes in an experimental study on disclosure of a palliative breast cancer diagnosis","container-title":"Patient Education and Counseling","page":"56-64","volume":"91","issue":"1","archive_location":"WOS:000316778600009","abstract":"Objective: Scripted consultations provide the opportunity to vary and study the effect of specific elements of medical communication. These scripted consultations are role-played, videotaped and then judged by analogue patients. Most studies applying this methodology have provided little insight into how they created internally and externally valid written and role-played scripts. In this paper we aim to address this gap by providing a detailed description of a scripted video-vignette study's methodology.\nMethods: Following the five phases of creating and implementing scripted video-vignettes the current study's methodology is described: (1) deciding if video-vignettes are appropriate, (2) developing a valid script, (3) designing valid manipulations, (4) converting the scripted consultations to video, (5) administering the videos in an experiment.\nResults: Following these phases and four validation steps internally and externally valid vignettes were developed.\nConclusions: The detailed description of the current study's methodology produced general recommendations for scripted video-vignette studies, such as the importance of validating both the written as well as the role-played scripts and involving both experts and lay people in validating the scripts. For other choices no golden standard exists.\nPractice implications: The presented methodology and recommendations may serve as a source of inspiration for future scripted video-vignette studies. (C) 2012 Elsevier Ireland Ltd. All rights reserved.","DOI":"10.1016/j.pec.2012.10.017","ISSN":"0738-3991","title-short":"How to create and administer scripted video-vignettes in an experimental study on disclosure of a palliative breast cancer diagnosis","journalAbbreviation":"Patient Educ Couns","language":"English","author":[{"family":"Vliet","given":"L. M.","non-dropping-particle":"van"},{"family":"Hillen","given":"M. A."},{"family":"Wall","given":"E.","non-dropping-particle":"van der"},{"family":"Plum","given":"N."},{"family":"Bensing","given":"J. M."}],"issued":{"date-parts":[["2013",4]]}}}],"schema":"https://github.com/citation-style-language/schema/raw/master/csl-citation.json"} </w:instrText>
      </w:r>
      <w:r>
        <w:rPr>
          <w:rFonts w:ascii="Baskerville Old Face" w:hAnsi="Baskerville Old Face"/>
          <w:sz w:val="24"/>
          <w:szCs w:val="24"/>
        </w:rPr>
        <w:fldChar w:fldCharType="separate"/>
      </w:r>
      <w:r>
        <w:rPr>
          <w:rFonts w:ascii="Baskerville Old Face" w:hAnsi="Baskerville Old Face"/>
          <w:sz w:val="24"/>
          <w:szCs w:val="24"/>
        </w:rPr>
        <w:t>[4]</w:t>
      </w:r>
      <w:r>
        <w:rPr>
          <w:rFonts w:ascii="Baskerville Old Face" w:hAnsi="Baskerville Old Face"/>
          <w:sz w:val="24"/>
          <w:szCs w:val="24"/>
        </w:rPr>
        <w:fldChar w:fldCharType="end"/>
      </w:r>
      <w:r>
        <w:rPr>
          <w:rFonts w:ascii="Baskerville Old Face" w:hAnsi="Baskerville Old Face"/>
          <w:sz w:val="24"/>
          <w:szCs w:val="24"/>
        </w:rPr>
        <w:t xml:space="preserve">; or video vignettes </w:t>
      </w:r>
      <w:r>
        <w:rPr>
          <w:rFonts w:ascii="Baskerville Old Face" w:hAnsi="Baskerville Old Face"/>
          <w:sz w:val="24"/>
          <w:szCs w:val="24"/>
        </w:rPr>
        <w:fldChar w:fldCharType="begin"/>
      </w:r>
      <w:r>
        <w:rPr>
          <w:rFonts w:ascii="Baskerville Old Face" w:hAnsi="Baskerville Old Face"/>
          <w:sz w:val="24"/>
          <w:szCs w:val="24"/>
        </w:rPr>
        <w:instrText xml:space="preserve"> ADDIN ZOTERO_ITEM CSL_CITATION {"citationID":"a1645ikf1ob","properties":{"formattedCitation":"[5]","plainCitation":"[5]","noteIndex":0},"citationItems":[{"id":1020,"uris":["http://zotero.org/users/2461043/items/CJISNAQA"],"uri":["http://zotero.org/users/2461043/items/CJISNAQA"],"itemData":{"id":1020,"type":"article-journal","title":"Developing and administering scripted video vignettes for experimental research of patient-provider communication","container-title":"Patient Education and Counseling","page":"295-309","volume":"91","issue":"3","archive_location":"WOS:000319645900006","abstract":"Objective: Scripted video-vignette studies enable experimental investigation of specific elements of patient-provider communication, separating cause and effect. However, scripted video vignettes are infrequently used to this end. Resultantly, few guidelines are available for their, design, development and administration. We aim to suggest guidelines enabling more informed decisions when designing and conducting these studies.\nMethods: Based on the available methodological literature, we discuss methodological considerations when developing and administering scripted video vignettes.\nResults: Developing and using valid video vignettes requires: (I) deciding if using video vignettes is appropriate, (II) developing a valid script, (III) designing valid manipulations, (IV) converting the scripted consultation to video, and (V) administering the videos. We provide a first checklist of the methodological considerations in each phase. Advantages and pitfalls of possible approaches are discussed.\nConclusions: No 'gold standard' exists for most methodological issues, as literature testing the consequences of different approaches is lacking. The best approach when developing and implementing video vignettes depends upon the aims and practical limitations of a particular study.\nPractice implications: Our checklist may serve as a starting point for further study of scripted video vignettes methodology. More detailed methodological reporting would yield new knowledge, thus allowing the research field to progress. (C) 2013 Elsevier Ireland Ltd. All rights reserved.","DOI":"10.1016/j.pec.2013.01.020","ISSN":"0738-3991","title-short":"Developing and administering scripted video vignettes for experimental research of patient-provider communication","journalAbbreviation":"Patient Educ Couns","language":"English","author":[{"family":"Hillen","given":"M. A."},{"family":"Vliet","given":"L. M.","non-dropping-particle":"van"},{"family":"Haes","given":"H. C. J. M.","non-dropping-particle":"de"},{"family":"Smets","given":"E. M. A."}],"issued":{"date-parts":[["2013",6]]}}}],"schema":"https://github.com/citation-style-language/schema/raw/master/csl-citation.json"} </w:instrText>
      </w:r>
      <w:r>
        <w:rPr>
          <w:rFonts w:ascii="Baskerville Old Face" w:hAnsi="Baskerville Old Face"/>
          <w:sz w:val="24"/>
          <w:szCs w:val="24"/>
        </w:rPr>
        <w:fldChar w:fldCharType="separate"/>
      </w:r>
      <w:r>
        <w:rPr>
          <w:rFonts w:ascii="Baskerville Old Face" w:hAnsi="Baskerville Old Face"/>
          <w:sz w:val="24"/>
          <w:szCs w:val="24"/>
        </w:rPr>
        <w:t>[5]</w:t>
      </w:r>
      <w:r>
        <w:rPr>
          <w:rFonts w:ascii="Baskerville Old Face" w:hAnsi="Baskerville Old Face"/>
          <w:sz w:val="24"/>
          <w:szCs w:val="24"/>
        </w:rPr>
        <w:fldChar w:fldCharType="end"/>
      </w:r>
      <w:r>
        <w:rPr>
          <w:rFonts w:ascii="Baskerville Old Face" w:hAnsi="Baskerville Old Face"/>
          <w:sz w:val="24"/>
          <w:szCs w:val="24"/>
        </w:rPr>
        <w:t xml:space="preserve">. Concerns were raised over the conduct and reporting of empirical vignette studies to date </w:t>
      </w:r>
      <w:r>
        <w:rPr>
          <w:rFonts w:ascii="Baskerville Old Face" w:hAnsi="Baskerville Old Face"/>
          <w:sz w:val="24"/>
          <w:szCs w:val="24"/>
        </w:rPr>
        <w:fldChar w:fldCharType="begin"/>
      </w:r>
      <w:r>
        <w:rPr>
          <w:rFonts w:ascii="Baskerville Old Face" w:hAnsi="Baskerville Old Face"/>
          <w:sz w:val="24"/>
          <w:szCs w:val="24"/>
        </w:rPr>
        <w:instrText xml:space="preserve"> ADDIN ZOTERO_ITEM CSL_CITATION {"citationID":"acebjgbvll","properties":{"formattedCitation":"[3,5]","plainCitation":"[3,5]","noteIndex":0},"citationItems":[{"id":1344,"uris":["http://zotero.org/users/2461043/items/T4FC3S86"],"uri":["http://zotero.org/users/2461043/items/T4FC3S86"],"itemData":{"id":1344,"type":"article-journal","title":"Vignette studies of medical choice and judgement to study caregivers' medical decision behaviour: systematic review","container-title":"BMC Medical Research Methodology","page":"50","volume":"8","issue":"1","source":"CrossRef","DOI":"10.1186/1471-2288-8-50","ISSN":"1471-2288","title-short":"Vignette studies of medical choice and judgement to study caregivers' medical decision behaviour","language":"en","author":[{"family":"Bachmann","given":"Lucas M"},{"family":"Mühleisen","given":"Andrea"},{"family":"Bock","given":"Annekatrin"},{"family":"Riet","given":"Gerben","non-dropping-particle":"ter"},{"family":"Held","given":"Ulrike"},{"family":"Kessels","given":"Alfons GH"}],"issued":{"date-parts":[["2008"]]}}},{"id":1020,"uris":["http://zotero.org/users/2461043/items/CJISNAQA"],"uri":["http://zotero.org/users/2461043/items/CJISNAQA"],"itemData":{"id":1020,"type":"article-journal","title":"Developing and administering scripted video vignettes for experimental research of patient-provider communication","container-title":"Patient Education and Counseling","page":"295-309","volume":"91","issue":"3","archive_location":"WOS:000319645900006","abstract":"Objective: Scripted video-vignette studies enable experimental investigation of specific elements of patient-provider communication, separating cause and effect. However, scripted video vignettes are infrequently used to this end. Resultantly, few guidelines are available for their, design, development and administration. We aim to suggest guidelines enabling more informed decisions when designing and conducting these studies.\nMethods: Based on the available methodological literature, we discuss methodological considerations when developing and administering scripted video vignettes.\nResults: Developing and using valid video vignettes requires: (I) deciding if using video vignettes is appropriate, (II) developing a valid script, (III) designing valid manipulations, (IV) converting the scripted consultation to video, and (V) administering the videos. We provide a first checklist of the methodological considerations in each phase. Advantages and pitfalls of possible approaches are discussed.\nConclusions: No 'gold standard' exists for most methodological issues, as literature testing the consequences of different approaches is lacking. The best approach when developing and implementing video vignettes depends upon the aims and practical limitations of a particular study.\nPractice implications: Our checklist may serve as a starting point for further study of scripted video vignettes methodology. More detailed methodological reporting would yield new knowledge, thus allowing the research field to progress. (C) 2013 Elsevier Ireland Ltd. All rights reserved.","DOI":"10.1016/j.pec.2013.01.020","ISSN":"0738-3991","title-short":"Developing and administering scripted video vignettes for experimental research of patient-provider communication","journalAbbreviation":"Patient Educ Couns","language":"English","author":[{"family":"Hillen","given":"M. A."},{"family":"Vliet","given":"L. M.","non-dropping-particle":"van"},{"family":"Haes","given":"H. C. J. M.","non-dropping-particle":"de"},{"family":"Smets","given":"E. M. A."}],"issued":{"date-parts":[["2013",6]]}}}],"schema":"https://github.com/citation-style-language/schema/raw/master/csl-citation.json"} </w:instrText>
      </w:r>
      <w:r>
        <w:rPr>
          <w:rFonts w:ascii="Baskerville Old Face" w:hAnsi="Baskerville Old Face"/>
          <w:sz w:val="24"/>
          <w:szCs w:val="24"/>
        </w:rPr>
        <w:fldChar w:fldCharType="separate"/>
      </w:r>
      <w:r>
        <w:rPr>
          <w:rFonts w:ascii="Baskerville Old Face" w:hAnsi="Baskerville Old Face"/>
          <w:sz w:val="24"/>
          <w:szCs w:val="24"/>
        </w:rPr>
        <w:t>[3,5]</w:t>
      </w:r>
      <w:r>
        <w:rPr>
          <w:rFonts w:ascii="Baskerville Old Face" w:hAnsi="Baskerville Old Face"/>
          <w:sz w:val="24"/>
          <w:szCs w:val="24"/>
        </w:rPr>
        <w:fldChar w:fldCharType="end"/>
      </w:r>
      <w:r>
        <w:rPr>
          <w:rFonts w:ascii="Baskerville Old Face" w:hAnsi="Baskerville Old Face"/>
          <w:sz w:val="24"/>
          <w:szCs w:val="24"/>
        </w:rPr>
        <w:t xml:space="preserve">. The development of overly complex vignettes, placing too high a cognitive burden on respondents, along with poorly designed analytical approaches were particular concerns identified in the conduct of many studies of clinical decision-making </w:t>
      </w:r>
      <w:r>
        <w:rPr>
          <w:rFonts w:ascii="Baskerville Old Face" w:hAnsi="Baskerville Old Face"/>
          <w:sz w:val="24"/>
          <w:szCs w:val="24"/>
        </w:rPr>
        <w:fldChar w:fldCharType="begin"/>
      </w:r>
      <w:r>
        <w:rPr>
          <w:rFonts w:ascii="Baskerville Old Face" w:hAnsi="Baskerville Old Face"/>
          <w:sz w:val="24"/>
          <w:szCs w:val="24"/>
        </w:rPr>
        <w:instrText xml:space="preserve"> ADDIN ZOTERO_ITEM CSL_CITATION {"citationID":"an28iareg4","properties":{"formattedCitation":"[3]","plainCitation":"[3]","noteIndex":0},"citationItems":[{"id":1344,"uris":["http://zotero.org/users/2461043/items/T4FC3S86"],"uri":["http://zotero.org/users/2461043/items/T4FC3S86"],"itemData":{"id":1344,"type":"article-journal","title":"Vignette studies of medical choice and judgement to study caregivers' medical decision behaviour: systematic review","container-title":"BMC Medical Research Methodology","page":"50","volume":"8","issue":"1","source":"CrossRef","DOI":"10.1186/1471-2288-8-50","ISSN":"1471-2288","title-short":"Vignette studies of medical choice and judgement to study caregivers' medical decision behaviour","language":"en","author":[{"family":"Bachmann","given":"Lucas M"},{"family":"Mühleisen","given":"Andrea"},{"family":"Bock","given":"Annekatrin"},{"family":"Riet","given":"Gerben","non-dropping-particle":"ter"},{"family":"Held","given":"Ulrike"},{"family":"Kessels","given":"Alfons GH"}],"issued":{"date-parts":[["2008"]]}}}],"schema":"https://github.com/citation-style-language/schema/raw/master/csl-citation.json"} </w:instrText>
      </w:r>
      <w:r>
        <w:rPr>
          <w:rFonts w:ascii="Baskerville Old Face" w:hAnsi="Baskerville Old Face"/>
          <w:sz w:val="24"/>
          <w:szCs w:val="24"/>
        </w:rPr>
        <w:fldChar w:fldCharType="separate"/>
      </w:r>
      <w:r>
        <w:rPr>
          <w:rFonts w:ascii="Baskerville Old Face" w:hAnsi="Baskerville Old Face"/>
          <w:sz w:val="24"/>
          <w:szCs w:val="24"/>
        </w:rPr>
        <w:t>[3]</w:t>
      </w:r>
      <w:r>
        <w:rPr>
          <w:rFonts w:ascii="Baskerville Old Face" w:hAnsi="Baskerville Old Face"/>
          <w:sz w:val="24"/>
          <w:szCs w:val="24"/>
        </w:rPr>
        <w:fldChar w:fldCharType="end"/>
      </w:r>
      <w:r>
        <w:rPr>
          <w:rFonts w:ascii="Baskerville Old Face" w:hAnsi="Baskerville Old Face"/>
          <w:sz w:val="24"/>
          <w:szCs w:val="24"/>
        </w:rPr>
        <w:t xml:space="preserve">. Additionally, the approach used in many studies to develop and test vignettes was often poorly reported </w:t>
      </w:r>
      <w:r>
        <w:rPr>
          <w:rFonts w:ascii="Baskerville Old Face" w:hAnsi="Baskerville Old Face"/>
          <w:sz w:val="24"/>
          <w:szCs w:val="24"/>
        </w:rPr>
        <w:fldChar w:fldCharType="begin"/>
      </w:r>
      <w:r>
        <w:rPr>
          <w:rFonts w:ascii="Baskerville Old Face" w:hAnsi="Baskerville Old Face"/>
          <w:sz w:val="24"/>
          <w:szCs w:val="24"/>
        </w:rPr>
        <w:instrText xml:space="preserve"> ADDIN ZOTERO_ITEM CSL_CITATION {"citationID":"afpe9hhbt","properties":{"formattedCitation":"[5]","plainCitation":"[5]","noteIndex":0},"citationItems":[{"id":1020,"uris":["http://zotero.org/users/2461043/items/CJISNAQA"],"uri":["http://zotero.org/users/2461043/items/CJISNAQA"],"itemData":{"id":1020,"type":"article-journal","title":"Developing and administering scripted video vignettes for experimental research of patient-provider communication","container-title":"Patient Education and Counseling","page":"295-309","volume":"91","issue":"3","archive_location":"WOS:000319645900006","abstract":"Objective: Scripted video-vignette studies enable experimental investigation of specific elements of patient-provider communication, separating cause and effect. However, scripted video vignettes are infrequently used to this end. Resultantly, few guidelines are available for their, design, development and administration. We aim to suggest guidelines enabling more informed decisions when designing and conducting these studies.\nMethods: Based on the available methodological literature, we discuss methodological considerations when developing and administering scripted video vignettes.\nResults: Developing and using valid video vignettes requires: (I) deciding if using video vignettes is appropriate, (II) developing a valid script, (III) designing valid manipulations, (IV) converting the scripted consultation to video, and (V) administering the videos. We provide a first checklist of the methodological considerations in each phase. Advantages and pitfalls of possible approaches are discussed.\nConclusions: No 'gold standard' exists for most methodological issues, as literature testing the consequences of different approaches is lacking. The best approach when developing and implementing video vignettes depends upon the aims and practical limitations of a particular study.\nPractice implications: Our checklist may serve as a starting point for further study of scripted video vignettes methodology. More detailed methodological reporting would yield new knowledge, thus allowing the research field to progress. (C) 2013 Elsevier Ireland Ltd. All rights reserved.","DOI":"10.1016/j.pec.2013.01.020","ISSN":"0738-3991","title-short":"Developing and administering scripted video vignettes for experimental research of patient-provider communication","journalAbbreviation":"Patient Educ Couns","language":"English","author":[{"family":"Hillen","given":"M. A."},{"family":"Vliet","given":"L. M.","non-dropping-particle":"van"},{"family":"Haes","given":"H. C. J. M.","non-dropping-particle":"de"},{"family":"Smets","given":"E. M. A."}],"issued":{"date-parts":[["2013",6]]}}}],"schema":"https://github.com/citation-style-language/schema/raw/master/csl-citation.json"} </w:instrText>
      </w:r>
      <w:r>
        <w:rPr>
          <w:rFonts w:ascii="Baskerville Old Face" w:hAnsi="Baskerville Old Face"/>
          <w:sz w:val="24"/>
          <w:szCs w:val="24"/>
        </w:rPr>
        <w:fldChar w:fldCharType="separate"/>
      </w:r>
      <w:r>
        <w:rPr>
          <w:rFonts w:ascii="Baskerville Old Face" w:hAnsi="Baskerville Old Face"/>
          <w:sz w:val="24"/>
          <w:szCs w:val="24"/>
        </w:rPr>
        <w:t>[5]</w:t>
      </w:r>
      <w:r>
        <w:rPr>
          <w:rFonts w:ascii="Baskerville Old Face" w:hAnsi="Baskerville Old Face"/>
          <w:sz w:val="24"/>
          <w:szCs w:val="24"/>
        </w:rPr>
        <w:fldChar w:fldCharType="end"/>
      </w:r>
      <w:r>
        <w:rPr>
          <w:rFonts w:ascii="Baskerville Old Face" w:hAnsi="Baskerville Old Face"/>
          <w:sz w:val="24"/>
          <w:szCs w:val="24"/>
        </w:rPr>
        <w:t xml:space="preserve">, reducing their perceived credibility. Many reviews </w:t>
      </w:r>
      <w:r>
        <w:rPr>
          <w:rFonts w:ascii="Baskerville Old Face" w:hAnsi="Baskerville Old Face"/>
          <w:sz w:val="24"/>
          <w:szCs w:val="24"/>
        </w:rPr>
        <w:lastRenderedPageBreak/>
        <w:t xml:space="preserve">called for further methodological developments in the field </w:t>
      </w:r>
      <w:r>
        <w:rPr>
          <w:rFonts w:ascii="Baskerville Old Face" w:hAnsi="Baskerville Old Face"/>
          <w:sz w:val="24"/>
          <w:szCs w:val="24"/>
        </w:rPr>
        <w:fldChar w:fldCharType="begin"/>
      </w:r>
      <w:r>
        <w:rPr>
          <w:rFonts w:ascii="Baskerville Old Face" w:hAnsi="Baskerville Old Face"/>
          <w:sz w:val="24"/>
          <w:szCs w:val="24"/>
        </w:rPr>
        <w:instrText xml:space="preserve"> ADDIN ZOTERO_ITEM CSL_CITATION {"citationID":"a12jea742gc","properties":{"formattedCitation":"[3\\uc0\\u8211{}6]","plainCitation":"[3–6]","noteIndex":0},"citationItems":[{"id":3283,"uris":["http://zotero.org/users/2461043/items/Y5IP2K6A"],"uri":["http://zotero.org/users/2461043/items/Y5IP2K6A"],"itemData":{"id":3283,"type":"article-journal","title":"Methods of Observing Variations in Physicians’ Decisions: The Opportunities of Clinical Vignettes","container-title":"Journal of General Internal Medicine","page":"586-594","volume":"30","issue":"S3","source":"CrossRef","DOI":"10.1007/s11606-015-3365-8","ISSN":"0884-8734, 1525-1497","title-short":"Methods of Observing Variations in Physicians’ Decisions","language":"en","author":[{"family":"Converse","given":"Lara"},{"family":"Barrett","given":"Kirsten"},{"family":"Rich","given":"Eugene"},{"family":"Reschovsky","given":"James"}],"issued":{"date-parts":[["2015",8]]}}},{"id":1020,"uris":["http://zotero.org/users/2461043/items/CJISNAQA"],"uri":["http://zotero.org/users/2461043/items/CJISNAQA"],"itemData":{"id":1020,"type":"article-journal","title":"Developing and administering scripted video vignettes for experimental research of patient-provider communication","container-title":"Patient Education and Counseling","page":"295-309","volume":"91","issue":"3","archive_location":"WOS:000319645900006","abstract":"Objective: Scripted video-vignette studies enable experimental investigation of specific elements of patient-provider communication, separating cause and effect. However, scripted video vignettes are infrequently used to this end. Resultantly, few guidelines are available for their, design, development and administration. We aim to suggest guidelines enabling more informed decisions when designing and conducting these studies.\nMethods: Based on the available methodological literature, we discuss methodological considerations when developing and administering scripted video vignettes.\nResults: Developing and using valid video vignettes requires: (I) deciding if using video vignettes is appropriate, (II) developing a valid script, (III) designing valid manipulations, (IV) converting the scripted consultation to video, and (V) administering the videos. We provide a first checklist of the methodological considerations in each phase. Advantages and pitfalls of possible approaches are discussed.\nConclusions: No 'gold standard' exists for most methodological issues, as literature testing the consequences of different approaches is lacking. The best approach when developing and implementing video vignettes depends upon the aims and practical limitations of a particular study.\nPractice implications: Our checklist may serve as a starting point for further study of scripted video vignettes methodology. More detailed methodological reporting would yield new knowledge, thus allowing the research field to progress. (C) 2013 Elsevier Ireland Ltd. All rights reserved.","DOI":"10.1016/j.pec.2013.01.020","ISSN":"0738-3991","title-short":"Developing and administering scripted video vignettes for experimental research of patient-provider communication","journalAbbreviation":"Patient Educ Couns","language":"English","author":[{"family":"Hillen","given":"M. A."},{"family":"Vliet","given":"L. M.","non-dropping-particle":"van"},{"family":"Haes","given":"H. C. J. M.","non-dropping-particle":"de"},{"family":"Smets","given":"E. M. A."}],"issued":{"date-parts":[["2013",6]]}}},{"id":1344,"uris":["http://zotero.org/users/2461043/items/T4FC3S86"],"uri":["http://zotero.org/users/2461043/items/T4FC3S86"],"itemData":{"id":1344,"type":"article-journal","title":"Vignette studies of medical choice and judgement to study caregivers' medical decision behaviour: systematic review","container-title":"BMC Medical Research Methodology","page":"50","volume":"8","issue":"1","source":"CrossRef","DOI":"10.1186/1471-2288-8-50","ISSN":"1471-2288","title-short":"Vignette studies of medical choice and judgement to study caregivers' medical decision behaviour","language":"en","author":[{"family":"Bachmann","given":"Lucas M"},{"family":"Mühleisen","given":"Andrea"},{"family":"Bock","given":"Annekatrin"},{"family":"Riet","given":"Gerben","non-dropping-particle":"ter"},{"family":"Held","given":"Ulrike"},{"family":"Kessels","given":"Alfons GH"}],"issued":{"date-parts":[["2008"]]}}},{"id":994,"uris":["http://zotero.org/users/2461043/items/NG3FISHG"],"uri":["http://zotero.org/users/2461043/items/NG3FISHG"],"itemData":{"id":994,"type":"article-journal","title":"How to create and administer scripted video-vignettes in an experimental study on disclosure of a palliative breast cancer diagnosis","container-title":"Patient Education and Counseling","page":"56-64","volume":"91","issue":"1","archive_location":"WOS:000316778600009","abstract":"Objective: Scripted consultations provide the opportunity to vary and study the effect of specific elements of medical communication. These scripted consultations are role-played, videotaped and then judged by analogue patients. Most studies applying this methodology have provided little insight into how they created internally and externally valid written and role-played scripts. In this paper we aim to address this gap by providing a detailed description of a scripted video-vignette study's methodology.\nMethods: Following the five phases of creating and implementing scripted video-vignettes the current study's methodology is described: (1) deciding if video-vignettes are appropriate, (2) developing a valid script, (3) designing valid manipulations, (4) converting the scripted consultations to video, (5) administering the videos in an experiment.\nResults: Following these phases and four validation steps internally and externally valid vignettes were developed.\nConclusions: The detailed description of the current study's methodology produced general recommendations for scripted video-vignette studies, such as the importance of validating both the written as well as the role-played scripts and involving both experts and lay people in validating the scripts. For other choices no golden standard exists.\nPractice implications: The presented methodology and recommendations may serve as a source of inspiration for future scripted video-vignette studies. (C) 2012 Elsevier Ireland Ltd. All rights reserved.","DOI":"10.1016/j.pec.2012.10.017","ISSN":"0738-3991","title-short":"How to create and administer scripted video-vignettes in an experimental study on disclosure of a palliative breast cancer diagnosis","journalAbbreviation":"Patient Educ Couns","language":"English","author":[{"family":"Vliet","given":"L. M.","non-dropping-particle":"van"},{"family":"Hillen","given":"M. A."},{"family":"Wall","given":"E.","non-dropping-particle":"van der"},{"family":"Plum","given":"N."},{"family":"Bensing","given":"J. M."}],"issued":{"date-parts":[["2013",4]]}}}],"schema":"https://github.com/citation-style-language/schema/raw/master/csl-citation.json"} </w:instrText>
      </w:r>
      <w:r>
        <w:rPr>
          <w:rFonts w:ascii="Baskerville Old Face" w:hAnsi="Baskerville Old Face"/>
          <w:sz w:val="24"/>
          <w:szCs w:val="24"/>
        </w:rPr>
        <w:fldChar w:fldCharType="separate"/>
      </w:r>
      <w:r>
        <w:rPr>
          <w:rFonts w:ascii="Baskerville Old Face" w:hAnsi="Baskerville Old Face" w:cs="Calibri"/>
          <w:sz w:val="24"/>
          <w:szCs w:val="24"/>
        </w:rPr>
        <w:t>[3–6]</w:t>
      </w:r>
      <w:r>
        <w:rPr>
          <w:rFonts w:ascii="Baskerville Old Face" w:hAnsi="Baskerville Old Face"/>
          <w:sz w:val="24"/>
          <w:szCs w:val="24"/>
        </w:rPr>
        <w:fldChar w:fldCharType="end"/>
      </w:r>
      <w:r>
        <w:rPr>
          <w:rFonts w:ascii="Baskerville Old Face" w:hAnsi="Baskerville Old Face"/>
          <w:sz w:val="24"/>
          <w:szCs w:val="24"/>
        </w:rPr>
        <w:t xml:space="preserve">. Additionally, a wide range of recommendations for designing vignettes and vignette studies were given </w:t>
      </w:r>
      <w:r>
        <w:rPr>
          <w:rFonts w:ascii="Baskerville Old Face" w:hAnsi="Baskerville Old Face"/>
          <w:sz w:val="24"/>
          <w:szCs w:val="24"/>
        </w:rPr>
        <w:fldChar w:fldCharType="begin"/>
      </w:r>
      <w:r>
        <w:rPr>
          <w:rFonts w:ascii="Baskerville Old Face" w:hAnsi="Baskerville Old Face"/>
          <w:sz w:val="24"/>
          <w:szCs w:val="24"/>
        </w:rPr>
        <w:instrText xml:space="preserve"> ADDIN ZOTERO_ITEM CSL_CITATION {"citationID":"a1hgnfaeof","properties":{"formattedCitation":"[2\\uc0\\u8211{}7]","plainCitation":"[2–7]","noteIndex":0},"citationItems":[{"id":1344,"uris":["http://zotero.org/users/2461043/items/T4FC3S86"],"uri":["http://zotero.org/users/2461043/items/T4FC3S86"],"itemData":{"id":1344,"type":"article-journal","title":"Vignette studies of medical choice and judgement to study caregivers' medical decision behaviour: systematic review","container-title":"BMC Medical Research Methodology","page":"50","volume":"8","issue":"1","source":"CrossRef","DOI":"10.1186/1471-2288-8-50","ISSN":"1471-2288","title-short":"Vignette studies of medical choice and judgement to study caregivers' medical decision behaviour","language":"en","author":[{"family":"Bachmann","given":"Lucas M"},{"family":"Mühleisen","given":"Andrea"},{"family":"Bock","given":"Annekatrin"},{"family":"Riet","given":"Gerben","non-dropping-particle":"ter"},{"family":"Held","given":"Ulrike"},{"family":"Kessels","given":"Alfons GH"}],"issued":{"date-parts":[["2008"]]}}},{"id":3283,"uris":["http://zotero.org/users/2461043/items/Y5IP2K6A"],"uri":["http://zotero.org/users/2461043/items/Y5IP2K6A"],"itemData":{"id":3283,"type":"article-journal","title":"Methods of Observing Variations in Physicians’ Decisions: The Opportunities of Clinical Vignettes","container-title":"Journal of General Internal Medicine","page":"586-594","volume":"30","issue":"S3","source":"CrossRef","DOI":"10.1007/s11606-015-3365-8","ISSN":"0884-8734, 1525-1497","title-short":"Methods of Observing Variations in Physicians’ Decisions","language":"en","author":[{"family":"Converse","given":"Lara"},{"family":"Barrett","given":"Kirsten"},{"family":"Rich","given":"Eugene"},{"family":"Reschovsky","given":"James"}],"issued":{"date-parts":[["2015",8]]}}},{"id":3288,"uris":["http://zotero.org/users/2461043/items/J2SUPVPZ"],"uri":["http://zotero.org/users/2461043/items/J2SUPVPZ"],"itemData":{"id":3288,"type":"article-journal","title":"Vignette methodologies for studying clinicians’ decision-making: Validity, utility, and application in ICD-11 field studies","container-title":"International Journal of Clinical and Health Psychology","page":"160-170","volume":"15","issue":"2","source":"CrossRef","DOI":"10.1016/j.ijchp.2014.12.001","ISSN":"16972600","title-short":"Vignette methodologies for studying clinicians’ decision-making","language":"en","author":[{"family":"Evans","given":"Spencer C."},{"family":"Roberts","given":"Michael C."},{"family":"Keeley","given":"Jared W."},{"family":"Blossom","given":"Jennifer B."},{"family":"Amaro","given":"Christina M."},{"family":"Garcia","given":"Andrea M."},{"family":"Stough","given":"Cathleen Odar"},{"family":"Canter","given":"Kimberly S."},{"family":"Robles","given":"Rebeca"},{"family":"Reed","given":"Geoffrey M."}],"issued":{"date-parts":[["2015",5]]}}},{"id":1020,"uris":["http://zotero.org/users/2461043/items/CJISNAQA"],"uri":["http://zotero.org/users/2461043/items/CJISNAQA"],"itemData":{"id":1020,"type":"article-journal","title":"Developing and administering scripted video vignettes for experimental research of patient-provider communication","container-title":"Patient Education and Counseling","page":"295-309","volume":"91","issue":"3","archive_location":"WOS:000319645900006","abstract":"Objective: Scripted video-vignette studies enable experimental investigation of specific elements of patient-provider communication, separating cause and effect. However, scripted video vignettes are infrequently used to this end. Resultantly, few guidelines are available for their, design, development and administration. We aim to suggest guidelines enabling more informed decisions when designing and conducting these studies.\nMethods: Based on the available methodological literature, we discuss methodological considerations when developing and administering scripted video vignettes.\nResults: Developing and using valid video vignettes requires: (I) deciding if using video vignettes is appropriate, (II) developing a valid script, (III) designing valid manipulations, (IV) converting the scripted consultation to video, and (V) administering the videos. We provide a first checklist of the methodological considerations in each phase. Advantages and pitfalls of possible approaches are discussed.\nConclusions: No 'gold standard' exists for most methodological issues, as literature testing the consequences of different approaches is lacking. The best approach when developing and implementing video vignettes depends upon the aims and practical limitations of a particular study.\nPractice implications: Our checklist may serve as a starting point for further study of scripted video vignettes methodology. More detailed methodological reporting would yield new knowledge, thus allowing the research field to progress. (C) 2013 Elsevier Ireland Ltd. All rights reserved.","DOI":"10.1016/j.pec.2013.01.020","ISSN":"0738-3991","title-short":"Developing and administering scripted video vignettes for experimental research of patient-provider communication","journalAbbreviation":"Patient Educ Couns","language":"English","author":[{"family":"Hillen","given":"M. A."},{"family":"Vliet","given":"L. M.","non-dropping-particle":"van"},{"family":"Haes","given":"H. C. J. M.","non-dropping-particle":"de"},{"family":"Smets","given":"E. M. A."}],"issued":{"date-parts":[["2013",6]]}}},{"id":994,"uris":["http://zotero.org/users/2461043/items/NG3FISHG"],"uri":["http://zotero.org/users/2461043/items/NG3FISHG"],"itemData":{"id":994,"type":"article-journal","title":"How to create and administer scripted video-vignettes in an experimental study on disclosure of a palliative breast cancer diagnosis","container-title":"Patient Education and Counseling","page":"56-64","volume":"91","issue":"1","archive_location":"WOS:000316778600009","abstract":"Objective: Scripted consultations provide the opportunity to vary and study the effect of specific elements of medical communication. These scripted consultations are role-played, videotaped and then judged by analogue patients. Most studies applying this methodology have provided little insight into how they created internally and externally valid written and role-played scripts. In this paper we aim to address this gap by providing a detailed description of a scripted video-vignette study's methodology.\nMethods: Following the five phases of creating and implementing scripted video-vignettes the current study's methodology is described: (1) deciding if video-vignettes are appropriate, (2) developing a valid script, (3) designing valid manipulations, (4) converting the scripted consultations to video, (5) administering the videos in an experiment.\nResults: Following these phases and four validation steps internally and externally valid vignettes were developed.\nConclusions: The detailed description of the current study's methodology produced general recommendations for scripted video-vignette studies, such as the importance of validating both the written as well as the role-played scripts and involving both experts and lay people in validating the scripts. For other choices no golden standard exists.\nPractice implications: The presented methodology and recommendations may serve as a source of inspiration for future scripted video-vignette studies. (C) 2012 Elsevier Ireland Ltd. All rights reserved.","DOI":"10.1016/j.pec.2012.10.017","ISSN":"0738-3991","title-short":"How to create and administer scripted video-vignettes in an experimental study on disclosure of a palliative breast cancer diagnosis","journalAbbreviation":"Patient Educ Couns","language":"English","author":[{"family":"Vliet","given":"L. M.","non-dropping-particle":"van"},{"family":"Hillen","given":"M. A."},{"family":"Wall","given":"E.","non-dropping-particle":"van der"},{"family":"Plum","given":"N."},{"family":"Bensing","given":"J. M."}],"issued":{"date-parts":[["2013",4]]}}},{"id":3282,"uris":["http://zotero.org/users/2461043/items/2TFJ26X3"],"uri":["http://zotero.org/users/2461043/items/2TFJ26X3"],"itemData":{"id":3282,"type":"article-journal","title":"Clinical Vignette-Based Surveys: A Tool for Assessing Physician Practice Variation","container-title":"American Journal of Medical Quality","page":"151-157","volume":"20","issue":"3","source":"CrossRef","DOI":"10.1177/1062860605274520","ISSN":"1062-8606, 1555-824X","title-short":"Clinical Vignette-Based Surveys","language":"en","author":[{"family":"Veloski","given":"Jon"},{"family":"Tai","given":"Stephen"},{"family":"Evans","given":"Adam S."},{"family":"Nash","given":"David B."}],"issued":{"date-parts":[["2005",5]]}}}],"schema":"https://github.com/citation-style-language/schema/raw/master/csl-citation.json"} </w:instrText>
      </w:r>
      <w:r>
        <w:rPr>
          <w:rFonts w:ascii="Baskerville Old Face" w:hAnsi="Baskerville Old Face"/>
          <w:sz w:val="24"/>
          <w:szCs w:val="24"/>
        </w:rPr>
        <w:fldChar w:fldCharType="separate"/>
      </w:r>
      <w:r>
        <w:rPr>
          <w:rFonts w:ascii="Baskerville Old Face" w:hAnsi="Baskerville Old Face" w:cs="Calibri"/>
          <w:sz w:val="24"/>
          <w:szCs w:val="24"/>
        </w:rPr>
        <w:t>[2–7]</w:t>
      </w:r>
      <w:r>
        <w:rPr>
          <w:rFonts w:ascii="Baskerville Old Face" w:hAnsi="Baskerville Old Face"/>
          <w:sz w:val="24"/>
          <w:szCs w:val="24"/>
        </w:rPr>
        <w:fldChar w:fldCharType="end"/>
      </w:r>
      <w:r>
        <w:rPr>
          <w:rFonts w:ascii="Baskerville Old Face" w:hAnsi="Baskerville Old Face"/>
          <w:sz w:val="24"/>
          <w:szCs w:val="24"/>
        </w:rPr>
        <w:t xml:space="preserve">; however, these were typically confined to one vignette approach only, and we found no review that gave recommendations for the design and conduct of vignette studies across a range of research topics and vignette modalities. </w:t>
      </w:r>
    </w:p>
    <w:p w14:paraId="3FA02099" w14:textId="77777777" w:rsidR="004907F1" w:rsidRDefault="004907F1" w:rsidP="004907F1">
      <w:pPr>
        <w:spacing w:after="0" w:line="360" w:lineRule="auto"/>
        <w:rPr>
          <w:rFonts w:ascii="Baskerville Old Face" w:hAnsi="Baskerville Old Face"/>
          <w:sz w:val="24"/>
          <w:szCs w:val="24"/>
        </w:rPr>
      </w:pPr>
    </w:p>
    <w:p w14:paraId="7D0F6A6A" w14:textId="77777777" w:rsidR="004907F1" w:rsidRDefault="004907F1" w:rsidP="004907F1">
      <w:pPr>
        <w:spacing w:after="0" w:line="360" w:lineRule="auto"/>
        <w:rPr>
          <w:rFonts w:ascii="Baskerville Old Face" w:hAnsi="Baskerville Old Face"/>
          <w:sz w:val="24"/>
          <w:szCs w:val="24"/>
        </w:rPr>
      </w:pPr>
    </w:p>
    <w:p w14:paraId="537266BB" w14:textId="77777777" w:rsidR="004907F1" w:rsidRDefault="004907F1" w:rsidP="004907F1">
      <w:pPr>
        <w:spacing w:after="0" w:line="360" w:lineRule="auto"/>
        <w:rPr>
          <w:rFonts w:ascii="Baskerville Old Face" w:hAnsi="Baskerville Old Face"/>
          <w:sz w:val="24"/>
          <w:szCs w:val="24"/>
        </w:rPr>
        <w:sectPr w:rsidR="004907F1">
          <w:pgSz w:w="11906" w:h="16838"/>
          <w:pgMar w:top="1440" w:right="1440" w:bottom="1440" w:left="1440" w:header="708" w:footer="708" w:gutter="0"/>
          <w:cols w:space="720"/>
        </w:sectPr>
      </w:pPr>
    </w:p>
    <w:p w14:paraId="66DC0872" w14:textId="77777777" w:rsidR="004907F1" w:rsidRDefault="004907F1" w:rsidP="004907F1">
      <w:pPr>
        <w:spacing w:after="0" w:line="360" w:lineRule="auto"/>
        <w:rPr>
          <w:rFonts w:ascii="Baskerville Old Face" w:hAnsi="Baskerville Old Face"/>
          <w:sz w:val="24"/>
          <w:szCs w:val="24"/>
        </w:rPr>
      </w:pPr>
    </w:p>
    <w:p w14:paraId="223CE890" w14:textId="77777777" w:rsidR="004907F1" w:rsidRDefault="004907F1" w:rsidP="004907F1">
      <w:pPr>
        <w:spacing w:after="0" w:line="360" w:lineRule="auto"/>
        <w:rPr>
          <w:rFonts w:ascii="Arial" w:hAnsi="Arial" w:cs="Arial"/>
          <w:b/>
        </w:rPr>
      </w:pPr>
      <w:r>
        <w:rPr>
          <w:rFonts w:ascii="Arial" w:hAnsi="Arial" w:cs="Arial"/>
          <w:b/>
        </w:rPr>
        <w:t>Table 1.</w:t>
      </w:r>
      <w:r>
        <w:rPr>
          <w:rFonts w:ascii="Arial" w:hAnsi="Arial" w:cs="Arial"/>
        </w:rPr>
        <w:t xml:space="preserve"> Description of included reviews</w:t>
      </w:r>
    </w:p>
    <w:tbl>
      <w:tblPr>
        <w:tblStyle w:val="ListTable4-Accent1"/>
        <w:tblW w:w="0" w:type="auto"/>
        <w:tblLook w:val="04A0" w:firstRow="1" w:lastRow="0" w:firstColumn="1" w:lastColumn="0" w:noHBand="0" w:noVBand="1"/>
      </w:tblPr>
      <w:tblGrid>
        <w:gridCol w:w="1345"/>
        <w:gridCol w:w="631"/>
        <w:gridCol w:w="1085"/>
        <w:gridCol w:w="1623"/>
        <w:gridCol w:w="4191"/>
        <w:gridCol w:w="3161"/>
        <w:gridCol w:w="1922"/>
      </w:tblGrid>
      <w:tr w:rsidR="004907F1" w14:paraId="7429D60D" w14:textId="77777777" w:rsidTr="004907F1">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noWrap/>
            <w:vAlign w:val="center"/>
            <w:hideMark/>
          </w:tcPr>
          <w:p w14:paraId="15B2AC6A" w14:textId="77777777" w:rsidR="004907F1" w:rsidRDefault="004907F1">
            <w:pPr>
              <w:rPr>
                <w:rFonts w:ascii="Baskerville Old Face" w:eastAsia="Times New Roman" w:hAnsi="Baskerville Old Face" w:cstheme="minorHAnsi"/>
                <w:b w:val="0"/>
                <w:bCs w:val="0"/>
                <w:color w:val="000000" w:themeColor="text1"/>
                <w:lang w:eastAsia="en-GB"/>
              </w:rPr>
            </w:pPr>
            <w:r>
              <w:rPr>
                <w:rFonts w:ascii="Baskerville Old Face" w:eastAsia="Times New Roman" w:hAnsi="Baskerville Old Face" w:cstheme="minorHAnsi"/>
                <w:color w:val="000000" w:themeColor="text1"/>
                <w:lang w:eastAsia="en-GB"/>
              </w:rPr>
              <w:t>Author</w:t>
            </w:r>
          </w:p>
        </w:tc>
        <w:tc>
          <w:tcPr>
            <w:tcW w:w="0" w:type="auto"/>
            <w:tcBorders>
              <w:top w:val="nil"/>
              <w:left w:val="nil"/>
              <w:bottom w:val="nil"/>
              <w:right w:val="nil"/>
            </w:tcBorders>
            <w:noWrap/>
            <w:vAlign w:val="center"/>
            <w:hideMark/>
          </w:tcPr>
          <w:p w14:paraId="028D18A8" w14:textId="77777777" w:rsidR="004907F1" w:rsidRDefault="004907F1">
            <w:pPr>
              <w:cnfStyle w:val="100000000000" w:firstRow="1" w:lastRow="0" w:firstColumn="0" w:lastColumn="0" w:oddVBand="0" w:evenVBand="0" w:oddHBand="0" w:evenHBand="0" w:firstRowFirstColumn="0" w:firstRowLastColumn="0" w:lastRowFirstColumn="0" w:lastRowLastColumn="0"/>
              <w:rPr>
                <w:rFonts w:ascii="Baskerville Old Face" w:eastAsia="Times New Roman" w:hAnsi="Baskerville Old Face" w:cstheme="minorHAnsi"/>
                <w:b w:val="0"/>
                <w:bCs w:val="0"/>
                <w:color w:val="000000" w:themeColor="text1"/>
                <w:lang w:eastAsia="en-GB"/>
              </w:rPr>
            </w:pPr>
            <w:r>
              <w:rPr>
                <w:rFonts w:ascii="Baskerville Old Face" w:eastAsia="Times New Roman" w:hAnsi="Baskerville Old Face" w:cstheme="minorHAnsi"/>
                <w:color w:val="000000" w:themeColor="text1"/>
                <w:lang w:eastAsia="en-GB"/>
              </w:rPr>
              <w:t>Year</w:t>
            </w:r>
          </w:p>
        </w:tc>
        <w:tc>
          <w:tcPr>
            <w:tcW w:w="0" w:type="auto"/>
            <w:tcBorders>
              <w:top w:val="nil"/>
              <w:left w:val="nil"/>
              <w:bottom w:val="nil"/>
              <w:right w:val="nil"/>
            </w:tcBorders>
            <w:vAlign w:val="center"/>
            <w:hideMark/>
          </w:tcPr>
          <w:p w14:paraId="79F796B5" w14:textId="77777777" w:rsidR="004907F1" w:rsidRDefault="004907F1">
            <w:pPr>
              <w:cnfStyle w:val="100000000000" w:firstRow="1" w:lastRow="0" w:firstColumn="0" w:lastColumn="0" w:oddVBand="0" w:evenVBand="0" w:oddHBand="0" w:evenHBand="0" w:firstRowFirstColumn="0" w:firstRowLastColumn="0" w:lastRowFirstColumn="0" w:lastRowLastColumn="0"/>
              <w:rPr>
                <w:rFonts w:ascii="Baskerville Old Face" w:eastAsia="Times New Roman" w:hAnsi="Baskerville Old Face" w:cstheme="minorHAnsi"/>
                <w:b w:val="0"/>
                <w:bCs w:val="0"/>
                <w:color w:val="000000" w:themeColor="text1"/>
                <w:lang w:eastAsia="en-GB"/>
              </w:rPr>
            </w:pPr>
            <w:r>
              <w:rPr>
                <w:rFonts w:ascii="Baskerville Old Face" w:eastAsia="Times New Roman" w:hAnsi="Baskerville Old Face" w:cstheme="minorHAnsi"/>
                <w:color w:val="000000" w:themeColor="text1"/>
                <w:lang w:eastAsia="en-GB"/>
              </w:rPr>
              <w:t>Method</w:t>
            </w:r>
          </w:p>
        </w:tc>
        <w:tc>
          <w:tcPr>
            <w:tcW w:w="0" w:type="auto"/>
            <w:tcBorders>
              <w:top w:val="nil"/>
              <w:left w:val="nil"/>
              <w:bottom w:val="nil"/>
              <w:right w:val="nil"/>
            </w:tcBorders>
            <w:vAlign w:val="center"/>
            <w:hideMark/>
          </w:tcPr>
          <w:p w14:paraId="2A5D8802" w14:textId="77777777" w:rsidR="004907F1" w:rsidRDefault="004907F1">
            <w:pPr>
              <w:cnfStyle w:val="100000000000" w:firstRow="1" w:lastRow="0" w:firstColumn="0" w:lastColumn="0" w:oddVBand="0" w:evenVBand="0" w:oddHBand="0" w:evenHBand="0" w:firstRowFirstColumn="0" w:firstRowLastColumn="0" w:lastRowFirstColumn="0" w:lastRowLastColumn="0"/>
              <w:rPr>
                <w:rFonts w:ascii="Baskerville Old Face" w:eastAsia="Times New Roman" w:hAnsi="Baskerville Old Face" w:cstheme="minorHAnsi"/>
                <w:b w:val="0"/>
                <w:bCs w:val="0"/>
                <w:color w:val="000000" w:themeColor="text1"/>
                <w:lang w:eastAsia="en-GB"/>
              </w:rPr>
            </w:pPr>
            <w:r>
              <w:rPr>
                <w:rFonts w:ascii="Baskerville Old Face" w:eastAsia="Times New Roman" w:hAnsi="Baskerville Old Face" w:cstheme="minorHAnsi"/>
                <w:color w:val="000000" w:themeColor="text1"/>
                <w:lang w:eastAsia="en-GB"/>
              </w:rPr>
              <w:t>Area of focus</w:t>
            </w:r>
          </w:p>
        </w:tc>
        <w:tc>
          <w:tcPr>
            <w:tcW w:w="0" w:type="auto"/>
            <w:tcBorders>
              <w:top w:val="nil"/>
              <w:left w:val="nil"/>
              <w:bottom w:val="nil"/>
              <w:right w:val="nil"/>
            </w:tcBorders>
            <w:vAlign w:val="center"/>
            <w:hideMark/>
          </w:tcPr>
          <w:p w14:paraId="61376EA5" w14:textId="77777777" w:rsidR="004907F1" w:rsidRDefault="004907F1">
            <w:pPr>
              <w:cnfStyle w:val="100000000000" w:firstRow="1" w:lastRow="0" w:firstColumn="0" w:lastColumn="0" w:oddVBand="0" w:evenVBand="0" w:oddHBand="0" w:evenHBand="0" w:firstRowFirstColumn="0" w:firstRowLastColumn="0" w:lastRowFirstColumn="0" w:lastRowLastColumn="0"/>
              <w:rPr>
                <w:rFonts w:ascii="Baskerville Old Face" w:eastAsia="Times New Roman" w:hAnsi="Baskerville Old Face" w:cstheme="minorHAnsi"/>
                <w:b w:val="0"/>
                <w:bCs w:val="0"/>
                <w:color w:val="000000" w:themeColor="text1"/>
                <w:lang w:eastAsia="en-GB"/>
              </w:rPr>
            </w:pPr>
            <w:r>
              <w:rPr>
                <w:rFonts w:ascii="Baskerville Old Face" w:eastAsia="Times New Roman" w:hAnsi="Baskerville Old Face" w:cstheme="minorHAnsi"/>
                <w:color w:val="000000" w:themeColor="text1"/>
                <w:lang w:eastAsia="en-GB"/>
              </w:rPr>
              <w:t>Key findings</w:t>
            </w:r>
          </w:p>
        </w:tc>
        <w:tc>
          <w:tcPr>
            <w:tcW w:w="0" w:type="auto"/>
            <w:tcBorders>
              <w:top w:val="nil"/>
              <w:left w:val="nil"/>
              <w:bottom w:val="nil"/>
              <w:right w:val="nil"/>
            </w:tcBorders>
            <w:vAlign w:val="center"/>
            <w:hideMark/>
          </w:tcPr>
          <w:p w14:paraId="269C9971" w14:textId="77777777" w:rsidR="004907F1" w:rsidRDefault="004907F1">
            <w:pPr>
              <w:cnfStyle w:val="100000000000" w:firstRow="1" w:lastRow="0" w:firstColumn="0" w:lastColumn="0" w:oddVBand="0" w:evenVBand="0" w:oddHBand="0" w:evenHBand="0" w:firstRowFirstColumn="0" w:firstRowLastColumn="0" w:lastRowFirstColumn="0" w:lastRowLastColumn="0"/>
              <w:rPr>
                <w:rFonts w:ascii="Baskerville Old Face" w:eastAsia="Times New Roman" w:hAnsi="Baskerville Old Face" w:cstheme="minorHAnsi"/>
                <w:b w:val="0"/>
                <w:bCs w:val="0"/>
                <w:color w:val="000000" w:themeColor="text1"/>
                <w:lang w:eastAsia="en-GB"/>
              </w:rPr>
            </w:pPr>
            <w:r>
              <w:rPr>
                <w:rFonts w:ascii="Baskerville Old Face" w:eastAsia="Times New Roman" w:hAnsi="Baskerville Old Face" w:cstheme="minorHAnsi"/>
                <w:color w:val="000000" w:themeColor="text1"/>
                <w:lang w:eastAsia="en-GB"/>
              </w:rPr>
              <w:t>Conclusions</w:t>
            </w:r>
          </w:p>
        </w:tc>
        <w:tc>
          <w:tcPr>
            <w:tcW w:w="0" w:type="auto"/>
            <w:tcBorders>
              <w:top w:val="nil"/>
              <w:left w:val="nil"/>
              <w:bottom w:val="nil"/>
              <w:right w:val="nil"/>
            </w:tcBorders>
            <w:vAlign w:val="center"/>
            <w:hideMark/>
          </w:tcPr>
          <w:p w14:paraId="60B7544C" w14:textId="77777777" w:rsidR="004907F1" w:rsidRDefault="004907F1">
            <w:pPr>
              <w:cnfStyle w:val="100000000000" w:firstRow="1" w:lastRow="0" w:firstColumn="0" w:lastColumn="0" w:oddVBand="0" w:evenVBand="0" w:oddHBand="0" w:evenHBand="0" w:firstRowFirstColumn="0" w:firstRowLastColumn="0" w:lastRowFirstColumn="0" w:lastRowLastColumn="0"/>
              <w:rPr>
                <w:rFonts w:ascii="Baskerville Old Face" w:eastAsia="Times New Roman" w:hAnsi="Baskerville Old Face" w:cstheme="minorHAnsi"/>
                <w:b w:val="0"/>
                <w:bCs w:val="0"/>
                <w:color w:val="000000" w:themeColor="text1"/>
                <w:lang w:eastAsia="en-GB"/>
              </w:rPr>
            </w:pPr>
            <w:r>
              <w:rPr>
                <w:rFonts w:ascii="Baskerville Old Face" w:eastAsia="Times New Roman" w:hAnsi="Baskerville Old Face" w:cstheme="minorHAnsi"/>
                <w:color w:val="000000" w:themeColor="text1"/>
                <w:lang w:eastAsia="en-GB"/>
              </w:rPr>
              <w:t>Notes</w:t>
            </w:r>
          </w:p>
        </w:tc>
      </w:tr>
      <w:tr w:rsidR="004907F1" w14:paraId="0E889B77" w14:textId="77777777" w:rsidTr="004907F1">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noWrap/>
            <w:hideMark/>
          </w:tcPr>
          <w:p w14:paraId="0405A6E3" w14:textId="77777777" w:rsidR="004907F1" w:rsidRDefault="004907F1">
            <w:pPr>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t xml:space="preserve">Hughes </w:t>
            </w:r>
            <w:r>
              <w:rPr>
                <w:rFonts w:ascii="Baskerville Old Face" w:eastAsia="Times New Roman" w:hAnsi="Baskerville Old Face" w:cstheme="minorHAnsi"/>
                <w:color w:val="000000"/>
                <w:sz w:val="20"/>
                <w:szCs w:val="20"/>
                <w:lang w:eastAsia="en-GB"/>
              </w:rPr>
              <w:fldChar w:fldCharType="begin"/>
            </w:r>
            <w:r>
              <w:rPr>
                <w:rFonts w:ascii="Baskerville Old Face" w:eastAsia="Times New Roman" w:hAnsi="Baskerville Old Face" w:cstheme="minorHAnsi"/>
                <w:color w:val="000000"/>
                <w:sz w:val="20"/>
                <w:szCs w:val="20"/>
                <w:lang w:eastAsia="en-GB"/>
              </w:rPr>
              <w:instrText xml:space="preserve"> ADDIN ZOTERO_ITEM CSL_CITATION {"citationID":"a1j7uhl2agi","properties":{"formattedCitation":"[1]","plainCitation":"[1]","noteIndex":0},"citationItems":[{"id":1339,"uris":["http://zotero.org/users/2461043/items/SACPUP8P"],"uri":["http://zotero.org/users/2461043/items/SACPUP8P"],"itemData":{"id":1339,"type":"article-journal","title":"The application of vignettes in social and nursing research","container-title":"Journal of advanced nursing","page":"382–386","volume":"37","issue":"4","source":"Google Scholar","author":[{"family":"Hughes","given":"Rhidian"},{"family":"Huby","given":"Meg"}],"issued":{"date-parts":[["2002"]]}}}],"schema":"https://github.com/citation-style-language/schema/raw/master/csl-citation.json"} </w:instrText>
            </w:r>
            <w:r>
              <w:rPr>
                <w:rFonts w:ascii="Baskerville Old Face" w:eastAsia="Times New Roman" w:hAnsi="Baskerville Old Face" w:cstheme="minorHAnsi"/>
                <w:color w:val="000000"/>
                <w:sz w:val="20"/>
                <w:szCs w:val="20"/>
                <w:lang w:eastAsia="en-GB"/>
              </w:rPr>
              <w:fldChar w:fldCharType="separate"/>
            </w:r>
            <w:r>
              <w:rPr>
                <w:rFonts w:ascii="Baskerville Old Face" w:hAnsi="Baskerville Old Face" w:cs="Calibri"/>
                <w:sz w:val="20"/>
                <w:szCs w:val="20"/>
              </w:rPr>
              <w:t>[1]</w:t>
            </w:r>
            <w:r>
              <w:rPr>
                <w:rFonts w:ascii="Baskerville Old Face" w:eastAsia="Times New Roman" w:hAnsi="Baskerville Old Face" w:cstheme="minorHAnsi"/>
                <w:color w:val="000000"/>
                <w:sz w:val="20"/>
                <w:szCs w:val="20"/>
                <w:lang w:eastAsia="en-GB"/>
              </w:rPr>
              <w:fldChar w:fldCharType="end"/>
            </w:r>
          </w:p>
        </w:tc>
        <w:tc>
          <w:tcPr>
            <w:tcW w:w="0" w:type="auto"/>
            <w:tcBorders>
              <w:top w:val="nil"/>
              <w:left w:val="nil"/>
              <w:bottom w:val="nil"/>
              <w:right w:val="nil"/>
            </w:tcBorders>
            <w:noWrap/>
            <w:hideMark/>
          </w:tcPr>
          <w:p w14:paraId="67E0172C" w14:textId="77777777" w:rsidR="004907F1" w:rsidRDefault="004907F1">
            <w:pPr>
              <w:cnfStyle w:val="000000100000" w:firstRow="0" w:lastRow="0" w:firstColumn="0" w:lastColumn="0" w:oddVBand="0" w:evenVBand="0" w:oddHBand="1" w:evenHBand="0" w:firstRowFirstColumn="0" w:firstRowLastColumn="0" w:lastRowFirstColumn="0" w:lastRowLastColumn="0"/>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t>2002</w:t>
            </w:r>
          </w:p>
        </w:tc>
        <w:tc>
          <w:tcPr>
            <w:tcW w:w="0" w:type="auto"/>
            <w:tcBorders>
              <w:top w:val="nil"/>
              <w:left w:val="nil"/>
              <w:bottom w:val="nil"/>
              <w:right w:val="nil"/>
            </w:tcBorders>
            <w:hideMark/>
          </w:tcPr>
          <w:p w14:paraId="1AE5E27B" w14:textId="77777777" w:rsidR="004907F1" w:rsidRDefault="004907F1">
            <w:pPr>
              <w:cnfStyle w:val="000000100000" w:firstRow="0" w:lastRow="0" w:firstColumn="0" w:lastColumn="0" w:oddVBand="0" w:evenVBand="0" w:oddHBand="1" w:evenHBand="0" w:firstRowFirstColumn="0" w:firstRowLastColumn="0" w:lastRowFirstColumn="0" w:lastRowLastColumn="0"/>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t>Review</w:t>
            </w:r>
          </w:p>
        </w:tc>
        <w:tc>
          <w:tcPr>
            <w:tcW w:w="0" w:type="auto"/>
            <w:tcBorders>
              <w:top w:val="nil"/>
              <w:left w:val="nil"/>
              <w:bottom w:val="nil"/>
              <w:right w:val="nil"/>
            </w:tcBorders>
            <w:hideMark/>
          </w:tcPr>
          <w:p w14:paraId="002E46F4" w14:textId="77777777" w:rsidR="004907F1" w:rsidRDefault="004907F1">
            <w:pPr>
              <w:cnfStyle w:val="000000100000" w:firstRow="0" w:lastRow="0" w:firstColumn="0" w:lastColumn="0" w:oddVBand="0" w:evenVBand="0" w:oddHBand="1" w:evenHBand="0" w:firstRowFirstColumn="0" w:firstRowLastColumn="0" w:lastRowFirstColumn="0" w:lastRowLastColumn="0"/>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t xml:space="preserve">Health care attitudes, </w:t>
            </w:r>
            <w:proofErr w:type="gramStart"/>
            <w:r>
              <w:rPr>
                <w:rFonts w:ascii="Baskerville Old Face" w:eastAsia="Times New Roman" w:hAnsi="Baskerville Old Face" w:cstheme="minorHAnsi"/>
                <w:color w:val="000000"/>
                <w:sz w:val="20"/>
                <w:szCs w:val="20"/>
                <w:lang w:eastAsia="en-GB"/>
              </w:rPr>
              <w:t>perceptions</w:t>
            </w:r>
            <w:proofErr w:type="gramEnd"/>
            <w:r>
              <w:rPr>
                <w:rFonts w:ascii="Baskerville Old Face" w:eastAsia="Times New Roman" w:hAnsi="Baskerville Old Face" w:cstheme="minorHAnsi"/>
                <w:color w:val="000000"/>
                <w:sz w:val="20"/>
                <w:szCs w:val="20"/>
                <w:lang w:eastAsia="en-GB"/>
              </w:rPr>
              <w:t xml:space="preserve"> and beliefs</w:t>
            </w:r>
          </w:p>
        </w:tc>
        <w:tc>
          <w:tcPr>
            <w:tcW w:w="0" w:type="auto"/>
            <w:tcBorders>
              <w:top w:val="nil"/>
              <w:left w:val="nil"/>
              <w:bottom w:val="nil"/>
              <w:right w:val="nil"/>
            </w:tcBorders>
            <w:hideMark/>
          </w:tcPr>
          <w:p w14:paraId="0A64AFF2" w14:textId="77777777" w:rsidR="004907F1" w:rsidRDefault="004907F1">
            <w:pPr>
              <w:cnfStyle w:val="000000100000" w:firstRow="0" w:lastRow="0" w:firstColumn="0" w:lastColumn="0" w:oddVBand="0" w:evenVBand="0" w:oddHBand="1" w:evenHBand="0" w:firstRowFirstColumn="0" w:firstRowLastColumn="0" w:lastRowFirstColumn="0" w:lastRowLastColumn="0"/>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t>Narrative article considers the distinction between vignettes and real-life processes, and the practical advantages and pitfalls of vignette studies in general</w:t>
            </w:r>
          </w:p>
        </w:tc>
        <w:tc>
          <w:tcPr>
            <w:tcW w:w="0" w:type="auto"/>
            <w:tcBorders>
              <w:top w:val="nil"/>
              <w:left w:val="nil"/>
              <w:bottom w:val="nil"/>
              <w:right w:val="nil"/>
            </w:tcBorders>
            <w:hideMark/>
          </w:tcPr>
          <w:p w14:paraId="53BE9E52" w14:textId="77777777" w:rsidR="004907F1" w:rsidRDefault="004907F1">
            <w:pPr>
              <w:cnfStyle w:val="000000100000" w:firstRow="0" w:lastRow="0" w:firstColumn="0" w:lastColumn="0" w:oddVBand="0" w:evenVBand="0" w:oddHBand="1" w:evenHBand="0" w:firstRowFirstColumn="0" w:firstRowLastColumn="0" w:lastRowFirstColumn="0" w:lastRowLastColumn="0"/>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t>Highlights issues of external validity, as vignettes cannot ever hope to "capture the reality of people's lives"; the generalizability of vignette studies must be carefully considered</w:t>
            </w:r>
          </w:p>
        </w:tc>
        <w:tc>
          <w:tcPr>
            <w:tcW w:w="0" w:type="auto"/>
            <w:tcBorders>
              <w:top w:val="nil"/>
              <w:left w:val="nil"/>
              <w:bottom w:val="nil"/>
              <w:right w:val="nil"/>
            </w:tcBorders>
            <w:hideMark/>
          </w:tcPr>
          <w:p w14:paraId="52CC9BFA" w14:textId="77777777" w:rsidR="004907F1" w:rsidRDefault="004907F1">
            <w:pPr>
              <w:cnfStyle w:val="000000100000" w:firstRow="0" w:lastRow="0" w:firstColumn="0" w:lastColumn="0" w:oddVBand="0" w:evenVBand="0" w:oddHBand="1" w:evenHBand="0" w:firstRowFirstColumn="0" w:firstRowLastColumn="0" w:lastRowFirstColumn="0" w:lastRowLastColumn="0"/>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t>Review focus is on uses and interpretation across all vignette modes</w:t>
            </w:r>
          </w:p>
        </w:tc>
      </w:tr>
      <w:tr w:rsidR="004907F1" w14:paraId="7D1C8107" w14:textId="77777777" w:rsidTr="004907F1">
        <w:trPr>
          <w:trHeight w:val="1974"/>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noWrap/>
            <w:hideMark/>
          </w:tcPr>
          <w:p w14:paraId="29C0EF4F" w14:textId="77777777" w:rsidR="004907F1" w:rsidRDefault="004907F1">
            <w:pPr>
              <w:rPr>
                <w:rFonts w:ascii="Baskerville Old Face" w:eastAsia="Times New Roman" w:hAnsi="Baskerville Old Face" w:cstheme="minorHAnsi"/>
                <w:color w:val="000000"/>
                <w:sz w:val="20"/>
                <w:szCs w:val="20"/>
                <w:lang w:eastAsia="en-GB"/>
              </w:rPr>
            </w:pPr>
            <w:proofErr w:type="spellStart"/>
            <w:r>
              <w:rPr>
                <w:rFonts w:ascii="Baskerville Old Face" w:eastAsia="Times New Roman" w:hAnsi="Baskerville Old Face" w:cstheme="minorHAnsi"/>
                <w:color w:val="000000"/>
                <w:sz w:val="20"/>
                <w:szCs w:val="20"/>
                <w:lang w:eastAsia="en-GB"/>
              </w:rPr>
              <w:t>Veloski</w:t>
            </w:r>
            <w:proofErr w:type="spellEnd"/>
            <w:r>
              <w:rPr>
                <w:rFonts w:ascii="Baskerville Old Face" w:eastAsia="Times New Roman" w:hAnsi="Baskerville Old Face" w:cstheme="minorHAnsi"/>
                <w:color w:val="000000"/>
                <w:sz w:val="20"/>
                <w:szCs w:val="20"/>
                <w:lang w:eastAsia="en-GB"/>
              </w:rPr>
              <w:t xml:space="preserve"> </w:t>
            </w:r>
            <w:r>
              <w:rPr>
                <w:rFonts w:ascii="Baskerville Old Face" w:eastAsia="Times New Roman" w:hAnsi="Baskerville Old Face" w:cstheme="minorHAnsi"/>
                <w:color w:val="000000"/>
                <w:sz w:val="20"/>
                <w:szCs w:val="20"/>
                <w:lang w:eastAsia="en-GB"/>
              </w:rPr>
              <w:fldChar w:fldCharType="begin"/>
            </w:r>
            <w:r>
              <w:rPr>
                <w:rFonts w:ascii="Baskerville Old Face" w:eastAsia="Times New Roman" w:hAnsi="Baskerville Old Face" w:cstheme="minorHAnsi"/>
                <w:color w:val="000000"/>
                <w:sz w:val="20"/>
                <w:szCs w:val="20"/>
                <w:lang w:eastAsia="en-GB"/>
              </w:rPr>
              <w:instrText xml:space="preserve"> ADDIN ZOTERO_ITEM CSL_CITATION {"citationID":"a1u3qcg1878","properties":{"formattedCitation":"[2]","plainCitation":"[2]","noteIndex":0},"citationItems":[{"id":3282,"uris":["http://zotero.org/users/2461043/items/2TFJ26X3"],"uri":["http://zotero.org/users/2461043/items/2TFJ26X3"],"itemData":{"id":3282,"type":"article-journal","title":"Clinical Vignette-Based Surveys: A Tool for Assessing Physician Practice Variation","container-title":"American Journal of Medical Quality","page":"151-157","volume":"20","issue":"3","source":"CrossRef","DOI":"10.1177/1062860605274520","ISSN":"1062-8606, 1555-824X","title-short":"Clinical Vignette-Based Surveys","language":"en","author":[{"family":"Veloski","given":"Jon"},{"family":"Tai","given":"Stephen"},{"family":"Evans","given":"Adam S."},{"family":"Nash","given":"David B."}],"issued":{"date-parts":[["2005",5]]}}}],"schema":"https://github.com/citation-style-language/schema/raw/master/csl-citation.json"} </w:instrText>
            </w:r>
            <w:r>
              <w:rPr>
                <w:rFonts w:ascii="Baskerville Old Face" w:eastAsia="Times New Roman" w:hAnsi="Baskerville Old Face" w:cstheme="minorHAnsi"/>
                <w:color w:val="000000"/>
                <w:sz w:val="20"/>
                <w:szCs w:val="20"/>
                <w:lang w:eastAsia="en-GB"/>
              </w:rPr>
              <w:fldChar w:fldCharType="separate"/>
            </w:r>
            <w:r>
              <w:rPr>
                <w:rFonts w:ascii="Baskerville Old Face" w:hAnsi="Baskerville Old Face" w:cs="Calibri"/>
                <w:sz w:val="20"/>
                <w:szCs w:val="20"/>
              </w:rPr>
              <w:t>[2]</w:t>
            </w:r>
            <w:r>
              <w:rPr>
                <w:rFonts w:ascii="Baskerville Old Face" w:eastAsia="Times New Roman" w:hAnsi="Baskerville Old Face" w:cstheme="minorHAnsi"/>
                <w:color w:val="000000"/>
                <w:sz w:val="20"/>
                <w:szCs w:val="20"/>
                <w:lang w:eastAsia="en-GB"/>
              </w:rPr>
              <w:fldChar w:fldCharType="end"/>
            </w:r>
          </w:p>
        </w:tc>
        <w:tc>
          <w:tcPr>
            <w:tcW w:w="0" w:type="auto"/>
            <w:tcBorders>
              <w:top w:val="nil"/>
              <w:left w:val="nil"/>
              <w:bottom w:val="nil"/>
              <w:right w:val="nil"/>
            </w:tcBorders>
            <w:noWrap/>
            <w:hideMark/>
          </w:tcPr>
          <w:p w14:paraId="69A983B0" w14:textId="77777777" w:rsidR="004907F1" w:rsidRDefault="004907F1">
            <w:pPr>
              <w:cnfStyle w:val="000000000000" w:firstRow="0" w:lastRow="0" w:firstColumn="0" w:lastColumn="0" w:oddVBand="0" w:evenVBand="0" w:oddHBand="0" w:evenHBand="0" w:firstRowFirstColumn="0" w:firstRowLastColumn="0" w:lastRowFirstColumn="0" w:lastRowLastColumn="0"/>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t>2005</w:t>
            </w:r>
          </w:p>
        </w:tc>
        <w:tc>
          <w:tcPr>
            <w:tcW w:w="0" w:type="auto"/>
            <w:tcBorders>
              <w:top w:val="nil"/>
              <w:left w:val="nil"/>
              <w:bottom w:val="nil"/>
              <w:right w:val="nil"/>
            </w:tcBorders>
            <w:hideMark/>
          </w:tcPr>
          <w:p w14:paraId="272DD68C" w14:textId="77777777" w:rsidR="004907F1" w:rsidRDefault="004907F1">
            <w:pPr>
              <w:cnfStyle w:val="000000000000" w:firstRow="0" w:lastRow="0" w:firstColumn="0" w:lastColumn="0" w:oddVBand="0" w:evenVBand="0" w:oddHBand="0" w:evenHBand="0" w:firstRowFirstColumn="0" w:firstRowLastColumn="0" w:lastRowFirstColumn="0" w:lastRowLastColumn="0"/>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t>Review</w:t>
            </w:r>
          </w:p>
        </w:tc>
        <w:tc>
          <w:tcPr>
            <w:tcW w:w="0" w:type="auto"/>
            <w:tcBorders>
              <w:top w:val="nil"/>
              <w:left w:val="nil"/>
              <w:bottom w:val="nil"/>
              <w:right w:val="nil"/>
            </w:tcBorders>
            <w:hideMark/>
          </w:tcPr>
          <w:p w14:paraId="248C8A02" w14:textId="77777777" w:rsidR="004907F1" w:rsidRDefault="004907F1">
            <w:pPr>
              <w:cnfStyle w:val="000000000000" w:firstRow="0" w:lastRow="0" w:firstColumn="0" w:lastColumn="0" w:oddVBand="0" w:evenVBand="0" w:oddHBand="0" w:evenHBand="0" w:firstRowFirstColumn="0" w:firstRowLastColumn="0" w:lastRowFirstColumn="0" w:lastRowLastColumn="0"/>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t>Clinical decision-making and practices</w:t>
            </w:r>
          </w:p>
        </w:tc>
        <w:tc>
          <w:tcPr>
            <w:tcW w:w="0" w:type="auto"/>
            <w:tcBorders>
              <w:top w:val="nil"/>
              <w:left w:val="nil"/>
              <w:bottom w:val="nil"/>
              <w:right w:val="nil"/>
            </w:tcBorders>
            <w:hideMark/>
          </w:tcPr>
          <w:p w14:paraId="3E973DB4" w14:textId="77777777" w:rsidR="004907F1" w:rsidRDefault="004907F1">
            <w:pPr>
              <w:cnfStyle w:val="000000000000" w:firstRow="0" w:lastRow="0" w:firstColumn="0" w:lastColumn="0" w:oddVBand="0" w:evenVBand="0" w:oddHBand="0" w:evenHBand="0" w:firstRowFirstColumn="0" w:firstRowLastColumn="0" w:lastRowFirstColumn="0" w:lastRowLastColumn="0"/>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t>Outlines three particular considerations in vignette-based studies: (1) the need for unambiguous instructions; (2) the portrayal of realistic clinical situations; and (3) the need to avoid looking at individual physician responses in the analysis - argues that vignettes should only be used when physicians' are reassured that aggregate responses are to be used, and they are not being "judged" in the way they may be in an assessment setting</w:t>
            </w:r>
          </w:p>
        </w:tc>
        <w:tc>
          <w:tcPr>
            <w:tcW w:w="0" w:type="auto"/>
            <w:tcBorders>
              <w:top w:val="nil"/>
              <w:left w:val="nil"/>
              <w:bottom w:val="nil"/>
              <w:right w:val="nil"/>
            </w:tcBorders>
            <w:hideMark/>
          </w:tcPr>
          <w:p w14:paraId="4B26E719" w14:textId="77777777" w:rsidR="004907F1" w:rsidRDefault="004907F1">
            <w:pPr>
              <w:cnfStyle w:val="000000000000" w:firstRow="0" w:lastRow="0" w:firstColumn="0" w:lastColumn="0" w:oddVBand="0" w:evenVBand="0" w:oddHBand="0" w:evenHBand="0" w:firstRowFirstColumn="0" w:firstRowLastColumn="0" w:lastRowFirstColumn="0" w:lastRowLastColumn="0"/>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t>Argues for the use of vignettes to assess clinicians’ behaviours</w:t>
            </w:r>
          </w:p>
        </w:tc>
        <w:tc>
          <w:tcPr>
            <w:tcW w:w="0" w:type="auto"/>
            <w:tcBorders>
              <w:top w:val="nil"/>
              <w:left w:val="nil"/>
              <w:bottom w:val="nil"/>
              <w:right w:val="nil"/>
            </w:tcBorders>
            <w:hideMark/>
          </w:tcPr>
          <w:p w14:paraId="2E7C9994" w14:textId="77777777" w:rsidR="004907F1" w:rsidRDefault="004907F1">
            <w:pPr>
              <w:cnfStyle w:val="000000000000" w:firstRow="0" w:lastRow="0" w:firstColumn="0" w:lastColumn="0" w:oddVBand="0" w:evenVBand="0" w:oddHBand="0" w:evenHBand="0" w:firstRowFirstColumn="0" w:firstRowLastColumn="0" w:lastRowFirstColumn="0" w:lastRowLastColumn="0"/>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t>Review focus is on written vignettes aimed at clinicians only</w:t>
            </w:r>
          </w:p>
        </w:tc>
      </w:tr>
      <w:tr w:rsidR="004907F1" w14:paraId="68B1147B" w14:textId="77777777" w:rsidTr="004907F1">
        <w:trPr>
          <w:cnfStyle w:val="000000100000" w:firstRow="0" w:lastRow="0" w:firstColumn="0" w:lastColumn="0" w:oddVBand="0" w:evenVBand="0" w:oddHBand="1" w:evenHBand="0" w:firstRowFirstColumn="0" w:firstRowLastColumn="0" w:lastRowFirstColumn="0" w:lastRowLastColumn="0"/>
          <w:trHeight w:val="1855"/>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noWrap/>
            <w:hideMark/>
          </w:tcPr>
          <w:p w14:paraId="498EE792" w14:textId="77777777" w:rsidR="004907F1" w:rsidRDefault="004907F1">
            <w:pPr>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t xml:space="preserve">Bachmann </w:t>
            </w:r>
            <w:r>
              <w:rPr>
                <w:rFonts w:ascii="Baskerville Old Face" w:eastAsia="Times New Roman" w:hAnsi="Baskerville Old Face" w:cstheme="minorHAnsi"/>
                <w:color w:val="000000"/>
                <w:sz w:val="20"/>
                <w:szCs w:val="20"/>
                <w:lang w:eastAsia="en-GB"/>
              </w:rPr>
              <w:fldChar w:fldCharType="begin"/>
            </w:r>
            <w:r>
              <w:rPr>
                <w:rFonts w:ascii="Baskerville Old Face" w:eastAsia="Times New Roman" w:hAnsi="Baskerville Old Face" w:cstheme="minorHAnsi"/>
                <w:color w:val="000000"/>
                <w:sz w:val="20"/>
                <w:szCs w:val="20"/>
                <w:lang w:eastAsia="en-GB"/>
              </w:rPr>
              <w:instrText xml:space="preserve"> ADDIN ZOTERO_ITEM CSL_CITATION {"citationID":"a2it89lkit8","properties":{"formattedCitation":"[3]","plainCitation":"[3]","noteIndex":0},"citationItems":[{"id":1344,"uris":["http://zotero.org/users/2461043/items/T4FC3S86"],"uri":["http://zotero.org/users/2461043/items/T4FC3S86"],"itemData":{"id":1344,"type":"article-journal","title":"Vignette studies of medical choice and judgement to study caregivers' medical decision behaviour: systematic review","container-title":"BMC Medical Research Methodology","page":"50","volume":"8","issue":"1","source":"CrossRef","DOI":"10.1186/1471-2288-8-50","ISSN":"1471-2288","title-short":"Vignette studies of medical choice and judgement to study caregivers' medical decision behaviour","language":"en","author":[{"family":"Bachmann","given":"Lucas M"},{"family":"Mühleisen","given":"Andrea"},{"family":"Bock","given":"Annekatrin"},{"family":"Riet","given":"Gerben","non-dropping-particle":"ter"},{"family":"Held","given":"Ulrike"},{"family":"Kessels","given":"Alfons GH"}],"issued":{"date-parts":[["2008"]]}}}],"schema":"https://github.com/citation-style-language/schema/raw/master/csl-citation.json"} </w:instrText>
            </w:r>
            <w:r>
              <w:rPr>
                <w:rFonts w:ascii="Baskerville Old Face" w:eastAsia="Times New Roman" w:hAnsi="Baskerville Old Face" w:cstheme="minorHAnsi"/>
                <w:color w:val="000000"/>
                <w:sz w:val="20"/>
                <w:szCs w:val="20"/>
                <w:lang w:eastAsia="en-GB"/>
              </w:rPr>
              <w:fldChar w:fldCharType="separate"/>
            </w:r>
            <w:r>
              <w:rPr>
                <w:rFonts w:ascii="Baskerville Old Face" w:hAnsi="Baskerville Old Face" w:cs="Calibri"/>
                <w:sz w:val="20"/>
                <w:szCs w:val="20"/>
              </w:rPr>
              <w:t>[3]</w:t>
            </w:r>
            <w:r>
              <w:rPr>
                <w:rFonts w:ascii="Baskerville Old Face" w:eastAsia="Times New Roman" w:hAnsi="Baskerville Old Face" w:cstheme="minorHAnsi"/>
                <w:color w:val="000000"/>
                <w:sz w:val="20"/>
                <w:szCs w:val="20"/>
                <w:lang w:eastAsia="en-GB"/>
              </w:rPr>
              <w:fldChar w:fldCharType="end"/>
            </w:r>
          </w:p>
        </w:tc>
        <w:tc>
          <w:tcPr>
            <w:tcW w:w="0" w:type="auto"/>
            <w:tcBorders>
              <w:top w:val="nil"/>
              <w:left w:val="nil"/>
              <w:bottom w:val="nil"/>
              <w:right w:val="nil"/>
            </w:tcBorders>
            <w:noWrap/>
            <w:hideMark/>
          </w:tcPr>
          <w:p w14:paraId="0A56B9F6" w14:textId="77777777" w:rsidR="004907F1" w:rsidRDefault="004907F1">
            <w:pPr>
              <w:cnfStyle w:val="000000100000" w:firstRow="0" w:lastRow="0" w:firstColumn="0" w:lastColumn="0" w:oddVBand="0" w:evenVBand="0" w:oddHBand="1" w:evenHBand="0" w:firstRowFirstColumn="0" w:firstRowLastColumn="0" w:lastRowFirstColumn="0" w:lastRowLastColumn="0"/>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t>2008</w:t>
            </w:r>
          </w:p>
        </w:tc>
        <w:tc>
          <w:tcPr>
            <w:tcW w:w="0" w:type="auto"/>
            <w:tcBorders>
              <w:top w:val="nil"/>
              <w:left w:val="nil"/>
              <w:bottom w:val="nil"/>
              <w:right w:val="nil"/>
            </w:tcBorders>
            <w:hideMark/>
          </w:tcPr>
          <w:p w14:paraId="3C28D7C0" w14:textId="77777777" w:rsidR="004907F1" w:rsidRDefault="004907F1">
            <w:pPr>
              <w:cnfStyle w:val="000000100000" w:firstRow="0" w:lastRow="0" w:firstColumn="0" w:lastColumn="0" w:oddVBand="0" w:evenVBand="0" w:oddHBand="1" w:evenHBand="0" w:firstRowFirstColumn="0" w:firstRowLastColumn="0" w:lastRowFirstColumn="0" w:lastRowLastColumn="0"/>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t>Systematic review</w:t>
            </w:r>
          </w:p>
        </w:tc>
        <w:tc>
          <w:tcPr>
            <w:tcW w:w="0" w:type="auto"/>
            <w:tcBorders>
              <w:top w:val="nil"/>
              <w:left w:val="nil"/>
              <w:bottom w:val="nil"/>
              <w:right w:val="nil"/>
            </w:tcBorders>
            <w:hideMark/>
          </w:tcPr>
          <w:p w14:paraId="05E9C23C" w14:textId="77777777" w:rsidR="004907F1" w:rsidRDefault="004907F1">
            <w:pPr>
              <w:cnfStyle w:val="000000100000" w:firstRow="0" w:lastRow="0" w:firstColumn="0" w:lastColumn="0" w:oddVBand="0" w:evenVBand="0" w:oddHBand="1" w:evenHBand="0" w:firstRowFirstColumn="0" w:firstRowLastColumn="0" w:lastRowFirstColumn="0" w:lastRowLastColumn="0"/>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t>Clinical decision-making and practices</w:t>
            </w:r>
          </w:p>
        </w:tc>
        <w:tc>
          <w:tcPr>
            <w:tcW w:w="0" w:type="auto"/>
            <w:tcBorders>
              <w:top w:val="nil"/>
              <w:left w:val="nil"/>
              <w:bottom w:val="nil"/>
              <w:right w:val="nil"/>
            </w:tcBorders>
            <w:hideMark/>
          </w:tcPr>
          <w:p w14:paraId="73CD3755" w14:textId="77777777" w:rsidR="004907F1" w:rsidRDefault="004907F1">
            <w:pPr>
              <w:cnfStyle w:val="000000100000" w:firstRow="0" w:lastRow="0" w:firstColumn="0" w:lastColumn="0" w:oddVBand="0" w:evenVBand="0" w:oddHBand="1" w:evenHBand="0" w:firstRowFirstColumn="0" w:firstRowLastColumn="0" w:lastRowFirstColumn="0" w:lastRowLastColumn="0"/>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t xml:space="preserve">27/30 studies looked at decision making of medical experts, covering 28 different medical problems. The median number of attributes manipulated within vignettes was 6.5 (range 2-15); the median number of vignettes used in each study was 25 (range 3 to 130). Five studies used patient files to construct the vignettes; 12 studies used the literature; 7 expert opinion; 1 </w:t>
            </w:r>
            <w:proofErr w:type="gramStart"/>
            <w:r>
              <w:rPr>
                <w:rFonts w:ascii="Baskerville Old Face" w:eastAsia="Times New Roman" w:hAnsi="Baskerville Old Face" w:cstheme="minorHAnsi"/>
                <w:color w:val="000000"/>
                <w:sz w:val="20"/>
                <w:szCs w:val="20"/>
                <w:lang w:eastAsia="en-GB"/>
              </w:rPr>
              <w:t>guidelines</w:t>
            </w:r>
            <w:proofErr w:type="gramEnd"/>
            <w:r>
              <w:rPr>
                <w:rFonts w:ascii="Baskerville Old Face" w:eastAsia="Times New Roman" w:hAnsi="Baskerville Old Face" w:cstheme="minorHAnsi"/>
                <w:color w:val="000000"/>
                <w:sz w:val="20"/>
                <w:szCs w:val="20"/>
                <w:lang w:eastAsia="en-GB"/>
              </w:rPr>
              <w:t xml:space="preserve">. </w:t>
            </w:r>
          </w:p>
        </w:tc>
        <w:tc>
          <w:tcPr>
            <w:tcW w:w="0" w:type="auto"/>
            <w:tcBorders>
              <w:top w:val="nil"/>
              <w:left w:val="nil"/>
              <w:bottom w:val="nil"/>
              <w:right w:val="nil"/>
            </w:tcBorders>
            <w:hideMark/>
          </w:tcPr>
          <w:p w14:paraId="22D0B948" w14:textId="77777777" w:rsidR="004907F1" w:rsidRDefault="004907F1">
            <w:pPr>
              <w:cnfStyle w:val="000000100000" w:firstRow="0" w:lastRow="0" w:firstColumn="0" w:lastColumn="0" w:oddVBand="0" w:evenVBand="0" w:oddHBand="1" w:evenHBand="0" w:firstRowFirstColumn="0" w:firstRowLastColumn="0" w:lastRowFirstColumn="0" w:lastRowLastColumn="0"/>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t>Raised concerns over the design of vignette studies to date in relation to (a) cognitive burden, with the use of too many attributes and vignettes; (b) a lack of use of normative benchmarks to externally assess opinions expressed, and their deviations from agreed norms (3) poor accounting for correlated data in analyses</w:t>
            </w:r>
          </w:p>
        </w:tc>
        <w:tc>
          <w:tcPr>
            <w:tcW w:w="0" w:type="auto"/>
            <w:tcBorders>
              <w:top w:val="nil"/>
              <w:left w:val="nil"/>
              <w:bottom w:val="nil"/>
              <w:right w:val="nil"/>
            </w:tcBorders>
            <w:hideMark/>
          </w:tcPr>
          <w:p w14:paraId="3C60CD4F" w14:textId="77777777" w:rsidR="004907F1" w:rsidRDefault="004907F1">
            <w:pPr>
              <w:cnfStyle w:val="000000100000" w:firstRow="0" w:lastRow="0" w:firstColumn="0" w:lastColumn="0" w:oddVBand="0" w:evenVBand="0" w:oddHBand="1" w:evenHBand="0" w:firstRowFirstColumn="0" w:firstRowLastColumn="0" w:lastRowFirstColumn="0" w:lastRowLastColumn="0"/>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t>Review focus is on written vignettes aimed at clinicians only</w:t>
            </w:r>
          </w:p>
        </w:tc>
      </w:tr>
      <w:tr w:rsidR="004907F1" w14:paraId="324CD590" w14:textId="77777777" w:rsidTr="004907F1">
        <w:trPr>
          <w:trHeight w:val="2967"/>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noWrap/>
            <w:hideMark/>
          </w:tcPr>
          <w:p w14:paraId="6C6BA925" w14:textId="77777777" w:rsidR="004907F1" w:rsidRDefault="004907F1">
            <w:pPr>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lastRenderedPageBreak/>
              <w:t xml:space="preserve">van Vliet </w:t>
            </w:r>
            <w:r>
              <w:rPr>
                <w:rFonts w:ascii="Baskerville Old Face" w:eastAsia="Times New Roman" w:hAnsi="Baskerville Old Face" w:cstheme="minorHAnsi"/>
                <w:color w:val="000000"/>
                <w:sz w:val="20"/>
                <w:szCs w:val="20"/>
                <w:lang w:eastAsia="en-GB"/>
              </w:rPr>
              <w:fldChar w:fldCharType="begin"/>
            </w:r>
            <w:r>
              <w:rPr>
                <w:rFonts w:ascii="Baskerville Old Face" w:eastAsia="Times New Roman" w:hAnsi="Baskerville Old Face" w:cstheme="minorHAnsi"/>
                <w:color w:val="000000"/>
                <w:sz w:val="20"/>
                <w:szCs w:val="20"/>
                <w:lang w:eastAsia="en-GB"/>
              </w:rPr>
              <w:instrText xml:space="preserve"> ADDIN ZOTERO_ITEM CSL_CITATION {"citationID":"a2eh9u9fmta","properties":{"formattedCitation":"[4]","plainCitation":"[4]","noteIndex":0},"citationItems":[{"id":994,"uris":["http://zotero.org/users/2461043/items/NG3FISHG"],"uri":["http://zotero.org/users/2461043/items/NG3FISHG"],"itemData":{"id":994,"type":"article-journal","title":"How to create and administer scripted video-vignettes in an experimental study on disclosure of a palliative breast cancer diagnosis","container-title":"Patient Education and Counseling","page":"56-64","volume":"91","issue":"1","archive_location":"WOS:000316778600009","abstract":"Objective: Scripted consultations provide the opportunity to vary and study the effect of specific elements of medical communication. These scripted consultations are role-played, videotaped and then judged by analogue patients. Most studies applying this methodology have provided little insight into how they created internally and externally valid written and role-played scripts. In this paper we aim to address this gap by providing a detailed description of a scripted video-vignette study's methodology.\nMethods: Following the five phases of creating and implementing scripted video-vignettes the current study's methodology is described: (1) deciding if video-vignettes are appropriate, (2) developing a valid script, (3) designing valid manipulations, (4) converting the scripted consultations to video, (5) administering the videos in an experiment.\nResults: Following these phases and four validation steps internally and externally valid vignettes were developed.\nConclusions: The detailed description of the current study's methodology produced general recommendations for scripted video-vignette studies, such as the importance of validating both the written as well as the role-played scripts and involving both experts and lay people in validating the scripts. For other choices no golden standard exists.\nPractice implications: The presented methodology and recommendations may serve as a source of inspiration for future scripted video-vignette studies. (C) 2012 Elsevier Ireland Ltd. All rights reserved.","DOI":"10.1016/j.pec.2012.10.017","ISSN":"0738-3991","title-short":"How to create and administer scripted video-vignettes in an experimental study on disclosure of a palliative breast cancer diagnosis","journalAbbreviation":"Patient Educ Couns","language":"English","author":[{"family":"Vliet","given":"L. M.","non-dropping-particle":"van"},{"family":"Hillen","given":"M. A."},{"family":"Wall","given":"E.","non-dropping-particle":"van der"},{"family":"Plum","given":"N."},{"family":"Bensing","given":"J. M."}],"issued":{"date-parts":[["2013",4]]}}}],"schema":"https://github.com/citation-style-language/schema/raw/master/csl-citation.json"} </w:instrText>
            </w:r>
            <w:r>
              <w:rPr>
                <w:rFonts w:ascii="Baskerville Old Face" w:eastAsia="Times New Roman" w:hAnsi="Baskerville Old Face" w:cstheme="minorHAnsi"/>
                <w:color w:val="000000"/>
                <w:sz w:val="20"/>
                <w:szCs w:val="20"/>
                <w:lang w:eastAsia="en-GB"/>
              </w:rPr>
              <w:fldChar w:fldCharType="separate"/>
            </w:r>
            <w:r>
              <w:rPr>
                <w:rFonts w:ascii="Baskerville Old Face" w:hAnsi="Baskerville Old Face" w:cs="Calibri"/>
                <w:sz w:val="20"/>
                <w:szCs w:val="20"/>
              </w:rPr>
              <w:t>[4]</w:t>
            </w:r>
            <w:r>
              <w:rPr>
                <w:rFonts w:ascii="Baskerville Old Face" w:eastAsia="Times New Roman" w:hAnsi="Baskerville Old Face" w:cstheme="minorHAnsi"/>
                <w:color w:val="000000"/>
                <w:sz w:val="20"/>
                <w:szCs w:val="20"/>
                <w:lang w:eastAsia="en-GB"/>
              </w:rPr>
              <w:fldChar w:fldCharType="end"/>
            </w:r>
          </w:p>
        </w:tc>
        <w:tc>
          <w:tcPr>
            <w:tcW w:w="0" w:type="auto"/>
            <w:tcBorders>
              <w:top w:val="nil"/>
              <w:left w:val="nil"/>
              <w:bottom w:val="nil"/>
              <w:right w:val="nil"/>
            </w:tcBorders>
            <w:noWrap/>
            <w:hideMark/>
          </w:tcPr>
          <w:p w14:paraId="7944D0F2" w14:textId="77777777" w:rsidR="004907F1" w:rsidRDefault="004907F1">
            <w:pPr>
              <w:cnfStyle w:val="000000000000" w:firstRow="0" w:lastRow="0" w:firstColumn="0" w:lastColumn="0" w:oddVBand="0" w:evenVBand="0" w:oddHBand="0" w:evenHBand="0" w:firstRowFirstColumn="0" w:firstRowLastColumn="0" w:lastRowFirstColumn="0" w:lastRowLastColumn="0"/>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t>2012</w:t>
            </w:r>
          </w:p>
        </w:tc>
        <w:tc>
          <w:tcPr>
            <w:tcW w:w="0" w:type="auto"/>
            <w:tcBorders>
              <w:top w:val="nil"/>
              <w:left w:val="nil"/>
              <w:bottom w:val="nil"/>
              <w:right w:val="nil"/>
            </w:tcBorders>
            <w:hideMark/>
          </w:tcPr>
          <w:p w14:paraId="6010D251" w14:textId="77777777" w:rsidR="004907F1" w:rsidRDefault="004907F1">
            <w:pPr>
              <w:cnfStyle w:val="000000000000" w:firstRow="0" w:lastRow="0" w:firstColumn="0" w:lastColumn="0" w:oddVBand="0" w:evenVBand="0" w:oddHBand="0" w:evenHBand="0" w:firstRowFirstColumn="0" w:firstRowLastColumn="0" w:lastRowFirstColumn="0" w:lastRowLastColumn="0"/>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t>Systematic review</w:t>
            </w:r>
          </w:p>
        </w:tc>
        <w:tc>
          <w:tcPr>
            <w:tcW w:w="0" w:type="auto"/>
            <w:tcBorders>
              <w:top w:val="nil"/>
              <w:left w:val="nil"/>
              <w:bottom w:val="nil"/>
              <w:right w:val="nil"/>
            </w:tcBorders>
            <w:hideMark/>
          </w:tcPr>
          <w:p w14:paraId="006157C1" w14:textId="77777777" w:rsidR="004907F1" w:rsidRDefault="004907F1">
            <w:pPr>
              <w:cnfStyle w:val="000000000000" w:firstRow="0" w:lastRow="0" w:firstColumn="0" w:lastColumn="0" w:oddVBand="0" w:evenVBand="0" w:oddHBand="0" w:evenHBand="0" w:firstRowFirstColumn="0" w:firstRowLastColumn="0" w:lastRowFirstColumn="0" w:lastRowLastColumn="0"/>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t>Doctor-patient communication</w:t>
            </w:r>
          </w:p>
        </w:tc>
        <w:tc>
          <w:tcPr>
            <w:tcW w:w="0" w:type="auto"/>
            <w:tcBorders>
              <w:top w:val="nil"/>
              <w:left w:val="nil"/>
              <w:bottom w:val="nil"/>
              <w:right w:val="nil"/>
            </w:tcBorders>
            <w:hideMark/>
          </w:tcPr>
          <w:p w14:paraId="317030ED" w14:textId="77777777" w:rsidR="004907F1" w:rsidRDefault="004907F1">
            <w:pPr>
              <w:cnfStyle w:val="000000000000" w:firstRow="0" w:lastRow="0" w:firstColumn="0" w:lastColumn="0" w:oddVBand="0" w:evenVBand="0" w:oddHBand="0" w:evenHBand="0" w:firstRowFirstColumn="0" w:firstRowLastColumn="0" w:lastRowFirstColumn="0" w:lastRowLastColumn="0"/>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t>Identifies general, ethical, and methodological rationales for conducting video vignette studies. In studies reviewed, internal validity was sought by ensuring manipulations were "successful" (involving analogue patients or experts in the script production; or using content from clinical interactions). Only three studies used numerical data to consider whether the manipulations had resulted in varying communication between vignettes. Suggests external validity may be checked by measuring how far analogue patients "identified" with the vignette patient; whether the analogue patients thought the video was "credible"; and by approaches such as only showing the physician in the vignette.</w:t>
            </w:r>
          </w:p>
        </w:tc>
        <w:tc>
          <w:tcPr>
            <w:tcW w:w="0" w:type="auto"/>
            <w:tcBorders>
              <w:top w:val="nil"/>
              <w:left w:val="nil"/>
              <w:bottom w:val="nil"/>
              <w:right w:val="nil"/>
            </w:tcBorders>
            <w:hideMark/>
          </w:tcPr>
          <w:p w14:paraId="3811B536" w14:textId="77777777" w:rsidR="004907F1" w:rsidRDefault="004907F1">
            <w:pPr>
              <w:cnfStyle w:val="000000000000" w:firstRow="0" w:lastRow="0" w:firstColumn="0" w:lastColumn="0" w:oddVBand="0" w:evenVBand="0" w:oddHBand="0" w:evenHBand="0" w:firstRowFirstColumn="0" w:firstRowLastColumn="0" w:lastRowFirstColumn="0" w:lastRowLastColumn="0"/>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t>The methodological soundness of scripted video-vignette studies may be increased by providing a specific rationale and increasing internal and external validity. Argues that further research is required into comparisons between analogue and actual patient ratings</w:t>
            </w:r>
          </w:p>
        </w:tc>
        <w:tc>
          <w:tcPr>
            <w:tcW w:w="0" w:type="auto"/>
            <w:tcBorders>
              <w:top w:val="nil"/>
              <w:left w:val="nil"/>
              <w:bottom w:val="nil"/>
              <w:right w:val="nil"/>
            </w:tcBorders>
            <w:hideMark/>
          </w:tcPr>
          <w:p w14:paraId="1A61BAED" w14:textId="77777777" w:rsidR="004907F1" w:rsidRDefault="004907F1">
            <w:pPr>
              <w:cnfStyle w:val="000000000000" w:firstRow="0" w:lastRow="0" w:firstColumn="0" w:lastColumn="0" w:oddVBand="0" w:evenVBand="0" w:oddHBand="0" w:evenHBand="0" w:firstRowFirstColumn="0" w:firstRowLastColumn="0" w:lastRowFirstColumn="0" w:lastRowLastColumn="0"/>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t>Review focus is on vignettes using 'analogue patients' to assess doctor-patient communication only</w:t>
            </w:r>
          </w:p>
        </w:tc>
      </w:tr>
      <w:tr w:rsidR="004907F1" w14:paraId="5221054E" w14:textId="77777777" w:rsidTr="004907F1">
        <w:trPr>
          <w:cnfStyle w:val="000000100000" w:firstRow="0" w:lastRow="0" w:firstColumn="0" w:lastColumn="0" w:oddVBand="0" w:evenVBand="0" w:oddHBand="1" w:evenHBand="0" w:firstRowFirstColumn="0" w:firstRowLastColumn="0" w:lastRowFirstColumn="0" w:lastRowLastColumn="0"/>
          <w:trHeight w:val="1450"/>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noWrap/>
            <w:hideMark/>
          </w:tcPr>
          <w:p w14:paraId="48A9C962" w14:textId="77777777" w:rsidR="004907F1" w:rsidRDefault="004907F1">
            <w:pPr>
              <w:rPr>
                <w:rFonts w:ascii="Baskerville Old Face" w:eastAsia="Times New Roman" w:hAnsi="Baskerville Old Face" w:cstheme="minorHAnsi"/>
                <w:color w:val="000000"/>
                <w:sz w:val="20"/>
                <w:szCs w:val="20"/>
                <w:lang w:eastAsia="en-GB"/>
              </w:rPr>
            </w:pPr>
            <w:proofErr w:type="spellStart"/>
            <w:r>
              <w:rPr>
                <w:rFonts w:ascii="Baskerville Old Face" w:eastAsia="Times New Roman" w:hAnsi="Baskerville Old Face" w:cstheme="minorHAnsi"/>
                <w:color w:val="000000"/>
                <w:sz w:val="20"/>
                <w:szCs w:val="20"/>
                <w:lang w:eastAsia="en-GB"/>
              </w:rPr>
              <w:t>Hillen</w:t>
            </w:r>
            <w:proofErr w:type="spellEnd"/>
            <w:r>
              <w:rPr>
                <w:rFonts w:ascii="Baskerville Old Face" w:eastAsia="Times New Roman" w:hAnsi="Baskerville Old Face" w:cstheme="minorHAnsi"/>
                <w:color w:val="000000"/>
                <w:sz w:val="20"/>
                <w:szCs w:val="20"/>
                <w:lang w:eastAsia="en-GB"/>
              </w:rPr>
              <w:t xml:space="preserve"> </w:t>
            </w:r>
            <w:r>
              <w:rPr>
                <w:rFonts w:ascii="Baskerville Old Face" w:eastAsia="Times New Roman" w:hAnsi="Baskerville Old Face" w:cstheme="minorHAnsi"/>
                <w:color w:val="000000"/>
                <w:sz w:val="20"/>
                <w:szCs w:val="20"/>
                <w:lang w:eastAsia="en-GB"/>
              </w:rPr>
              <w:fldChar w:fldCharType="begin"/>
            </w:r>
            <w:r>
              <w:rPr>
                <w:rFonts w:ascii="Baskerville Old Face" w:eastAsia="Times New Roman" w:hAnsi="Baskerville Old Face" w:cstheme="minorHAnsi"/>
                <w:color w:val="000000"/>
                <w:sz w:val="20"/>
                <w:szCs w:val="20"/>
                <w:lang w:eastAsia="en-GB"/>
              </w:rPr>
              <w:instrText xml:space="preserve"> ADDIN ZOTERO_ITEM CSL_CITATION {"citationID":"a1r5adovv53","properties":{"formattedCitation":"[5]","plainCitation":"[5]","noteIndex":0},"citationItems":[{"id":1020,"uris":["http://zotero.org/users/2461043/items/CJISNAQA"],"uri":["http://zotero.org/users/2461043/items/CJISNAQA"],"itemData":{"id":1020,"type":"article-journal","title":"Developing and administering scripted video vignettes for experimental research of patient-provider communication","container-title":"Patient Education and Counseling","page":"295-309","volume":"91","issue":"3","archive_location":"WOS:000319645900006","abstract":"Objective: Scripted video-vignette studies enable experimental investigation of specific elements of patient-provider communication, separating cause and effect. However, scripted video vignettes are infrequently used to this end. Resultantly, few guidelines are available for their, design, development and administration. We aim to suggest guidelines enabling more informed decisions when designing and conducting these studies.\nMethods: Based on the available methodological literature, we discuss methodological considerations when developing and administering scripted video vignettes.\nResults: Developing and using valid video vignettes requires: (I) deciding if using video vignettes is appropriate, (II) developing a valid script, (III) designing valid manipulations, (IV) converting the scripted consultation to video, and (V) administering the videos. We provide a first checklist of the methodological considerations in each phase. Advantages and pitfalls of possible approaches are discussed.\nConclusions: No 'gold standard' exists for most methodological issues, as literature testing the consequences of different approaches is lacking. The best approach when developing and implementing video vignettes depends upon the aims and practical limitations of a particular study.\nPractice implications: Our checklist may serve as a starting point for further study of scripted video vignettes methodology. More detailed methodological reporting would yield new knowledge, thus allowing the research field to progress. (C) 2013 Elsevier Ireland Ltd. All rights reserved.","DOI":"10.1016/j.pec.2013.01.020","ISSN":"0738-3991","title-short":"Developing and administering scripted video vignettes for experimental research of patient-provider communication","journalAbbreviation":"Patient Educ Couns","language":"English","author":[{"family":"Hillen","given":"M. A."},{"family":"Vliet","given":"L. M.","non-dropping-particle":"van"},{"family":"Haes","given":"H. C. J. M.","non-dropping-particle":"de"},{"family":"Smets","given":"E. M. A."}],"issued":{"date-parts":[["2013",6]]}}}],"schema":"https://github.com/citation-style-language/schema/raw/master/csl-citation.json"} </w:instrText>
            </w:r>
            <w:r>
              <w:rPr>
                <w:rFonts w:ascii="Baskerville Old Face" w:eastAsia="Times New Roman" w:hAnsi="Baskerville Old Face" w:cstheme="minorHAnsi"/>
                <w:color w:val="000000"/>
                <w:sz w:val="20"/>
                <w:szCs w:val="20"/>
                <w:lang w:eastAsia="en-GB"/>
              </w:rPr>
              <w:fldChar w:fldCharType="separate"/>
            </w:r>
            <w:r>
              <w:rPr>
                <w:rFonts w:ascii="Baskerville Old Face" w:hAnsi="Baskerville Old Face" w:cs="Calibri"/>
                <w:sz w:val="20"/>
                <w:szCs w:val="20"/>
              </w:rPr>
              <w:t>[5]</w:t>
            </w:r>
            <w:r>
              <w:rPr>
                <w:rFonts w:ascii="Baskerville Old Face" w:eastAsia="Times New Roman" w:hAnsi="Baskerville Old Face" w:cstheme="minorHAnsi"/>
                <w:color w:val="000000"/>
                <w:sz w:val="20"/>
                <w:szCs w:val="20"/>
                <w:lang w:eastAsia="en-GB"/>
              </w:rPr>
              <w:fldChar w:fldCharType="end"/>
            </w:r>
          </w:p>
        </w:tc>
        <w:tc>
          <w:tcPr>
            <w:tcW w:w="0" w:type="auto"/>
            <w:tcBorders>
              <w:top w:val="nil"/>
              <w:left w:val="nil"/>
              <w:bottom w:val="nil"/>
              <w:right w:val="nil"/>
            </w:tcBorders>
            <w:noWrap/>
            <w:hideMark/>
          </w:tcPr>
          <w:p w14:paraId="349F86CD" w14:textId="77777777" w:rsidR="004907F1" w:rsidRDefault="004907F1">
            <w:pPr>
              <w:cnfStyle w:val="000000100000" w:firstRow="0" w:lastRow="0" w:firstColumn="0" w:lastColumn="0" w:oddVBand="0" w:evenVBand="0" w:oddHBand="1" w:evenHBand="0" w:firstRowFirstColumn="0" w:firstRowLastColumn="0" w:lastRowFirstColumn="0" w:lastRowLastColumn="0"/>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t>2013</w:t>
            </w:r>
          </w:p>
        </w:tc>
        <w:tc>
          <w:tcPr>
            <w:tcW w:w="0" w:type="auto"/>
            <w:tcBorders>
              <w:top w:val="nil"/>
              <w:left w:val="nil"/>
              <w:bottom w:val="nil"/>
              <w:right w:val="nil"/>
            </w:tcBorders>
            <w:hideMark/>
          </w:tcPr>
          <w:p w14:paraId="670323E9" w14:textId="77777777" w:rsidR="004907F1" w:rsidRDefault="004907F1">
            <w:pPr>
              <w:cnfStyle w:val="000000100000" w:firstRow="0" w:lastRow="0" w:firstColumn="0" w:lastColumn="0" w:oddVBand="0" w:evenVBand="0" w:oddHBand="1" w:evenHBand="0" w:firstRowFirstColumn="0" w:firstRowLastColumn="0" w:lastRowFirstColumn="0" w:lastRowLastColumn="0"/>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t>Review</w:t>
            </w:r>
          </w:p>
        </w:tc>
        <w:tc>
          <w:tcPr>
            <w:tcW w:w="0" w:type="auto"/>
            <w:tcBorders>
              <w:top w:val="nil"/>
              <w:left w:val="nil"/>
              <w:bottom w:val="nil"/>
              <w:right w:val="nil"/>
            </w:tcBorders>
            <w:hideMark/>
          </w:tcPr>
          <w:p w14:paraId="7E859FBF" w14:textId="77777777" w:rsidR="004907F1" w:rsidRDefault="004907F1">
            <w:pPr>
              <w:cnfStyle w:val="000000100000" w:firstRow="0" w:lastRow="0" w:firstColumn="0" w:lastColumn="0" w:oddVBand="0" w:evenVBand="0" w:oddHBand="1" w:evenHBand="0" w:firstRowFirstColumn="0" w:firstRowLastColumn="0" w:lastRowFirstColumn="0" w:lastRowLastColumn="0"/>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t>Doctor-patient communication</w:t>
            </w:r>
          </w:p>
        </w:tc>
        <w:tc>
          <w:tcPr>
            <w:tcW w:w="0" w:type="auto"/>
            <w:tcBorders>
              <w:top w:val="nil"/>
              <w:left w:val="nil"/>
              <w:bottom w:val="nil"/>
              <w:right w:val="nil"/>
            </w:tcBorders>
            <w:hideMark/>
          </w:tcPr>
          <w:p w14:paraId="674E571F" w14:textId="77777777" w:rsidR="004907F1" w:rsidRDefault="004907F1">
            <w:pPr>
              <w:cnfStyle w:val="000000100000" w:firstRow="0" w:lastRow="0" w:firstColumn="0" w:lastColumn="0" w:oddVBand="0" w:evenVBand="0" w:oddHBand="1" w:evenHBand="0" w:firstRowFirstColumn="0" w:firstRowLastColumn="0" w:lastRowFirstColumn="0" w:lastRowLastColumn="0"/>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t>Recommends a five-phase approach to developing video vignettes: (1) deciding if video vignettes are appropriate; (2) developing a valid script; (3) designing valid manipulations; (4) converting the scripted consultations to video; (5) administering the videos</w:t>
            </w:r>
          </w:p>
        </w:tc>
        <w:tc>
          <w:tcPr>
            <w:tcW w:w="0" w:type="auto"/>
            <w:tcBorders>
              <w:top w:val="nil"/>
              <w:left w:val="nil"/>
              <w:bottom w:val="nil"/>
              <w:right w:val="nil"/>
            </w:tcBorders>
            <w:hideMark/>
          </w:tcPr>
          <w:p w14:paraId="43714077" w14:textId="77777777" w:rsidR="004907F1" w:rsidRDefault="004907F1">
            <w:pPr>
              <w:cnfStyle w:val="000000100000" w:firstRow="0" w:lastRow="0" w:firstColumn="0" w:lastColumn="0" w:oddVBand="0" w:evenVBand="0" w:oddHBand="1" w:evenHBand="0" w:firstRowFirstColumn="0" w:firstRowLastColumn="0" w:lastRowFirstColumn="0" w:lastRowLastColumn="0"/>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t xml:space="preserve">Argues that there are still limited methodological developments and understanding in use of video vignettes, and that consequently many published studies do not fully explain the processes used. </w:t>
            </w:r>
          </w:p>
        </w:tc>
        <w:tc>
          <w:tcPr>
            <w:tcW w:w="0" w:type="auto"/>
            <w:tcBorders>
              <w:top w:val="nil"/>
              <w:left w:val="nil"/>
              <w:bottom w:val="nil"/>
              <w:right w:val="nil"/>
            </w:tcBorders>
            <w:hideMark/>
          </w:tcPr>
          <w:p w14:paraId="6AC2E6E6" w14:textId="77777777" w:rsidR="004907F1" w:rsidRDefault="004907F1">
            <w:pPr>
              <w:cnfStyle w:val="000000100000" w:firstRow="0" w:lastRow="0" w:firstColumn="0" w:lastColumn="0" w:oddVBand="0" w:evenVBand="0" w:oddHBand="1" w:evenHBand="0" w:firstRowFirstColumn="0" w:firstRowLastColumn="0" w:lastRowFirstColumn="0" w:lastRowLastColumn="0"/>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t>Review focus is on video vignettes only</w:t>
            </w:r>
          </w:p>
        </w:tc>
      </w:tr>
      <w:tr w:rsidR="004907F1" w14:paraId="7D282ED2" w14:textId="77777777" w:rsidTr="004907F1">
        <w:trPr>
          <w:trHeight w:val="2030"/>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noWrap/>
            <w:hideMark/>
          </w:tcPr>
          <w:p w14:paraId="57D575EC" w14:textId="77777777" w:rsidR="004907F1" w:rsidRDefault="004907F1">
            <w:pPr>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t xml:space="preserve">Evans </w:t>
            </w:r>
            <w:r>
              <w:rPr>
                <w:rFonts w:ascii="Baskerville Old Face" w:eastAsia="Times New Roman" w:hAnsi="Baskerville Old Face" w:cstheme="minorHAnsi"/>
                <w:color w:val="000000"/>
                <w:sz w:val="20"/>
                <w:szCs w:val="20"/>
                <w:lang w:eastAsia="en-GB"/>
              </w:rPr>
              <w:fldChar w:fldCharType="begin"/>
            </w:r>
            <w:r>
              <w:rPr>
                <w:rFonts w:ascii="Baskerville Old Face" w:eastAsia="Times New Roman" w:hAnsi="Baskerville Old Face" w:cstheme="minorHAnsi"/>
                <w:color w:val="000000"/>
                <w:sz w:val="20"/>
                <w:szCs w:val="20"/>
                <w:lang w:eastAsia="en-GB"/>
              </w:rPr>
              <w:instrText xml:space="preserve"> ADDIN ZOTERO_ITEM CSL_CITATION {"citationID":"ampkh4n1i3","properties":{"formattedCitation":"[7]","plainCitation":"[7]","noteIndex":0},"citationItems":[{"id":3288,"uris":["http://zotero.org/users/2461043/items/J2SUPVPZ"],"uri":["http://zotero.org/users/2461043/items/J2SUPVPZ"],"itemData":{"id":3288,"type":"article-journal","title":"Vignette methodologies for studying clinicians’ decision-making: Validity, utility, and application in ICD-11 field studies","container-title":"International Journal of Clinical and Health Psychology","page":"160-170","volume":"15","issue":"2","source":"CrossRef","DOI":"10.1016/j.ijchp.2014.12.001","ISSN":"16972600","title-short":"Vignette methodologies for studying clinicians’ decision-making","language":"en","author":[{"family":"Evans","given":"Spencer C."},{"family":"Roberts","given":"Michael C."},{"family":"Keeley","given":"Jared W."},{"family":"Blossom","given":"Jennifer B."},{"family":"Amaro","given":"Christina M."},{"family":"Garcia","given":"Andrea M."},{"family":"Stough","given":"Cathleen Odar"},{"family":"Canter","given":"Kimberly S."},{"family":"Robles","given":"Rebeca"},{"family":"Reed","given":"Geoffrey M."}],"issued":{"date-parts":[["2015",5]]}}}],"schema":"https://github.com/citation-style-language/schema/raw/master/csl-citation.json"} </w:instrText>
            </w:r>
            <w:r>
              <w:rPr>
                <w:rFonts w:ascii="Baskerville Old Face" w:eastAsia="Times New Roman" w:hAnsi="Baskerville Old Face" w:cstheme="minorHAnsi"/>
                <w:color w:val="000000"/>
                <w:sz w:val="20"/>
                <w:szCs w:val="20"/>
                <w:lang w:eastAsia="en-GB"/>
              </w:rPr>
              <w:fldChar w:fldCharType="separate"/>
            </w:r>
            <w:r>
              <w:rPr>
                <w:rFonts w:ascii="Baskerville Old Face" w:hAnsi="Baskerville Old Face" w:cs="Calibri"/>
                <w:sz w:val="20"/>
                <w:szCs w:val="20"/>
              </w:rPr>
              <w:t>[7]</w:t>
            </w:r>
            <w:r>
              <w:rPr>
                <w:rFonts w:ascii="Baskerville Old Face" w:eastAsia="Times New Roman" w:hAnsi="Baskerville Old Face" w:cstheme="minorHAnsi"/>
                <w:color w:val="000000"/>
                <w:sz w:val="20"/>
                <w:szCs w:val="20"/>
                <w:lang w:eastAsia="en-GB"/>
              </w:rPr>
              <w:fldChar w:fldCharType="end"/>
            </w:r>
          </w:p>
        </w:tc>
        <w:tc>
          <w:tcPr>
            <w:tcW w:w="0" w:type="auto"/>
            <w:tcBorders>
              <w:top w:val="nil"/>
              <w:left w:val="nil"/>
              <w:bottom w:val="nil"/>
              <w:right w:val="nil"/>
            </w:tcBorders>
            <w:noWrap/>
            <w:hideMark/>
          </w:tcPr>
          <w:p w14:paraId="3319D0DA" w14:textId="77777777" w:rsidR="004907F1" w:rsidRDefault="004907F1">
            <w:pPr>
              <w:cnfStyle w:val="000000000000" w:firstRow="0" w:lastRow="0" w:firstColumn="0" w:lastColumn="0" w:oddVBand="0" w:evenVBand="0" w:oddHBand="0" w:evenHBand="0" w:firstRowFirstColumn="0" w:firstRowLastColumn="0" w:lastRowFirstColumn="0" w:lastRowLastColumn="0"/>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t>2015</w:t>
            </w:r>
          </w:p>
        </w:tc>
        <w:tc>
          <w:tcPr>
            <w:tcW w:w="0" w:type="auto"/>
            <w:tcBorders>
              <w:top w:val="nil"/>
              <w:left w:val="nil"/>
              <w:bottom w:val="nil"/>
              <w:right w:val="nil"/>
            </w:tcBorders>
            <w:hideMark/>
          </w:tcPr>
          <w:p w14:paraId="006E072D" w14:textId="77777777" w:rsidR="004907F1" w:rsidRDefault="004907F1">
            <w:pPr>
              <w:cnfStyle w:val="000000000000" w:firstRow="0" w:lastRow="0" w:firstColumn="0" w:lastColumn="0" w:oddVBand="0" w:evenVBand="0" w:oddHBand="0" w:evenHBand="0" w:firstRowFirstColumn="0" w:firstRowLastColumn="0" w:lastRowFirstColumn="0" w:lastRowLastColumn="0"/>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t>Review</w:t>
            </w:r>
          </w:p>
        </w:tc>
        <w:tc>
          <w:tcPr>
            <w:tcW w:w="0" w:type="auto"/>
            <w:tcBorders>
              <w:top w:val="nil"/>
              <w:left w:val="nil"/>
              <w:bottom w:val="nil"/>
              <w:right w:val="nil"/>
            </w:tcBorders>
            <w:hideMark/>
          </w:tcPr>
          <w:p w14:paraId="181603DF" w14:textId="77777777" w:rsidR="004907F1" w:rsidRDefault="004907F1">
            <w:pPr>
              <w:cnfStyle w:val="000000000000" w:firstRow="0" w:lastRow="0" w:firstColumn="0" w:lastColumn="0" w:oddVBand="0" w:evenVBand="0" w:oddHBand="0" w:evenHBand="0" w:firstRowFirstColumn="0" w:firstRowLastColumn="0" w:lastRowFirstColumn="0" w:lastRowLastColumn="0"/>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t>Clinical decision-making and practices</w:t>
            </w:r>
          </w:p>
        </w:tc>
        <w:tc>
          <w:tcPr>
            <w:tcW w:w="0" w:type="auto"/>
            <w:tcBorders>
              <w:top w:val="nil"/>
              <w:left w:val="nil"/>
              <w:bottom w:val="nil"/>
              <w:right w:val="nil"/>
            </w:tcBorders>
            <w:hideMark/>
          </w:tcPr>
          <w:p w14:paraId="1F9F302C" w14:textId="77777777" w:rsidR="004907F1" w:rsidRDefault="004907F1">
            <w:pPr>
              <w:cnfStyle w:val="000000000000" w:firstRow="0" w:lastRow="0" w:firstColumn="0" w:lastColumn="0" w:oddVBand="0" w:evenVBand="0" w:oddHBand="0" w:evenHBand="0" w:firstRowFirstColumn="0" w:firstRowLastColumn="0" w:lastRowFirstColumn="0" w:lastRowLastColumn="0"/>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t>Sets out the importance of construct, internal, and external validity, outlining the need for realistic vignettes to differentiate between clinical opinion and be generalizable to 'real-world' settings. Presents recommendations for the content of vignettes, drawing on examples from case-controlled vignette field studies examining clinician's responses to ICD-11 versus ICD-10 classifications</w:t>
            </w:r>
          </w:p>
        </w:tc>
        <w:tc>
          <w:tcPr>
            <w:tcW w:w="0" w:type="auto"/>
            <w:tcBorders>
              <w:top w:val="nil"/>
              <w:left w:val="nil"/>
              <w:bottom w:val="nil"/>
              <w:right w:val="nil"/>
            </w:tcBorders>
            <w:hideMark/>
          </w:tcPr>
          <w:p w14:paraId="3907C2C4" w14:textId="77777777" w:rsidR="004907F1" w:rsidRDefault="004907F1">
            <w:pPr>
              <w:cnfStyle w:val="000000000000" w:firstRow="0" w:lastRow="0" w:firstColumn="0" w:lastColumn="0" w:oddVBand="0" w:evenVBand="0" w:oddHBand="0" w:evenHBand="0" w:firstRowFirstColumn="0" w:firstRowLastColumn="0" w:lastRowFirstColumn="0" w:lastRowLastColumn="0"/>
              <w:rPr>
                <w:rFonts w:ascii="Baskerville Old Face" w:eastAsia="Times New Roman" w:hAnsi="Baskerville Old Face" w:cstheme="minorHAnsi"/>
                <w:color w:val="2E2E2E"/>
                <w:sz w:val="20"/>
                <w:szCs w:val="20"/>
                <w:lang w:eastAsia="en-GB"/>
              </w:rPr>
            </w:pPr>
            <w:r>
              <w:rPr>
                <w:rFonts w:ascii="Baskerville Old Face" w:eastAsia="Times New Roman" w:hAnsi="Baskerville Old Face" w:cstheme="minorHAnsi"/>
                <w:color w:val="2E2E2E"/>
                <w:sz w:val="20"/>
                <w:szCs w:val="20"/>
                <w:lang w:eastAsia="en-GB"/>
              </w:rPr>
              <w:t>Argues that well-designed vignettes can combine strengths of both survey and experimental methods, and provide generalizability to 'real-life' clinical judgments and decision-making</w:t>
            </w:r>
          </w:p>
        </w:tc>
        <w:tc>
          <w:tcPr>
            <w:tcW w:w="0" w:type="auto"/>
            <w:tcBorders>
              <w:top w:val="nil"/>
              <w:left w:val="nil"/>
              <w:bottom w:val="nil"/>
              <w:right w:val="nil"/>
            </w:tcBorders>
            <w:hideMark/>
          </w:tcPr>
          <w:p w14:paraId="79C7B2ED" w14:textId="77777777" w:rsidR="004907F1" w:rsidRDefault="004907F1">
            <w:pPr>
              <w:cnfStyle w:val="000000000000" w:firstRow="0" w:lastRow="0" w:firstColumn="0" w:lastColumn="0" w:oddVBand="0" w:evenVBand="0" w:oddHBand="0" w:evenHBand="0" w:firstRowFirstColumn="0" w:firstRowLastColumn="0" w:lastRowFirstColumn="0" w:lastRowLastColumn="0"/>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t>Review focus is on written vignettes aimed at clinicians only</w:t>
            </w:r>
          </w:p>
        </w:tc>
      </w:tr>
      <w:tr w:rsidR="004907F1" w14:paraId="32E43D70" w14:textId="77777777" w:rsidTr="004907F1">
        <w:trPr>
          <w:cnfStyle w:val="000000100000" w:firstRow="0" w:lastRow="0" w:firstColumn="0" w:lastColumn="0" w:oddVBand="0" w:evenVBand="0" w:oddHBand="1" w:evenHBand="0" w:firstRowFirstColumn="0" w:firstRowLastColumn="0" w:lastRowFirstColumn="0" w:lastRowLastColumn="0"/>
          <w:trHeight w:val="2122"/>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hideMark/>
          </w:tcPr>
          <w:p w14:paraId="099930E5" w14:textId="77777777" w:rsidR="004907F1" w:rsidRDefault="004907F1">
            <w:pPr>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lastRenderedPageBreak/>
              <w:t xml:space="preserve">Converse </w:t>
            </w:r>
            <w:r>
              <w:rPr>
                <w:rFonts w:ascii="Baskerville Old Face" w:eastAsia="Times New Roman" w:hAnsi="Baskerville Old Face" w:cstheme="minorHAnsi"/>
                <w:color w:val="000000"/>
                <w:sz w:val="20"/>
                <w:szCs w:val="20"/>
                <w:lang w:eastAsia="en-GB"/>
              </w:rPr>
              <w:fldChar w:fldCharType="begin"/>
            </w:r>
            <w:r>
              <w:rPr>
                <w:rFonts w:ascii="Baskerville Old Face" w:eastAsia="Times New Roman" w:hAnsi="Baskerville Old Face" w:cstheme="minorHAnsi"/>
                <w:color w:val="000000"/>
                <w:sz w:val="20"/>
                <w:szCs w:val="20"/>
                <w:lang w:eastAsia="en-GB"/>
              </w:rPr>
              <w:instrText xml:space="preserve"> ADDIN ZOTERO_ITEM CSL_CITATION {"citationID":"a71v52vlg1","properties":{"formattedCitation":"[6]","plainCitation":"[6]","noteIndex":0},"citationItems":[{"id":3283,"uris":["http://zotero.org/users/2461043/items/Y5IP2K6A"],"uri":["http://zotero.org/users/2461043/items/Y5IP2K6A"],"itemData":{"id":3283,"type":"article-journal","title":"Methods of Observing Variations in Physicians’ Decisions: The Opportunities of Clinical Vignettes","container-title":"Journal of General Internal Medicine","page":"586-594","volume":"30","issue":"S3","source":"CrossRef","DOI":"10.1007/s11606-015-3365-8","ISSN":"0884-8734, 1525-1497","title-short":"Methods of Observing Variations in Physicians’ Decisions","language":"en","author":[{"family":"Converse","given":"Lara"},{"family":"Barrett","given":"Kirsten"},{"family":"Rich","given":"Eugene"},{"family":"Reschovsky","given":"James"}],"issued":{"date-parts":[["2015",8]]}}}],"schema":"https://github.com/citation-style-language/schema/raw/master/csl-citation.json"} </w:instrText>
            </w:r>
            <w:r>
              <w:rPr>
                <w:rFonts w:ascii="Baskerville Old Face" w:eastAsia="Times New Roman" w:hAnsi="Baskerville Old Face" w:cstheme="minorHAnsi"/>
                <w:color w:val="000000"/>
                <w:sz w:val="20"/>
                <w:szCs w:val="20"/>
                <w:lang w:eastAsia="en-GB"/>
              </w:rPr>
              <w:fldChar w:fldCharType="separate"/>
            </w:r>
            <w:r>
              <w:rPr>
                <w:rFonts w:ascii="Baskerville Old Face" w:hAnsi="Baskerville Old Face" w:cs="Calibri"/>
                <w:sz w:val="20"/>
                <w:szCs w:val="20"/>
              </w:rPr>
              <w:t>[6]</w:t>
            </w:r>
            <w:r>
              <w:rPr>
                <w:rFonts w:ascii="Baskerville Old Face" w:eastAsia="Times New Roman" w:hAnsi="Baskerville Old Face" w:cstheme="minorHAnsi"/>
                <w:color w:val="000000"/>
                <w:sz w:val="20"/>
                <w:szCs w:val="20"/>
                <w:lang w:eastAsia="en-GB"/>
              </w:rPr>
              <w:fldChar w:fldCharType="end"/>
            </w:r>
          </w:p>
        </w:tc>
        <w:tc>
          <w:tcPr>
            <w:tcW w:w="0" w:type="auto"/>
            <w:tcBorders>
              <w:top w:val="nil"/>
              <w:left w:val="nil"/>
              <w:bottom w:val="nil"/>
              <w:right w:val="nil"/>
            </w:tcBorders>
            <w:hideMark/>
          </w:tcPr>
          <w:p w14:paraId="54F56561" w14:textId="77777777" w:rsidR="004907F1" w:rsidRDefault="004907F1">
            <w:pPr>
              <w:cnfStyle w:val="000000100000" w:firstRow="0" w:lastRow="0" w:firstColumn="0" w:lastColumn="0" w:oddVBand="0" w:evenVBand="0" w:oddHBand="1" w:evenHBand="0" w:firstRowFirstColumn="0" w:firstRowLastColumn="0" w:lastRowFirstColumn="0" w:lastRowLastColumn="0"/>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t>2015</w:t>
            </w:r>
          </w:p>
        </w:tc>
        <w:tc>
          <w:tcPr>
            <w:tcW w:w="0" w:type="auto"/>
            <w:tcBorders>
              <w:top w:val="nil"/>
              <w:left w:val="nil"/>
              <w:bottom w:val="nil"/>
              <w:right w:val="nil"/>
            </w:tcBorders>
            <w:hideMark/>
          </w:tcPr>
          <w:p w14:paraId="653F302C" w14:textId="77777777" w:rsidR="004907F1" w:rsidRDefault="004907F1">
            <w:pPr>
              <w:cnfStyle w:val="000000100000" w:firstRow="0" w:lastRow="0" w:firstColumn="0" w:lastColumn="0" w:oddVBand="0" w:evenVBand="0" w:oddHBand="1" w:evenHBand="0" w:firstRowFirstColumn="0" w:firstRowLastColumn="0" w:lastRowFirstColumn="0" w:lastRowLastColumn="0"/>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t>Review</w:t>
            </w:r>
          </w:p>
        </w:tc>
        <w:tc>
          <w:tcPr>
            <w:tcW w:w="0" w:type="auto"/>
            <w:tcBorders>
              <w:top w:val="nil"/>
              <w:left w:val="nil"/>
              <w:bottom w:val="nil"/>
              <w:right w:val="nil"/>
            </w:tcBorders>
            <w:hideMark/>
          </w:tcPr>
          <w:p w14:paraId="44280471" w14:textId="77777777" w:rsidR="004907F1" w:rsidRDefault="004907F1">
            <w:pPr>
              <w:cnfStyle w:val="000000100000" w:firstRow="0" w:lastRow="0" w:firstColumn="0" w:lastColumn="0" w:oddVBand="0" w:evenVBand="0" w:oddHBand="1" w:evenHBand="0" w:firstRowFirstColumn="0" w:firstRowLastColumn="0" w:lastRowFirstColumn="0" w:lastRowLastColumn="0"/>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t>Clinical decision-making and practices</w:t>
            </w:r>
          </w:p>
        </w:tc>
        <w:tc>
          <w:tcPr>
            <w:tcW w:w="0" w:type="auto"/>
            <w:tcBorders>
              <w:top w:val="nil"/>
              <w:left w:val="nil"/>
              <w:bottom w:val="nil"/>
              <w:right w:val="nil"/>
            </w:tcBorders>
            <w:hideMark/>
          </w:tcPr>
          <w:p w14:paraId="4E3F3193" w14:textId="77777777" w:rsidR="004907F1" w:rsidRDefault="004907F1">
            <w:pPr>
              <w:cnfStyle w:val="000000100000" w:firstRow="0" w:lastRow="0" w:firstColumn="0" w:lastColumn="0" w:oddVBand="0" w:evenVBand="0" w:oddHBand="1" w:evenHBand="0" w:firstRowFirstColumn="0" w:firstRowLastColumn="0" w:lastRowFirstColumn="0" w:lastRowLastColumn="0"/>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t xml:space="preserve">Outlines three "decision points" to consider when designing clinical vignette surveys: (1) question type (open or closed); (2) question format (dichotomous/multiple choice/Likert scale/fill in the blank with numeric response); (3) mode of administration (paper/telephone or in person/computer). Also outlines other design considerations, including (1) selecting decisions to study; (2) realism; (3) establishing validity; (4) pre-testing; (5) administration </w:t>
            </w:r>
          </w:p>
        </w:tc>
        <w:tc>
          <w:tcPr>
            <w:tcW w:w="0" w:type="auto"/>
            <w:tcBorders>
              <w:top w:val="nil"/>
              <w:left w:val="nil"/>
              <w:bottom w:val="nil"/>
              <w:right w:val="nil"/>
            </w:tcBorders>
            <w:hideMark/>
          </w:tcPr>
          <w:p w14:paraId="695DBC07" w14:textId="77777777" w:rsidR="004907F1" w:rsidRDefault="004907F1">
            <w:pPr>
              <w:cnfStyle w:val="000000100000" w:firstRow="0" w:lastRow="0" w:firstColumn="0" w:lastColumn="0" w:oddVBand="0" w:evenVBand="0" w:oddHBand="1" w:evenHBand="0" w:firstRowFirstColumn="0" w:firstRowLastColumn="0" w:lastRowFirstColumn="0" w:lastRowLastColumn="0"/>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t>Sets out the case for clinical vignettes having advantages over case notes review or standardised patients, but notes that further research is needed into the use of paper-based, closed-ended vignette surveys</w:t>
            </w:r>
          </w:p>
        </w:tc>
        <w:tc>
          <w:tcPr>
            <w:tcW w:w="0" w:type="auto"/>
            <w:tcBorders>
              <w:top w:val="nil"/>
              <w:left w:val="nil"/>
              <w:bottom w:val="nil"/>
              <w:right w:val="nil"/>
            </w:tcBorders>
            <w:hideMark/>
          </w:tcPr>
          <w:p w14:paraId="4C033A66" w14:textId="77777777" w:rsidR="004907F1" w:rsidRDefault="004907F1">
            <w:pPr>
              <w:cnfStyle w:val="000000100000" w:firstRow="0" w:lastRow="0" w:firstColumn="0" w:lastColumn="0" w:oddVBand="0" w:evenVBand="0" w:oddHBand="1" w:evenHBand="0" w:firstRowFirstColumn="0" w:firstRowLastColumn="0" w:lastRowFirstColumn="0" w:lastRowLastColumn="0"/>
              <w:rPr>
                <w:rFonts w:ascii="Baskerville Old Face" w:eastAsia="Times New Roman" w:hAnsi="Baskerville Old Face" w:cstheme="minorHAnsi"/>
                <w:color w:val="000000"/>
                <w:sz w:val="20"/>
                <w:szCs w:val="20"/>
                <w:lang w:eastAsia="en-GB"/>
              </w:rPr>
            </w:pPr>
            <w:r>
              <w:rPr>
                <w:rFonts w:ascii="Baskerville Old Face" w:eastAsia="Times New Roman" w:hAnsi="Baskerville Old Face" w:cstheme="minorHAnsi"/>
                <w:color w:val="000000"/>
                <w:sz w:val="20"/>
                <w:szCs w:val="20"/>
                <w:lang w:eastAsia="en-GB"/>
              </w:rPr>
              <w:t>Review focus is on written vignettes aimed at clinicians only</w:t>
            </w:r>
          </w:p>
        </w:tc>
      </w:tr>
    </w:tbl>
    <w:p w14:paraId="7915B81E" w14:textId="77777777" w:rsidR="004907F1" w:rsidRDefault="004907F1" w:rsidP="004907F1">
      <w:pPr>
        <w:spacing w:after="0" w:line="360" w:lineRule="auto"/>
        <w:rPr>
          <w:rFonts w:ascii="Baskerville Old Face" w:hAnsi="Baskerville Old Face"/>
          <w:sz w:val="24"/>
          <w:szCs w:val="24"/>
        </w:rPr>
      </w:pPr>
    </w:p>
    <w:p w14:paraId="51454D36" w14:textId="77777777" w:rsidR="004907F1" w:rsidRDefault="004907F1" w:rsidP="004907F1">
      <w:pPr>
        <w:spacing w:after="0" w:line="360" w:lineRule="auto"/>
        <w:rPr>
          <w:rFonts w:ascii="Baskerville Old Face" w:hAnsi="Baskerville Old Face"/>
          <w:sz w:val="24"/>
          <w:szCs w:val="24"/>
        </w:rPr>
      </w:pPr>
    </w:p>
    <w:p w14:paraId="6AAFE343" w14:textId="77777777" w:rsidR="004907F1" w:rsidRDefault="004907F1" w:rsidP="004907F1">
      <w:pPr>
        <w:spacing w:after="0" w:line="360" w:lineRule="auto"/>
        <w:rPr>
          <w:rFonts w:ascii="Baskerville Old Face" w:hAnsi="Baskerville Old Face"/>
          <w:sz w:val="24"/>
          <w:szCs w:val="24"/>
        </w:rPr>
        <w:sectPr w:rsidR="004907F1">
          <w:pgSz w:w="16838" w:h="11906" w:orient="landscape"/>
          <w:pgMar w:top="1440" w:right="1440" w:bottom="1440" w:left="1440" w:header="708" w:footer="708" w:gutter="0"/>
          <w:cols w:space="720"/>
        </w:sectPr>
      </w:pPr>
    </w:p>
    <w:p w14:paraId="78AE6897" w14:textId="77777777" w:rsidR="004907F1" w:rsidRDefault="004907F1" w:rsidP="004907F1">
      <w:pPr>
        <w:spacing w:after="0" w:line="360" w:lineRule="auto"/>
        <w:rPr>
          <w:rFonts w:ascii="Baskerville Old Face" w:hAnsi="Baskerville Old Face" w:cstheme="minorHAnsi"/>
          <w:sz w:val="24"/>
          <w:szCs w:val="24"/>
        </w:rPr>
      </w:pPr>
      <w:r>
        <w:rPr>
          <w:rFonts w:ascii="Baskerville Old Face" w:hAnsi="Baskerville Old Face" w:cstheme="minorHAnsi"/>
          <w:b/>
          <w:sz w:val="24"/>
          <w:szCs w:val="24"/>
        </w:rPr>
        <w:lastRenderedPageBreak/>
        <w:t>The development of quality criteria for experimental vignette studies</w:t>
      </w:r>
    </w:p>
    <w:p w14:paraId="55EF4E3C" w14:textId="77777777" w:rsidR="004907F1" w:rsidRDefault="004907F1" w:rsidP="004907F1">
      <w:pPr>
        <w:autoSpaceDE w:val="0"/>
        <w:autoSpaceDN w:val="0"/>
        <w:adjustRightInd w:val="0"/>
        <w:spacing w:after="0" w:line="360" w:lineRule="auto"/>
        <w:rPr>
          <w:rFonts w:ascii="Baskerville Old Face" w:hAnsi="Baskerville Old Face" w:cstheme="minorHAnsi"/>
          <w:sz w:val="24"/>
          <w:szCs w:val="24"/>
        </w:rPr>
      </w:pPr>
      <w:r>
        <w:rPr>
          <w:rFonts w:ascii="Baskerville Old Face" w:hAnsi="Baskerville Old Face" w:cstheme="minorHAnsi"/>
          <w:sz w:val="24"/>
          <w:szCs w:val="24"/>
        </w:rPr>
        <w:t>Bringing together recommendations from within the health care field with those from the broader vignette literature, we developed a set of ten considerations to assess the design and conduct of experimental vignette studies (Table 2). We subsequently developed a scoring system to enable an overall judgement of certainty to be made about the methodological robustness of experimental vignette studies included in the main empirical paper review – see Table 3 for details.</w:t>
      </w:r>
    </w:p>
    <w:p w14:paraId="5899247E" w14:textId="77777777" w:rsidR="004907F1" w:rsidRDefault="004907F1" w:rsidP="004907F1">
      <w:pPr>
        <w:autoSpaceDE w:val="0"/>
        <w:autoSpaceDN w:val="0"/>
        <w:adjustRightInd w:val="0"/>
        <w:spacing w:after="0" w:line="360" w:lineRule="auto"/>
        <w:rPr>
          <w:rFonts w:ascii="Baskerville Old Face" w:hAnsi="Baskerville Old Face" w:cstheme="minorHAnsi"/>
          <w:sz w:val="24"/>
          <w:szCs w:val="24"/>
        </w:rPr>
      </w:pPr>
    </w:p>
    <w:p w14:paraId="0619E7AB" w14:textId="77777777" w:rsidR="004907F1" w:rsidRDefault="004907F1" w:rsidP="004907F1">
      <w:pPr>
        <w:spacing w:after="0"/>
        <w:rPr>
          <w:rFonts w:ascii="Baskerville Old Face" w:hAnsi="Baskerville Old Face" w:cstheme="minorHAnsi"/>
          <w:sz w:val="24"/>
          <w:szCs w:val="24"/>
        </w:rPr>
      </w:pPr>
    </w:p>
    <w:p w14:paraId="2AD94232" w14:textId="77777777" w:rsidR="004907F1" w:rsidRDefault="004907F1" w:rsidP="004907F1">
      <w:pPr>
        <w:spacing w:after="0"/>
        <w:rPr>
          <w:rFonts w:ascii="Baskerville Old Face" w:hAnsi="Baskerville Old Face" w:cstheme="minorHAnsi"/>
          <w:sz w:val="24"/>
          <w:szCs w:val="24"/>
        </w:rPr>
        <w:sectPr w:rsidR="004907F1">
          <w:pgSz w:w="11906" w:h="16838"/>
          <w:pgMar w:top="1440" w:right="1440" w:bottom="1440" w:left="1440" w:header="708" w:footer="708" w:gutter="0"/>
          <w:cols w:space="720"/>
        </w:sectPr>
      </w:pPr>
    </w:p>
    <w:p w14:paraId="6BCD3F0B" w14:textId="77777777" w:rsidR="004907F1" w:rsidRDefault="004907F1" w:rsidP="004907F1">
      <w:pPr>
        <w:rPr>
          <w:rFonts w:ascii="Baskerville Old Face" w:hAnsi="Baskerville Old Face" w:cstheme="minorHAnsi"/>
          <w:sz w:val="24"/>
          <w:szCs w:val="24"/>
        </w:rPr>
      </w:pPr>
    </w:p>
    <w:p w14:paraId="3BF882C1" w14:textId="77777777" w:rsidR="004907F1" w:rsidRDefault="004907F1" w:rsidP="004907F1">
      <w:pPr>
        <w:rPr>
          <w:rFonts w:ascii="Arial" w:hAnsi="Arial" w:cs="Arial"/>
          <w:b/>
          <w:lang w:val="en-US"/>
        </w:rPr>
      </w:pPr>
      <w:r>
        <w:rPr>
          <w:rFonts w:ascii="Arial" w:hAnsi="Arial" w:cs="Arial"/>
          <w:b/>
          <w:lang w:val="en-US"/>
        </w:rPr>
        <w:t xml:space="preserve">Table 2. </w:t>
      </w:r>
      <w:r>
        <w:rPr>
          <w:rFonts w:ascii="Arial" w:hAnsi="Arial" w:cs="Arial"/>
          <w:lang w:val="en-US"/>
        </w:rPr>
        <w:t>Methodological framework for assessment of experimental vignette studies</w:t>
      </w:r>
    </w:p>
    <w:tbl>
      <w:tblPr>
        <w:tblStyle w:val="ListTable4-Accent1"/>
        <w:tblW w:w="0" w:type="auto"/>
        <w:tblBorders>
          <w:top w:val="none" w:sz="0" w:space="0" w:color="auto"/>
          <w:left w:val="none" w:sz="0" w:space="0" w:color="auto"/>
          <w:bottom w:val="none" w:sz="0" w:space="0" w:color="auto"/>
          <w:right w:val="none" w:sz="0" w:space="0" w:color="auto"/>
          <w:insideH w:val="none" w:sz="0" w:space="0" w:color="auto"/>
        </w:tblBorders>
        <w:tblCellMar>
          <w:top w:w="85" w:type="dxa"/>
          <w:bottom w:w="85" w:type="dxa"/>
        </w:tblCellMar>
        <w:tblLook w:val="04A0" w:firstRow="1" w:lastRow="0" w:firstColumn="1" w:lastColumn="0" w:noHBand="0" w:noVBand="1"/>
      </w:tblPr>
      <w:tblGrid>
        <w:gridCol w:w="2319"/>
        <w:gridCol w:w="11629"/>
      </w:tblGrid>
      <w:tr w:rsidR="004907F1" w14:paraId="39AB3A31" w14:textId="77777777" w:rsidTr="004907F1">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BDD6EE" w:themeFill="accent1" w:themeFillTint="66"/>
            <w:vAlign w:val="center"/>
            <w:hideMark/>
          </w:tcPr>
          <w:p w14:paraId="47BD0665" w14:textId="77777777" w:rsidR="004907F1" w:rsidRDefault="004907F1" w:rsidP="004907F1">
            <w:pPr>
              <w:pStyle w:val="ListParagraph"/>
              <w:numPr>
                <w:ilvl w:val="0"/>
                <w:numId w:val="5"/>
              </w:numPr>
              <w:rPr>
                <w:rFonts w:ascii="Baskerville Old Face" w:hAnsi="Baskerville Old Face"/>
                <w:color w:val="000000" w:themeColor="text1"/>
              </w:rPr>
            </w:pPr>
            <w:r>
              <w:rPr>
                <w:rFonts w:ascii="Baskerville Old Face" w:hAnsi="Baskerville Old Face"/>
                <w:color w:val="000000" w:themeColor="text1"/>
              </w:rPr>
              <w:t>Vignette design</w:t>
            </w:r>
          </w:p>
        </w:tc>
      </w:tr>
      <w:tr w:rsidR="004907F1" w14:paraId="5C87A823" w14:textId="77777777" w:rsidTr="004907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E43A0C" w14:textId="77777777" w:rsidR="004907F1" w:rsidRDefault="004907F1" w:rsidP="004907F1">
            <w:pPr>
              <w:pStyle w:val="ListParagraph"/>
              <w:numPr>
                <w:ilvl w:val="0"/>
                <w:numId w:val="6"/>
              </w:numPr>
              <w:rPr>
                <w:rFonts w:ascii="Baskerville Old Face" w:hAnsi="Baskerville Old Face"/>
              </w:rPr>
            </w:pPr>
            <w:r>
              <w:rPr>
                <w:rFonts w:ascii="Baskerville Old Face" w:hAnsi="Baskerville Old Face"/>
              </w:rPr>
              <w:t>Credibility</w:t>
            </w:r>
          </w:p>
        </w:tc>
        <w:tc>
          <w:tcPr>
            <w:tcW w:w="0" w:type="auto"/>
            <w:hideMark/>
          </w:tcPr>
          <w:p w14:paraId="6693CCCD" w14:textId="77777777" w:rsidR="004907F1" w:rsidRDefault="004907F1" w:rsidP="004907F1">
            <w:pPr>
              <w:pStyle w:val="ListParagraph"/>
              <w:numPr>
                <w:ilvl w:val="0"/>
                <w:numId w:val="7"/>
              </w:numPr>
              <w:spacing w:after="160" w:line="256" w:lineRule="auto"/>
              <w:ind w:left="205" w:hanging="205"/>
              <w:cnfStyle w:val="000000100000" w:firstRow="0" w:lastRow="0" w:firstColumn="0" w:lastColumn="0" w:oddVBand="0" w:evenVBand="0" w:oddHBand="1" w:evenHBand="0" w:firstRowFirstColumn="0" w:firstRowLastColumn="0" w:lastRowFirstColumn="0" w:lastRowLastColumn="0"/>
              <w:rPr>
                <w:rFonts w:ascii="Baskerville Old Face" w:hAnsi="Baskerville Old Face"/>
              </w:rPr>
            </w:pPr>
            <w:r>
              <w:rPr>
                <w:rFonts w:ascii="Baskerville Old Face" w:hAnsi="Baskerville Old Face"/>
              </w:rPr>
              <w:t xml:space="preserve">The degree to which vignettes credibly represent critical aspects of a clinical scenario or patient to potential participants is crucial to the success of an experimental vignette study. </w:t>
            </w:r>
            <w:r>
              <w:rPr>
                <w:rFonts w:ascii="Baskerville Old Face" w:hAnsi="Baskerville Old Face"/>
              </w:rPr>
              <w:fldChar w:fldCharType="begin"/>
            </w:r>
            <w:r>
              <w:rPr>
                <w:rFonts w:ascii="Baskerville Old Face" w:hAnsi="Baskerville Old Face"/>
              </w:rPr>
              <w:instrText xml:space="preserve"> ADDIN ZOTERO_ITEM CSL_CITATION {"citationID":"zWOGvXrp","properties":{"formattedCitation":"[30]","plainCitation":"[30]","noteIndex":0},"citationItems":[{"id":3615,"uris":["http://zotero.org/users/2461043/items/65NWHYZI"],"uri":["http://zotero.org/users/2461043/items/65NWHYZI"],"itemData":{"id":3615,"type":"article-journal","abstract":"BACKGROUND: Accurate measures of health professionals' clinical practice are critically important to guide health policy decisions, as well as for professional self-evaluation and for research-based investigation of clinical practice and process of care. It is often not feasible or ethical to measure behaviour through direct observation, and rigorous behavioural measures are difficult and costly to use. The aim of this review was to identify the current evidence relating to the relationships between proxy measures and direct measures of clinical behaviour. In particular, the accuracy of medical record review, clinician self-reported and patient-reported behaviour was assessed relative to directly observed behaviour.\nMETHODS: We searched: PsycINFO; MEDLINE; EMBASE; CINAHL; Cochrane Central Register of Controlled Trials; science/social science citation index; Current contents (social &amp; behavioural med/clinical med); ISI conference proceedings; and Index to Theses.\nINCLUSION CRITERIA: empirical, quantitative studies; and examining clinical behaviours. An independent, direct measure of behaviour (by standardised patient, other trained observer or by video/audio recording) was considered the 'gold standard' for comparison. Proxy measures of behaviour included: retrospective self-report; patient-report; or chart-review. All titles, abstracts, and full text articles retrieved by electronic searching were screened for inclusion and abstracted independently by two reviewers. Disagreements were resolved by discussion with a third reviewer where necessary.\nRESULTS: Fifteen reports originating from 11 studies met the inclusion criteria. The method of direct measurement was by standardised patient in six reports, trained observer in three reports, and audio/video recording in six reports. Multiple proxy measures of behaviour were compared in five of 15 reports. Only four of 15 reports used appropriate statistical methods to compare measures. Some direct measures failed to meet our validity criteria. The accuracy of patient report and chart review as proxy measures varied considerably across a wide range of clinical actions. The evidence for clinician self-report was inconclusive.\nCONCLUSION: Valid measures of clinical behaviour are of fundamental importance to accurately identify gaps in care delivery, improve quality of care, and ultimately to improve patient care. However, the evidence base for three commonly used proxy measures of clinicians' behaviour is very limited. Further research is needed to better establish the methods of development, application, and analysis for a range of both direct and proxy measures of behaviour.","container-title":"Implementation science: IS","DOI":"10.1186/1748-5908-4-37","ISSN":"1748-5908","journalAbbreviation":"Implement Sci","language":"eng","note":"PMID: 19575790\nPMCID: PMC2713194","page":"37","source":"PubMed","title":"Are there valid proxy measures of clinical behaviour? A systematic review","title-short":"Are there valid proxy measures of clinical behaviour?","volume":"4","author":[{"family":"Hrisos","given":"Susan"},{"family":"Eccles","given":"Martin P."},{"family":"Francis","given":"Jill J."},{"family":"Dickinson","given":"Heather O."},{"family":"Kaner","given":"Eileen F. S."},{"family":"Beyer","given":"Fiona"},{"family":"Johnston","given":"Marie"}],"issued":{"date-parts":[["2009",7,3]]}}}],"schema":"https://github.com/citation-style-language/schema/raw/master/csl-citation.json"} </w:instrText>
            </w:r>
            <w:r>
              <w:rPr>
                <w:rFonts w:ascii="Baskerville Old Face" w:hAnsi="Baskerville Old Face"/>
              </w:rPr>
              <w:fldChar w:fldCharType="separate"/>
            </w:r>
            <w:r>
              <w:rPr>
                <w:rFonts w:ascii="Baskerville Old Face" w:hAnsi="Baskerville Old Face"/>
              </w:rPr>
              <w:t>[30]</w:t>
            </w:r>
            <w:r>
              <w:rPr>
                <w:rFonts w:ascii="Baskerville Old Face" w:hAnsi="Baskerville Old Face"/>
                <w:lang w:val="en-US"/>
              </w:rPr>
              <w:fldChar w:fldCharType="end"/>
            </w:r>
            <w:r>
              <w:rPr>
                <w:rFonts w:ascii="Baskerville Old Face" w:hAnsi="Baskerville Old Face"/>
                <w:lang w:val="en-US"/>
              </w:rPr>
              <w:t xml:space="preserve"> </w:t>
            </w:r>
          </w:p>
          <w:p w14:paraId="4F24CAC9" w14:textId="77777777" w:rsidR="004907F1" w:rsidRDefault="004907F1" w:rsidP="004907F1">
            <w:pPr>
              <w:pStyle w:val="ListParagraph"/>
              <w:numPr>
                <w:ilvl w:val="0"/>
                <w:numId w:val="7"/>
              </w:numPr>
              <w:spacing w:after="160" w:line="256" w:lineRule="auto"/>
              <w:ind w:left="205" w:hanging="205"/>
              <w:cnfStyle w:val="000000100000" w:firstRow="0" w:lastRow="0" w:firstColumn="0" w:lastColumn="0" w:oddVBand="0" w:evenVBand="0" w:oddHBand="1" w:evenHBand="0" w:firstRowFirstColumn="0" w:firstRowLastColumn="0" w:lastRowFirstColumn="0" w:lastRowLastColumn="0"/>
              <w:rPr>
                <w:rFonts w:ascii="Baskerville Old Face" w:hAnsi="Baskerville Old Face"/>
              </w:rPr>
            </w:pPr>
            <w:r>
              <w:rPr>
                <w:rFonts w:ascii="Baskerville Old Face" w:hAnsi="Baskerville Old Face"/>
              </w:rPr>
              <w:t xml:space="preserve">Lens model approaches (studies which compare optimal versus actual decisions in a given situation, originally developed by Brunswick in 1950) have demonstrated empirically that the decision-making performance of participants is improved when situations are realistic. </w:t>
            </w:r>
            <w:r>
              <w:rPr>
                <w:rFonts w:ascii="Baskerville Old Face" w:hAnsi="Baskerville Old Face"/>
              </w:rPr>
              <w:fldChar w:fldCharType="begin"/>
            </w:r>
            <w:r>
              <w:rPr>
                <w:rFonts w:ascii="Baskerville Old Face" w:hAnsi="Baskerville Old Face"/>
              </w:rPr>
              <w:instrText xml:space="preserve"> ADDIN ZOTERO_ITEM CSL_CITATION {"citationID":"IDWgJpp9","properties":{"formattedCitation":"[36]","plainCitation":"[36]","noteIndex":0},"citationItems":[{"id":4075,"uris":["http://zotero.org/users/2461043/items/IGAAV3B3"],"uri":["http://zotero.org/users/2461043/items/IGAAV3B3"],"itemData":{"id":4075,"type":"article-journal","abstract":"The mathematical representation of E. Brunswik’s (1952) lens model has been used extensively to study human judgment and provides a unique opportunity to conduct a meta-analysis of studies that covers roughly 5 decades. Specifically, the authors analyzed statistics of the “lens model equation” (L. R. Tucker, 1964) associated with 249 different task environments obtained from 86 articles. On average, fairly high levels of judgmental achievement were found, and people were seen to be capable of achieving similar levels of cognitive performance in noisy and predictable environments. Further, the effects of task characteristics that influence judgment (numbers and types of cues, inter-cue redundancy, function forms and cue weights in the ecology, laboratory versus field studies, and experience with the task) were identified and estimated. A detailed analysis of learning studies revealed that the most effective form of feedback was information about the task. The authors also analyzed empirically under what conditions the application of bootstrapping— or replacing judges by their linear models—is advantageous. Finally, the authors note shortcomings of the kinds of studies conducted to date, limitations in the lens model methodology, and possibilities for future research.","container-title":"Psychological Bulletin","DOI":"10.1037/0033-2909.134.3.404","ISSN":"1939-1455, 0033-2909","issue":"3","language":"en","page":"404-426","source":"CrossRef","title":"Determinants of linear judgment: A meta-analysis of lens model studies.","title-short":"Determinants of linear judgment","volume":"134","author":[{"family":"Karelaia","given":"Natalia"},{"family":"Hogarth","given":"Robin M."}],"issued":{"date-parts":[["2008"]]}}}],"schema":"https://github.com/citation-style-language/schema/raw/master/csl-citation.json"} </w:instrText>
            </w:r>
            <w:r>
              <w:rPr>
                <w:rFonts w:ascii="Baskerville Old Face" w:hAnsi="Baskerville Old Face"/>
              </w:rPr>
              <w:fldChar w:fldCharType="separate"/>
            </w:r>
            <w:r>
              <w:rPr>
                <w:rFonts w:ascii="Baskerville Old Face" w:hAnsi="Baskerville Old Face"/>
              </w:rPr>
              <w:t>[36]</w:t>
            </w:r>
            <w:r>
              <w:rPr>
                <w:rFonts w:ascii="Baskerville Old Face" w:hAnsi="Baskerville Old Face"/>
                <w:lang w:val="en-US"/>
              </w:rPr>
              <w:fldChar w:fldCharType="end"/>
            </w:r>
            <w:r>
              <w:rPr>
                <w:rFonts w:ascii="Baskerville Old Face" w:hAnsi="Baskerville Old Face"/>
                <w:lang w:val="en-US"/>
              </w:rPr>
              <w:t xml:space="preserve"> </w:t>
            </w:r>
          </w:p>
          <w:p w14:paraId="51845397" w14:textId="77777777" w:rsidR="004907F1" w:rsidRDefault="004907F1" w:rsidP="004907F1">
            <w:pPr>
              <w:pStyle w:val="ListParagraph"/>
              <w:numPr>
                <w:ilvl w:val="0"/>
                <w:numId w:val="7"/>
              </w:numPr>
              <w:spacing w:after="160" w:line="256" w:lineRule="auto"/>
              <w:ind w:left="205" w:hanging="205"/>
              <w:cnfStyle w:val="000000100000" w:firstRow="0" w:lastRow="0" w:firstColumn="0" w:lastColumn="0" w:oddVBand="0" w:evenVBand="0" w:oddHBand="1" w:evenHBand="0" w:firstRowFirstColumn="0" w:firstRowLastColumn="0" w:lastRowFirstColumn="0" w:lastRowLastColumn="0"/>
              <w:rPr>
                <w:rFonts w:ascii="Baskerville Old Face" w:hAnsi="Baskerville Old Face"/>
              </w:rPr>
            </w:pPr>
            <w:r>
              <w:rPr>
                <w:rFonts w:ascii="Baskerville Old Face" w:hAnsi="Baskerville Old Face"/>
              </w:rPr>
              <w:t xml:space="preserve">Basing vignettes on real-life data, clinical expertise, and existing guidelines are recommended ways of enhancing credibility. </w:t>
            </w:r>
            <w:r>
              <w:rPr>
                <w:rFonts w:ascii="Baskerville Old Face" w:hAnsi="Baskerville Old Face"/>
              </w:rPr>
              <w:fldChar w:fldCharType="begin"/>
            </w:r>
            <w:r>
              <w:rPr>
                <w:rFonts w:ascii="Baskerville Old Face" w:hAnsi="Baskerville Old Face"/>
              </w:rPr>
              <w:instrText xml:space="preserve"> ADDIN ZOTERO_ITEM CSL_CITATION {"citationID":"htYvvN2q","properties":{"formattedCitation":"[19,33,37]","plainCitation":"[19,33,37]","noteIndex":0},"citationItems":[{"id":3288,"uris":["http://zotero.org/users/2461043/items/J2SUPVPZ"],"uri":["http://zotero.org/users/2461043/items/J2SUPVPZ"],"itemData":{"id":3288,"type":"article-journal","container-title":"International Journal of Clinical and Health Psychology","DOI":"10.1016/j.ijchp.2014.12.001","ISSN":"16972600","issue":"2","language":"en","page":"160-170","source":"CrossRef","title":"Vignette methodologies for studying clinicians’ decision-making: Validity, utility, and application in ICD-11 field studies","title-short":"Vignette methodologies for studying clinicians’ decision-making","volume":"15","author":[{"family":"Evans","given":"Spencer C."},{"family":"Roberts","given":"Michael C."},{"family":"Keeley","given":"Jared W."},{"family":"Blossom","given":"Jennifer B."},{"family":"Amaro","given":"Christina M."},{"family":"Garcia","given":"Andrea M."},{"family":"Stough","given":"Cathleen Odar"},{"family":"Canter","given":"Kimberly S."},{"family":"Robles","given":"Rebeca"},{"family":"Reed","given":"Geoffrey M."}],"issued":{"date-parts":[["2015",5]]}}},{"id":1020,"uris":["http://zotero.org/users/2461043/items/CJISNAQA"],"uri":["http://zotero.org/users/2461043/items/CJISNAQA"],"itemData":{"id":1020,"type":"article-journal","abstract":"Objective: Scripted video-vignette studies enable experimental investigation of specific elements of patient-provider communication, separating cause and effect. However, scripted video vignettes are infrequently used to this end. Resultantly, few guidelines are available for their, design, development and administration. We aim to suggest guidelines enabling more informed decisions when designing and conducting these studies.\nMethods: Based on the available methodological literature, we discuss methodological considerations when developing and administering scripted video vignettes.\nResults: Developing and using valid video vignettes requires: (I) deciding if using video vignettes is appropriate, (II) developing a valid script, (III) designing valid manipulations, (IV) converting the scripted consultation to video, and (V) administering the videos. We provide a first checklist of the methodological considerations in each phase. Advantages and pitfalls of possible approaches are discussed.\nConclusions: No 'gold standard' exists for most methodological issues, as literature testing the consequences of different approaches is lacking. The best approach when developing and implementing video vignettes depends upon the aims and practical limitations of a particular study.\nPractice implications: Our checklist may serve as a starting point for further study of scripted video vignettes methodology. More detailed methodological reporting would yield new knowledge, thus allowing the research field to progress. (C) 2013 Elsevier Ireland Ltd. All rights reserved.","archive_location":"WOS:000319645900006","container-title":"Patient Education and Counseling","DOI":"10.1016/j.pec.2013.01.020","ISSN":"0738-3991","issue":"3","journalAbbreviation":"Patient Educ Couns","language":"English","page":"295-309","title":"Developing and administering scripted video vignettes for experimental research of patient-provider communication","title-short":"Developing and administering scripted video vignettes for experimental research of patient-provider communication","volume":"91","author":[{"family":"Hillen","given":"M. A."},{"family":"Vliet","given":"L. M.","non-dropping-particle":"van"},{"family":"Haes","given":"H. C. J. M.","non-dropping-particle":"de"},{"family":"Smets","given":"E. M. A."}],"issued":{"date-parts":[["2013",6]]}}},{"id":3283,"uris":["http://zotero.org/users/2461043/items/Y5IP2K6A"],"uri":["http://zotero.org/users/2461043/items/Y5IP2K6A"],"itemData":{"id":3283,"type":"article-journal","container-title":"Journal of General Internal Medicine","DOI":"10.1007/s11606-015-3365-8","ISSN":"0884-8734, 1525-1497","issue":"S3","language":"en","page":"586-594","source":"CrossRef","title":"Methods of Observing Variations in Physicians’ Decisions: The Opportunities of Clinical Vignettes","title-short":"Methods of Observing Variations in Physicians’ Decisions","volume":"30","author":[{"family":"Converse","given":"Lara"},{"family":"Barrett","given":"Kirsten"},{"family":"Rich","given":"Eugene"},{"family":"Reschovsky","given":"James"}],"issued":{"date-parts":[["2015",8]]}}}],"schema":"https://github.com/citation-style-language/schema/raw/master/csl-citation.json"} </w:instrText>
            </w:r>
            <w:r>
              <w:rPr>
                <w:rFonts w:ascii="Baskerville Old Face" w:hAnsi="Baskerville Old Face"/>
              </w:rPr>
              <w:fldChar w:fldCharType="separate"/>
            </w:r>
            <w:r>
              <w:rPr>
                <w:rFonts w:ascii="Baskerville Old Face" w:hAnsi="Baskerville Old Face"/>
              </w:rPr>
              <w:t>[19,33,37]</w:t>
            </w:r>
            <w:r>
              <w:rPr>
                <w:rFonts w:ascii="Baskerville Old Face" w:hAnsi="Baskerville Old Face"/>
                <w:lang w:val="en-US"/>
              </w:rPr>
              <w:fldChar w:fldCharType="end"/>
            </w:r>
          </w:p>
        </w:tc>
      </w:tr>
      <w:tr w:rsidR="004907F1" w14:paraId="0D01D8C0" w14:textId="77777777" w:rsidTr="004907F1">
        <w:tc>
          <w:tcPr>
            <w:cnfStyle w:val="001000000000" w:firstRow="0" w:lastRow="0" w:firstColumn="1" w:lastColumn="0" w:oddVBand="0" w:evenVBand="0" w:oddHBand="0" w:evenHBand="0" w:firstRowFirstColumn="0" w:firstRowLastColumn="0" w:lastRowFirstColumn="0" w:lastRowLastColumn="0"/>
            <w:tcW w:w="0" w:type="auto"/>
            <w:shd w:val="clear" w:color="auto" w:fill="DEEAF6" w:themeFill="accent1" w:themeFillTint="33"/>
            <w:hideMark/>
          </w:tcPr>
          <w:p w14:paraId="5B4A3036" w14:textId="77777777" w:rsidR="004907F1" w:rsidRDefault="004907F1" w:rsidP="004907F1">
            <w:pPr>
              <w:pStyle w:val="ListParagraph"/>
              <w:numPr>
                <w:ilvl w:val="0"/>
                <w:numId w:val="6"/>
              </w:numPr>
              <w:rPr>
                <w:rFonts w:ascii="Baskerville Old Face" w:hAnsi="Baskerville Old Face"/>
              </w:rPr>
            </w:pPr>
            <w:r>
              <w:rPr>
                <w:rFonts w:ascii="Baskerville Old Face" w:hAnsi="Baskerville Old Face"/>
              </w:rPr>
              <w:t>Number</w:t>
            </w:r>
          </w:p>
        </w:tc>
        <w:tc>
          <w:tcPr>
            <w:tcW w:w="0" w:type="auto"/>
            <w:shd w:val="clear" w:color="auto" w:fill="DEEAF6" w:themeFill="accent1" w:themeFillTint="33"/>
            <w:hideMark/>
          </w:tcPr>
          <w:p w14:paraId="48287E3A" w14:textId="77777777" w:rsidR="004907F1" w:rsidRDefault="004907F1" w:rsidP="004907F1">
            <w:pPr>
              <w:pStyle w:val="ListParagraph"/>
              <w:numPr>
                <w:ilvl w:val="0"/>
                <w:numId w:val="8"/>
              </w:numPr>
              <w:autoSpaceDE w:val="0"/>
              <w:autoSpaceDN w:val="0"/>
              <w:adjustRightInd w:val="0"/>
              <w:ind w:left="205" w:hanging="205"/>
              <w:cnfStyle w:val="000000000000" w:firstRow="0" w:lastRow="0" w:firstColumn="0" w:lastColumn="0" w:oddVBand="0" w:evenVBand="0" w:oddHBand="0" w:evenHBand="0" w:firstRowFirstColumn="0" w:firstRowLastColumn="0" w:lastRowFirstColumn="0" w:lastRowLastColumn="0"/>
              <w:rPr>
                <w:rFonts w:ascii="Baskerville Old Face" w:hAnsi="Baskerville Old Face"/>
              </w:rPr>
            </w:pPr>
            <w:r>
              <w:rPr>
                <w:rFonts w:ascii="Baskerville Old Face" w:hAnsi="Baskerville Old Face" w:cstheme="minorHAnsi"/>
              </w:rPr>
              <w:t xml:space="preserve">Presenting participants with more than one vignette enables examination of variations in judgement within individuals as well as between them – that is, the extent to which each participant is differentially influenced by each experimental factor in making their decisions. </w:t>
            </w:r>
          </w:p>
          <w:p w14:paraId="547F6584" w14:textId="77777777" w:rsidR="004907F1" w:rsidRDefault="004907F1" w:rsidP="004907F1">
            <w:pPr>
              <w:pStyle w:val="ListParagraph"/>
              <w:numPr>
                <w:ilvl w:val="0"/>
                <w:numId w:val="8"/>
              </w:numPr>
              <w:autoSpaceDE w:val="0"/>
              <w:autoSpaceDN w:val="0"/>
              <w:adjustRightInd w:val="0"/>
              <w:ind w:left="205" w:hanging="205"/>
              <w:cnfStyle w:val="000000000000" w:firstRow="0" w:lastRow="0" w:firstColumn="0" w:lastColumn="0" w:oddVBand="0" w:evenVBand="0" w:oddHBand="0" w:evenHBand="0" w:firstRowFirstColumn="0" w:firstRowLastColumn="0" w:lastRowFirstColumn="0" w:lastRowLastColumn="0"/>
              <w:rPr>
                <w:rFonts w:ascii="Baskerville Old Face" w:hAnsi="Baskerville Old Face"/>
              </w:rPr>
            </w:pPr>
            <w:r>
              <w:rPr>
                <w:rFonts w:ascii="Baskerville Old Face" w:hAnsi="Baskerville Old Face" w:cstheme="minorHAnsi"/>
              </w:rPr>
              <w:t xml:space="preserve">For example, in vignette approaches based on the lens model, </w:t>
            </w:r>
            <w:r>
              <w:rPr>
                <w:rFonts w:ascii="Baskerville Old Face" w:hAnsi="Baskerville Old Face" w:cstheme="minorHAnsi"/>
              </w:rPr>
              <w:fldChar w:fldCharType="begin"/>
            </w:r>
            <w:r>
              <w:rPr>
                <w:rFonts w:ascii="Baskerville Old Face" w:hAnsi="Baskerville Old Face" w:cstheme="minorHAnsi"/>
              </w:rPr>
              <w:instrText xml:space="preserve"> ADDIN ZOTERO_ITEM CSL_CITATION {"citationID":"V6cCYEIf","properties":{"formattedCitation":"[38]","plainCitation":"[38]","noteIndex":0},"citationItems":[{"id":155,"uris":["http://zotero.org/users/2461043/items/Z5EFTCXK"],"uri":["http://zotero.org/users/2461043/items/Z5EFTCXK"],"itemData":{"id":155,"type":"article-journal","abstract":"BACKGROUND: The correspondence of satisfaction ratings between physicians and patients can be assessed on different dimensions. One may examine whether they differ between the two groups or focus on measures of association or agreement. The aim of our study was to evaluate methodological difficulties in calculating the correspondence between patient and physician satisfaction ratings and to show the relevance for shared decision making research. METHODS: We utilised a structured tool for cardiovascular prevention (arriba) in a pragmatic cluster-randomised controlled trial. Correspondence between patient and physician satisfaction ratings after individual primary care consultations was assessed using the Patient Participation Scale (PPS). We used the Wilcoxon signed-rank test, the marginal homogeneity test, Kendall's tau-b, weighted kappa, percentage of agreement, and the Bland-Altman method to measure differences, associations, and agreement between physicians and patients. RESULTS: Statistical measures signal large differences between patient and physician satisfaction ratings with more favourable ratings provided by patients and a low correspondence regardless of group allocation. Closer examination of the raw data revealed a high ceiling effect of satisfaction ratings and only slight disagreement regarding the distributions of differences between physicians' and patients' ratings. CONCLUSIONS: Traditional statistical measures of association and agreement are not able to capture a clinically relevant appreciation of the physician-patient relationship by both parties in skewed satisfaction ratings. Only the Bland-Altman method for assessing agreement augmented by bar charts of differences was able to indicate this. TRIAL REGISTRATION: ISRCTN: ISRCT71348772.","archive_location":"21592337","container-title":"BMC Med Res Methodol","DOI":"10.1186/1471-2288-11-71","ISSN":"1471-2288 (Electronic) 1471-2288 (Linking)","journalAbbreviation":"BMC medical research methodology","page":"71","title":"Pitfalls in the statistical examination and interpretation of the correspondence between physician and patient satisfaction ratings and their relevance for shared decision making research","title-short":"Pitfalls in the statistical examination and interpretation of the correspondence between physician and patient satisfaction ratings and their relevance for shared decision making research","volume":"11","author":[{"family":"Hirsch","given":"O."},{"family":"Keller","given":"H."},{"family":"Albohn-Kuhne","given":"C."},{"family":"Krones","given":"T."},{"family":"Donner-Banzhoff","given":"N."}],"issued":{"date-parts":[["2011"]]}}}],"schema":"https://github.com/citation-style-language/schema/raw/master/csl-citation.json"} </w:instrText>
            </w:r>
            <w:r>
              <w:rPr>
                <w:rFonts w:ascii="Baskerville Old Face" w:hAnsi="Baskerville Old Face" w:cstheme="minorHAnsi"/>
              </w:rPr>
              <w:fldChar w:fldCharType="separate"/>
            </w:r>
            <w:r>
              <w:rPr>
                <w:rFonts w:ascii="Baskerville Old Face" w:hAnsi="Baskerville Old Face"/>
              </w:rPr>
              <w:t>[38]</w:t>
            </w:r>
            <w:r>
              <w:rPr>
                <w:rFonts w:ascii="Baskerville Old Face" w:hAnsi="Baskerville Old Face" w:cstheme="minorHAnsi"/>
              </w:rPr>
              <w:fldChar w:fldCharType="end"/>
            </w:r>
            <w:r>
              <w:rPr>
                <w:rFonts w:ascii="Baskerville Old Face" w:hAnsi="Baskerville Old Face" w:cstheme="minorHAnsi"/>
              </w:rPr>
              <w:t xml:space="preserve"> it is typically recommended that there are at least five different representations for each experimental factor.</w:t>
            </w:r>
          </w:p>
          <w:p w14:paraId="366648C1" w14:textId="77777777" w:rsidR="004907F1" w:rsidRDefault="004907F1" w:rsidP="004907F1">
            <w:pPr>
              <w:pStyle w:val="ListParagraph"/>
              <w:numPr>
                <w:ilvl w:val="0"/>
                <w:numId w:val="8"/>
              </w:numPr>
              <w:autoSpaceDE w:val="0"/>
              <w:autoSpaceDN w:val="0"/>
              <w:adjustRightInd w:val="0"/>
              <w:ind w:left="205" w:hanging="205"/>
              <w:cnfStyle w:val="000000000000" w:firstRow="0" w:lastRow="0" w:firstColumn="0" w:lastColumn="0" w:oddVBand="0" w:evenVBand="0" w:oddHBand="0" w:evenHBand="0" w:firstRowFirstColumn="0" w:firstRowLastColumn="0" w:lastRowFirstColumn="0" w:lastRowLastColumn="0"/>
              <w:rPr>
                <w:rFonts w:ascii="Baskerville Old Face" w:hAnsi="Baskerville Old Face"/>
              </w:rPr>
            </w:pPr>
            <w:r>
              <w:rPr>
                <w:rFonts w:ascii="Baskerville Old Face" w:hAnsi="Baskerville Old Face"/>
              </w:rPr>
              <w:t xml:space="preserve">Depending on the aims and design of the study, the order in which vignettes are presented may need careful consideration. </w:t>
            </w:r>
          </w:p>
        </w:tc>
      </w:tr>
      <w:tr w:rsidR="004907F1" w14:paraId="4A56A97A" w14:textId="77777777" w:rsidTr="004907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AE4FFEA" w14:textId="77777777" w:rsidR="004907F1" w:rsidRDefault="004907F1" w:rsidP="004907F1">
            <w:pPr>
              <w:pStyle w:val="ListParagraph"/>
              <w:numPr>
                <w:ilvl w:val="0"/>
                <w:numId w:val="6"/>
              </w:numPr>
              <w:rPr>
                <w:rFonts w:ascii="Baskerville Old Face" w:hAnsi="Baskerville Old Face"/>
              </w:rPr>
            </w:pPr>
            <w:r>
              <w:rPr>
                <w:rFonts w:ascii="Baskerville Old Face" w:hAnsi="Baskerville Old Face"/>
              </w:rPr>
              <w:t>Variability</w:t>
            </w:r>
          </w:p>
        </w:tc>
        <w:tc>
          <w:tcPr>
            <w:tcW w:w="0" w:type="auto"/>
            <w:hideMark/>
          </w:tcPr>
          <w:p w14:paraId="5E3A7665" w14:textId="77777777" w:rsidR="004907F1" w:rsidRDefault="004907F1" w:rsidP="004907F1">
            <w:pPr>
              <w:pStyle w:val="ListParagraph"/>
              <w:numPr>
                <w:ilvl w:val="0"/>
                <w:numId w:val="9"/>
              </w:numPr>
              <w:spacing w:after="160" w:line="256" w:lineRule="auto"/>
              <w:ind w:left="205" w:hanging="205"/>
              <w:cnfStyle w:val="000000100000" w:firstRow="0" w:lastRow="0" w:firstColumn="0" w:lastColumn="0" w:oddVBand="0" w:evenVBand="0" w:oddHBand="1" w:evenHBand="0" w:firstRowFirstColumn="0" w:firstRowLastColumn="0" w:lastRowFirstColumn="0" w:lastRowLastColumn="0"/>
              <w:rPr>
                <w:rFonts w:ascii="Baskerville Old Face" w:hAnsi="Baskerville Old Face"/>
              </w:rPr>
            </w:pPr>
            <w:r>
              <w:rPr>
                <w:rFonts w:ascii="Baskerville Old Face" w:hAnsi="Baskerville Old Face"/>
              </w:rPr>
              <w:t xml:space="preserve">Developing or using </w:t>
            </w:r>
            <w:proofErr w:type="gramStart"/>
            <w:r>
              <w:rPr>
                <w:rFonts w:ascii="Baskerville Old Face" w:hAnsi="Baskerville Old Face"/>
              </w:rPr>
              <w:t>a number of</w:t>
            </w:r>
            <w:proofErr w:type="gramEnd"/>
            <w:r>
              <w:rPr>
                <w:rFonts w:ascii="Baskerville Old Face" w:hAnsi="Baskerville Old Face"/>
              </w:rPr>
              <w:t xml:space="preserve"> different representations of each experimental factor may increase study generalisability, by reducing the possibility that idiosyncrasies in one particular representation are responsible for findings. For example, using one female and one male actor in video vignettes may lead not to participants responding to the constructs of gender, but to </w:t>
            </w:r>
            <w:r>
              <w:rPr>
                <w:rFonts w:ascii="Baskerville Old Face" w:hAnsi="Baskerville Old Face"/>
                <w:i/>
              </w:rPr>
              <w:t>that</w:t>
            </w:r>
            <w:r>
              <w:rPr>
                <w:rFonts w:ascii="Baskerville Old Face" w:hAnsi="Baskerville Old Face"/>
              </w:rPr>
              <w:t xml:space="preserve"> </w:t>
            </w:r>
            <w:proofErr w:type="gramStart"/>
            <w:r>
              <w:rPr>
                <w:rFonts w:ascii="Baskerville Old Face" w:hAnsi="Baskerville Old Face"/>
              </w:rPr>
              <w:t>particular female</w:t>
            </w:r>
            <w:proofErr w:type="gramEnd"/>
            <w:r>
              <w:rPr>
                <w:rFonts w:ascii="Baskerville Old Face" w:hAnsi="Baskerville Old Face"/>
              </w:rPr>
              <w:t xml:space="preserve"> or </w:t>
            </w:r>
            <w:r>
              <w:rPr>
                <w:rFonts w:ascii="Baskerville Old Face" w:hAnsi="Baskerville Old Face"/>
                <w:i/>
              </w:rPr>
              <w:t xml:space="preserve">that </w:t>
            </w:r>
            <w:r>
              <w:rPr>
                <w:rFonts w:ascii="Baskerville Old Face" w:hAnsi="Baskerville Old Face"/>
              </w:rPr>
              <w:t>particular male.</w:t>
            </w:r>
          </w:p>
          <w:p w14:paraId="03DCD7FD" w14:textId="77777777" w:rsidR="004907F1" w:rsidRDefault="004907F1" w:rsidP="004907F1">
            <w:pPr>
              <w:pStyle w:val="ListParagraph"/>
              <w:numPr>
                <w:ilvl w:val="0"/>
                <w:numId w:val="9"/>
              </w:numPr>
              <w:spacing w:after="160" w:line="256" w:lineRule="auto"/>
              <w:ind w:left="205" w:hanging="205"/>
              <w:cnfStyle w:val="000000100000" w:firstRow="0" w:lastRow="0" w:firstColumn="0" w:lastColumn="0" w:oddVBand="0" w:evenVBand="0" w:oddHBand="1" w:evenHBand="0" w:firstRowFirstColumn="0" w:firstRowLastColumn="0" w:lastRowFirstColumn="0" w:lastRowLastColumn="0"/>
              <w:rPr>
                <w:rFonts w:ascii="Baskerville Old Face" w:hAnsi="Baskerville Old Face"/>
              </w:rPr>
            </w:pPr>
            <w:r>
              <w:rPr>
                <w:rFonts w:ascii="Baskerville Old Face" w:hAnsi="Baskerville Old Face"/>
              </w:rPr>
              <w:t>Where participants do view more than one vignette, analysis</w:t>
            </w:r>
            <w:r>
              <w:rPr>
                <w:rFonts w:ascii="Baskerville Old Face" w:hAnsi="Baskerville Old Face"/>
                <w:b/>
              </w:rPr>
              <w:t xml:space="preserve"> </w:t>
            </w:r>
            <w:r>
              <w:rPr>
                <w:rFonts w:ascii="Baskerville Old Face" w:hAnsi="Baskerville Old Face"/>
              </w:rPr>
              <w:t xml:space="preserve">must account for clustering of vignettes by respondent, to avoid over-estimating the statistical significance of any effect. </w:t>
            </w:r>
            <w:r>
              <w:rPr>
                <w:rFonts w:ascii="Baskerville Old Face" w:hAnsi="Baskerville Old Face"/>
              </w:rPr>
              <w:fldChar w:fldCharType="begin"/>
            </w:r>
            <w:r>
              <w:rPr>
                <w:rFonts w:ascii="Baskerville Old Face" w:hAnsi="Baskerville Old Face"/>
              </w:rPr>
              <w:instrText xml:space="preserve"> ADDIN ZOTERO_ITEM CSL_CITATION {"citationID":"2QbB4V4N","properties":{"formattedCitation":"[39]","plainCitation":"[39]","noteIndex":0},"citationItems":[{"id":3575,"uris":["http://zotero.org/users/2461043/items/Z2IEFHPW"],"uri":["http://zotero.org/users/2461043/items/Z2IEFHPW"],"itemData":{"id":3575,"type":"article-journal","container-title":"Social Science Research","DOI":"10.1016/j.ssresearch.2009.03.004","ISSN":"0049089X","issue":"3","language":"en","page":"505-520","source":"CrossRef","title":"25 years of factorial surveys in sociology: A review","title-short":"25 years of factorial surveys in sociology","volume":"38","author":[{"family":"Wallander","given":"Lisa"}],"issued":{"date-parts":[["2009",9]]}}}],"schema":"https://github.com/citation-style-language/schema/raw/master/csl-citation.json"} </w:instrText>
            </w:r>
            <w:r>
              <w:rPr>
                <w:rFonts w:ascii="Baskerville Old Face" w:hAnsi="Baskerville Old Face"/>
              </w:rPr>
              <w:fldChar w:fldCharType="separate"/>
            </w:r>
            <w:r>
              <w:rPr>
                <w:rFonts w:ascii="Baskerville Old Face" w:hAnsi="Baskerville Old Face"/>
              </w:rPr>
              <w:t>[39]</w:t>
            </w:r>
            <w:r>
              <w:rPr>
                <w:rFonts w:ascii="Baskerville Old Face" w:hAnsi="Baskerville Old Face"/>
                <w:lang w:val="en-US"/>
              </w:rPr>
              <w:fldChar w:fldCharType="end"/>
            </w:r>
          </w:p>
        </w:tc>
      </w:tr>
      <w:tr w:rsidR="004907F1" w14:paraId="06AD5522" w14:textId="77777777" w:rsidTr="004907F1">
        <w:tc>
          <w:tcPr>
            <w:cnfStyle w:val="001000000000" w:firstRow="0" w:lastRow="0" w:firstColumn="1" w:lastColumn="0" w:oddVBand="0" w:evenVBand="0" w:oddHBand="0" w:evenHBand="0" w:firstRowFirstColumn="0" w:firstRowLastColumn="0" w:lastRowFirstColumn="0" w:lastRowLastColumn="0"/>
            <w:tcW w:w="0" w:type="auto"/>
            <w:shd w:val="clear" w:color="auto" w:fill="DEEAF6" w:themeFill="accent1" w:themeFillTint="33"/>
            <w:hideMark/>
          </w:tcPr>
          <w:p w14:paraId="79B0795F" w14:textId="77777777" w:rsidR="004907F1" w:rsidRDefault="004907F1" w:rsidP="004907F1">
            <w:pPr>
              <w:pStyle w:val="ListParagraph"/>
              <w:numPr>
                <w:ilvl w:val="0"/>
                <w:numId w:val="6"/>
              </w:numPr>
              <w:rPr>
                <w:rFonts w:ascii="Baskerville Old Face" w:hAnsi="Baskerville Old Face"/>
              </w:rPr>
            </w:pPr>
            <w:r>
              <w:rPr>
                <w:rFonts w:ascii="Baskerville Old Face" w:hAnsi="Baskerville Old Face"/>
              </w:rPr>
              <w:t>Mode</w:t>
            </w:r>
          </w:p>
        </w:tc>
        <w:tc>
          <w:tcPr>
            <w:tcW w:w="0" w:type="auto"/>
            <w:shd w:val="clear" w:color="auto" w:fill="DEEAF6" w:themeFill="accent1" w:themeFillTint="33"/>
            <w:hideMark/>
          </w:tcPr>
          <w:p w14:paraId="022D195E" w14:textId="77777777" w:rsidR="004907F1" w:rsidRDefault="004907F1" w:rsidP="004907F1">
            <w:pPr>
              <w:pStyle w:val="ListParagraph"/>
              <w:numPr>
                <w:ilvl w:val="0"/>
                <w:numId w:val="10"/>
              </w:numPr>
              <w:spacing w:after="160" w:line="256" w:lineRule="auto"/>
              <w:ind w:left="205" w:hanging="205"/>
              <w:cnfStyle w:val="000000000000" w:firstRow="0" w:lastRow="0" w:firstColumn="0" w:lastColumn="0" w:oddVBand="0" w:evenVBand="0" w:oddHBand="0" w:evenHBand="0" w:firstRowFirstColumn="0" w:firstRowLastColumn="0" w:lastRowFirstColumn="0" w:lastRowLastColumn="0"/>
              <w:rPr>
                <w:rFonts w:ascii="Baskerville Old Face" w:hAnsi="Baskerville Old Face"/>
              </w:rPr>
            </w:pPr>
            <w:r>
              <w:rPr>
                <w:rFonts w:ascii="Baskerville Old Face" w:hAnsi="Baskerville Old Face"/>
              </w:rPr>
              <w:t xml:space="preserve">The mode through which vignettes are delivered has an important influence on the research question an experimental vignette study can answer. </w:t>
            </w:r>
          </w:p>
          <w:p w14:paraId="1732D556" w14:textId="77777777" w:rsidR="004907F1" w:rsidRDefault="004907F1" w:rsidP="004907F1">
            <w:pPr>
              <w:pStyle w:val="ListParagraph"/>
              <w:numPr>
                <w:ilvl w:val="0"/>
                <w:numId w:val="10"/>
              </w:numPr>
              <w:spacing w:after="160" w:line="256" w:lineRule="auto"/>
              <w:ind w:left="205" w:hanging="205"/>
              <w:cnfStyle w:val="000000000000" w:firstRow="0" w:lastRow="0" w:firstColumn="0" w:lastColumn="0" w:oddVBand="0" w:evenVBand="0" w:oddHBand="0" w:evenHBand="0" w:firstRowFirstColumn="0" w:firstRowLastColumn="0" w:lastRowFirstColumn="0" w:lastRowLastColumn="0"/>
              <w:rPr>
                <w:rFonts w:ascii="Baskerville Old Face" w:hAnsi="Baskerville Old Face"/>
              </w:rPr>
            </w:pPr>
            <w:r>
              <w:rPr>
                <w:rFonts w:ascii="Baskerville Old Face" w:hAnsi="Baskerville Old Face"/>
              </w:rPr>
              <w:t>Vignette mode has historically been textual only, with participants presented with a written scenario. Text-based vignettes may constrain not just the information the respondent is given, but how this information is framed.</w:t>
            </w:r>
          </w:p>
          <w:p w14:paraId="142F01D7" w14:textId="77777777" w:rsidR="004907F1" w:rsidRDefault="004907F1" w:rsidP="004907F1">
            <w:pPr>
              <w:pStyle w:val="ListParagraph"/>
              <w:numPr>
                <w:ilvl w:val="0"/>
                <w:numId w:val="10"/>
              </w:numPr>
              <w:spacing w:after="160" w:line="256" w:lineRule="auto"/>
              <w:ind w:left="205" w:hanging="205"/>
              <w:cnfStyle w:val="000000000000" w:firstRow="0" w:lastRow="0" w:firstColumn="0" w:lastColumn="0" w:oddVBand="0" w:evenVBand="0" w:oddHBand="0" w:evenHBand="0" w:firstRowFirstColumn="0" w:firstRowLastColumn="0" w:lastRowFirstColumn="0" w:lastRowLastColumn="0"/>
              <w:rPr>
                <w:rFonts w:ascii="Baskerville Old Face" w:hAnsi="Baskerville Old Face"/>
              </w:rPr>
            </w:pPr>
            <w:r>
              <w:rPr>
                <w:rFonts w:ascii="Baskerville Old Face" w:hAnsi="Baskerville Old Face"/>
              </w:rPr>
              <w:lastRenderedPageBreak/>
              <w:t xml:space="preserve">More recently the use of pictures, videos, actors, and interactive environments have been developed. </w:t>
            </w:r>
            <w:r>
              <w:rPr>
                <w:rFonts w:ascii="Baskerville Old Face" w:hAnsi="Baskerville Old Face"/>
              </w:rPr>
              <w:fldChar w:fldCharType="begin"/>
            </w:r>
            <w:r>
              <w:rPr>
                <w:rFonts w:ascii="Baskerville Old Face" w:hAnsi="Baskerville Old Face"/>
              </w:rPr>
              <w:instrText xml:space="preserve"> ADDIN ZOTERO_ITEM CSL_CITATION {"citationID":"de4ZkNOh","properties":{"formattedCitation":"[15,33]","plainCitation":"[15,33]","noteIndex":0},"citationItems":[{"id":3280,"uris":["http://zotero.org/users/2461043/items/7AHZATU5"],"uri":["http://zotero.org/users/2461043/items/7AHZATU5"],"itemData":{"id":3280,"type":"article-journal","container-title":"Organizational Research Methods","DOI":"10.1177/1094428114547952","ISSN":"1094-4281, 1552-7425","issue":"4","language":"en","page":"351-371","source":"CrossRef","title":"Best Practice Recommendations for Designing and Implementing Experimental Vignette Methodology Studies","volume":"17","author":[{"family":"Aguinis","given":"Herman"},{"family":"Bradley","given":"Kyle J."}],"issued":{"date-parts":[["2014",10]]}}},{"id":3283,"uris":["http://zotero.org/users/2461043/items/Y5IP2K6A"],"uri":["http://zotero.org/users/2461043/items/Y5IP2K6A"],"itemData":{"id":3283,"type":"article-journal","container-title":"Journal of General Internal Medicine","DOI":"10.1007/s11606-015-3365-8","ISSN":"0884-8734, 1525-1497","issue":"S3","language":"en","page":"586-594","source":"CrossRef","title":"Methods of Observing Variations in Physicians’ Decisions: The Opportunities of Clinical Vignettes","title-short":"Methods of Observing Variations in Physicians’ Decisions","volume":"30","author":[{"family":"Converse","given":"Lara"},{"family":"Barrett","given":"Kirsten"},{"family":"Rich","given":"Eugene"},{"family":"Reschovsky","given":"James"}],"issued":{"date-parts":[["2015",8]]}}}],"schema":"https://github.com/citation-style-language/schema/raw/master/csl-citation.json"} </w:instrText>
            </w:r>
            <w:r>
              <w:rPr>
                <w:rFonts w:ascii="Baskerville Old Face" w:hAnsi="Baskerville Old Face"/>
              </w:rPr>
              <w:fldChar w:fldCharType="separate"/>
            </w:r>
            <w:r>
              <w:rPr>
                <w:rFonts w:ascii="Baskerville Old Face" w:hAnsi="Baskerville Old Face"/>
              </w:rPr>
              <w:t>[15,33]</w:t>
            </w:r>
            <w:r>
              <w:rPr>
                <w:rFonts w:ascii="Baskerville Old Face" w:hAnsi="Baskerville Old Face"/>
                <w:lang w:val="en-US"/>
              </w:rPr>
              <w:fldChar w:fldCharType="end"/>
            </w:r>
            <w:r>
              <w:rPr>
                <w:rFonts w:ascii="Baskerville Old Face" w:hAnsi="Baskerville Old Face"/>
                <w:lang w:val="en-US"/>
              </w:rPr>
              <w:t xml:space="preserve"> </w:t>
            </w:r>
          </w:p>
          <w:p w14:paraId="6A66450F" w14:textId="77777777" w:rsidR="004907F1" w:rsidRDefault="004907F1" w:rsidP="004907F1">
            <w:pPr>
              <w:pStyle w:val="ListParagraph"/>
              <w:numPr>
                <w:ilvl w:val="0"/>
                <w:numId w:val="10"/>
              </w:numPr>
              <w:spacing w:after="160" w:line="256" w:lineRule="auto"/>
              <w:ind w:left="205" w:hanging="205"/>
              <w:cnfStyle w:val="000000000000" w:firstRow="0" w:lastRow="0" w:firstColumn="0" w:lastColumn="0" w:oddVBand="0" w:evenVBand="0" w:oddHBand="0" w:evenHBand="0" w:firstRowFirstColumn="0" w:firstRowLastColumn="0" w:lastRowFirstColumn="0" w:lastRowLastColumn="0"/>
              <w:rPr>
                <w:rFonts w:ascii="Baskerville Old Face" w:hAnsi="Baskerville Old Face"/>
              </w:rPr>
            </w:pPr>
            <w:r>
              <w:rPr>
                <w:rFonts w:ascii="Baskerville Old Face" w:hAnsi="Baskerville Old Face"/>
              </w:rPr>
              <w:t xml:space="preserve">Pictorial modes are particularly suited to examination of characteristics, such as ethnicity, where visual representation removes the need for explicit statement (and prior framing) of the characteristic. </w:t>
            </w:r>
          </w:p>
          <w:p w14:paraId="707433E0" w14:textId="77777777" w:rsidR="004907F1" w:rsidRDefault="004907F1" w:rsidP="004907F1">
            <w:pPr>
              <w:pStyle w:val="ListParagraph"/>
              <w:numPr>
                <w:ilvl w:val="0"/>
                <w:numId w:val="10"/>
              </w:numPr>
              <w:spacing w:after="160" w:line="256" w:lineRule="auto"/>
              <w:ind w:left="205" w:hanging="205"/>
              <w:cnfStyle w:val="000000000000" w:firstRow="0" w:lastRow="0" w:firstColumn="0" w:lastColumn="0" w:oddVBand="0" w:evenVBand="0" w:oddHBand="0" w:evenHBand="0" w:firstRowFirstColumn="0" w:firstRowLastColumn="0" w:lastRowFirstColumn="0" w:lastRowLastColumn="0"/>
              <w:rPr>
                <w:rFonts w:ascii="Baskerville Old Face" w:hAnsi="Baskerville Old Face"/>
              </w:rPr>
            </w:pPr>
            <w:r>
              <w:rPr>
                <w:rFonts w:ascii="Baskerville Old Face" w:hAnsi="Baskerville Old Face"/>
              </w:rPr>
              <w:t xml:space="preserve">Studies using video vignettes extend this still further by enabling participants to form judgements on body language and speech patterns in addition to visual cues. </w:t>
            </w:r>
          </w:p>
          <w:p w14:paraId="34F71A01" w14:textId="77777777" w:rsidR="004907F1" w:rsidRDefault="004907F1" w:rsidP="004907F1">
            <w:pPr>
              <w:pStyle w:val="ListParagraph"/>
              <w:numPr>
                <w:ilvl w:val="0"/>
                <w:numId w:val="10"/>
              </w:numPr>
              <w:spacing w:after="160" w:line="256" w:lineRule="auto"/>
              <w:ind w:left="205" w:hanging="205"/>
              <w:cnfStyle w:val="000000000000" w:firstRow="0" w:lastRow="0" w:firstColumn="0" w:lastColumn="0" w:oddVBand="0" w:evenVBand="0" w:oddHBand="0" w:evenHBand="0" w:firstRowFirstColumn="0" w:firstRowLastColumn="0" w:lastRowFirstColumn="0" w:lastRowLastColumn="0"/>
              <w:rPr>
                <w:rFonts w:ascii="Baskerville Old Face" w:hAnsi="Baskerville Old Face"/>
              </w:rPr>
            </w:pPr>
            <w:r>
              <w:rPr>
                <w:rFonts w:ascii="Baskerville Old Face" w:hAnsi="Baskerville Old Face"/>
              </w:rPr>
              <w:t xml:space="preserve">Interactive formats, such as unannounced standardised patients or virtual reality set-ups, have the potential to mimic real delivery which enables exploration of how inequalities may unfold </w:t>
            </w:r>
            <w:r>
              <w:rPr>
                <w:rFonts w:ascii="Baskerville Old Face" w:hAnsi="Baskerville Old Face"/>
                <w:i/>
              </w:rPr>
              <w:t>during</w:t>
            </w:r>
            <w:r>
              <w:rPr>
                <w:rFonts w:ascii="Baskerville Old Face" w:hAnsi="Baskerville Old Face"/>
              </w:rPr>
              <w:t xml:space="preserve"> a clinical encounter, through enabling explorations of variations in the information that clinical participants elicit from patients or in both parties’ non-verbal communication. Such approaches are more complex to construct and more costly to develop than static vignette formats, which may limit their feasibility.</w:t>
            </w:r>
          </w:p>
        </w:tc>
      </w:tr>
      <w:tr w:rsidR="004907F1" w14:paraId="04277773" w14:textId="77777777" w:rsidTr="004907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A7B8BE" w14:textId="77777777" w:rsidR="004907F1" w:rsidRDefault="004907F1" w:rsidP="004907F1">
            <w:pPr>
              <w:pStyle w:val="ListParagraph"/>
              <w:numPr>
                <w:ilvl w:val="0"/>
                <w:numId w:val="6"/>
              </w:numPr>
              <w:rPr>
                <w:rFonts w:ascii="Baskerville Old Face" w:hAnsi="Baskerville Old Face"/>
              </w:rPr>
            </w:pPr>
            <w:r>
              <w:rPr>
                <w:rFonts w:ascii="Baskerville Old Face" w:hAnsi="Baskerville Old Face"/>
              </w:rPr>
              <w:lastRenderedPageBreak/>
              <w:t>Evaluation</w:t>
            </w:r>
          </w:p>
        </w:tc>
        <w:tc>
          <w:tcPr>
            <w:tcW w:w="0" w:type="auto"/>
            <w:hideMark/>
          </w:tcPr>
          <w:p w14:paraId="37671E20" w14:textId="77777777" w:rsidR="004907F1" w:rsidRDefault="004907F1" w:rsidP="004907F1">
            <w:pPr>
              <w:pStyle w:val="ListParagraph"/>
              <w:numPr>
                <w:ilvl w:val="0"/>
                <w:numId w:val="11"/>
              </w:numPr>
              <w:spacing w:after="160" w:line="256" w:lineRule="auto"/>
              <w:ind w:left="205" w:hanging="205"/>
              <w:cnfStyle w:val="000000100000" w:firstRow="0" w:lastRow="0" w:firstColumn="0" w:lastColumn="0" w:oddVBand="0" w:evenVBand="0" w:oddHBand="1" w:evenHBand="0" w:firstRowFirstColumn="0" w:firstRowLastColumn="0" w:lastRowFirstColumn="0" w:lastRowLastColumn="0"/>
              <w:rPr>
                <w:rFonts w:ascii="Baskerville Old Face" w:hAnsi="Baskerville Old Face"/>
              </w:rPr>
            </w:pPr>
            <w:r>
              <w:rPr>
                <w:rFonts w:ascii="Baskerville Old Face" w:hAnsi="Baskerville Old Face"/>
              </w:rPr>
              <w:t xml:space="preserve">Evaluation of vignettes’ face validity – during vignette construction and once data are collected – is key to understanding the validity of findings in studies using vignettes. </w:t>
            </w:r>
          </w:p>
          <w:p w14:paraId="09FB87F2" w14:textId="77777777" w:rsidR="004907F1" w:rsidRDefault="004907F1" w:rsidP="004907F1">
            <w:pPr>
              <w:pStyle w:val="ListParagraph"/>
              <w:numPr>
                <w:ilvl w:val="0"/>
                <w:numId w:val="11"/>
              </w:numPr>
              <w:spacing w:after="160" w:line="256" w:lineRule="auto"/>
              <w:ind w:left="205" w:hanging="205"/>
              <w:cnfStyle w:val="000000100000" w:firstRow="0" w:lastRow="0" w:firstColumn="0" w:lastColumn="0" w:oddVBand="0" w:evenVBand="0" w:oddHBand="1" w:evenHBand="0" w:firstRowFirstColumn="0" w:firstRowLastColumn="0" w:lastRowFirstColumn="0" w:lastRowLastColumn="0"/>
              <w:rPr>
                <w:rFonts w:ascii="Baskerville Old Face" w:hAnsi="Baskerville Old Face"/>
              </w:rPr>
            </w:pPr>
            <w:r>
              <w:rPr>
                <w:rFonts w:ascii="Baskerville Old Face" w:hAnsi="Baskerville Old Face"/>
              </w:rPr>
              <w:t xml:space="preserve">Thinking through in advance what is needed to make </w:t>
            </w:r>
            <w:proofErr w:type="gramStart"/>
            <w:r>
              <w:rPr>
                <w:rFonts w:ascii="Baskerville Old Face" w:hAnsi="Baskerville Old Face"/>
              </w:rPr>
              <w:t>particular vignettes</w:t>
            </w:r>
            <w:proofErr w:type="gramEnd"/>
            <w:r>
              <w:rPr>
                <w:rFonts w:ascii="Baskerville Old Face" w:hAnsi="Baskerville Old Face"/>
              </w:rPr>
              <w:t xml:space="preserve"> ‘successful’ for their target audience will guide the nature of and approach to evaluation.</w:t>
            </w:r>
          </w:p>
          <w:p w14:paraId="119B0BFC" w14:textId="77777777" w:rsidR="004907F1" w:rsidRDefault="004907F1" w:rsidP="004907F1">
            <w:pPr>
              <w:pStyle w:val="ListParagraph"/>
              <w:numPr>
                <w:ilvl w:val="0"/>
                <w:numId w:val="11"/>
              </w:numPr>
              <w:spacing w:after="160" w:line="256" w:lineRule="auto"/>
              <w:ind w:left="205" w:hanging="205"/>
              <w:cnfStyle w:val="000000100000" w:firstRow="0" w:lastRow="0" w:firstColumn="0" w:lastColumn="0" w:oddVBand="0" w:evenVBand="0" w:oddHBand="1" w:evenHBand="0" w:firstRowFirstColumn="0" w:firstRowLastColumn="0" w:lastRowFirstColumn="0" w:lastRowLastColumn="0"/>
              <w:rPr>
                <w:rFonts w:ascii="Baskerville Old Face" w:hAnsi="Baskerville Old Face"/>
              </w:rPr>
            </w:pPr>
            <w:r>
              <w:rPr>
                <w:rFonts w:ascii="Baskerville Old Face" w:hAnsi="Baskerville Old Face"/>
              </w:rPr>
              <w:t>Options include assessment by an expert panel, feedback from participants, or comparing responses to the vignettes to an additional data source such as clinical data.</w:t>
            </w:r>
            <w:r>
              <w:rPr>
                <w:rFonts w:ascii="Baskerville Old Face" w:hAnsi="Baskerville Old Face"/>
              </w:rPr>
              <w:fldChar w:fldCharType="begin"/>
            </w:r>
            <w:r>
              <w:rPr>
                <w:rFonts w:ascii="Baskerville Old Face" w:hAnsi="Baskerville Old Face"/>
              </w:rPr>
              <w:instrText xml:space="preserve"> ADDIN ZOTERO_ITEM CSL_CITATION {"citationID":"mH1tGEB8","properties":{"formattedCitation":"[19,33]","plainCitation":"[19,33]","noteIndex":0},"citationItems":[{"id":3288,"uris":["http://zotero.org/users/2461043/items/J2SUPVPZ"],"uri":["http://zotero.org/users/2461043/items/J2SUPVPZ"],"itemData":{"id":3288,"type":"article-journal","container-title":"International Journal of Clinical and Health Psychology","DOI":"10.1016/j.ijchp.2014.12.001","ISSN":"16972600","issue":"2","language":"en","page":"160-170","source":"CrossRef","title":"Vignette methodologies for studying clinicians’ decision-making: Validity, utility, and application in ICD-11 field studies","title-short":"Vignette methodologies for studying clinicians’ decision-making","volume":"15","author":[{"family":"Evans","given":"Spencer C."},{"family":"Roberts","given":"Michael C."},{"family":"Keeley","given":"Jared W."},{"family":"Blossom","given":"Jennifer B."},{"family":"Amaro","given":"Christina M."},{"family":"Garcia","given":"Andrea M."},{"family":"Stough","given":"Cathleen Odar"},{"family":"Canter","given":"Kimberly S."},{"family":"Robles","given":"Rebeca"},{"family":"Reed","given":"Geoffrey M."}],"issued":{"date-parts":[["2015",5]]}}},{"id":3283,"uris":["http://zotero.org/users/2461043/items/Y5IP2K6A"],"uri":["http://zotero.org/users/2461043/items/Y5IP2K6A"],"itemData":{"id":3283,"type":"article-journal","container-title":"Journal of General Internal Medicine","DOI":"10.1007/s11606-015-3365-8","ISSN":"0884-8734, 1525-1497","issue":"S3","language":"en","page":"586-594","source":"CrossRef","title":"Methods of Observing Variations in Physicians’ Decisions: The Opportunities of Clinical Vignettes","title-short":"Methods of Observing Variations in Physicians’ Decisions","volume":"30","author":[{"family":"Converse","given":"Lara"},{"family":"Barrett","given":"Kirsten"},{"family":"Rich","given":"Eugene"},{"family":"Reschovsky","given":"James"}],"issued":{"date-parts":[["2015",8]]}}}],"schema":"https://github.com/citation-style-language/schema/raw/master/csl-citation.json"} </w:instrText>
            </w:r>
            <w:r>
              <w:rPr>
                <w:rFonts w:ascii="Baskerville Old Face" w:hAnsi="Baskerville Old Face"/>
              </w:rPr>
              <w:fldChar w:fldCharType="separate"/>
            </w:r>
            <w:r>
              <w:rPr>
                <w:rFonts w:ascii="Baskerville Old Face" w:hAnsi="Baskerville Old Face"/>
              </w:rPr>
              <w:t>[19,33]</w:t>
            </w:r>
            <w:r>
              <w:rPr>
                <w:rFonts w:ascii="Baskerville Old Face" w:hAnsi="Baskerville Old Face"/>
                <w:lang w:val="en-US"/>
              </w:rPr>
              <w:fldChar w:fldCharType="end"/>
            </w:r>
          </w:p>
        </w:tc>
      </w:tr>
      <w:tr w:rsidR="004907F1" w14:paraId="0CC32D93" w14:textId="77777777" w:rsidTr="004907F1">
        <w:tc>
          <w:tcPr>
            <w:cnfStyle w:val="001000000000" w:firstRow="0" w:lastRow="0" w:firstColumn="1" w:lastColumn="0" w:oddVBand="0" w:evenVBand="0" w:oddHBand="0" w:evenHBand="0" w:firstRowFirstColumn="0" w:firstRowLastColumn="0" w:lastRowFirstColumn="0" w:lastRowLastColumn="0"/>
            <w:tcW w:w="0" w:type="auto"/>
            <w:shd w:val="clear" w:color="auto" w:fill="DEEAF6" w:themeFill="accent1" w:themeFillTint="33"/>
            <w:hideMark/>
          </w:tcPr>
          <w:p w14:paraId="791E3364" w14:textId="77777777" w:rsidR="004907F1" w:rsidRDefault="004907F1" w:rsidP="004907F1">
            <w:pPr>
              <w:pStyle w:val="ListParagraph"/>
              <w:numPr>
                <w:ilvl w:val="0"/>
                <w:numId w:val="6"/>
              </w:numPr>
              <w:rPr>
                <w:rFonts w:ascii="Baskerville Old Face" w:hAnsi="Baskerville Old Face"/>
              </w:rPr>
            </w:pPr>
            <w:r>
              <w:rPr>
                <w:rFonts w:ascii="Baskerville Old Face" w:hAnsi="Baskerville Old Face"/>
              </w:rPr>
              <w:t>Description</w:t>
            </w:r>
          </w:p>
        </w:tc>
        <w:tc>
          <w:tcPr>
            <w:tcW w:w="0" w:type="auto"/>
            <w:shd w:val="clear" w:color="auto" w:fill="DEEAF6" w:themeFill="accent1" w:themeFillTint="33"/>
            <w:hideMark/>
          </w:tcPr>
          <w:p w14:paraId="16A68183" w14:textId="77777777" w:rsidR="004907F1" w:rsidRDefault="004907F1" w:rsidP="004907F1">
            <w:pPr>
              <w:pStyle w:val="ListParagraph"/>
              <w:numPr>
                <w:ilvl w:val="0"/>
                <w:numId w:val="11"/>
              </w:numPr>
              <w:spacing w:after="160" w:line="256" w:lineRule="auto"/>
              <w:ind w:left="205" w:hanging="205"/>
              <w:cnfStyle w:val="000000000000" w:firstRow="0" w:lastRow="0" w:firstColumn="0" w:lastColumn="0" w:oddVBand="0" w:evenVBand="0" w:oddHBand="0" w:evenHBand="0" w:firstRowFirstColumn="0" w:firstRowLastColumn="0" w:lastRowFirstColumn="0" w:lastRowLastColumn="0"/>
              <w:rPr>
                <w:rFonts w:ascii="Baskerville Old Face" w:hAnsi="Baskerville Old Face"/>
              </w:rPr>
            </w:pPr>
            <w:r>
              <w:rPr>
                <w:rFonts w:ascii="Baskerville Old Face" w:hAnsi="Baskerville Old Face"/>
              </w:rPr>
              <w:t>Readers of vignette study papers need to be able to form their own judgments of vignette credibility. An entire vignette should be provided to enable them to do so.</w:t>
            </w:r>
          </w:p>
        </w:tc>
      </w:tr>
      <w:tr w:rsidR="004907F1" w14:paraId="4E3B97C8" w14:textId="77777777" w:rsidTr="004907F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BDD6EE" w:themeFill="accent1" w:themeFillTint="66"/>
            <w:vAlign w:val="center"/>
            <w:hideMark/>
          </w:tcPr>
          <w:p w14:paraId="36B80F9C" w14:textId="77777777" w:rsidR="004907F1" w:rsidRDefault="004907F1" w:rsidP="004907F1">
            <w:pPr>
              <w:pStyle w:val="ListParagraph"/>
              <w:numPr>
                <w:ilvl w:val="0"/>
                <w:numId w:val="5"/>
              </w:numPr>
              <w:rPr>
                <w:rFonts w:ascii="Baskerville Old Face" w:hAnsi="Baskerville Old Face"/>
              </w:rPr>
            </w:pPr>
            <w:r>
              <w:rPr>
                <w:rFonts w:ascii="Baskerville Old Face" w:hAnsi="Baskerville Old Face"/>
              </w:rPr>
              <w:t>Wider study design</w:t>
            </w:r>
          </w:p>
        </w:tc>
      </w:tr>
      <w:tr w:rsidR="004907F1" w14:paraId="3988B2A4" w14:textId="77777777" w:rsidTr="004907F1">
        <w:tc>
          <w:tcPr>
            <w:cnfStyle w:val="001000000000" w:firstRow="0" w:lastRow="0" w:firstColumn="1" w:lastColumn="0" w:oddVBand="0" w:evenVBand="0" w:oddHBand="0" w:evenHBand="0" w:firstRowFirstColumn="0" w:firstRowLastColumn="0" w:lastRowFirstColumn="0" w:lastRowLastColumn="0"/>
            <w:tcW w:w="0" w:type="auto"/>
            <w:hideMark/>
          </w:tcPr>
          <w:p w14:paraId="5F3AB1C4" w14:textId="77777777" w:rsidR="004907F1" w:rsidRDefault="004907F1" w:rsidP="004907F1">
            <w:pPr>
              <w:pStyle w:val="ListParagraph"/>
              <w:numPr>
                <w:ilvl w:val="0"/>
                <w:numId w:val="12"/>
              </w:numPr>
              <w:rPr>
                <w:rFonts w:ascii="Baskerville Old Face" w:hAnsi="Baskerville Old Face"/>
              </w:rPr>
            </w:pPr>
            <w:r>
              <w:rPr>
                <w:rFonts w:ascii="Baskerville Old Face" w:hAnsi="Baskerville Old Face"/>
              </w:rPr>
              <w:t>Concealment</w:t>
            </w:r>
          </w:p>
        </w:tc>
        <w:tc>
          <w:tcPr>
            <w:tcW w:w="0" w:type="auto"/>
            <w:hideMark/>
          </w:tcPr>
          <w:p w14:paraId="69C28B6F" w14:textId="77777777" w:rsidR="004907F1" w:rsidRDefault="004907F1" w:rsidP="004907F1">
            <w:pPr>
              <w:pStyle w:val="ListParagraph"/>
              <w:numPr>
                <w:ilvl w:val="0"/>
                <w:numId w:val="11"/>
              </w:numPr>
              <w:spacing w:after="160" w:line="256" w:lineRule="auto"/>
              <w:ind w:left="205" w:hanging="205"/>
              <w:cnfStyle w:val="000000000000" w:firstRow="0" w:lastRow="0" w:firstColumn="0" w:lastColumn="0" w:oddVBand="0" w:evenVBand="0" w:oddHBand="0" w:evenHBand="0" w:firstRowFirstColumn="0" w:firstRowLastColumn="0" w:lastRowFirstColumn="0" w:lastRowLastColumn="0"/>
              <w:rPr>
                <w:rFonts w:ascii="Baskerville Old Face" w:hAnsi="Baskerville Old Face"/>
                <w:i/>
              </w:rPr>
            </w:pPr>
            <w:r>
              <w:rPr>
                <w:rFonts w:ascii="Baskerville Old Face" w:hAnsi="Baskerville Old Face"/>
              </w:rPr>
              <w:t xml:space="preserve">When investigating unwarranted variations in care, it is important to conceal the purpose of such studies, given that few people will volunteer behaviours or attitudes that they recognise as poor or biased. </w:t>
            </w:r>
          </w:p>
          <w:p w14:paraId="676C1C5B" w14:textId="77777777" w:rsidR="004907F1" w:rsidRDefault="004907F1" w:rsidP="004907F1">
            <w:pPr>
              <w:pStyle w:val="ListParagraph"/>
              <w:numPr>
                <w:ilvl w:val="0"/>
                <w:numId w:val="11"/>
              </w:numPr>
              <w:spacing w:after="160" w:line="256" w:lineRule="auto"/>
              <w:ind w:left="205" w:hanging="205"/>
              <w:cnfStyle w:val="000000000000" w:firstRow="0" w:lastRow="0" w:firstColumn="0" w:lastColumn="0" w:oddVBand="0" w:evenVBand="0" w:oddHBand="0" w:evenHBand="0" w:firstRowFirstColumn="0" w:firstRowLastColumn="0" w:lastRowFirstColumn="0" w:lastRowLastColumn="0"/>
              <w:rPr>
                <w:rFonts w:ascii="Baskerville Old Face" w:hAnsi="Baskerville Old Face"/>
                <w:i/>
              </w:rPr>
            </w:pPr>
            <w:r>
              <w:rPr>
                <w:rFonts w:ascii="Baskerville Old Face" w:hAnsi="Baskerville Old Face"/>
              </w:rPr>
              <w:t xml:space="preserve">If the study’s purpose is not adequately masked it can bias results, even with carefully constructed vignettes. </w:t>
            </w:r>
            <w:r>
              <w:rPr>
                <w:rFonts w:ascii="Baskerville Old Face" w:hAnsi="Baskerville Old Face"/>
              </w:rPr>
              <w:fldChar w:fldCharType="begin"/>
            </w:r>
            <w:r>
              <w:rPr>
                <w:rFonts w:ascii="Baskerville Old Face" w:hAnsi="Baskerville Old Face"/>
              </w:rPr>
              <w:instrText xml:space="preserve"> ADDIN ZOTERO_ITEM CSL_CITATION {"citationID":"Fl4nOTUb","properties":{"formattedCitation":"[24]","plainCitation":"[24]","noteIndex":0},"citationItems":[{"id":3589,"uris":["http://zotero.org/users/2461043/items/UPHJQLSN"],"uri":["http://zotero.org/users/2461043/items/UPHJQLSN"],"itemData":{"id":3589,"type":"article-journal","container-title":"Journal of Methods and Measurement in the Social Sciences","issue":"2","source":"Google Scholar","title":"Designing Valid and Reliable Vignette Experiments for Survey Research: A Case Study on the Fair Gender Income Gap","title-short":"Designing Valid and Reliable Vignette Experiments for Survey Research","volume":"7","author":[{"family":"Steiner","given":"Peter M."},{"family":"Atzmüller","given":"Christiane"},{"family":"Su","given":"Dan"}],"issued":{"date-parts":[["2016"]]}}}],"schema":"https://github.com/citation-style-language/schema/raw/master/csl-citation.json"} </w:instrText>
            </w:r>
            <w:r>
              <w:rPr>
                <w:rFonts w:ascii="Baskerville Old Face" w:hAnsi="Baskerville Old Face"/>
              </w:rPr>
              <w:fldChar w:fldCharType="separate"/>
            </w:r>
            <w:r>
              <w:rPr>
                <w:rFonts w:ascii="Baskerville Old Face" w:hAnsi="Baskerville Old Face"/>
              </w:rPr>
              <w:t>[24]</w:t>
            </w:r>
            <w:r>
              <w:rPr>
                <w:rFonts w:ascii="Baskerville Old Face" w:hAnsi="Baskerville Old Face"/>
                <w:lang w:val="en-US"/>
              </w:rPr>
              <w:fldChar w:fldCharType="end"/>
            </w:r>
            <w:r>
              <w:rPr>
                <w:rFonts w:ascii="Baskerville Old Face" w:hAnsi="Baskerville Old Face"/>
              </w:rPr>
              <w:t xml:space="preserve"> Participants may learn of the study purpose directly (from study information shared at recruitment) but also may infer it indirectly, through other cues in study materials (e.g. funder’s name), or pre-specified responses that prime participants to consider certain answers. </w:t>
            </w:r>
          </w:p>
        </w:tc>
      </w:tr>
      <w:tr w:rsidR="004907F1" w14:paraId="12481A72" w14:textId="77777777" w:rsidTr="004907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C3A006A" w14:textId="77777777" w:rsidR="004907F1" w:rsidRDefault="004907F1" w:rsidP="004907F1">
            <w:pPr>
              <w:pStyle w:val="ListParagraph"/>
              <w:numPr>
                <w:ilvl w:val="0"/>
                <w:numId w:val="12"/>
              </w:numPr>
              <w:rPr>
                <w:rFonts w:ascii="Baskerville Old Face" w:hAnsi="Baskerville Old Face"/>
              </w:rPr>
            </w:pPr>
            <w:r>
              <w:rPr>
                <w:rFonts w:ascii="Baskerville Old Face" w:hAnsi="Baskerville Old Face"/>
              </w:rPr>
              <w:t>Realism</w:t>
            </w:r>
          </w:p>
        </w:tc>
        <w:tc>
          <w:tcPr>
            <w:tcW w:w="0" w:type="auto"/>
            <w:hideMark/>
          </w:tcPr>
          <w:p w14:paraId="682EBD3E" w14:textId="77777777" w:rsidR="004907F1" w:rsidRDefault="004907F1" w:rsidP="004907F1">
            <w:pPr>
              <w:pStyle w:val="ListParagraph"/>
              <w:numPr>
                <w:ilvl w:val="0"/>
                <w:numId w:val="13"/>
              </w:numPr>
              <w:spacing w:after="160" w:line="256" w:lineRule="auto"/>
              <w:ind w:left="205" w:hanging="205"/>
              <w:cnfStyle w:val="000000100000" w:firstRow="0" w:lastRow="0" w:firstColumn="0" w:lastColumn="0" w:oddVBand="0" w:evenVBand="0" w:oddHBand="1" w:evenHBand="0" w:firstRowFirstColumn="0" w:firstRowLastColumn="0" w:lastRowFirstColumn="0" w:lastRowLastColumn="0"/>
              <w:rPr>
                <w:rFonts w:ascii="Baskerville Old Face" w:hAnsi="Baskerville Old Face"/>
              </w:rPr>
            </w:pPr>
            <w:r>
              <w:rPr>
                <w:rFonts w:ascii="Baskerville Old Face" w:hAnsi="Baskerville Old Face"/>
              </w:rPr>
              <w:t>External validity of vignette studies</w:t>
            </w:r>
            <w:r>
              <w:rPr>
                <w:rFonts w:ascii="Baskerville Old Face" w:hAnsi="Baskerville Old Face"/>
                <w:i/>
              </w:rPr>
              <w:t xml:space="preserve"> </w:t>
            </w:r>
            <w:r>
              <w:rPr>
                <w:rFonts w:ascii="Baskerville Old Face" w:hAnsi="Baskerville Old Face"/>
              </w:rPr>
              <w:t>is enhanced when studies are conducted in a setting as close as possible to “the natural ecology of decision-making”.</w:t>
            </w:r>
            <w:r>
              <w:rPr>
                <w:rFonts w:ascii="Baskerville Old Face" w:hAnsi="Baskerville Old Face"/>
              </w:rPr>
              <w:fldChar w:fldCharType="begin"/>
            </w:r>
            <w:r>
              <w:rPr>
                <w:rFonts w:ascii="Baskerville Old Face" w:hAnsi="Baskerville Old Face"/>
              </w:rPr>
              <w:instrText xml:space="preserve"> ADDIN ZOTERO_ITEM CSL_CITATION {"citationID":"DZa8vmwU","properties":{"formattedCitation":"[35]","plainCitation":"[35]","dontUpdate":true,"noteIndex":0},"citationItems":[{"id":4075,"uris":["http://zotero.org/users/2461043/items/IGAAV3B3"],"uri":["http://zotero.org/users/2461043/items/IGAAV3B3"],"itemData":{"id":4075,"type":"article-journal","abstract":"The mathematical representation of E. Brunswik’s (1952) lens model has been used extensively to study human judgment and provides a unique opportunity to conduct a meta-analysis of studies that covers roughly 5 decades. Specifically, the authors analyzed statistics of the “lens model equation” (L. R. Tucker, 1964) associated with 249 different task environments obtained from 86 articles. On average, fairly high levels of judgmental achievement were found, and people were seen to be capable of achieving similar levels of cognitive performance in noisy and predictable environments. Further, the effects of task characteristics that influence judgment (numbers and types of cues, inter-cue redundancy, function forms and cue weights in the ecology, laboratory versus field studies, and experience with the task) were identified and estimated. A detailed analysis of learning studies revealed that the most effective form of feedback was information about the task. The authors also analyzed empirically under what conditions the application of bootstrapping— or replacing judges by their linear models—is advantageous. Finally, the authors note shortcomings of the kinds of studies conducted to date, limitations in the lens model methodology, and possibilities for future research.","container-title":"Psychological Bulletin","DOI":"10.1037/0033-2909.134.3.404","ISSN":"1939-1455, 0033-2909","issue":"3","language":"en","page":"404-426","source":"CrossRef","title":"Determinants of linear judgment: A meta-analysis of lens model studies.","title-short":"Determinants of linear judgment","volume":"134","author":[{"family":"Karelaia","given":"Natalia"},{"family":"Hogarth","given":"Robin M."}],"issued":{"date-parts":[["2008"]]}}}],"schema":"https://github.com/citation-style-language/schema/raw/master/csl-citation.json"} </w:instrText>
            </w:r>
            <w:r>
              <w:rPr>
                <w:rFonts w:ascii="Baskerville Old Face" w:hAnsi="Baskerville Old Face"/>
              </w:rPr>
              <w:fldChar w:fldCharType="separate"/>
            </w:r>
            <w:r>
              <w:rPr>
                <w:rFonts w:ascii="Baskerville Old Face" w:hAnsi="Baskerville Old Face"/>
              </w:rPr>
              <w:t xml:space="preserve"> [35]</w:t>
            </w:r>
            <w:r>
              <w:rPr>
                <w:rFonts w:ascii="Baskerville Old Face" w:hAnsi="Baskerville Old Face"/>
                <w:lang w:val="en-US"/>
              </w:rPr>
              <w:fldChar w:fldCharType="end"/>
            </w:r>
            <w:r>
              <w:rPr>
                <w:rFonts w:ascii="Baskerville Old Face" w:hAnsi="Baskerville Old Face"/>
                <w:lang w:val="en-US"/>
              </w:rPr>
              <w:t xml:space="preserve"> </w:t>
            </w:r>
          </w:p>
          <w:p w14:paraId="641EF273" w14:textId="77777777" w:rsidR="004907F1" w:rsidRDefault="004907F1" w:rsidP="004907F1">
            <w:pPr>
              <w:pStyle w:val="ListParagraph"/>
              <w:numPr>
                <w:ilvl w:val="0"/>
                <w:numId w:val="13"/>
              </w:numPr>
              <w:spacing w:after="160" w:line="256" w:lineRule="auto"/>
              <w:ind w:left="205" w:hanging="205"/>
              <w:cnfStyle w:val="000000100000" w:firstRow="0" w:lastRow="0" w:firstColumn="0" w:lastColumn="0" w:oddVBand="0" w:evenVBand="0" w:oddHBand="1" w:evenHBand="0" w:firstRowFirstColumn="0" w:firstRowLastColumn="0" w:lastRowFirstColumn="0" w:lastRowLastColumn="0"/>
              <w:rPr>
                <w:rFonts w:ascii="Baskerville Old Face" w:hAnsi="Baskerville Old Face"/>
              </w:rPr>
            </w:pPr>
            <w:r>
              <w:rPr>
                <w:rFonts w:ascii="Baskerville Old Face" w:hAnsi="Baskerville Old Face"/>
              </w:rPr>
              <w:lastRenderedPageBreak/>
              <w:t xml:space="preserve">The generalisability of studies to investigate unwarranted variation in healthcare may be improved by collecting data in a setting that mimics key aspects of clinical settings, whether that be the actual environment, other inclusion of features such as the imposition of time constraints. </w:t>
            </w:r>
          </w:p>
        </w:tc>
      </w:tr>
      <w:tr w:rsidR="004907F1" w14:paraId="4BF2662C" w14:textId="77777777" w:rsidTr="004907F1">
        <w:tc>
          <w:tcPr>
            <w:cnfStyle w:val="001000000000" w:firstRow="0" w:lastRow="0" w:firstColumn="1" w:lastColumn="0" w:oddVBand="0" w:evenVBand="0" w:oddHBand="0" w:evenHBand="0" w:firstRowFirstColumn="0" w:firstRowLastColumn="0" w:lastRowFirstColumn="0" w:lastRowLastColumn="0"/>
            <w:tcW w:w="0" w:type="auto"/>
            <w:hideMark/>
          </w:tcPr>
          <w:p w14:paraId="732B33C5" w14:textId="77777777" w:rsidR="004907F1" w:rsidRDefault="004907F1" w:rsidP="004907F1">
            <w:pPr>
              <w:pStyle w:val="ListParagraph"/>
              <w:numPr>
                <w:ilvl w:val="0"/>
                <w:numId w:val="12"/>
              </w:numPr>
              <w:rPr>
                <w:rFonts w:ascii="Baskerville Old Face" w:hAnsi="Baskerville Old Face"/>
              </w:rPr>
            </w:pPr>
            <w:r>
              <w:rPr>
                <w:rFonts w:ascii="Baskerville Old Face" w:hAnsi="Baskerville Old Face"/>
              </w:rPr>
              <w:lastRenderedPageBreak/>
              <w:t>Sampling &amp; response</w:t>
            </w:r>
          </w:p>
        </w:tc>
        <w:tc>
          <w:tcPr>
            <w:tcW w:w="0" w:type="auto"/>
            <w:hideMark/>
          </w:tcPr>
          <w:p w14:paraId="5B6DFAC9" w14:textId="77777777" w:rsidR="004907F1" w:rsidRDefault="004907F1" w:rsidP="004907F1">
            <w:pPr>
              <w:pStyle w:val="ListParagraph"/>
              <w:numPr>
                <w:ilvl w:val="0"/>
                <w:numId w:val="13"/>
              </w:numPr>
              <w:spacing w:after="160" w:line="256" w:lineRule="auto"/>
              <w:ind w:left="264" w:hanging="264"/>
              <w:cnfStyle w:val="000000000000" w:firstRow="0" w:lastRow="0" w:firstColumn="0" w:lastColumn="0" w:oddVBand="0" w:evenVBand="0" w:oddHBand="0" w:evenHBand="0" w:firstRowFirstColumn="0" w:firstRowLastColumn="0" w:lastRowFirstColumn="0" w:lastRowLastColumn="0"/>
              <w:rPr>
                <w:rFonts w:ascii="Baskerville Old Face" w:hAnsi="Baskerville Old Face"/>
                <w:i/>
              </w:rPr>
            </w:pPr>
            <w:r>
              <w:rPr>
                <w:rFonts w:ascii="Baskerville Old Face" w:hAnsi="Baskerville Old Face"/>
              </w:rPr>
              <w:t xml:space="preserve">The representativeness of any survey rests on sampling, coverage, and nonresponse.  </w:t>
            </w:r>
          </w:p>
          <w:p w14:paraId="253AD25A" w14:textId="77777777" w:rsidR="004907F1" w:rsidRDefault="004907F1" w:rsidP="004907F1">
            <w:pPr>
              <w:pStyle w:val="ListParagraph"/>
              <w:numPr>
                <w:ilvl w:val="0"/>
                <w:numId w:val="13"/>
              </w:numPr>
              <w:spacing w:after="160" w:line="256" w:lineRule="auto"/>
              <w:ind w:left="264" w:hanging="264"/>
              <w:cnfStyle w:val="000000000000" w:firstRow="0" w:lastRow="0" w:firstColumn="0" w:lastColumn="0" w:oddVBand="0" w:evenVBand="0" w:oddHBand="0" w:evenHBand="0" w:firstRowFirstColumn="0" w:firstRowLastColumn="0" w:lastRowFirstColumn="0" w:lastRowLastColumn="0"/>
              <w:rPr>
                <w:rFonts w:ascii="Baskerville Old Face" w:hAnsi="Baskerville Old Face"/>
                <w:i/>
              </w:rPr>
            </w:pPr>
            <w:r>
              <w:rPr>
                <w:rFonts w:ascii="Baskerville Old Face" w:hAnsi="Baskerville Old Face"/>
              </w:rPr>
              <w:t xml:space="preserve">This is particularly important for studies of healthcare variations, where a biased sample or responses – for physician or patient participants – may lead to over- or under-estimation of variations. </w:t>
            </w:r>
          </w:p>
          <w:p w14:paraId="5CA49EA9" w14:textId="77777777" w:rsidR="004907F1" w:rsidRDefault="004907F1" w:rsidP="004907F1">
            <w:pPr>
              <w:pStyle w:val="ListParagraph"/>
              <w:numPr>
                <w:ilvl w:val="0"/>
                <w:numId w:val="13"/>
              </w:numPr>
              <w:spacing w:after="160" w:line="256" w:lineRule="auto"/>
              <w:ind w:left="264" w:hanging="264"/>
              <w:cnfStyle w:val="000000000000" w:firstRow="0" w:lastRow="0" w:firstColumn="0" w:lastColumn="0" w:oddVBand="0" w:evenVBand="0" w:oddHBand="0" w:evenHBand="0" w:firstRowFirstColumn="0" w:firstRowLastColumn="0" w:lastRowFirstColumn="0" w:lastRowLastColumn="0"/>
              <w:rPr>
                <w:rFonts w:ascii="Baskerville Old Face" w:hAnsi="Baskerville Old Face"/>
                <w:i/>
              </w:rPr>
            </w:pPr>
            <w:r>
              <w:rPr>
                <w:rFonts w:ascii="Baskerville Old Face" w:hAnsi="Baskerville Old Face"/>
              </w:rPr>
              <w:t>Studies need to justify their sample design, sample size, approach to recruitment, response and completion rates, and reasons for excluding data.</w:t>
            </w:r>
            <w:r>
              <w:rPr>
                <w:rFonts w:ascii="Baskerville Old Face" w:hAnsi="Baskerville Old Face"/>
                <w:i/>
              </w:rPr>
              <w:t xml:space="preserve"> </w:t>
            </w:r>
            <w:r>
              <w:rPr>
                <w:rFonts w:ascii="Baskerville Old Face" w:hAnsi="Baskerville Old Face"/>
                <w:i/>
              </w:rPr>
              <w:fldChar w:fldCharType="begin"/>
            </w:r>
            <w:r>
              <w:rPr>
                <w:rFonts w:ascii="Baskerville Old Face" w:hAnsi="Baskerville Old Face"/>
                <w:i/>
              </w:rPr>
              <w:instrText xml:space="preserve"> ADDIN ZOTERO_ITEM CSL_CITATION {"citationID":"1V56clhC","properties":{"formattedCitation":"[40]","plainCitation":"[40]","noteIndex":0},"citationItems":[{"id":4302,"uris":["http://zotero.org/users/2461043/items/2PSW95CH"],"uri":["http://zotero.org/users/2461043/items/2PSW95CH"],"itemData":{"id":4302,"type":"article-journal","abstract":"Abstract.   Survey research is sometimes regarded as an easy research approach. However, as with any other research approach and method, it is easy to conduct a","container-title":"International Journal for Quality in Health Care","DOI":"10.1093/intqhc/mzg031","ISSN":"1353-4505","issue":"3","journalAbbreviation":"Int J Qual Health Care","language":"en","page":"261-266","source":"academic-oup-com.ezp.lib.cam.ac.uk","title":"Good practice in the conduct and reporting of survey research","volume":"15","author":[{"family":"Kelley","given":"Kate"},{"family":"Clark","given":"Belinda"},{"family":"Brown","given":"Vivienne"},{"family":"Sitzia","given":"John"}],"issued":{"date-parts":[["2003",5,1]]}}}],"schema":"https://github.com/citation-style-language/schema/raw/master/csl-citation.json"} </w:instrText>
            </w:r>
            <w:r>
              <w:rPr>
                <w:rFonts w:ascii="Baskerville Old Face" w:hAnsi="Baskerville Old Face"/>
                <w:i/>
              </w:rPr>
              <w:fldChar w:fldCharType="separate"/>
            </w:r>
            <w:r>
              <w:rPr>
                <w:rFonts w:ascii="Baskerville Old Face" w:hAnsi="Baskerville Old Face"/>
              </w:rPr>
              <w:t>[40]</w:t>
            </w:r>
            <w:r>
              <w:rPr>
                <w:rFonts w:ascii="Baskerville Old Face" w:hAnsi="Baskerville Old Face"/>
                <w:lang w:val="en-US"/>
              </w:rPr>
              <w:fldChar w:fldCharType="end"/>
            </w:r>
            <w:r>
              <w:rPr>
                <w:rFonts w:ascii="Baskerville Old Face" w:hAnsi="Baskerville Old Face"/>
                <w:lang w:val="en-US"/>
              </w:rPr>
              <w:t xml:space="preserve"> </w:t>
            </w:r>
          </w:p>
          <w:p w14:paraId="32679CAD" w14:textId="77777777" w:rsidR="004907F1" w:rsidRDefault="004907F1" w:rsidP="004907F1">
            <w:pPr>
              <w:pStyle w:val="ListParagraph"/>
              <w:numPr>
                <w:ilvl w:val="0"/>
                <w:numId w:val="13"/>
              </w:numPr>
              <w:spacing w:after="160" w:line="256" w:lineRule="auto"/>
              <w:ind w:left="264" w:hanging="264"/>
              <w:cnfStyle w:val="000000000000" w:firstRow="0" w:lastRow="0" w:firstColumn="0" w:lastColumn="0" w:oddVBand="0" w:evenVBand="0" w:oddHBand="0" w:evenHBand="0" w:firstRowFirstColumn="0" w:firstRowLastColumn="0" w:lastRowFirstColumn="0" w:lastRowLastColumn="0"/>
              <w:rPr>
                <w:rFonts w:ascii="Baskerville Old Face" w:hAnsi="Baskerville Old Face"/>
                <w:i/>
              </w:rPr>
            </w:pPr>
            <w:r>
              <w:rPr>
                <w:rFonts w:ascii="Baskerville Old Face" w:hAnsi="Baskerville Old Face"/>
              </w:rPr>
              <w:t>T</w:t>
            </w:r>
            <w:r>
              <w:rPr>
                <w:rFonts w:ascii="Baskerville Old Face" w:hAnsi="Baskerville Old Face"/>
                <w:lang w:val="en-US"/>
              </w:rPr>
              <w:t xml:space="preserve">he implications of low or biased responses should be considered. </w:t>
            </w:r>
          </w:p>
        </w:tc>
      </w:tr>
      <w:tr w:rsidR="004907F1" w14:paraId="5BCAA72D" w14:textId="77777777" w:rsidTr="004907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D469135" w14:textId="77777777" w:rsidR="004907F1" w:rsidRDefault="004907F1" w:rsidP="004907F1">
            <w:pPr>
              <w:pStyle w:val="ListParagraph"/>
              <w:numPr>
                <w:ilvl w:val="0"/>
                <w:numId w:val="12"/>
              </w:numPr>
              <w:rPr>
                <w:rFonts w:ascii="Baskerville Old Face" w:hAnsi="Baskerville Old Face"/>
              </w:rPr>
            </w:pPr>
            <w:r>
              <w:rPr>
                <w:rFonts w:ascii="Baskerville Old Face" w:hAnsi="Baskerville Old Face"/>
              </w:rPr>
              <w:t>Analysis</w:t>
            </w:r>
          </w:p>
        </w:tc>
        <w:tc>
          <w:tcPr>
            <w:tcW w:w="0" w:type="auto"/>
            <w:hideMark/>
          </w:tcPr>
          <w:p w14:paraId="073D7553" w14:textId="77777777" w:rsidR="004907F1" w:rsidRDefault="004907F1" w:rsidP="004907F1">
            <w:pPr>
              <w:pStyle w:val="ListParagraph"/>
              <w:numPr>
                <w:ilvl w:val="0"/>
                <w:numId w:val="14"/>
              </w:numPr>
              <w:spacing w:after="160" w:line="256" w:lineRule="auto"/>
              <w:ind w:left="264" w:hanging="264"/>
              <w:cnfStyle w:val="000000100000" w:firstRow="0" w:lastRow="0" w:firstColumn="0" w:lastColumn="0" w:oddVBand="0" w:evenVBand="0" w:oddHBand="1" w:evenHBand="0" w:firstRowFirstColumn="0" w:firstRowLastColumn="0" w:lastRowFirstColumn="0" w:lastRowLastColumn="0"/>
              <w:rPr>
                <w:rFonts w:ascii="Baskerville Old Face" w:hAnsi="Baskerville Old Face"/>
                <w:i/>
              </w:rPr>
            </w:pPr>
            <w:r>
              <w:rPr>
                <w:rFonts w:ascii="Baskerville Old Face" w:hAnsi="Baskerville Old Face"/>
              </w:rPr>
              <w:t xml:space="preserve">Experimental vignette studies are often complex in how data are structured. Analysis must appropriately account for hierarchies within the data. </w:t>
            </w:r>
            <w:r>
              <w:rPr>
                <w:rFonts w:ascii="Baskerville Old Face" w:hAnsi="Baskerville Old Face"/>
              </w:rPr>
              <w:fldChar w:fldCharType="begin"/>
            </w:r>
            <w:r>
              <w:rPr>
                <w:rFonts w:ascii="Baskerville Old Face" w:hAnsi="Baskerville Old Face"/>
              </w:rPr>
              <w:instrText xml:space="preserve"> ADDIN ZOTERO_ITEM CSL_CITATION {"citationID":"VqHJ1Rj4","properties":{"formattedCitation":"[15]","plainCitation":"[15]","noteIndex":0},"citationItems":[{"id":3280,"uris":["http://zotero.org/users/2461043/items/7AHZATU5"],"uri":["http://zotero.org/users/2461043/items/7AHZATU5"],"itemData":{"id":3280,"type":"article-journal","container-title":"Organizational Research Methods","DOI":"10.1177/1094428114547952","ISSN":"1094-4281, 1552-7425","issue":"4","language":"en","page":"351-371","source":"CrossRef","title":"Best Practice Recommendations for Designing and Implementing Experimental Vignette Methodology Studies","volume":"17","author":[{"family":"Aguinis","given":"Herman"},{"family":"Bradley","given":"Kyle J."}],"issued":{"date-parts":[["2014",10]]}}}],"schema":"https://github.com/citation-style-language/schema/raw/master/csl-citation.json"} </w:instrText>
            </w:r>
            <w:r>
              <w:rPr>
                <w:rFonts w:ascii="Baskerville Old Face" w:hAnsi="Baskerville Old Face"/>
              </w:rPr>
              <w:fldChar w:fldCharType="separate"/>
            </w:r>
            <w:r>
              <w:rPr>
                <w:rFonts w:ascii="Baskerville Old Face" w:hAnsi="Baskerville Old Face"/>
              </w:rPr>
              <w:t>[15]</w:t>
            </w:r>
            <w:r>
              <w:rPr>
                <w:rFonts w:ascii="Baskerville Old Face" w:hAnsi="Baskerville Old Face"/>
                <w:lang w:val="en-US"/>
              </w:rPr>
              <w:fldChar w:fldCharType="end"/>
            </w:r>
            <w:r>
              <w:rPr>
                <w:rFonts w:ascii="Baskerville Old Face" w:hAnsi="Baskerville Old Face"/>
                <w:lang w:val="en-US"/>
              </w:rPr>
              <w:t xml:space="preserve"> </w:t>
            </w:r>
          </w:p>
        </w:tc>
      </w:tr>
    </w:tbl>
    <w:p w14:paraId="087C41C4" w14:textId="77777777" w:rsidR="004907F1" w:rsidRDefault="004907F1" w:rsidP="004907F1">
      <w:pPr>
        <w:spacing w:after="0"/>
        <w:rPr>
          <w:rFonts w:ascii="Baskerville Old Face" w:hAnsi="Baskerville Old Face" w:cstheme="minorHAnsi"/>
          <w:sz w:val="24"/>
          <w:szCs w:val="24"/>
        </w:rPr>
      </w:pPr>
    </w:p>
    <w:p w14:paraId="21F3BC92" w14:textId="77777777" w:rsidR="004907F1" w:rsidRDefault="004907F1" w:rsidP="004907F1">
      <w:pPr>
        <w:spacing w:after="0"/>
        <w:rPr>
          <w:rFonts w:ascii="Baskerville Old Face" w:hAnsi="Baskerville Old Face" w:cstheme="minorHAnsi"/>
          <w:sz w:val="24"/>
          <w:szCs w:val="24"/>
        </w:rPr>
      </w:pPr>
    </w:p>
    <w:p w14:paraId="1E95E1A4" w14:textId="77777777" w:rsidR="004907F1" w:rsidRDefault="004907F1" w:rsidP="004907F1">
      <w:pPr>
        <w:spacing w:after="0"/>
        <w:rPr>
          <w:rFonts w:ascii="Baskerville Old Face" w:hAnsi="Baskerville Old Face" w:cstheme="minorHAnsi"/>
          <w:sz w:val="24"/>
          <w:szCs w:val="24"/>
        </w:rPr>
        <w:sectPr w:rsidR="004907F1">
          <w:pgSz w:w="16838" w:h="11906" w:orient="landscape"/>
          <w:pgMar w:top="1440" w:right="1440" w:bottom="1440" w:left="1440" w:header="708" w:footer="708" w:gutter="0"/>
          <w:cols w:space="720"/>
        </w:sectPr>
      </w:pPr>
    </w:p>
    <w:p w14:paraId="76FE17AF" w14:textId="77777777" w:rsidR="004907F1" w:rsidRDefault="004907F1" w:rsidP="004907F1">
      <w:pPr>
        <w:rPr>
          <w:rFonts w:ascii="Arial" w:hAnsi="Arial" w:cs="Arial"/>
          <w:b/>
          <w:lang w:val="en-US"/>
        </w:rPr>
      </w:pPr>
      <w:r>
        <w:rPr>
          <w:rFonts w:ascii="Arial" w:hAnsi="Arial" w:cs="Arial"/>
          <w:b/>
          <w:lang w:val="en-US"/>
        </w:rPr>
        <w:lastRenderedPageBreak/>
        <w:t xml:space="preserve">Table 3. </w:t>
      </w:r>
      <w:r>
        <w:rPr>
          <w:rFonts w:ascii="Arial" w:hAnsi="Arial" w:cs="Arial"/>
          <w:lang w:val="en-US"/>
        </w:rPr>
        <w:t>Methodological framework and scoring system</w:t>
      </w:r>
    </w:p>
    <w:tbl>
      <w:tblPr>
        <w:tblStyle w:val="ListTable4-Accent1"/>
        <w:tblW w:w="0" w:type="auto"/>
        <w:tblBorders>
          <w:top w:val="none" w:sz="0" w:space="0" w:color="auto"/>
          <w:left w:val="none" w:sz="0" w:space="0" w:color="auto"/>
          <w:bottom w:val="none" w:sz="0" w:space="0" w:color="auto"/>
          <w:right w:val="none" w:sz="0" w:space="0" w:color="auto"/>
          <w:insideH w:val="none" w:sz="0" w:space="0" w:color="auto"/>
        </w:tblBorders>
        <w:tblCellMar>
          <w:top w:w="85" w:type="dxa"/>
          <w:bottom w:w="85" w:type="dxa"/>
        </w:tblCellMar>
        <w:tblLook w:val="04A0" w:firstRow="1" w:lastRow="0" w:firstColumn="1" w:lastColumn="0" w:noHBand="0" w:noVBand="1"/>
      </w:tblPr>
      <w:tblGrid>
        <w:gridCol w:w="2108"/>
        <w:gridCol w:w="4967"/>
        <w:gridCol w:w="1719"/>
        <w:gridCol w:w="222"/>
      </w:tblGrid>
      <w:tr w:rsidR="004907F1" w14:paraId="1AB3AAF5" w14:textId="77777777" w:rsidTr="004907F1">
        <w:trPr>
          <w:gridAfter w:val="1"/>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BDD6EE" w:themeFill="accent1" w:themeFillTint="66"/>
            <w:hideMark/>
          </w:tcPr>
          <w:p w14:paraId="0CDF7CE1" w14:textId="77777777" w:rsidR="004907F1" w:rsidRDefault="004907F1">
            <w:pPr>
              <w:rPr>
                <w:rFonts w:ascii="Baskerville Old Face" w:hAnsi="Baskerville Old Face"/>
                <w:color w:val="000000" w:themeColor="text1"/>
              </w:rPr>
            </w:pPr>
            <w:r>
              <w:rPr>
                <w:rFonts w:ascii="Baskerville Old Face" w:hAnsi="Baskerville Old Face"/>
                <w:color w:val="000000" w:themeColor="text1"/>
              </w:rPr>
              <w:t>Methodological consideration</w:t>
            </w:r>
          </w:p>
        </w:tc>
        <w:tc>
          <w:tcPr>
            <w:tcW w:w="0" w:type="auto"/>
            <w:shd w:val="clear" w:color="auto" w:fill="BDD6EE" w:themeFill="accent1" w:themeFillTint="66"/>
            <w:hideMark/>
          </w:tcPr>
          <w:p w14:paraId="74C67138" w14:textId="77777777" w:rsidR="004907F1" w:rsidRDefault="004907F1">
            <w:pPr>
              <w:cnfStyle w:val="100000000000" w:firstRow="1" w:lastRow="0" w:firstColumn="0" w:lastColumn="0" w:oddVBand="0" w:evenVBand="0" w:oddHBand="0" w:evenHBand="0" w:firstRowFirstColumn="0" w:firstRowLastColumn="0" w:lastRowFirstColumn="0" w:lastRowLastColumn="0"/>
              <w:rPr>
                <w:rFonts w:ascii="Baskerville Old Face" w:hAnsi="Baskerville Old Face" w:cs="Arial"/>
                <w:color w:val="000000" w:themeColor="text1"/>
              </w:rPr>
            </w:pPr>
            <w:r>
              <w:rPr>
                <w:rFonts w:ascii="Baskerville Old Face" w:hAnsi="Baskerville Old Face" w:cs="Arial"/>
                <w:color w:val="000000" w:themeColor="text1"/>
              </w:rPr>
              <w:t>Scale</w:t>
            </w:r>
          </w:p>
        </w:tc>
        <w:tc>
          <w:tcPr>
            <w:tcW w:w="0" w:type="auto"/>
            <w:shd w:val="clear" w:color="auto" w:fill="BDD6EE" w:themeFill="accent1" w:themeFillTint="66"/>
            <w:hideMark/>
          </w:tcPr>
          <w:p w14:paraId="7BF254FF" w14:textId="77777777" w:rsidR="004907F1" w:rsidRDefault="004907F1">
            <w:pPr>
              <w:cnfStyle w:val="100000000000" w:firstRow="1" w:lastRow="0" w:firstColumn="0" w:lastColumn="0" w:oddVBand="0" w:evenVBand="0" w:oddHBand="0" w:evenHBand="0" w:firstRowFirstColumn="0" w:firstRowLastColumn="0" w:lastRowFirstColumn="0" w:lastRowLastColumn="0"/>
              <w:rPr>
                <w:rFonts w:ascii="Baskerville Old Face" w:hAnsi="Baskerville Old Face" w:cs="Arial"/>
                <w:color w:val="000000" w:themeColor="text1"/>
              </w:rPr>
            </w:pPr>
            <w:r>
              <w:rPr>
                <w:rFonts w:ascii="Baskerville Old Face" w:hAnsi="Baskerville Old Face" w:cs="Arial"/>
                <w:color w:val="000000" w:themeColor="text1"/>
              </w:rPr>
              <w:t>Score</w:t>
            </w:r>
          </w:p>
        </w:tc>
      </w:tr>
      <w:tr w:rsidR="004907F1" w14:paraId="44FF29BC" w14:textId="77777777" w:rsidTr="004907F1">
        <w:trPr>
          <w:gridAfter w:val="1"/>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hideMark/>
          </w:tcPr>
          <w:p w14:paraId="79B23744" w14:textId="77777777" w:rsidR="004907F1" w:rsidRDefault="004907F1" w:rsidP="004907F1">
            <w:pPr>
              <w:pStyle w:val="ListParagraph"/>
              <w:numPr>
                <w:ilvl w:val="0"/>
                <w:numId w:val="15"/>
              </w:numPr>
              <w:rPr>
                <w:rFonts w:ascii="Baskerville Old Face" w:hAnsi="Baskerville Old Face" w:cs="Arial"/>
                <w:sz w:val="20"/>
                <w:szCs w:val="20"/>
              </w:rPr>
            </w:pPr>
            <w:r>
              <w:rPr>
                <w:rFonts w:ascii="Baskerville Old Face" w:hAnsi="Baskerville Old Face"/>
                <w:sz w:val="20"/>
                <w:szCs w:val="20"/>
              </w:rPr>
              <w:t>Vignette design</w:t>
            </w:r>
          </w:p>
        </w:tc>
      </w:tr>
      <w:tr w:rsidR="004907F1" w14:paraId="16B1B9D0" w14:textId="77777777" w:rsidTr="004907F1">
        <w:trPr>
          <w:gridAfter w:val="1"/>
        </w:trPr>
        <w:tc>
          <w:tcPr>
            <w:cnfStyle w:val="001000000000" w:firstRow="0" w:lastRow="0" w:firstColumn="1" w:lastColumn="0" w:oddVBand="0" w:evenVBand="0" w:oddHBand="0" w:evenHBand="0" w:firstRowFirstColumn="0" w:firstRowLastColumn="0" w:lastRowFirstColumn="0" w:lastRowLastColumn="0"/>
            <w:tcW w:w="0" w:type="auto"/>
            <w:hideMark/>
          </w:tcPr>
          <w:p w14:paraId="0BF0D8DB" w14:textId="77777777" w:rsidR="004907F1" w:rsidRDefault="004907F1" w:rsidP="004907F1">
            <w:pPr>
              <w:pStyle w:val="ListParagraph"/>
              <w:numPr>
                <w:ilvl w:val="0"/>
                <w:numId w:val="16"/>
              </w:numPr>
              <w:spacing w:after="200" w:line="276" w:lineRule="auto"/>
              <w:rPr>
                <w:rFonts w:ascii="Baskerville Old Face" w:hAnsi="Baskerville Old Face"/>
                <w:sz w:val="20"/>
                <w:szCs w:val="20"/>
              </w:rPr>
            </w:pPr>
            <w:r>
              <w:rPr>
                <w:rFonts w:ascii="Baskerville Old Face" w:hAnsi="Baskerville Old Face"/>
                <w:sz w:val="20"/>
                <w:szCs w:val="20"/>
              </w:rPr>
              <w:t>Credibility</w:t>
            </w:r>
          </w:p>
        </w:tc>
        <w:tc>
          <w:tcPr>
            <w:tcW w:w="0" w:type="auto"/>
            <w:hideMark/>
          </w:tcPr>
          <w:p w14:paraId="31BC0EF2" w14:textId="77777777" w:rsidR="004907F1" w:rsidRDefault="004907F1">
            <w:pP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0"/>
                <w:szCs w:val="20"/>
              </w:rPr>
            </w:pPr>
            <w:r>
              <w:rPr>
                <w:rFonts w:ascii="Baskerville Old Face" w:hAnsi="Baskerville Old Face" w:cs="Arial"/>
                <w:color w:val="000000"/>
                <w:sz w:val="20"/>
                <w:szCs w:val="20"/>
              </w:rPr>
              <w:t xml:space="preserve">3= construction </w:t>
            </w:r>
            <w:proofErr w:type="gramStart"/>
            <w:r>
              <w:rPr>
                <w:rFonts w:ascii="Baskerville Old Face" w:hAnsi="Baskerville Old Face" w:cs="Arial"/>
                <w:color w:val="000000"/>
                <w:sz w:val="20"/>
                <w:szCs w:val="20"/>
              </w:rPr>
              <w:t>well described,</w:t>
            </w:r>
            <w:proofErr w:type="gramEnd"/>
            <w:r>
              <w:rPr>
                <w:rFonts w:ascii="Baskerville Old Face" w:hAnsi="Baskerville Old Face" w:cs="Arial"/>
                <w:color w:val="000000"/>
                <w:sz w:val="20"/>
                <w:szCs w:val="20"/>
              </w:rPr>
              <w:t xml:space="preserve"> 2= described to some extent 0/1 = little or no description </w:t>
            </w:r>
          </w:p>
        </w:tc>
        <w:tc>
          <w:tcPr>
            <w:tcW w:w="0" w:type="auto"/>
            <w:hideMark/>
          </w:tcPr>
          <w:p w14:paraId="16961509" w14:textId="77777777" w:rsidR="004907F1" w:rsidRDefault="004907F1">
            <w:pP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0"/>
                <w:szCs w:val="20"/>
              </w:rPr>
            </w:pPr>
            <w:r>
              <w:rPr>
                <w:rFonts w:ascii="Baskerville Old Face" w:hAnsi="Baskerville Old Face" w:cs="Arial"/>
                <w:sz w:val="20"/>
                <w:szCs w:val="20"/>
              </w:rPr>
              <w:t>0-3</w:t>
            </w:r>
          </w:p>
        </w:tc>
      </w:tr>
      <w:tr w:rsidR="004907F1" w14:paraId="4ED2730A" w14:textId="77777777" w:rsidTr="004907F1">
        <w:trPr>
          <w:gridAfter w:val="1"/>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B32153D" w14:textId="77777777" w:rsidR="004907F1" w:rsidRDefault="004907F1" w:rsidP="004907F1">
            <w:pPr>
              <w:pStyle w:val="ListParagraph"/>
              <w:numPr>
                <w:ilvl w:val="0"/>
                <w:numId w:val="16"/>
              </w:numPr>
              <w:rPr>
                <w:rFonts w:ascii="Baskerville Old Face" w:hAnsi="Baskerville Old Face"/>
                <w:sz w:val="20"/>
                <w:szCs w:val="20"/>
              </w:rPr>
            </w:pPr>
            <w:r>
              <w:rPr>
                <w:rFonts w:ascii="Baskerville Old Face" w:hAnsi="Baskerville Old Face"/>
                <w:sz w:val="20"/>
                <w:szCs w:val="20"/>
              </w:rPr>
              <w:t>Number</w:t>
            </w:r>
          </w:p>
        </w:tc>
        <w:tc>
          <w:tcPr>
            <w:tcW w:w="0" w:type="auto"/>
            <w:hideMark/>
          </w:tcPr>
          <w:p w14:paraId="0B65933D" w14:textId="77777777" w:rsidR="004907F1" w:rsidRDefault="004907F1">
            <w:pPr>
              <w:cnfStyle w:val="000000100000" w:firstRow="0" w:lastRow="0" w:firstColumn="0" w:lastColumn="0" w:oddVBand="0" w:evenVBand="0" w:oddHBand="1" w:evenHBand="0" w:firstRowFirstColumn="0" w:firstRowLastColumn="0" w:lastRowFirstColumn="0" w:lastRowLastColumn="0"/>
              <w:rPr>
                <w:rFonts w:ascii="Baskerville Old Face" w:hAnsi="Baskerville Old Face" w:cstheme="minorHAnsi"/>
                <w:sz w:val="20"/>
                <w:szCs w:val="20"/>
              </w:rPr>
            </w:pPr>
            <w:r>
              <w:rPr>
                <w:rFonts w:ascii="Baskerville Old Face" w:hAnsi="Baskerville Old Face" w:cs="Arial"/>
                <w:color w:val="000000"/>
                <w:sz w:val="20"/>
                <w:szCs w:val="20"/>
              </w:rPr>
              <w:t xml:space="preserve">More than one vignette shown to participants, only one vignette shown to participants </w:t>
            </w:r>
          </w:p>
        </w:tc>
        <w:tc>
          <w:tcPr>
            <w:tcW w:w="0" w:type="auto"/>
            <w:hideMark/>
          </w:tcPr>
          <w:p w14:paraId="52CE48FA" w14:textId="77777777" w:rsidR="004907F1" w:rsidRDefault="004907F1">
            <w:pPr>
              <w:cnfStyle w:val="000000100000" w:firstRow="0" w:lastRow="0" w:firstColumn="0" w:lastColumn="0" w:oddVBand="0" w:evenVBand="0" w:oddHBand="1" w:evenHBand="0" w:firstRowFirstColumn="0" w:firstRowLastColumn="0" w:lastRowFirstColumn="0" w:lastRowLastColumn="0"/>
              <w:rPr>
                <w:rFonts w:ascii="Baskerville Old Face" w:hAnsi="Baskerville Old Face" w:cstheme="minorHAnsi"/>
                <w:sz w:val="20"/>
                <w:szCs w:val="20"/>
              </w:rPr>
            </w:pPr>
            <w:r>
              <w:rPr>
                <w:rFonts w:ascii="Baskerville Old Face" w:hAnsi="Baskerville Old Face" w:cs="Arial"/>
                <w:color w:val="000000"/>
                <w:sz w:val="20"/>
                <w:szCs w:val="20"/>
              </w:rPr>
              <w:t>no score - accounted for in analysis</w:t>
            </w:r>
          </w:p>
        </w:tc>
      </w:tr>
      <w:tr w:rsidR="004907F1" w14:paraId="793B76BC" w14:textId="77777777" w:rsidTr="004907F1">
        <w:trPr>
          <w:gridAfter w:val="1"/>
        </w:trPr>
        <w:tc>
          <w:tcPr>
            <w:cnfStyle w:val="001000000000" w:firstRow="0" w:lastRow="0" w:firstColumn="1" w:lastColumn="0" w:oddVBand="0" w:evenVBand="0" w:oddHBand="0" w:evenHBand="0" w:firstRowFirstColumn="0" w:firstRowLastColumn="0" w:lastRowFirstColumn="0" w:lastRowLastColumn="0"/>
            <w:tcW w:w="0" w:type="auto"/>
            <w:hideMark/>
          </w:tcPr>
          <w:p w14:paraId="7A9426C3" w14:textId="77777777" w:rsidR="004907F1" w:rsidRDefault="004907F1" w:rsidP="004907F1">
            <w:pPr>
              <w:pStyle w:val="ListParagraph"/>
              <w:numPr>
                <w:ilvl w:val="0"/>
                <w:numId w:val="16"/>
              </w:numPr>
              <w:spacing w:after="200" w:line="276" w:lineRule="auto"/>
              <w:rPr>
                <w:rFonts w:ascii="Baskerville Old Face" w:hAnsi="Baskerville Old Face"/>
                <w:sz w:val="20"/>
                <w:szCs w:val="20"/>
              </w:rPr>
            </w:pPr>
            <w:r>
              <w:rPr>
                <w:rFonts w:ascii="Baskerville Old Face" w:hAnsi="Baskerville Old Face"/>
                <w:sz w:val="20"/>
                <w:szCs w:val="20"/>
              </w:rPr>
              <w:t>Variability</w:t>
            </w:r>
          </w:p>
        </w:tc>
        <w:tc>
          <w:tcPr>
            <w:tcW w:w="0" w:type="auto"/>
            <w:hideMark/>
          </w:tcPr>
          <w:p w14:paraId="20A008C5" w14:textId="77777777" w:rsidR="004907F1" w:rsidRDefault="004907F1">
            <w:pP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0"/>
                <w:szCs w:val="20"/>
              </w:rPr>
            </w:pPr>
            <w:r>
              <w:rPr>
                <w:rFonts w:ascii="Baskerville Old Face" w:hAnsi="Baskerville Old Face" w:cs="Arial"/>
                <w:color w:val="000000"/>
                <w:sz w:val="20"/>
                <w:szCs w:val="20"/>
              </w:rPr>
              <w:t>Yes - more than one variant of an experimental factor produced (1), No (0)</w:t>
            </w:r>
          </w:p>
        </w:tc>
        <w:tc>
          <w:tcPr>
            <w:tcW w:w="0" w:type="auto"/>
            <w:hideMark/>
          </w:tcPr>
          <w:p w14:paraId="367D1FD8" w14:textId="77777777" w:rsidR="004907F1" w:rsidRDefault="004907F1">
            <w:pP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0"/>
                <w:szCs w:val="20"/>
              </w:rPr>
            </w:pPr>
            <w:r>
              <w:rPr>
                <w:rFonts w:ascii="Baskerville Old Face" w:hAnsi="Baskerville Old Face" w:cs="Arial"/>
                <w:color w:val="000000"/>
                <w:sz w:val="20"/>
                <w:szCs w:val="20"/>
              </w:rPr>
              <w:t>0-1</w:t>
            </w:r>
          </w:p>
        </w:tc>
      </w:tr>
      <w:tr w:rsidR="004907F1" w14:paraId="5BD6BB72" w14:textId="77777777" w:rsidTr="004907F1">
        <w:trPr>
          <w:gridAfter w:val="1"/>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946FF42" w14:textId="77777777" w:rsidR="004907F1" w:rsidRDefault="004907F1" w:rsidP="004907F1">
            <w:pPr>
              <w:pStyle w:val="ListParagraph"/>
              <w:numPr>
                <w:ilvl w:val="0"/>
                <w:numId w:val="16"/>
              </w:numPr>
              <w:spacing w:after="200" w:line="276" w:lineRule="auto"/>
              <w:rPr>
                <w:rFonts w:ascii="Baskerville Old Face" w:hAnsi="Baskerville Old Face"/>
                <w:sz w:val="20"/>
                <w:szCs w:val="20"/>
              </w:rPr>
            </w:pPr>
            <w:r>
              <w:rPr>
                <w:rFonts w:ascii="Baskerville Old Face" w:hAnsi="Baskerville Old Face"/>
                <w:sz w:val="20"/>
                <w:szCs w:val="20"/>
              </w:rPr>
              <w:t>Mode</w:t>
            </w:r>
          </w:p>
        </w:tc>
        <w:tc>
          <w:tcPr>
            <w:tcW w:w="0" w:type="auto"/>
            <w:hideMark/>
          </w:tcPr>
          <w:p w14:paraId="33BB75A6" w14:textId="77777777" w:rsidR="004907F1" w:rsidRDefault="004907F1">
            <w:pP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0"/>
                <w:szCs w:val="20"/>
              </w:rPr>
            </w:pPr>
            <w:r>
              <w:rPr>
                <w:rFonts w:ascii="Baskerville Old Face" w:hAnsi="Baskerville Old Face" w:cs="Arial"/>
                <w:color w:val="000000"/>
                <w:sz w:val="20"/>
                <w:szCs w:val="20"/>
              </w:rPr>
              <w:t xml:space="preserve">Text only; </w:t>
            </w:r>
            <w:proofErr w:type="spellStart"/>
            <w:r>
              <w:rPr>
                <w:rFonts w:ascii="Baskerville Old Face" w:hAnsi="Baskerville Old Face" w:cs="Arial"/>
                <w:color w:val="000000"/>
                <w:sz w:val="20"/>
                <w:szCs w:val="20"/>
              </w:rPr>
              <w:t>Pictoral</w:t>
            </w:r>
            <w:proofErr w:type="spellEnd"/>
            <w:r>
              <w:rPr>
                <w:rFonts w:ascii="Baskerville Old Face" w:hAnsi="Baskerville Old Face" w:cs="Arial"/>
                <w:color w:val="000000"/>
                <w:sz w:val="20"/>
                <w:szCs w:val="20"/>
              </w:rPr>
              <w:t xml:space="preserve"> or Video; Interactive (in-person, online, phone)</w:t>
            </w:r>
          </w:p>
        </w:tc>
        <w:tc>
          <w:tcPr>
            <w:tcW w:w="0" w:type="auto"/>
            <w:hideMark/>
          </w:tcPr>
          <w:p w14:paraId="399D1FB8" w14:textId="77777777" w:rsidR="004907F1" w:rsidRDefault="004907F1">
            <w:pP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0"/>
                <w:szCs w:val="20"/>
              </w:rPr>
            </w:pPr>
            <w:r>
              <w:rPr>
                <w:rFonts w:ascii="Baskerville Old Face" w:hAnsi="Baskerville Old Face" w:cs="Arial"/>
                <w:color w:val="000000"/>
                <w:sz w:val="20"/>
                <w:szCs w:val="20"/>
              </w:rPr>
              <w:t>no score</w:t>
            </w:r>
          </w:p>
        </w:tc>
      </w:tr>
      <w:tr w:rsidR="004907F1" w14:paraId="4ACA2654" w14:textId="77777777" w:rsidTr="004907F1">
        <w:tc>
          <w:tcPr>
            <w:cnfStyle w:val="001000000000" w:firstRow="0" w:lastRow="0" w:firstColumn="1" w:lastColumn="0" w:oddVBand="0" w:evenVBand="0" w:oddHBand="0" w:evenHBand="0" w:firstRowFirstColumn="0" w:firstRowLastColumn="0" w:lastRowFirstColumn="0" w:lastRowLastColumn="0"/>
            <w:tcW w:w="0" w:type="auto"/>
            <w:hideMark/>
          </w:tcPr>
          <w:p w14:paraId="57E1E9F1" w14:textId="77777777" w:rsidR="004907F1" w:rsidRDefault="004907F1" w:rsidP="004907F1">
            <w:pPr>
              <w:pStyle w:val="ListParagraph"/>
              <w:numPr>
                <w:ilvl w:val="0"/>
                <w:numId w:val="16"/>
              </w:numPr>
              <w:spacing w:after="200" w:line="276" w:lineRule="auto"/>
              <w:rPr>
                <w:rFonts w:ascii="Baskerville Old Face" w:hAnsi="Baskerville Old Face"/>
                <w:sz w:val="20"/>
                <w:szCs w:val="20"/>
              </w:rPr>
            </w:pPr>
            <w:r>
              <w:rPr>
                <w:rFonts w:ascii="Baskerville Old Face" w:hAnsi="Baskerville Old Face"/>
                <w:sz w:val="20"/>
                <w:szCs w:val="20"/>
              </w:rPr>
              <w:t>Evaluation</w:t>
            </w:r>
          </w:p>
        </w:tc>
        <w:tc>
          <w:tcPr>
            <w:tcW w:w="0" w:type="auto"/>
            <w:hideMark/>
          </w:tcPr>
          <w:p w14:paraId="10D8A11D" w14:textId="77777777" w:rsidR="004907F1" w:rsidRDefault="004907F1">
            <w:pP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0"/>
                <w:szCs w:val="20"/>
              </w:rPr>
            </w:pPr>
            <w:r>
              <w:rPr>
                <w:rFonts w:ascii="Baskerville Old Face" w:hAnsi="Baskerville Old Face" w:cs="Arial"/>
                <w:color w:val="000000"/>
                <w:sz w:val="20"/>
                <w:szCs w:val="20"/>
              </w:rPr>
              <w:t xml:space="preserve">3= </w:t>
            </w:r>
            <w:proofErr w:type="gramStart"/>
            <w:r>
              <w:rPr>
                <w:rFonts w:ascii="Baskerville Old Face" w:hAnsi="Baskerville Old Face" w:cs="Arial"/>
                <w:color w:val="000000"/>
                <w:sz w:val="20"/>
                <w:szCs w:val="20"/>
              </w:rPr>
              <w:t>well described,</w:t>
            </w:r>
            <w:proofErr w:type="gramEnd"/>
            <w:r>
              <w:rPr>
                <w:rFonts w:ascii="Baskerville Old Face" w:hAnsi="Baskerville Old Face" w:cs="Arial"/>
                <w:color w:val="000000"/>
                <w:sz w:val="20"/>
                <w:szCs w:val="20"/>
              </w:rPr>
              <w:t xml:space="preserve"> 2= described to some extent 0/1 = little or no description </w:t>
            </w:r>
          </w:p>
        </w:tc>
        <w:tc>
          <w:tcPr>
            <w:tcW w:w="0" w:type="auto"/>
            <w:hideMark/>
          </w:tcPr>
          <w:p w14:paraId="61A991DA" w14:textId="77777777" w:rsidR="004907F1" w:rsidRDefault="004907F1">
            <w:pP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0"/>
                <w:szCs w:val="20"/>
              </w:rPr>
            </w:pPr>
            <w:r>
              <w:rPr>
                <w:rFonts w:ascii="Baskerville Old Face" w:hAnsi="Baskerville Old Face" w:cs="Arial"/>
                <w:color w:val="000000"/>
                <w:sz w:val="20"/>
                <w:szCs w:val="20"/>
              </w:rPr>
              <w:t>0-3</w:t>
            </w:r>
          </w:p>
        </w:tc>
        <w:tc>
          <w:tcPr>
            <w:tcW w:w="0" w:type="auto"/>
          </w:tcPr>
          <w:p w14:paraId="414D3A80" w14:textId="77777777" w:rsidR="004907F1" w:rsidRDefault="004907F1">
            <w:pP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0"/>
                <w:szCs w:val="20"/>
              </w:rPr>
            </w:pPr>
          </w:p>
        </w:tc>
      </w:tr>
      <w:tr w:rsidR="004907F1" w14:paraId="43DA0C94" w14:textId="77777777" w:rsidTr="004907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2D3896" w14:textId="77777777" w:rsidR="004907F1" w:rsidRDefault="004907F1" w:rsidP="004907F1">
            <w:pPr>
              <w:pStyle w:val="ListParagraph"/>
              <w:numPr>
                <w:ilvl w:val="0"/>
                <w:numId w:val="16"/>
              </w:numPr>
              <w:spacing w:after="200" w:line="276" w:lineRule="auto"/>
              <w:rPr>
                <w:rFonts w:ascii="Baskerville Old Face" w:hAnsi="Baskerville Old Face"/>
                <w:sz w:val="20"/>
                <w:szCs w:val="20"/>
              </w:rPr>
            </w:pPr>
            <w:r>
              <w:rPr>
                <w:rFonts w:ascii="Baskerville Old Face" w:hAnsi="Baskerville Old Face"/>
                <w:sz w:val="20"/>
                <w:szCs w:val="20"/>
              </w:rPr>
              <w:t>Description</w:t>
            </w:r>
          </w:p>
        </w:tc>
        <w:tc>
          <w:tcPr>
            <w:tcW w:w="0" w:type="auto"/>
            <w:hideMark/>
          </w:tcPr>
          <w:p w14:paraId="09E0A4B1" w14:textId="77777777" w:rsidR="004907F1" w:rsidRDefault="004907F1">
            <w:pP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0"/>
                <w:szCs w:val="20"/>
              </w:rPr>
            </w:pPr>
            <w:r>
              <w:rPr>
                <w:rFonts w:ascii="Baskerville Old Face" w:hAnsi="Baskerville Old Face" w:cs="Arial"/>
                <w:sz w:val="20"/>
                <w:szCs w:val="20"/>
              </w:rPr>
              <w:t>Yes - full vignette available to view, as much as is practically possible (1); no (0)</w:t>
            </w:r>
          </w:p>
        </w:tc>
        <w:tc>
          <w:tcPr>
            <w:tcW w:w="0" w:type="auto"/>
            <w:hideMark/>
          </w:tcPr>
          <w:p w14:paraId="0A1AD7BF" w14:textId="77777777" w:rsidR="004907F1" w:rsidRDefault="004907F1">
            <w:pP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0"/>
                <w:szCs w:val="20"/>
              </w:rPr>
            </w:pPr>
            <w:r>
              <w:rPr>
                <w:rFonts w:ascii="Baskerville Old Face" w:hAnsi="Baskerville Old Face" w:cs="Arial"/>
                <w:color w:val="000000"/>
                <w:sz w:val="20"/>
                <w:szCs w:val="20"/>
              </w:rPr>
              <w:t>0-1</w:t>
            </w:r>
          </w:p>
        </w:tc>
        <w:tc>
          <w:tcPr>
            <w:tcW w:w="0" w:type="auto"/>
            <w:vAlign w:val="center"/>
            <w:hideMark/>
          </w:tcPr>
          <w:p w14:paraId="42D36BC4" w14:textId="77777777" w:rsidR="004907F1" w:rsidRDefault="004907F1">
            <w:pPr>
              <w:cnfStyle w:val="000000100000" w:firstRow="0" w:lastRow="0" w:firstColumn="0" w:lastColumn="0" w:oddVBand="0" w:evenVBand="0" w:oddHBand="1" w:evenHBand="0" w:firstRowFirstColumn="0" w:firstRowLastColumn="0" w:lastRowFirstColumn="0" w:lastRowLastColumn="0"/>
              <w:rPr>
                <w:sz w:val="20"/>
                <w:szCs w:val="20"/>
                <w:lang w:eastAsia="en-GB"/>
              </w:rPr>
            </w:pPr>
          </w:p>
        </w:tc>
      </w:tr>
      <w:tr w:rsidR="004907F1" w14:paraId="5DCDA538" w14:textId="77777777" w:rsidTr="004907F1">
        <w:trPr>
          <w:trHeight w:val="397"/>
        </w:trPr>
        <w:tc>
          <w:tcPr>
            <w:cnfStyle w:val="001000000000" w:firstRow="0" w:lastRow="0" w:firstColumn="1" w:lastColumn="0" w:oddVBand="0" w:evenVBand="0" w:oddHBand="0" w:evenHBand="0" w:firstRowFirstColumn="0" w:firstRowLastColumn="0" w:lastRowFirstColumn="0" w:lastRowLastColumn="0"/>
            <w:tcW w:w="0" w:type="auto"/>
            <w:gridSpan w:val="2"/>
            <w:hideMark/>
          </w:tcPr>
          <w:p w14:paraId="1F216375" w14:textId="77777777" w:rsidR="004907F1" w:rsidRDefault="004907F1" w:rsidP="004907F1">
            <w:pPr>
              <w:pStyle w:val="ListParagraph"/>
              <w:numPr>
                <w:ilvl w:val="0"/>
                <w:numId w:val="15"/>
              </w:numPr>
              <w:rPr>
                <w:rFonts w:ascii="Baskerville Old Face" w:hAnsi="Baskerville Old Face"/>
                <w:sz w:val="20"/>
                <w:szCs w:val="20"/>
              </w:rPr>
            </w:pPr>
            <w:r>
              <w:rPr>
                <w:rFonts w:ascii="Baskerville Old Face" w:hAnsi="Baskerville Old Face"/>
                <w:sz w:val="20"/>
                <w:szCs w:val="20"/>
              </w:rPr>
              <w:t>Wider study design</w:t>
            </w:r>
          </w:p>
        </w:tc>
        <w:tc>
          <w:tcPr>
            <w:tcW w:w="0" w:type="auto"/>
            <w:vAlign w:val="center"/>
            <w:hideMark/>
          </w:tcPr>
          <w:p w14:paraId="5EF1433D" w14:textId="77777777" w:rsidR="004907F1" w:rsidRDefault="004907F1">
            <w:pPr>
              <w:cnfStyle w:val="000000000000" w:firstRow="0" w:lastRow="0" w:firstColumn="0" w:lastColumn="0" w:oddVBand="0" w:evenVBand="0" w:oddHBand="0" w:evenHBand="0" w:firstRowFirstColumn="0" w:firstRowLastColumn="0" w:lastRowFirstColumn="0" w:lastRowLastColumn="0"/>
              <w:rPr>
                <w:sz w:val="20"/>
                <w:szCs w:val="20"/>
                <w:lang w:eastAsia="en-GB"/>
              </w:rPr>
            </w:pPr>
          </w:p>
        </w:tc>
        <w:tc>
          <w:tcPr>
            <w:tcW w:w="0" w:type="auto"/>
            <w:vAlign w:val="center"/>
            <w:hideMark/>
          </w:tcPr>
          <w:p w14:paraId="68AD5CCA" w14:textId="77777777" w:rsidR="004907F1" w:rsidRDefault="004907F1">
            <w:pPr>
              <w:cnfStyle w:val="000000000000" w:firstRow="0" w:lastRow="0" w:firstColumn="0" w:lastColumn="0" w:oddVBand="0" w:evenVBand="0" w:oddHBand="0" w:evenHBand="0" w:firstRowFirstColumn="0" w:firstRowLastColumn="0" w:lastRowFirstColumn="0" w:lastRowLastColumn="0"/>
              <w:rPr>
                <w:sz w:val="20"/>
                <w:szCs w:val="20"/>
                <w:lang w:eastAsia="en-GB"/>
              </w:rPr>
            </w:pPr>
          </w:p>
        </w:tc>
      </w:tr>
      <w:tr w:rsidR="004907F1" w14:paraId="633E654F" w14:textId="77777777" w:rsidTr="004907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484E81" w14:textId="77777777" w:rsidR="004907F1" w:rsidRDefault="004907F1" w:rsidP="004907F1">
            <w:pPr>
              <w:pStyle w:val="ListParagraph"/>
              <w:numPr>
                <w:ilvl w:val="0"/>
                <w:numId w:val="17"/>
              </w:numPr>
              <w:rPr>
                <w:rFonts w:ascii="Baskerville Old Face" w:hAnsi="Baskerville Old Face"/>
                <w:sz w:val="20"/>
                <w:szCs w:val="20"/>
              </w:rPr>
            </w:pPr>
            <w:r>
              <w:rPr>
                <w:rFonts w:ascii="Baskerville Old Face" w:hAnsi="Baskerville Old Face"/>
                <w:sz w:val="20"/>
                <w:szCs w:val="20"/>
              </w:rPr>
              <w:t>Concealment</w:t>
            </w:r>
          </w:p>
        </w:tc>
        <w:tc>
          <w:tcPr>
            <w:tcW w:w="0" w:type="auto"/>
            <w:hideMark/>
          </w:tcPr>
          <w:p w14:paraId="31F879B0" w14:textId="77777777" w:rsidR="004907F1" w:rsidRDefault="004907F1">
            <w:pP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0"/>
                <w:szCs w:val="20"/>
              </w:rPr>
            </w:pPr>
            <w:r>
              <w:rPr>
                <w:rFonts w:ascii="Baskerville Old Face" w:hAnsi="Baskerville Old Face" w:cs="Arial"/>
                <w:color w:val="000000"/>
                <w:sz w:val="20"/>
                <w:szCs w:val="20"/>
              </w:rPr>
              <w:t xml:space="preserve">3= concealment </w:t>
            </w:r>
            <w:proofErr w:type="gramStart"/>
            <w:r>
              <w:rPr>
                <w:rFonts w:ascii="Baskerville Old Face" w:hAnsi="Baskerville Old Face" w:cs="Arial"/>
                <w:color w:val="000000"/>
                <w:sz w:val="20"/>
                <w:szCs w:val="20"/>
              </w:rPr>
              <w:t>strategies  clearly</w:t>
            </w:r>
            <w:proofErr w:type="gramEnd"/>
            <w:r>
              <w:rPr>
                <w:rFonts w:ascii="Baskerville Old Face" w:hAnsi="Baskerville Old Face" w:cs="Arial"/>
                <w:color w:val="000000"/>
                <w:sz w:val="20"/>
                <w:szCs w:val="20"/>
              </w:rPr>
              <w:t xml:space="preserve"> described or analysis  considered effects of awareness, 2= described to some extent, 1 = purpose was not shared but no description of how concealment attempted 0 = no/not stated</w:t>
            </w:r>
          </w:p>
        </w:tc>
        <w:tc>
          <w:tcPr>
            <w:tcW w:w="0" w:type="auto"/>
            <w:hideMark/>
          </w:tcPr>
          <w:p w14:paraId="24613213" w14:textId="77777777" w:rsidR="004907F1" w:rsidRDefault="004907F1">
            <w:pP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0"/>
                <w:szCs w:val="20"/>
              </w:rPr>
            </w:pPr>
            <w:r>
              <w:rPr>
                <w:rFonts w:ascii="Baskerville Old Face" w:hAnsi="Baskerville Old Face" w:cs="Arial"/>
                <w:color w:val="000000"/>
                <w:sz w:val="20"/>
                <w:szCs w:val="20"/>
              </w:rPr>
              <w:t>0-3</w:t>
            </w:r>
          </w:p>
        </w:tc>
        <w:tc>
          <w:tcPr>
            <w:tcW w:w="0" w:type="auto"/>
            <w:vAlign w:val="center"/>
            <w:hideMark/>
          </w:tcPr>
          <w:p w14:paraId="3FCAD446" w14:textId="77777777" w:rsidR="004907F1" w:rsidRDefault="004907F1">
            <w:pPr>
              <w:cnfStyle w:val="000000100000" w:firstRow="0" w:lastRow="0" w:firstColumn="0" w:lastColumn="0" w:oddVBand="0" w:evenVBand="0" w:oddHBand="1" w:evenHBand="0" w:firstRowFirstColumn="0" w:firstRowLastColumn="0" w:lastRowFirstColumn="0" w:lastRowLastColumn="0"/>
              <w:rPr>
                <w:sz w:val="20"/>
                <w:szCs w:val="20"/>
                <w:lang w:eastAsia="en-GB"/>
              </w:rPr>
            </w:pPr>
          </w:p>
        </w:tc>
      </w:tr>
      <w:tr w:rsidR="004907F1" w14:paraId="6AD36F1B" w14:textId="77777777" w:rsidTr="004907F1">
        <w:tc>
          <w:tcPr>
            <w:cnfStyle w:val="001000000000" w:firstRow="0" w:lastRow="0" w:firstColumn="1" w:lastColumn="0" w:oddVBand="0" w:evenVBand="0" w:oddHBand="0" w:evenHBand="0" w:firstRowFirstColumn="0" w:firstRowLastColumn="0" w:lastRowFirstColumn="0" w:lastRowLastColumn="0"/>
            <w:tcW w:w="0" w:type="auto"/>
            <w:hideMark/>
          </w:tcPr>
          <w:p w14:paraId="6BC16668" w14:textId="77777777" w:rsidR="004907F1" w:rsidRDefault="004907F1" w:rsidP="004907F1">
            <w:pPr>
              <w:pStyle w:val="ListParagraph"/>
              <w:numPr>
                <w:ilvl w:val="0"/>
                <w:numId w:val="17"/>
              </w:numPr>
              <w:rPr>
                <w:rFonts w:ascii="Baskerville Old Face" w:hAnsi="Baskerville Old Face"/>
                <w:sz w:val="20"/>
                <w:szCs w:val="20"/>
              </w:rPr>
            </w:pPr>
            <w:r>
              <w:rPr>
                <w:rFonts w:ascii="Baskerville Old Face" w:hAnsi="Baskerville Old Face"/>
                <w:sz w:val="20"/>
                <w:szCs w:val="20"/>
              </w:rPr>
              <w:t>Realism</w:t>
            </w:r>
          </w:p>
        </w:tc>
        <w:tc>
          <w:tcPr>
            <w:tcW w:w="0" w:type="auto"/>
            <w:hideMark/>
          </w:tcPr>
          <w:p w14:paraId="75829465" w14:textId="77777777" w:rsidR="004907F1" w:rsidRDefault="004907F1">
            <w:pP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0"/>
                <w:szCs w:val="20"/>
              </w:rPr>
            </w:pPr>
            <w:r>
              <w:rPr>
                <w:rFonts w:ascii="Baskerville Old Face" w:hAnsi="Baskerville Old Face" w:cs="Arial"/>
                <w:color w:val="000000"/>
                <w:sz w:val="20"/>
                <w:szCs w:val="20"/>
              </w:rPr>
              <w:t>yes - attempt to introduce realism into data collection conditions (1); no attempt (0)</w:t>
            </w:r>
          </w:p>
        </w:tc>
        <w:tc>
          <w:tcPr>
            <w:tcW w:w="0" w:type="auto"/>
            <w:hideMark/>
          </w:tcPr>
          <w:p w14:paraId="2D83E732" w14:textId="77777777" w:rsidR="004907F1" w:rsidRDefault="004907F1">
            <w:pP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0"/>
                <w:szCs w:val="20"/>
              </w:rPr>
            </w:pPr>
            <w:r>
              <w:rPr>
                <w:rFonts w:ascii="Baskerville Old Face" w:hAnsi="Baskerville Old Face" w:cs="Arial"/>
                <w:color w:val="000000"/>
                <w:sz w:val="20"/>
                <w:szCs w:val="20"/>
              </w:rPr>
              <w:t>0-1</w:t>
            </w:r>
          </w:p>
        </w:tc>
        <w:tc>
          <w:tcPr>
            <w:tcW w:w="0" w:type="auto"/>
            <w:vAlign w:val="center"/>
            <w:hideMark/>
          </w:tcPr>
          <w:p w14:paraId="3849306C" w14:textId="77777777" w:rsidR="004907F1" w:rsidRDefault="004907F1">
            <w:pPr>
              <w:cnfStyle w:val="000000000000" w:firstRow="0" w:lastRow="0" w:firstColumn="0" w:lastColumn="0" w:oddVBand="0" w:evenVBand="0" w:oddHBand="0" w:evenHBand="0" w:firstRowFirstColumn="0" w:firstRowLastColumn="0" w:lastRowFirstColumn="0" w:lastRowLastColumn="0"/>
              <w:rPr>
                <w:sz w:val="20"/>
                <w:szCs w:val="20"/>
                <w:lang w:eastAsia="en-GB"/>
              </w:rPr>
            </w:pPr>
          </w:p>
        </w:tc>
      </w:tr>
      <w:tr w:rsidR="004907F1" w14:paraId="3D676519" w14:textId="77777777" w:rsidTr="004907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C5A50C6" w14:textId="77777777" w:rsidR="004907F1" w:rsidRDefault="004907F1" w:rsidP="004907F1">
            <w:pPr>
              <w:pStyle w:val="ListParagraph"/>
              <w:numPr>
                <w:ilvl w:val="0"/>
                <w:numId w:val="17"/>
              </w:numPr>
              <w:rPr>
                <w:rFonts w:ascii="Baskerville Old Face" w:hAnsi="Baskerville Old Face"/>
                <w:sz w:val="20"/>
                <w:szCs w:val="20"/>
              </w:rPr>
            </w:pPr>
            <w:r>
              <w:rPr>
                <w:rFonts w:ascii="Baskerville Old Face" w:hAnsi="Baskerville Old Face"/>
                <w:sz w:val="20"/>
                <w:szCs w:val="20"/>
              </w:rPr>
              <w:t>Sampling &amp; response</w:t>
            </w:r>
          </w:p>
        </w:tc>
        <w:tc>
          <w:tcPr>
            <w:tcW w:w="0" w:type="auto"/>
            <w:hideMark/>
          </w:tcPr>
          <w:p w14:paraId="3FD9A069" w14:textId="77777777" w:rsidR="004907F1" w:rsidRDefault="004907F1">
            <w:pPr>
              <w:cnfStyle w:val="000000100000" w:firstRow="0" w:lastRow="0" w:firstColumn="0" w:lastColumn="0" w:oddVBand="0" w:evenVBand="0" w:oddHBand="1" w:evenHBand="0" w:firstRowFirstColumn="0" w:firstRowLastColumn="0" w:lastRowFirstColumn="0" w:lastRowLastColumn="0"/>
              <w:rPr>
                <w:rFonts w:ascii="Baskerville Old Face" w:hAnsi="Baskerville Old Face" w:cs="Arial"/>
                <w:sz w:val="20"/>
                <w:szCs w:val="20"/>
              </w:rPr>
            </w:pPr>
            <w:r>
              <w:rPr>
                <w:rFonts w:ascii="Baskerville Old Face" w:hAnsi="Baskerville Old Face" w:cs="Arial"/>
                <w:sz w:val="20"/>
                <w:szCs w:val="20"/>
              </w:rPr>
              <w:t xml:space="preserve">3 = random sampling, response &amp; completion rate high, justified exclusions; 2 = sample strategy described &amp; justified (purposive or random); response or completion rates fully reported and risk of bias considered; 1 = sampling strategy inadequately or not described, inadequate consideration of bias; </w:t>
            </w:r>
          </w:p>
          <w:p w14:paraId="1AEBA5E0" w14:textId="77777777" w:rsidR="004907F1" w:rsidRDefault="004907F1">
            <w:pP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0"/>
                <w:szCs w:val="20"/>
              </w:rPr>
            </w:pPr>
            <w:r>
              <w:rPr>
                <w:rFonts w:ascii="Baskerville Old Face" w:hAnsi="Baskerville Old Face" w:cs="Arial"/>
                <w:sz w:val="20"/>
                <w:szCs w:val="20"/>
              </w:rPr>
              <w:t>0 = response rates not given &amp; inadequate consideration of bias</w:t>
            </w:r>
          </w:p>
        </w:tc>
        <w:tc>
          <w:tcPr>
            <w:tcW w:w="0" w:type="auto"/>
            <w:hideMark/>
          </w:tcPr>
          <w:p w14:paraId="5D475206" w14:textId="77777777" w:rsidR="004907F1" w:rsidRDefault="004907F1">
            <w:pPr>
              <w:cnfStyle w:val="000000100000" w:firstRow="0" w:lastRow="0" w:firstColumn="0" w:lastColumn="0" w:oddVBand="0" w:evenVBand="0" w:oddHBand="1" w:evenHBand="0" w:firstRowFirstColumn="0" w:firstRowLastColumn="0" w:lastRowFirstColumn="0" w:lastRowLastColumn="0"/>
              <w:rPr>
                <w:rFonts w:ascii="Baskerville Old Face" w:hAnsi="Baskerville Old Face" w:cs="Arial"/>
                <w:color w:val="000000"/>
                <w:sz w:val="20"/>
                <w:szCs w:val="20"/>
              </w:rPr>
            </w:pPr>
            <w:r>
              <w:rPr>
                <w:rFonts w:ascii="Baskerville Old Face" w:hAnsi="Baskerville Old Face" w:cs="Arial"/>
                <w:color w:val="000000"/>
                <w:sz w:val="20"/>
                <w:szCs w:val="20"/>
              </w:rPr>
              <w:t>0-6</w:t>
            </w:r>
          </w:p>
          <w:p w14:paraId="14228D3E" w14:textId="77777777" w:rsidR="004907F1" w:rsidRDefault="004907F1">
            <w:pPr>
              <w:cnfStyle w:val="000000100000" w:firstRow="0" w:lastRow="0" w:firstColumn="0" w:lastColumn="0" w:oddVBand="0" w:evenVBand="0" w:oddHBand="1" w:evenHBand="0" w:firstRowFirstColumn="0" w:firstRowLastColumn="0" w:lastRowFirstColumn="0" w:lastRowLastColumn="0"/>
              <w:rPr>
                <w:rFonts w:ascii="Baskerville Old Face" w:hAnsi="Baskerville Old Face"/>
                <w:sz w:val="20"/>
                <w:szCs w:val="20"/>
              </w:rPr>
            </w:pPr>
            <w:r>
              <w:rPr>
                <w:rFonts w:ascii="Baskerville Old Face" w:hAnsi="Baskerville Old Face" w:cs="Arial"/>
                <w:color w:val="000000"/>
                <w:sz w:val="20"/>
                <w:szCs w:val="20"/>
              </w:rPr>
              <w:t>(NB – each score is doubled to account for both response and sampling)</w:t>
            </w:r>
          </w:p>
        </w:tc>
        <w:tc>
          <w:tcPr>
            <w:tcW w:w="0" w:type="auto"/>
            <w:vAlign w:val="center"/>
            <w:hideMark/>
          </w:tcPr>
          <w:p w14:paraId="0C914DEE" w14:textId="77777777" w:rsidR="004907F1" w:rsidRDefault="004907F1">
            <w:pPr>
              <w:cnfStyle w:val="000000100000" w:firstRow="0" w:lastRow="0" w:firstColumn="0" w:lastColumn="0" w:oddVBand="0" w:evenVBand="0" w:oddHBand="1" w:evenHBand="0" w:firstRowFirstColumn="0" w:firstRowLastColumn="0" w:lastRowFirstColumn="0" w:lastRowLastColumn="0"/>
              <w:rPr>
                <w:sz w:val="20"/>
                <w:szCs w:val="20"/>
                <w:lang w:eastAsia="en-GB"/>
              </w:rPr>
            </w:pPr>
          </w:p>
        </w:tc>
      </w:tr>
      <w:tr w:rsidR="004907F1" w14:paraId="147F1683" w14:textId="77777777" w:rsidTr="004907F1">
        <w:tc>
          <w:tcPr>
            <w:cnfStyle w:val="001000000000" w:firstRow="0" w:lastRow="0" w:firstColumn="1" w:lastColumn="0" w:oddVBand="0" w:evenVBand="0" w:oddHBand="0" w:evenHBand="0" w:firstRowFirstColumn="0" w:firstRowLastColumn="0" w:lastRowFirstColumn="0" w:lastRowLastColumn="0"/>
            <w:tcW w:w="0" w:type="auto"/>
            <w:hideMark/>
          </w:tcPr>
          <w:p w14:paraId="429E4E6B" w14:textId="77777777" w:rsidR="004907F1" w:rsidRDefault="004907F1" w:rsidP="004907F1">
            <w:pPr>
              <w:pStyle w:val="ListParagraph"/>
              <w:numPr>
                <w:ilvl w:val="0"/>
                <w:numId w:val="17"/>
              </w:numPr>
              <w:rPr>
                <w:rFonts w:ascii="Baskerville Old Face" w:hAnsi="Baskerville Old Face"/>
                <w:sz w:val="20"/>
                <w:szCs w:val="20"/>
              </w:rPr>
            </w:pPr>
            <w:r>
              <w:rPr>
                <w:rFonts w:ascii="Baskerville Old Face" w:hAnsi="Baskerville Old Face"/>
                <w:sz w:val="20"/>
                <w:szCs w:val="20"/>
              </w:rPr>
              <w:t>Analysis</w:t>
            </w:r>
          </w:p>
        </w:tc>
        <w:tc>
          <w:tcPr>
            <w:tcW w:w="0" w:type="auto"/>
            <w:hideMark/>
          </w:tcPr>
          <w:p w14:paraId="4E332CA5" w14:textId="77777777" w:rsidR="004907F1" w:rsidRDefault="004907F1">
            <w:pP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0"/>
                <w:szCs w:val="20"/>
              </w:rPr>
            </w:pPr>
            <w:r>
              <w:rPr>
                <w:rFonts w:ascii="Baskerville Old Face" w:hAnsi="Baskerville Old Face" w:cs="Arial"/>
                <w:color w:val="000000"/>
                <w:sz w:val="20"/>
                <w:szCs w:val="20"/>
              </w:rPr>
              <w:t>2 = accounted for clustering &amp; individual/aggregated analysis performed 1 = accounted for clustering OR individual/aggregated analysis performed 0 = neither n/a = only one vignette shown to participants</w:t>
            </w:r>
          </w:p>
        </w:tc>
        <w:tc>
          <w:tcPr>
            <w:tcW w:w="0" w:type="auto"/>
            <w:hideMark/>
          </w:tcPr>
          <w:p w14:paraId="1C44A49D" w14:textId="77777777" w:rsidR="004907F1" w:rsidRDefault="004907F1">
            <w:pPr>
              <w:cnfStyle w:val="000000000000" w:firstRow="0" w:lastRow="0" w:firstColumn="0" w:lastColumn="0" w:oddVBand="0" w:evenVBand="0" w:oddHBand="0" w:evenHBand="0" w:firstRowFirstColumn="0" w:firstRowLastColumn="0" w:lastRowFirstColumn="0" w:lastRowLastColumn="0"/>
              <w:rPr>
                <w:rFonts w:ascii="Baskerville Old Face" w:hAnsi="Baskerville Old Face"/>
                <w:sz w:val="20"/>
                <w:szCs w:val="20"/>
              </w:rPr>
            </w:pPr>
            <w:r>
              <w:rPr>
                <w:rFonts w:ascii="Baskerville Old Face" w:hAnsi="Baskerville Old Face" w:cs="Arial"/>
                <w:color w:val="000000"/>
                <w:sz w:val="20"/>
                <w:szCs w:val="20"/>
              </w:rPr>
              <w:t>0-2</w:t>
            </w:r>
          </w:p>
        </w:tc>
        <w:tc>
          <w:tcPr>
            <w:tcW w:w="0" w:type="auto"/>
            <w:vAlign w:val="center"/>
            <w:hideMark/>
          </w:tcPr>
          <w:p w14:paraId="106BD961" w14:textId="77777777" w:rsidR="004907F1" w:rsidRDefault="004907F1">
            <w:pPr>
              <w:cnfStyle w:val="000000000000" w:firstRow="0" w:lastRow="0" w:firstColumn="0" w:lastColumn="0" w:oddVBand="0" w:evenVBand="0" w:oddHBand="0" w:evenHBand="0" w:firstRowFirstColumn="0" w:firstRowLastColumn="0" w:lastRowFirstColumn="0" w:lastRowLastColumn="0"/>
              <w:rPr>
                <w:sz w:val="20"/>
                <w:szCs w:val="20"/>
                <w:lang w:eastAsia="en-GB"/>
              </w:rPr>
            </w:pPr>
          </w:p>
        </w:tc>
      </w:tr>
    </w:tbl>
    <w:p w14:paraId="6A8F62E0" w14:textId="77777777" w:rsidR="004907F1" w:rsidRDefault="004907F1" w:rsidP="004907F1">
      <w:pPr>
        <w:rPr>
          <w:lang w:val="en-US"/>
        </w:rPr>
      </w:pPr>
      <w:r>
        <w:rPr>
          <w:lang w:val="en-US"/>
        </w:rPr>
        <w:br w:type="page"/>
      </w:r>
    </w:p>
    <w:p w14:paraId="19D10990" w14:textId="77777777" w:rsidR="004907F1" w:rsidRDefault="004907F1" w:rsidP="004907F1">
      <w:pPr>
        <w:rPr>
          <w:rFonts w:ascii="Baskerville Old Face" w:hAnsi="Baskerville Old Face" w:cstheme="minorHAnsi"/>
          <w:b/>
          <w:sz w:val="24"/>
          <w:szCs w:val="24"/>
        </w:rPr>
      </w:pPr>
      <w:r>
        <w:rPr>
          <w:rFonts w:ascii="Baskerville Old Face" w:hAnsi="Baskerville Old Face" w:cstheme="minorHAnsi"/>
          <w:b/>
          <w:sz w:val="24"/>
          <w:szCs w:val="24"/>
        </w:rPr>
        <w:lastRenderedPageBreak/>
        <w:t>References</w:t>
      </w:r>
    </w:p>
    <w:p w14:paraId="03689928" w14:textId="77777777" w:rsidR="004907F1" w:rsidRDefault="004907F1" w:rsidP="004907F1">
      <w:pPr>
        <w:pStyle w:val="Bibliography"/>
        <w:rPr>
          <w:rFonts w:ascii="Baskerville Old Face" w:hAnsi="Baskerville Old Face" w:cs="Calibri"/>
          <w:sz w:val="24"/>
          <w:szCs w:val="24"/>
        </w:rPr>
      </w:pPr>
      <w:r>
        <w:rPr>
          <w:rFonts w:ascii="Baskerville Old Face" w:hAnsi="Baskerville Old Face" w:cstheme="minorHAnsi"/>
          <w:sz w:val="24"/>
          <w:szCs w:val="24"/>
        </w:rPr>
        <w:fldChar w:fldCharType="begin"/>
      </w:r>
      <w:r>
        <w:rPr>
          <w:rFonts w:ascii="Baskerville Old Face" w:hAnsi="Baskerville Old Face" w:cstheme="minorHAnsi"/>
          <w:sz w:val="24"/>
          <w:szCs w:val="24"/>
        </w:rPr>
        <w:instrText xml:space="preserve"> ADDIN ZOTERO_BIBL {"uncited":[],"omitted":[],"custom":[]} CSL_BIBLIOGRAPHY </w:instrText>
      </w:r>
      <w:r>
        <w:rPr>
          <w:rFonts w:ascii="Baskerville Old Face" w:hAnsi="Baskerville Old Face" w:cstheme="minorHAnsi"/>
          <w:sz w:val="24"/>
          <w:szCs w:val="24"/>
        </w:rPr>
        <w:fldChar w:fldCharType="separate"/>
      </w:r>
      <w:r>
        <w:rPr>
          <w:rFonts w:ascii="Baskerville Old Face" w:hAnsi="Baskerville Old Face" w:cs="Calibri"/>
          <w:sz w:val="24"/>
          <w:szCs w:val="24"/>
        </w:rPr>
        <w:t xml:space="preserve">1 </w:t>
      </w:r>
      <w:r>
        <w:rPr>
          <w:rFonts w:ascii="Baskerville Old Face" w:hAnsi="Baskerville Old Face" w:cs="Calibri"/>
          <w:sz w:val="24"/>
          <w:szCs w:val="24"/>
        </w:rPr>
        <w:tab/>
        <w:t xml:space="preserve">Hughes R, Huby M. The application of vignettes in social and nursing research. </w:t>
      </w:r>
      <w:r>
        <w:rPr>
          <w:rFonts w:ascii="Baskerville Old Face" w:hAnsi="Baskerville Old Face" w:cs="Calibri"/>
          <w:i/>
          <w:iCs/>
          <w:sz w:val="24"/>
          <w:szCs w:val="24"/>
        </w:rPr>
        <w:t>J Adv Nurs</w:t>
      </w:r>
      <w:r>
        <w:rPr>
          <w:rFonts w:ascii="Baskerville Old Face" w:hAnsi="Baskerville Old Face" w:cs="Calibri"/>
          <w:sz w:val="24"/>
          <w:szCs w:val="24"/>
        </w:rPr>
        <w:t xml:space="preserve"> 2002;</w:t>
      </w:r>
      <w:r>
        <w:rPr>
          <w:rFonts w:ascii="Baskerville Old Face" w:hAnsi="Baskerville Old Face" w:cs="Calibri"/>
          <w:b/>
          <w:bCs/>
          <w:sz w:val="24"/>
          <w:szCs w:val="24"/>
        </w:rPr>
        <w:t>37</w:t>
      </w:r>
      <w:r>
        <w:rPr>
          <w:rFonts w:ascii="Baskerville Old Face" w:hAnsi="Baskerville Old Face" w:cs="Calibri"/>
          <w:sz w:val="24"/>
          <w:szCs w:val="24"/>
        </w:rPr>
        <w:t>:382–386.</w:t>
      </w:r>
    </w:p>
    <w:p w14:paraId="5EC83DB7" w14:textId="77777777" w:rsidR="004907F1" w:rsidRDefault="004907F1" w:rsidP="004907F1">
      <w:pPr>
        <w:pStyle w:val="Bibliography"/>
        <w:rPr>
          <w:rFonts w:ascii="Baskerville Old Face" w:hAnsi="Baskerville Old Face" w:cs="Calibri"/>
          <w:sz w:val="24"/>
          <w:szCs w:val="24"/>
        </w:rPr>
      </w:pPr>
      <w:r>
        <w:rPr>
          <w:rFonts w:ascii="Baskerville Old Face" w:hAnsi="Baskerville Old Face" w:cs="Calibri"/>
          <w:sz w:val="24"/>
          <w:szCs w:val="24"/>
        </w:rPr>
        <w:t xml:space="preserve">2 </w:t>
      </w:r>
      <w:r>
        <w:rPr>
          <w:rFonts w:ascii="Baskerville Old Face" w:hAnsi="Baskerville Old Face" w:cs="Calibri"/>
          <w:sz w:val="24"/>
          <w:szCs w:val="24"/>
        </w:rPr>
        <w:tab/>
        <w:t xml:space="preserve">Veloski J, Tai S, Evans AS, </w:t>
      </w:r>
      <w:r>
        <w:rPr>
          <w:rFonts w:ascii="Baskerville Old Face" w:hAnsi="Baskerville Old Face" w:cs="Calibri"/>
          <w:i/>
          <w:iCs/>
          <w:sz w:val="24"/>
          <w:szCs w:val="24"/>
        </w:rPr>
        <w:t>et al.</w:t>
      </w:r>
      <w:r>
        <w:rPr>
          <w:rFonts w:ascii="Baskerville Old Face" w:hAnsi="Baskerville Old Face" w:cs="Calibri"/>
          <w:sz w:val="24"/>
          <w:szCs w:val="24"/>
        </w:rPr>
        <w:t xml:space="preserve"> Clinical Vignette-Based Surveys: A Tool for Assessing Physician Practice Variation. </w:t>
      </w:r>
      <w:r>
        <w:rPr>
          <w:rFonts w:ascii="Baskerville Old Face" w:hAnsi="Baskerville Old Face" w:cs="Calibri"/>
          <w:i/>
          <w:iCs/>
          <w:sz w:val="24"/>
          <w:szCs w:val="24"/>
        </w:rPr>
        <w:t>Am J Med Qual</w:t>
      </w:r>
      <w:r>
        <w:rPr>
          <w:rFonts w:ascii="Baskerville Old Face" w:hAnsi="Baskerville Old Face" w:cs="Calibri"/>
          <w:sz w:val="24"/>
          <w:szCs w:val="24"/>
        </w:rPr>
        <w:t xml:space="preserve"> 2005;</w:t>
      </w:r>
      <w:r>
        <w:rPr>
          <w:rFonts w:ascii="Baskerville Old Face" w:hAnsi="Baskerville Old Face" w:cs="Calibri"/>
          <w:b/>
          <w:bCs/>
          <w:sz w:val="24"/>
          <w:szCs w:val="24"/>
        </w:rPr>
        <w:t>20</w:t>
      </w:r>
      <w:r>
        <w:rPr>
          <w:rFonts w:ascii="Baskerville Old Face" w:hAnsi="Baskerville Old Face" w:cs="Calibri"/>
          <w:sz w:val="24"/>
          <w:szCs w:val="24"/>
        </w:rPr>
        <w:t>:151–7. doi:10.1177/1062860605274520</w:t>
      </w:r>
    </w:p>
    <w:p w14:paraId="42F4796F" w14:textId="77777777" w:rsidR="004907F1" w:rsidRDefault="004907F1" w:rsidP="004907F1">
      <w:pPr>
        <w:pStyle w:val="Bibliography"/>
        <w:rPr>
          <w:rFonts w:ascii="Baskerville Old Face" w:hAnsi="Baskerville Old Face" w:cs="Calibri"/>
          <w:sz w:val="24"/>
          <w:szCs w:val="24"/>
        </w:rPr>
      </w:pPr>
      <w:r>
        <w:rPr>
          <w:rFonts w:ascii="Baskerville Old Face" w:hAnsi="Baskerville Old Face" w:cs="Calibri"/>
          <w:sz w:val="24"/>
          <w:szCs w:val="24"/>
        </w:rPr>
        <w:t xml:space="preserve">3 </w:t>
      </w:r>
      <w:r>
        <w:rPr>
          <w:rFonts w:ascii="Baskerville Old Face" w:hAnsi="Baskerville Old Face" w:cs="Calibri"/>
          <w:sz w:val="24"/>
          <w:szCs w:val="24"/>
        </w:rPr>
        <w:tab/>
        <w:t xml:space="preserve">Bachmann LM, Mühleisen A, Bock A, </w:t>
      </w:r>
      <w:r>
        <w:rPr>
          <w:rFonts w:ascii="Baskerville Old Face" w:hAnsi="Baskerville Old Face" w:cs="Calibri"/>
          <w:i/>
          <w:iCs/>
          <w:sz w:val="24"/>
          <w:szCs w:val="24"/>
        </w:rPr>
        <w:t>et al.</w:t>
      </w:r>
      <w:r>
        <w:rPr>
          <w:rFonts w:ascii="Baskerville Old Face" w:hAnsi="Baskerville Old Face" w:cs="Calibri"/>
          <w:sz w:val="24"/>
          <w:szCs w:val="24"/>
        </w:rPr>
        <w:t xml:space="preserve"> Vignette studies of medical choice and judgement to study caregivers’ medical decision behaviour: systematic review. </w:t>
      </w:r>
      <w:r>
        <w:rPr>
          <w:rFonts w:ascii="Baskerville Old Face" w:hAnsi="Baskerville Old Face" w:cs="Calibri"/>
          <w:i/>
          <w:iCs/>
          <w:sz w:val="24"/>
          <w:szCs w:val="24"/>
        </w:rPr>
        <w:t>BMC Med Res Methodol</w:t>
      </w:r>
      <w:r>
        <w:rPr>
          <w:rFonts w:ascii="Baskerville Old Face" w:hAnsi="Baskerville Old Face" w:cs="Calibri"/>
          <w:sz w:val="24"/>
          <w:szCs w:val="24"/>
        </w:rPr>
        <w:t xml:space="preserve"> 2008;</w:t>
      </w:r>
      <w:r>
        <w:rPr>
          <w:rFonts w:ascii="Baskerville Old Face" w:hAnsi="Baskerville Old Face" w:cs="Calibri"/>
          <w:b/>
          <w:bCs/>
          <w:sz w:val="24"/>
          <w:szCs w:val="24"/>
        </w:rPr>
        <w:t>8</w:t>
      </w:r>
      <w:r>
        <w:rPr>
          <w:rFonts w:ascii="Baskerville Old Face" w:hAnsi="Baskerville Old Face" w:cs="Calibri"/>
          <w:sz w:val="24"/>
          <w:szCs w:val="24"/>
        </w:rPr>
        <w:t>:50. doi:10.1186/1471-2288-8-50</w:t>
      </w:r>
    </w:p>
    <w:p w14:paraId="37E37D01" w14:textId="77777777" w:rsidR="004907F1" w:rsidRDefault="004907F1" w:rsidP="004907F1">
      <w:pPr>
        <w:pStyle w:val="Bibliography"/>
        <w:rPr>
          <w:rFonts w:ascii="Baskerville Old Face" w:hAnsi="Baskerville Old Face" w:cs="Calibri"/>
          <w:sz w:val="24"/>
          <w:szCs w:val="24"/>
        </w:rPr>
      </w:pPr>
      <w:r>
        <w:rPr>
          <w:rFonts w:ascii="Baskerville Old Face" w:hAnsi="Baskerville Old Face" w:cs="Calibri"/>
          <w:sz w:val="24"/>
          <w:szCs w:val="24"/>
        </w:rPr>
        <w:t xml:space="preserve">4 </w:t>
      </w:r>
      <w:r>
        <w:rPr>
          <w:rFonts w:ascii="Baskerville Old Face" w:hAnsi="Baskerville Old Face" w:cs="Calibri"/>
          <w:sz w:val="24"/>
          <w:szCs w:val="24"/>
        </w:rPr>
        <w:tab/>
        <w:t xml:space="preserve">van Vliet LM, Hillen MA, van der Wall E, </w:t>
      </w:r>
      <w:r>
        <w:rPr>
          <w:rFonts w:ascii="Baskerville Old Face" w:hAnsi="Baskerville Old Face" w:cs="Calibri"/>
          <w:i/>
          <w:iCs/>
          <w:sz w:val="24"/>
          <w:szCs w:val="24"/>
        </w:rPr>
        <w:t>et al.</w:t>
      </w:r>
      <w:r>
        <w:rPr>
          <w:rFonts w:ascii="Baskerville Old Face" w:hAnsi="Baskerville Old Face" w:cs="Calibri"/>
          <w:sz w:val="24"/>
          <w:szCs w:val="24"/>
        </w:rPr>
        <w:t xml:space="preserve"> How to create and administer scripted video-vignettes in an experimental study on disclosure of a palliative breast cancer diagnosis. </w:t>
      </w:r>
      <w:r>
        <w:rPr>
          <w:rFonts w:ascii="Baskerville Old Face" w:hAnsi="Baskerville Old Face" w:cs="Calibri"/>
          <w:i/>
          <w:iCs/>
          <w:sz w:val="24"/>
          <w:szCs w:val="24"/>
        </w:rPr>
        <w:t>Patient Educ Couns</w:t>
      </w:r>
      <w:r>
        <w:rPr>
          <w:rFonts w:ascii="Baskerville Old Face" w:hAnsi="Baskerville Old Face" w:cs="Calibri"/>
          <w:sz w:val="24"/>
          <w:szCs w:val="24"/>
        </w:rPr>
        <w:t xml:space="preserve"> 2013;</w:t>
      </w:r>
      <w:r>
        <w:rPr>
          <w:rFonts w:ascii="Baskerville Old Face" w:hAnsi="Baskerville Old Face" w:cs="Calibri"/>
          <w:b/>
          <w:bCs/>
          <w:sz w:val="24"/>
          <w:szCs w:val="24"/>
        </w:rPr>
        <w:t>91</w:t>
      </w:r>
      <w:r>
        <w:rPr>
          <w:rFonts w:ascii="Baskerville Old Face" w:hAnsi="Baskerville Old Face" w:cs="Calibri"/>
          <w:sz w:val="24"/>
          <w:szCs w:val="24"/>
        </w:rPr>
        <w:t>:56–64. doi:10.1016/j.pec.2012.10.017</w:t>
      </w:r>
    </w:p>
    <w:p w14:paraId="2D3F557F" w14:textId="77777777" w:rsidR="004907F1" w:rsidRDefault="004907F1" w:rsidP="004907F1">
      <w:pPr>
        <w:pStyle w:val="Bibliography"/>
        <w:rPr>
          <w:rFonts w:ascii="Baskerville Old Face" w:hAnsi="Baskerville Old Face" w:cs="Calibri"/>
          <w:sz w:val="24"/>
          <w:szCs w:val="24"/>
        </w:rPr>
      </w:pPr>
      <w:r>
        <w:rPr>
          <w:rFonts w:ascii="Baskerville Old Face" w:hAnsi="Baskerville Old Face" w:cs="Calibri"/>
          <w:sz w:val="24"/>
          <w:szCs w:val="24"/>
        </w:rPr>
        <w:t xml:space="preserve">5 </w:t>
      </w:r>
      <w:r>
        <w:rPr>
          <w:rFonts w:ascii="Baskerville Old Face" w:hAnsi="Baskerville Old Face" w:cs="Calibri"/>
          <w:sz w:val="24"/>
          <w:szCs w:val="24"/>
        </w:rPr>
        <w:tab/>
        <w:t xml:space="preserve">Hillen MA, van Vliet LM, de Haes HCJM, </w:t>
      </w:r>
      <w:r>
        <w:rPr>
          <w:rFonts w:ascii="Baskerville Old Face" w:hAnsi="Baskerville Old Face" w:cs="Calibri"/>
          <w:i/>
          <w:iCs/>
          <w:sz w:val="24"/>
          <w:szCs w:val="24"/>
        </w:rPr>
        <w:t>et al.</w:t>
      </w:r>
      <w:r>
        <w:rPr>
          <w:rFonts w:ascii="Baskerville Old Face" w:hAnsi="Baskerville Old Face" w:cs="Calibri"/>
          <w:sz w:val="24"/>
          <w:szCs w:val="24"/>
        </w:rPr>
        <w:t xml:space="preserve"> Developing and administering scripted video vignettes for experimental research of patient-provider communication. </w:t>
      </w:r>
      <w:r>
        <w:rPr>
          <w:rFonts w:ascii="Baskerville Old Face" w:hAnsi="Baskerville Old Face" w:cs="Calibri"/>
          <w:i/>
          <w:iCs/>
          <w:sz w:val="24"/>
          <w:szCs w:val="24"/>
        </w:rPr>
        <w:t>Patient Educ Couns</w:t>
      </w:r>
      <w:r>
        <w:rPr>
          <w:rFonts w:ascii="Baskerville Old Face" w:hAnsi="Baskerville Old Face" w:cs="Calibri"/>
          <w:sz w:val="24"/>
          <w:szCs w:val="24"/>
        </w:rPr>
        <w:t xml:space="preserve"> 2013;</w:t>
      </w:r>
      <w:r>
        <w:rPr>
          <w:rFonts w:ascii="Baskerville Old Face" w:hAnsi="Baskerville Old Face" w:cs="Calibri"/>
          <w:b/>
          <w:bCs/>
          <w:sz w:val="24"/>
          <w:szCs w:val="24"/>
        </w:rPr>
        <w:t>91</w:t>
      </w:r>
      <w:r>
        <w:rPr>
          <w:rFonts w:ascii="Baskerville Old Face" w:hAnsi="Baskerville Old Face" w:cs="Calibri"/>
          <w:sz w:val="24"/>
          <w:szCs w:val="24"/>
        </w:rPr>
        <w:t>:295–309. doi:10.1016/j.pec.2013.01.020</w:t>
      </w:r>
    </w:p>
    <w:p w14:paraId="71BFC393" w14:textId="77777777" w:rsidR="004907F1" w:rsidRDefault="004907F1" w:rsidP="004907F1">
      <w:pPr>
        <w:pStyle w:val="Bibliography"/>
        <w:rPr>
          <w:rFonts w:ascii="Baskerville Old Face" w:hAnsi="Baskerville Old Face" w:cs="Calibri"/>
          <w:sz w:val="24"/>
          <w:szCs w:val="24"/>
        </w:rPr>
      </w:pPr>
      <w:r>
        <w:rPr>
          <w:rFonts w:ascii="Baskerville Old Face" w:hAnsi="Baskerville Old Face" w:cs="Calibri"/>
          <w:sz w:val="24"/>
          <w:szCs w:val="24"/>
        </w:rPr>
        <w:t xml:space="preserve">6 </w:t>
      </w:r>
      <w:r>
        <w:rPr>
          <w:rFonts w:ascii="Baskerville Old Face" w:hAnsi="Baskerville Old Face" w:cs="Calibri"/>
          <w:sz w:val="24"/>
          <w:szCs w:val="24"/>
        </w:rPr>
        <w:tab/>
        <w:t xml:space="preserve">Converse L, Barrett K, Rich E, </w:t>
      </w:r>
      <w:r>
        <w:rPr>
          <w:rFonts w:ascii="Baskerville Old Face" w:hAnsi="Baskerville Old Face" w:cs="Calibri"/>
          <w:i/>
          <w:iCs/>
          <w:sz w:val="24"/>
          <w:szCs w:val="24"/>
        </w:rPr>
        <w:t>et al.</w:t>
      </w:r>
      <w:r>
        <w:rPr>
          <w:rFonts w:ascii="Baskerville Old Face" w:hAnsi="Baskerville Old Face" w:cs="Calibri"/>
          <w:sz w:val="24"/>
          <w:szCs w:val="24"/>
        </w:rPr>
        <w:t xml:space="preserve"> Methods of Observing Variations in Physicians’ Decisions: The Opportunities of Clinical Vignettes. </w:t>
      </w:r>
      <w:r>
        <w:rPr>
          <w:rFonts w:ascii="Baskerville Old Face" w:hAnsi="Baskerville Old Face" w:cs="Calibri"/>
          <w:i/>
          <w:iCs/>
          <w:sz w:val="24"/>
          <w:szCs w:val="24"/>
        </w:rPr>
        <w:t>J Gen Intern Med</w:t>
      </w:r>
      <w:r>
        <w:rPr>
          <w:rFonts w:ascii="Baskerville Old Face" w:hAnsi="Baskerville Old Face" w:cs="Calibri"/>
          <w:sz w:val="24"/>
          <w:szCs w:val="24"/>
        </w:rPr>
        <w:t xml:space="preserve"> 2015;</w:t>
      </w:r>
      <w:r>
        <w:rPr>
          <w:rFonts w:ascii="Baskerville Old Face" w:hAnsi="Baskerville Old Face" w:cs="Calibri"/>
          <w:b/>
          <w:bCs/>
          <w:sz w:val="24"/>
          <w:szCs w:val="24"/>
        </w:rPr>
        <w:t>30</w:t>
      </w:r>
      <w:r>
        <w:rPr>
          <w:rFonts w:ascii="Baskerville Old Face" w:hAnsi="Baskerville Old Face" w:cs="Calibri"/>
          <w:sz w:val="24"/>
          <w:szCs w:val="24"/>
        </w:rPr>
        <w:t>:586–94. doi:10.1007/s11606-015-3365-8</w:t>
      </w:r>
    </w:p>
    <w:p w14:paraId="64BEC175" w14:textId="77777777" w:rsidR="004907F1" w:rsidRDefault="004907F1" w:rsidP="004907F1">
      <w:pPr>
        <w:pStyle w:val="Bibliography"/>
        <w:rPr>
          <w:rFonts w:ascii="Baskerville Old Face" w:hAnsi="Baskerville Old Face" w:cs="Calibri"/>
          <w:sz w:val="24"/>
          <w:szCs w:val="24"/>
        </w:rPr>
      </w:pPr>
      <w:r>
        <w:rPr>
          <w:rFonts w:ascii="Baskerville Old Face" w:hAnsi="Baskerville Old Face" w:cs="Calibri"/>
          <w:sz w:val="24"/>
          <w:szCs w:val="24"/>
        </w:rPr>
        <w:t xml:space="preserve">7 </w:t>
      </w:r>
      <w:r>
        <w:rPr>
          <w:rFonts w:ascii="Baskerville Old Face" w:hAnsi="Baskerville Old Face" w:cs="Calibri"/>
          <w:sz w:val="24"/>
          <w:szCs w:val="24"/>
        </w:rPr>
        <w:tab/>
        <w:t xml:space="preserve">Evans SC, Roberts MC, Keeley JW, </w:t>
      </w:r>
      <w:r>
        <w:rPr>
          <w:rFonts w:ascii="Baskerville Old Face" w:hAnsi="Baskerville Old Face" w:cs="Calibri"/>
          <w:i/>
          <w:iCs/>
          <w:sz w:val="24"/>
          <w:szCs w:val="24"/>
        </w:rPr>
        <w:t>et al.</w:t>
      </w:r>
      <w:r>
        <w:rPr>
          <w:rFonts w:ascii="Baskerville Old Face" w:hAnsi="Baskerville Old Face" w:cs="Calibri"/>
          <w:sz w:val="24"/>
          <w:szCs w:val="24"/>
        </w:rPr>
        <w:t xml:space="preserve"> Vignette methodologies for studying clinicians’ decision-making: Validity, utility, and application in ICD-11 field studies. </w:t>
      </w:r>
      <w:r>
        <w:rPr>
          <w:rFonts w:ascii="Baskerville Old Face" w:hAnsi="Baskerville Old Face" w:cs="Calibri"/>
          <w:i/>
          <w:iCs/>
          <w:sz w:val="24"/>
          <w:szCs w:val="24"/>
        </w:rPr>
        <w:t>Int J Clin Health Psychol</w:t>
      </w:r>
      <w:r>
        <w:rPr>
          <w:rFonts w:ascii="Baskerville Old Face" w:hAnsi="Baskerville Old Face" w:cs="Calibri"/>
          <w:sz w:val="24"/>
          <w:szCs w:val="24"/>
        </w:rPr>
        <w:t xml:space="preserve"> 2015;</w:t>
      </w:r>
      <w:r>
        <w:rPr>
          <w:rFonts w:ascii="Baskerville Old Face" w:hAnsi="Baskerville Old Face" w:cs="Calibri"/>
          <w:b/>
          <w:bCs/>
          <w:sz w:val="24"/>
          <w:szCs w:val="24"/>
        </w:rPr>
        <w:t>15</w:t>
      </w:r>
      <w:r>
        <w:rPr>
          <w:rFonts w:ascii="Baskerville Old Face" w:hAnsi="Baskerville Old Face" w:cs="Calibri"/>
          <w:sz w:val="24"/>
          <w:szCs w:val="24"/>
        </w:rPr>
        <w:t>:160–70. doi:10.1016/j.ijchp.2014.12.001</w:t>
      </w:r>
    </w:p>
    <w:p w14:paraId="05108471" w14:textId="77777777" w:rsidR="004907F1" w:rsidRDefault="004907F1" w:rsidP="004907F1">
      <w:pPr>
        <w:autoSpaceDE w:val="0"/>
        <w:autoSpaceDN w:val="0"/>
        <w:adjustRightInd w:val="0"/>
        <w:spacing w:after="0" w:line="360" w:lineRule="auto"/>
        <w:rPr>
          <w:rFonts w:cstheme="minorHAnsi"/>
        </w:rPr>
      </w:pPr>
      <w:r>
        <w:rPr>
          <w:rFonts w:ascii="Baskerville Old Face" w:hAnsi="Baskerville Old Face" w:cstheme="minorHAnsi"/>
          <w:sz w:val="24"/>
          <w:szCs w:val="24"/>
        </w:rPr>
        <w:fldChar w:fldCharType="end"/>
      </w:r>
    </w:p>
    <w:p w14:paraId="2612B24B" w14:textId="77777777" w:rsidR="00FA2365" w:rsidRPr="00FA2365" w:rsidRDefault="00FA2365" w:rsidP="00FA2365">
      <w:pPr>
        <w:rPr>
          <w:rFonts w:ascii="Baskerville Old Face" w:hAnsi="Baskerville Old Face" w:cstheme="minorHAnsi"/>
        </w:rPr>
      </w:pPr>
    </w:p>
    <w:sectPr w:rsidR="00FA2365" w:rsidRPr="00FA2365">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2370C1" w14:textId="77777777" w:rsidR="000B0486" w:rsidRDefault="000B0486" w:rsidP="000B0486">
      <w:pPr>
        <w:spacing w:after="0" w:line="240" w:lineRule="auto"/>
      </w:pPr>
      <w:r>
        <w:separator/>
      </w:r>
    </w:p>
  </w:endnote>
  <w:endnote w:type="continuationSeparator" w:id="0">
    <w:p w14:paraId="70967A52" w14:textId="77777777" w:rsidR="000B0486" w:rsidRDefault="000B0486" w:rsidP="000B0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6588483"/>
      <w:docPartObj>
        <w:docPartGallery w:val="Page Numbers (Bottom of Page)"/>
        <w:docPartUnique/>
      </w:docPartObj>
    </w:sdtPr>
    <w:sdtEndPr>
      <w:rPr>
        <w:noProof/>
      </w:rPr>
    </w:sdtEndPr>
    <w:sdtContent>
      <w:p w14:paraId="0CD49D38" w14:textId="7CADA5CA" w:rsidR="000B0486" w:rsidRDefault="000B0486">
        <w:pPr>
          <w:pStyle w:val="Footer"/>
          <w:jc w:val="right"/>
        </w:pPr>
        <w:r>
          <w:fldChar w:fldCharType="begin"/>
        </w:r>
        <w:r>
          <w:instrText xml:space="preserve"> PAGE   \* MERGEFORMAT </w:instrText>
        </w:r>
        <w:r>
          <w:fldChar w:fldCharType="separate"/>
        </w:r>
        <w:r w:rsidR="00EC3AED">
          <w:rPr>
            <w:noProof/>
          </w:rPr>
          <w:t>4</w:t>
        </w:r>
        <w:r>
          <w:rPr>
            <w:noProof/>
          </w:rPr>
          <w:fldChar w:fldCharType="end"/>
        </w:r>
      </w:p>
    </w:sdtContent>
  </w:sdt>
  <w:p w14:paraId="2A4BCA2B" w14:textId="77777777" w:rsidR="000B0486" w:rsidRDefault="000B04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F62E0D" w14:textId="77777777" w:rsidR="000B0486" w:rsidRDefault="000B0486" w:rsidP="000B0486">
      <w:pPr>
        <w:spacing w:after="0" w:line="240" w:lineRule="auto"/>
      </w:pPr>
      <w:r>
        <w:separator/>
      </w:r>
    </w:p>
  </w:footnote>
  <w:footnote w:type="continuationSeparator" w:id="0">
    <w:p w14:paraId="1EFE24BA" w14:textId="77777777" w:rsidR="000B0486" w:rsidRDefault="000B0486" w:rsidP="000B04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81E9E"/>
    <w:multiLevelType w:val="multilevel"/>
    <w:tmpl w:val="AB5A4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9B43D3"/>
    <w:multiLevelType w:val="hybridMultilevel"/>
    <w:tmpl w:val="71A09E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3985E71"/>
    <w:multiLevelType w:val="hybridMultilevel"/>
    <w:tmpl w:val="BAC235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673837"/>
    <w:multiLevelType w:val="hybridMultilevel"/>
    <w:tmpl w:val="B66CFE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C791595"/>
    <w:multiLevelType w:val="hybridMultilevel"/>
    <w:tmpl w:val="707C9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51C677C"/>
    <w:multiLevelType w:val="hybridMultilevel"/>
    <w:tmpl w:val="938CD7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92F2810"/>
    <w:multiLevelType w:val="hybridMultilevel"/>
    <w:tmpl w:val="93048F76"/>
    <w:lvl w:ilvl="0" w:tplc="C1D49E12">
      <w:start w:val="1"/>
      <w:numFmt w:val="upperLetter"/>
      <w:lvlText w:val="%1."/>
      <w:lvlJc w:val="left"/>
      <w:pPr>
        <w:ind w:left="360" w:hanging="360"/>
      </w:pPr>
      <w:rPr>
        <w:rFonts w:cstheme="minorBidi"/>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 w15:restartNumberingAfterBreak="0">
    <w:nsid w:val="3037611F"/>
    <w:multiLevelType w:val="hybridMultilevel"/>
    <w:tmpl w:val="AF54B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BAE4B79"/>
    <w:multiLevelType w:val="hybridMultilevel"/>
    <w:tmpl w:val="79E6D5B8"/>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4E6A0207"/>
    <w:multiLevelType w:val="hybridMultilevel"/>
    <w:tmpl w:val="10F4A4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ED05395"/>
    <w:multiLevelType w:val="hybridMultilevel"/>
    <w:tmpl w:val="BF084A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52B2441A"/>
    <w:multiLevelType w:val="hybridMultilevel"/>
    <w:tmpl w:val="11FE94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3445AF"/>
    <w:multiLevelType w:val="hybridMultilevel"/>
    <w:tmpl w:val="E9BA110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62BB7D4C"/>
    <w:multiLevelType w:val="hybridMultilevel"/>
    <w:tmpl w:val="E9BA110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6B7F32B1"/>
    <w:multiLevelType w:val="hybridMultilevel"/>
    <w:tmpl w:val="E294E5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6CD60D5B"/>
    <w:multiLevelType w:val="hybridMultilevel"/>
    <w:tmpl w:val="2C40F1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75A3485A"/>
    <w:multiLevelType w:val="hybridMultilevel"/>
    <w:tmpl w:val="B66CFE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num>
  <w:num w:numId="2">
    <w:abstractNumId w:val="2"/>
  </w:num>
  <w:num w:numId="3">
    <w:abstractNumId w:val="11"/>
  </w:num>
  <w:num w:numId="4">
    <w:abstractNumId w:val="4"/>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4"/>
  </w:num>
  <w:num w:numId="9">
    <w:abstractNumId w:val="9"/>
  </w:num>
  <w:num w:numId="10">
    <w:abstractNumId w:val="1"/>
  </w:num>
  <w:num w:numId="11">
    <w:abstractNumId w:val="7"/>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5"/>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94E"/>
    <w:rsid w:val="00034C4B"/>
    <w:rsid w:val="00083F1C"/>
    <w:rsid w:val="000B0486"/>
    <w:rsid w:val="00164EB5"/>
    <w:rsid w:val="001E294E"/>
    <w:rsid w:val="003E568C"/>
    <w:rsid w:val="004907F1"/>
    <w:rsid w:val="005535D7"/>
    <w:rsid w:val="005E2F5D"/>
    <w:rsid w:val="00664FA8"/>
    <w:rsid w:val="006827EF"/>
    <w:rsid w:val="006A74F9"/>
    <w:rsid w:val="006B2C89"/>
    <w:rsid w:val="007C5F4D"/>
    <w:rsid w:val="009A1289"/>
    <w:rsid w:val="00B042FD"/>
    <w:rsid w:val="00BB5BD2"/>
    <w:rsid w:val="00D24D16"/>
    <w:rsid w:val="00D57C9A"/>
    <w:rsid w:val="00E0218C"/>
    <w:rsid w:val="00E53128"/>
    <w:rsid w:val="00EC3AED"/>
    <w:rsid w:val="00ED3C4C"/>
    <w:rsid w:val="00FA236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2C1A1"/>
  <w15:chartTrackingRefBased/>
  <w15:docId w15:val="{E664784D-7A98-40F7-9100-422A1575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4907F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1E294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E294E"/>
    <w:rPr>
      <w:rFonts w:ascii="Times New Roman" w:eastAsia="Times New Roman" w:hAnsi="Times New Roman" w:cs="Times New Roman"/>
      <w:b/>
      <w:bCs/>
      <w:sz w:val="27"/>
      <w:szCs w:val="27"/>
      <w:lang w:eastAsia="en-GB"/>
    </w:rPr>
  </w:style>
  <w:style w:type="character" w:styleId="CommentReference">
    <w:name w:val="annotation reference"/>
    <w:basedOn w:val="DefaultParagraphFont"/>
    <w:uiPriority w:val="99"/>
    <w:semiHidden/>
    <w:unhideWhenUsed/>
    <w:rsid w:val="001E294E"/>
    <w:rPr>
      <w:sz w:val="16"/>
      <w:szCs w:val="16"/>
    </w:rPr>
  </w:style>
  <w:style w:type="paragraph" w:styleId="CommentText">
    <w:name w:val="annotation text"/>
    <w:basedOn w:val="Normal"/>
    <w:link w:val="CommentTextChar"/>
    <w:uiPriority w:val="99"/>
    <w:unhideWhenUsed/>
    <w:rsid w:val="001E294E"/>
    <w:pPr>
      <w:spacing w:after="200" w:line="240" w:lineRule="auto"/>
    </w:pPr>
    <w:rPr>
      <w:sz w:val="20"/>
      <w:szCs w:val="20"/>
    </w:rPr>
  </w:style>
  <w:style w:type="character" w:customStyle="1" w:styleId="CommentTextChar">
    <w:name w:val="Comment Text Char"/>
    <w:basedOn w:val="DefaultParagraphFont"/>
    <w:link w:val="CommentText"/>
    <w:uiPriority w:val="99"/>
    <w:rsid w:val="001E294E"/>
    <w:rPr>
      <w:sz w:val="20"/>
      <w:szCs w:val="20"/>
    </w:rPr>
  </w:style>
  <w:style w:type="table" w:styleId="TableGrid">
    <w:name w:val="Table Grid"/>
    <w:basedOn w:val="TableNormal"/>
    <w:uiPriority w:val="59"/>
    <w:rsid w:val="001E29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E294E"/>
    <w:pPr>
      <w:spacing w:after="200" w:line="240" w:lineRule="auto"/>
    </w:pPr>
    <w:rPr>
      <w:b/>
      <w:bCs/>
      <w:color w:val="5B9BD5" w:themeColor="accent1"/>
      <w:sz w:val="18"/>
      <w:szCs w:val="18"/>
    </w:rPr>
  </w:style>
  <w:style w:type="character" w:customStyle="1" w:styleId="searchhistory-search-term">
    <w:name w:val="searchhistory-search-term"/>
    <w:basedOn w:val="DefaultParagraphFont"/>
    <w:rsid w:val="001E294E"/>
  </w:style>
  <w:style w:type="table" w:customStyle="1" w:styleId="GridTable1Light2">
    <w:name w:val="Grid Table 1 Light2"/>
    <w:basedOn w:val="TableNormal"/>
    <w:uiPriority w:val="46"/>
    <w:rsid w:val="001E294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1E29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294E"/>
    <w:rPr>
      <w:rFonts w:ascii="Segoe UI" w:hAnsi="Segoe UI" w:cs="Segoe UI"/>
      <w:sz w:val="18"/>
      <w:szCs w:val="18"/>
    </w:rPr>
  </w:style>
  <w:style w:type="paragraph" w:styleId="ListParagraph">
    <w:name w:val="List Paragraph"/>
    <w:basedOn w:val="Normal"/>
    <w:uiPriority w:val="34"/>
    <w:qFormat/>
    <w:rsid w:val="001E294E"/>
    <w:pPr>
      <w:ind w:left="720"/>
      <w:contextualSpacing/>
    </w:pPr>
  </w:style>
  <w:style w:type="paragraph" w:styleId="CommentSubject">
    <w:name w:val="annotation subject"/>
    <w:basedOn w:val="CommentText"/>
    <w:next w:val="CommentText"/>
    <w:link w:val="CommentSubjectChar"/>
    <w:uiPriority w:val="99"/>
    <w:semiHidden/>
    <w:unhideWhenUsed/>
    <w:rsid w:val="001E294E"/>
    <w:pPr>
      <w:spacing w:after="160"/>
    </w:pPr>
    <w:rPr>
      <w:b/>
      <w:bCs/>
    </w:rPr>
  </w:style>
  <w:style w:type="character" w:customStyle="1" w:styleId="CommentSubjectChar">
    <w:name w:val="Comment Subject Char"/>
    <w:basedOn w:val="CommentTextChar"/>
    <w:link w:val="CommentSubject"/>
    <w:uiPriority w:val="99"/>
    <w:semiHidden/>
    <w:rsid w:val="001E294E"/>
    <w:rPr>
      <w:b/>
      <w:bCs/>
      <w:sz w:val="20"/>
      <w:szCs w:val="20"/>
    </w:rPr>
  </w:style>
  <w:style w:type="character" w:styleId="Hyperlink">
    <w:name w:val="Hyperlink"/>
    <w:basedOn w:val="DefaultParagraphFont"/>
    <w:uiPriority w:val="99"/>
    <w:semiHidden/>
    <w:unhideWhenUsed/>
    <w:rsid w:val="001E294E"/>
    <w:rPr>
      <w:color w:val="0000FF"/>
      <w:u w:val="single"/>
    </w:rPr>
  </w:style>
  <w:style w:type="table" w:styleId="ListTable4-Accent1">
    <w:name w:val="List Table 4 Accent 1"/>
    <w:basedOn w:val="TableNormal"/>
    <w:uiPriority w:val="49"/>
    <w:rsid w:val="006827E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Bibliography">
    <w:name w:val="Bibliography"/>
    <w:basedOn w:val="Normal"/>
    <w:next w:val="Normal"/>
    <w:uiPriority w:val="37"/>
    <w:unhideWhenUsed/>
    <w:rsid w:val="009A1289"/>
    <w:pPr>
      <w:tabs>
        <w:tab w:val="left" w:pos="264"/>
      </w:tabs>
      <w:spacing w:after="240" w:line="240" w:lineRule="auto"/>
      <w:ind w:left="264" w:hanging="264"/>
    </w:pPr>
  </w:style>
  <w:style w:type="paragraph" w:styleId="Header">
    <w:name w:val="header"/>
    <w:basedOn w:val="Normal"/>
    <w:link w:val="HeaderChar"/>
    <w:uiPriority w:val="99"/>
    <w:unhideWhenUsed/>
    <w:rsid w:val="000B04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486"/>
  </w:style>
  <w:style w:type="paragraph" w:styleId="Footer">
    <w:name w:val="footer"/>
    <w:basedOn w:val="Normal"/>
    <w:link w:val="FooterChar"/>
    <w:uiPriority w:val="99"/>
    <w:unhideWhenUsed/>
    <w:rsid w:val="000B04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0486"/>
  </w:style>
  <w:style w:type="table" w:styleId="GridTable2-Accent1">
    <w:name w:val="Grid Table 2 Accent 1"/>
    <w:basedOn w:val="TableNormal"/>
    <w:uiPriority w:val="47"/>
    <w:rsid w:val="00FA2365"/>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PlainText">
    <w:name w:val="Plain Text"/>
    <w:basedOn w:val="Normal"/>
    <w:link w:val="PlainTextChar"/>
    <w:uiPriority w:val="99"/>
    <w:semiHidden/>
    <w:unhideWhenUsed/>
    <w:rsid w:val="004907F1"/>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semiHidden/>
    <w:rsid w:val="004907F1"/>
    <w:rPr>
      <w:rFonts w:ascii="Calibri" w:eastAsia="Times New Roman" w:hAnsi="Calibri" w:cs="Times New Roman"/>
      <w:szCs w:val="21"/>
    </w:rPr>
  </w:style>
  <w:style w:type="paragraph" w:customStyle="1" w:styleId="ThesisHeading2">
    <w:name w:val="Thesis Heading 2"/>
    <w:basedOn w:val="Heading2"/>
    <w:qFormat/>
    <w:rsid w:val="004907F1"/>
    <w:pPr>
      <w:spacing w:before="0" w:line="360" w:lineRule="auto"/>
    </w:pPr>
    <w:rPr>
      <w:rFonts w:ascii="Arial" w:hAnsi="Arial"/>
      <w:b/>
      <w:bCs/>
      <w:color w:val="auto"/>
      <w:sz w:val="24"/>
    </w:rPr>
  </w:style>
  <w:style w:type="table" w:styleId="GridTable1Light">
    <w:name w:val="Grid Table 1 Light"/>
    <w:basedOn w:val="TableNormal"/>
    <w:uiPriority w:val="46"/>
    <w:rsid w:val="004907F1"/>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9"/>
    <w:semiHidden/>
    <w:rsid w:val="004907F1"/>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0446029">
      <w:bodyDiv w:val="1"/>
      <w:marLeft w:val="0"/>
      <w:marRight w:val="0"/>
      <w:marTop w:val="0"/>
      <w:marBottom w:val="0"/>
      <w:divBdr>
        <w:top w:val="none" w:sz="0" w:space="0" w:color="auto"/>
        <w:left w:val="none" w:sz="0" w:space="0" w:color="auto"/>
        <w:bottom w:val="none" w:sz="0" w:space="0" w:color="auto"/>
        <w:right w:val="none" w:sz="0" w:space="0" w:color="auto"/>
      </w:divBdr>
    </w:div>
    <w:div w:id="82709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sign.ac.uk/search-filter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17507</Words>
  <Characters>99796</Characters>
  <Application>Microsoft Office Word</Application>
  <DocSecurity>0</DocSecurity>
  <Lines>831</Lines>
  <Paragraphs>234</Paragraphs>
  <ScaleCrop>false</ScaleCrop>
  <HeadingPairs>
    <vt:vector size="2" baseType="variant">
      <vt:variant>
        <vt:lpstr>Title</vt:lpstr>
      </vt:variant>
      <vt:variant>
        <vt:i4>1</vt:i4>
      </vt:variant>
    </vt:vector>
  </HeadingPairs>
  <TitlesOfParts>
    <vt:vector size="1" baseType="lpstr">
      <vt:lpstr/>
    </vt:vector>
  </TitlesOfParts>
  <Company>University College London</Company>
  <LinksUpToDate>false</LinksUpToDate>
  <CharactersWithSpaces>117069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Sheringham, Jessica</dc:creator>
  <cp:keywords/>
  <dc:description/>
  <cp:lastModifiedBy>Jessica Sheringham</cp:lastModifiedBy>
  <cp:revision>2</cp:revision>
  <dcterms:created xsi:type="dcterms:W3CDTF">2020-11-18T08:55:00Z</dcterms:created>
  <dcterms:modified xsi:type="dcterms:W3CDTF">2020-11-18T08:55:00Z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zotero-version="5.0.83"&gt;&lt;session id="61eEAl5X"/&gt;&lt;style id="http://www.zotero.org/styles/bmj" hasBibliography="1" bibliographyStyleHasBeenSet="1"/&gt;&lt;prefs&gt;&lt;pref name="fieldType" value="Field"/&gt;&lt;pref name="automaticJournalAbbreviations</vt:lpwstr>
  </property>
  <property fmtid="{D5CDD505-2E9C-101B-9397-08002B2CF9AE}" pid="3" name="ZOTERO_PREF_2">
    <vt:lpwstr>" value="true"/&gt;&lt;/prefs&gt;&lt;/data&gt;</vt:lpwstr>
  </property>
</Properties>
</file>