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EB372F" w14:textId="00B0FEF0" w:rsidR="00845FE1" w:rsidRPr="00845FE1" w:rsidRDefault="00845FE1" w:rsidP="00845FE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Additional file </w:t>
      </w:r>
      <w:r>
        <w:rPr>
          <w:rFonts w:ascii="Times New Roman" w:hAnsi="Times New Roman" w:cs="Times New Roman"/>
          <w:b/>
          <w:bCs/>
          <w:sz w:val="24"/>
          <w:szCs w:val="24"/>
        </w:rPr>
        <w:t>2</w:t>
      </w:r>
      <w:r>
        <w:rPr>
          <w:rFonts w:ascii="Times New Roman" w:hAnsi="Times New Roman" w:cs="Times New Roman"/>
          <w:b/>
          <w:bCs/>
          <w:sz w:val="24"/>
          <w:szCs w:val="24"/>
        </w:rPr>
        <w:t>: Part</w:t>
      </w:r>
      <w:r w:rsidRPr="006A0D07">
        <w:rPr>
          <w:rFonts w:ascii="Times New Roman" w:hAnsi="Times New Roman" w:cs="Times New Roman"/>
          <w:b/>
          <w:bCs/>
          <w:sz w:val="24"/>
          <w:szCs w:val="24"/>
        </w:rPr>
        <w:t xml:space="preserve"> </w:t>
      </w:r>
      <w:proofErr w:type="spellStart"/>
      <w:proofErr w:type="gramStart"/>
      <w:r w:rsidRPr="006A0D07">
        <w:rPr>
          <w:rFonts w:ascii="Times New Roman" w:hAnsi="Times New Roman" w:cs="Times New Roman"/>
          <w:b/>
          <w:bCs/>
          <w:sz w:val="24"/>
          <w:szCs w:val="24"/>
        </w:rPr>
        <w:t>II.</w:t>
      </w:r>
      <w:r>
        <w:rPr>
          <w:rFonts w:ascii="Times New Roman" w:hAnsi="Times New Roman" w:cs="Times New Roman"/>
          <w:b/>
          <w:bCs/>
          <w:sz w:val="24"/>
          <w:szCs w:val="24"/>
        </w:rPr>
        <w:t>Table</w:t>
      </w:r>
      <w:proofErr w:type="spellEnd"/>
      <w:proofErr w:type="gramEnd"/>
      <w:r>
        <w:rPr>
          <w:rFonts w:ascii="Times New Roman" w:hAnsi="Times New Roman" w:cs="Times New Roman"/>
          <w:b/>
          <w:bCs/>
          <w:sz w:val="24"/>
          <w:szCs w:val="24"/>
        </w:rPr>
        <w:t xml:space="preserve"> S1-Table S2</w:t>
      </w:r>
    </w:p>
    <w:p w14:paraId="0E4D41DC" w14:textId="67E4C135" w:rsidR="0011418E" w:rsidRPr="0086760B" w:rsidRDefault="0011418E">
      <w:pPr>
        <w:rPr>
          <w:rFonts w:ascii="Times New Roman" w:hAnsi="Times New Roman" w:cs="Times New Roman"/>
          <w:b/>
          <w:bCs/>
          <w:sz w:val="20"/>
          <w:szCs w:val="20"/>
        </w:rPr>
      </w:pPr>
      <w:r w:rsidRPr="0086760B">
        <w:rPr>
          <w:rFonts w:ascii="Times New Roman" w:hAnsi="Times New Roman" w:cs="Times New Roman"/>
          <w:b/>
          <w:bCs/>
          <w:sz w:val="20"/>
          <w:szCs w:val="20"/>
        </w:rPr>
        <w:t xml:space="preserve">Table </w:t>
      </w:r>
      <w:r w:rsidR="003E0F1A" w:rsidRPr="0086760B">
        <w:rPr>
          <w:rFonts w:ascii="Times New Roman" w:hAnsi="Times New Roman" w:cs="Times New Roman"/>
          <w:b/>
          <w:bCs/>
          <w:sz w:val="20"/>
          <w:szCs w:val="20"/>
        </w:rPr>
        <w:t>S</w:t>
      </w:r>
      <w:r w:rsidRPr="0086760B">
        <w:rPr>
          <w:rFonts w:ascii="Times New Roman" w:hAnsi="Times New Roman" w:cs="Times New Roman"/>
          <w:b/>
          <w:bCs/>
          <w:sz w:val="20"/>
          <w:szCs w:val="20"/>
        </w:rPr>
        <w:t xml:space="preserve">1. Characteristics </w:t>
      </w:r>
      <w:r w:rsidR="00DA487A" w:rsidRPr="0086760B">
        <w:rPr>
          <w:rFonts w:ascii="Times New Roman" w:hAnsi="Times New Roman" w:cs="Times New Roman"/>
          <w:b/>
          <w:bCs/>
          <w:sz w:val="20"/>
          <w:szCs w:val="20"/>
        </w:rPr>
        <w:t xml:space="preserve">of Included Studies on Hospital Readmission Predictive Models </w:t>
      </w:r>
      <w:r w:rsidRPr="0086760B">
        <w:rPr>
          <w:rFonts w:ascii="Times New Roman" w:hAnsi="Times New Roman" w:cs="Times New Roman"/>
          <w:b/>
          <w:bCs/>
          <w:sz w:val="20"/>
          <w:szCs w:val="20"/>
        </w:rPr>
        <w:t>(N=43 studies)</w:t>
      </w:r>
    </w:p>
    <w:tbl>
      <w:tblPr>
        <w:tblStyle w:val="TableGrid"/>
        <w:tblW w:w="0" w:type="auto"/>
        <w:tblLayout w:type="fixed"/>
        <w:tblLook w:val="04A0" w:firstRow="1" w:lastRow="0" w:firstColumn="1" w:lastColumn="0" w:noHBand="0" w:noVBand="1"/>
      </w:tblPr>
      <w:tblGrid>
        <w:gridCol w:w="1726"/>
        <w:gridCol w:w="1689"/>
        <w:gridCol w:w="1782"/>
        <w:gridCol w:w="1633"/>
        <w:gridCol w:w="1776"/>
        <w:gridCol w:w="2184"/>
      </w:tblGrid>
      <w:tr w:rsidR="0011418E" w:rsidRPr="0086760B" w14:paraId="24221022" w14:textId="77777777" w:rsidTr="0086760B">
        <w:trPr>
          <w:trHeight w:val="660"/>
        </w:trPr>
        <w:tc>
          <w:tcPr>
            <w:tcW w:w="1726" w:type="dxa"/>
            <w:shd w:val="clear" w:color="auto" w:fill="808080" w:themeFill="background1" w:themeFillShade="80"/>
            <w:hideMark/>
          </w:tcPr>
          <w:p w14:paraId="56CB994B" w14:textId="77777777"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1689" w:type="dxa"/>
            <w:shd w:val="clear" w:color="auto" w:fill="808080" w:themeFill="background1" w:themeFillShade="80"/>
            <w:hideMark/>
          </w:tcPr>
          <w:p w14:paraId="5BC4B048" w14:textId="77777777"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Data Source</w:t>
            </w:r>
          </w:p>
        </w:tc>
        <w:tc>
          <w:tcPr>
            <w:tcW w:w="1782" w:type="dxa"/>
            <w:shd w:val="clear" w:color="auto" w:fill="808080" w:themeFill="background1" w:themeFillShade="80"/>
            <w:hideMark/>
          </w:tcPr>
          <w:p w14:paraId="23AB926D" w14:textId="77777777"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Population and Setting </w:t>
            </w:r>
          </w:p>
        </w:tc>
        <w:tc>
          <w:tcPr>
            <w:tcW w:w="1633" w:type="dxa"/>
            <w:shd w:val="clear" w:color="auto" w:fill="808080" w:themeFill="background1" w:themeFillShade="80"/>
            <w:hideMark/>
          </w:tcPr>
          <w:p w14:paraId="081D1207" w14:textId="77777777"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Sample Size </w:t>
            </w:r>
          </w:p>
        </w:tc>
        <w:tc>
          <w:tcPr>
            <w:tcW w:w="1776" w:type="dxa"/>
            <w:shd w:val="clear" w:color="auto" w:fill="808080" w:themeFill="background1" w:themeFillShade="80"/>
            <w:hideMark/>
          </w:tcPr>
          <w:p w14:paraId="5E495362" w14:textId="77777777"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Type of Readmission Measures </w:t>
            </w:r>
          </w:p>
        </w:tc>
        <w:tc>
          <w:tcPr>
            <w:tcW w:w="2184" w:type="dxa"/>
            <w:shd w:val="clear" w:color="auto" w:fill="808080" w:themeFill="background1" w:themeFillShade="80"/>
            <w:hideMark/>
          </w:tcPr>
          <w:p w14:paraId="3E10C353" w14:textId="7569153A"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Actual Readmission Rate,</w:t>
            </w:r>
            <w:r w:rsidR="00B42A53" w:rsidRPr="0086760B">
              <w:rPr>
                <w:rFonts w:ascii="Times New Roman" w:hAnsi="Times New Roman" w:cs="Times New Roman"/>
                <w:b/>
                <w:color w:val="FFFFFF" w:themeColor="background1"/>
                <w:sz w:val="20"/>
                <w:szCs w:val="20"/>
              </w:rPr>
              <w:t xml:space="preserve"> </w:t>
            </w:r>
            <w:r w:rsidRPr="0086760B">
              <w:rPr>
                <w:rFonts w:ascii="Times New Roman" w:hAnsi="Times New Roman" w:cs="Times New Roman"/>
                <w:b/>
                <w:color w:val="FFFFFF" w:themeColor="background1"/>
                <w:sz w:val="20"/>
                <w:szCs w:val="20"/>
              </w:rPr>
              <w:t>%</w:t>
            </w:r>
          </w:p>
        </w:tc>
      </w:tr>
      <w:tr w:rsidR="0011418E" w:rsidRPr="0086760B" w14:paraId="0D27286B" w14:textId="77777777" w:rsidTr="00F43DF7">
        <w:trPr>
          <w:trHeight w:val="1110"/>
        </w:trPr>
        <w:tc>
          <w:tcPr>
            <w:tcW w:w="1726" w:type="dxa"/>
            <w:hideMark/>
          </w:tcPr>
          <w:p w14:paraId="49D1BF0B"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Kang et al, 2016</w:t>
            </w:r>
          </w:p>
        </w:tc>
        <w:tc>
          <w:tcPr>
            <w:tcW w:w="1689" w:type="dxa"/>
            <w:hideMark/>
          </w:tcPr>
          <w:p w14:paraId="0E9AE8E8"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Medicare Outcome and Assessment Information Set (OASIS-C)</w:t>
            </w:r>
          </w:p>
        </w:tc>
        <w:tc>
          <w:tcPr>
            <w:tcW w:w="1782" w:type="dxa"/>
            <w:hideMark/>
          </w:tcPr>
          <w:p w14:paraId="67E5D2F0" w14:textId="7A82FDBD"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HF patients receiving tele-homecare discharged from an in-patient facility in 2010</w:t>
            </w:r>
          </w:p>
        </w:tc>
        <w:tc>
          <w:tcPr>
            <w:tcW w:w="1633" w:type="dxa"/>
            <w:hideMark/>
          </w:tcPr>
          <w:p w14:paraId="76DA260A"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552 patients</w:t>
            </w:r>
          </w:p>
        </w:tc>
        <w:tc>
          <w:tcPr>
            <w:tcW w:w="1776" w:type="dxa"/>
            <w:hideMark/>
          </w:tcPr>
          <w:p w14:paraId="29F23A35"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60-day rehospitalization</w:t>
            </w:r>
          </w:p>
        </w:tc>
        <w:tc>
          <w:tcPr>
            <w:tcW w:w="2184" w:type="dxa"/>
            <w:hideMark/>
          </w:tcPr>
          <w:p w14:paraId="4CAFBE5F"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35.87%</w:t>
            </w:r>
          </w:p>
        </w:tc>
      </w:tr>
      <w:tr w:rsidR="0011418E" w:rsidRPr="0086760B" w14:paraId="4BC3E75A" w14:textId="77777777" w:rsidTr="00F43DF7">
        <w:trPr>
          <w:trHeight w:val="1190"/>
        </w:trPr>
        <w:tc>
          <w:tcPr>
            <w:tcW w:w="1726" w:type="dxa"/>
            <w:hideMark/>
          </w:tcPr>
          <w:p w14:paraId="3246458C"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Brom et al, 2019</w:t>
            </w:r>
          </w:p>
        </w:tc>
        <w:tc>
          <w:tcPr>
            <w:tcW w:w="1689" w:type="dxa"/>
            <w:hideMark/>
          </w:tcPr>
          <w:p w14:paraId="4CE6D9EF" w14:textId="28D6BBC3" w:rsidR="0011418E" w:rsidRPr="0086760B" w:rsidRDefault="006A21F9">
            <w:pPr>
              <w:rPr>
                <w:rFonts w:ascii="Times New Roman" w:hAnsi="Times New Roman" w:cs="Times New Roman"/>
                <w:sz w:val="20"/>
                <w:szCs w:val="20"/>
              </w:rPr>
            </w:pPr>
            <w:r w:rsidRPr="0086760B">
              <w:rPr>
                <w:rFonts w:ascii="Times New Roman" w:hAnsi="Times New Roman" w:cs="Times New Roman"/>
                <w:sz w:val="20"/>
                <w:szCs w:val="20"/>
              </w:rPr>
              <w:t>A</w:t>
            </w:r>
            <w:r w:rsidR="0011418E" w:rsidRPr="0086760B">
              <w:rPr>
                <w:rFonts w:ascii="Times New Roman" w:hAnsi="Times New Roman" w:cs="Times New Roman"/>
                <w:sz w:val="20"/>
                <w:szCs w:val="20"/>
              </w:rPr>
              <w:t xml:space="preserve"> level 1 trauma center based electronic health records (EHR)</w:t>
            </w:r>
          </w:p>
        </w:tc>
        <w:tc>
          <w:tcPr>
            <w:tcW w:w="1782" w:type="dxa"/>
            <w:hideMark/>
          </w:tcPr>
          <w:p w14:paraId="4F438A01" w14:textId="547E8780" w:rsidR="0011418E" w:rsidRPr="0086760B" w:rsidRDefault="006A21F9">
            <w:pPr>
              <w:rPr>
                <w:rFonts w:ascii="Times New Roman" w:hAnsi="Times New Roman" w:cs="Times New Roman"/>
                <w:sz w:val="20"/>
                <w:szCs w:val="20"/>
              </w:rPr>
            </w:pPr>
            <w:r w:rsidRPr="0086760B">
              <w:rPr>
                <w:rFonts w:ascii="Times New Roman" w:hAnsi="Times New Roman" w:cs="Times New Roman"/>
                <w:sz w:val="20"/>
                <w:szCs w:val="20"/>
              </w:rPr>
              <w:t>A</w:t>
            </w:r>
            <w:r w:rsidR="0011418E" w:rsidRPr="0086760B">
              <w:rPr>
                <w:rFonts w:ascii="Times New Roman" w:hAnsi="Times New Roman" w:cs="Times New Roman"/>
                <w:sz w:val="20"/>
                <w:szCs w:val="20"/>
              </w:rPr>
              <w:t>ll adult patients discharged from a trauma center in urban area from 08/2017-10/2017</w:t>
            </w:r>
          </w:p>
        </w:tc>
        <w:tc>
          <w:tcPr>
            <w:tcW w:w="1633" w:type="dxa"/>
            <w:hideMark/>
          </w:tcPr>
          <w:p w14:paraId="6D121C95"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2,165 patients</w:t>
            </w:r>
          </w:p>
        </w:tc>
        <w:tc>
          <w:tcPr>
            <w:tcW w:w="1776" w:type="dxa"/>
            <w:hideMark/>
          </w:tcPr>
          <w:p w14:paraId="6ADF6042"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30-day unplanned readmission</w:t>
            </w:r>
          </w:p>
        </w:tc>
        <w:tc>
          <w:tcPr>
            <w:tcW w:w="2184" w:type="dxa"/>
            <w:hideMark/>
          </w:tcPr>
          <w:p w14:paraId="167CC5FB"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11.20%</w:t>
            </w:r>
          </w:p>
        </w:tc>
      </w:tr>
      <w:tr w:rsidR="0011418E" w:rsidRPr="0086760B" w14:paraId="31CC2D6D" w14:textId="77777777" w:rsidTr="00F43DF7">
        <w:trPr>
          <w:trHeight w:val="1330"/>
        </w:trPr>
        <w:tc>
          <w:tcPr>
            <w:tcW w:w="1726" w:type="dxa"/>
            <w:hideMark/>
          </w:tcPr>
          <w:p w14:paraId="358F583D"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Yeo et al, 2016</w:t>
            </w:r>
          </w:p>
        </w:tc>
        <w:tc>
          <w:tcPr>
            <w:tcW w:w="1689" w:type="dxa"/>
            <w:hideMark/>
          </w:tcPr>
          <w:p w14:paraId="5738EF41"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American College of Surgeons National Surgical Quality Improvement Program (ACS NSQIP) database</w:t>
            </w:r>
          </w:p>
        </w:tc>
        <w:tc>
          <w:tcPr>
            <w:tcW w:w="1782" w:type="dxa"/>
            <w:hideMark/>
          </w:tcPr>
          <w:p w14:paraId="3E3F7B50" w14:textId="304EC985" w:rsidR="0011418E" w:rsidRPr="0086760B" w:rsidRDefault="006A21F9">
            <w:pPr>
              <w:rPr>
                <w:rFonts w:ascii="Times New Roman" w:hAnsi="Times New Roman" w:cs="Times New Roman"/>
                <w:sz w:val="20"/>
                <w:szCs w:val="20"/>
              </w:rPr>
            </w:pPr>
            <w:r w:rsidRPr="0086760B">
              <w:rPr>
                <w:rFonts w:ascii="Times New Roman" w:hAnsi="Times New Roman" w:cs="Times New Roman"/>
                <w:sz w:val="20"/>
                <w:szCs w:val="20"/>
              </w:rPr>
              <w:t>E</w:t>
            </w:r>
            <w:r w:rsidR="0011418E" w:rsidRPr="0086760B">
              <w:rPr>
                <w:rFonts w:ascii="Times New Roman" w:hAnsi="Times New Roman" w:cs="Times New Roman"/>
                <w:sz w:val="20"/>
                <w:szCs w:val="20"/>
              </w:rPr>
              <w:t xml:space="preserve">lderly adults above 65 who underwent surgery for colorectal cancer from multiple US hospitals from 2011-2012 </w:t>
            </w:r>
          </w:p>
        </w:tc>
        <w:tc>
          <w:tcPr>
            <w:tcW w:w="1633" w:type="dxa"/>
            <w:hideMark/>
          </w:tcPr>
          <w:p w14:paraId="246A78B7"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2,117 patients</w:t>
            </w:r>
          </w:p>
        </w:tc>
        <w:tc>
          <w:tcPr>
            <w:tcW w:w="1776" w:type="dxa"/>
            <w:hideMark/>
          </w:tcPr>
          <w:p w14:paraId="23A5D75A"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 xml:space="preserve"> 30 days readmission</w:t>
            </w:r>
          </w:p>
        </w:tc>
        <w:tc>
          <w:tcPr>
            <w:tcW w:w="2184" w:type="dxa"/>
            <w:hideMark/>
          </w:tcPr>
          <w:p w14:paraId="2C436D7D"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10%</w:t>
            </w:r>
          </w:p>
        </w:tc>
      </w:tr>
      <w:tr w:rsidR="0011418E" w:rsidRPr="0086760B" w14:paraId="1B682CC2" w14:textId="77777777" w:rsidTr="00F43DF7">
        <w:trPr>
          <w:trHeight w:val="2190"/>
        </w:trPr>
        <w:tc>
          <w:tcPr>
            <w:tcW w:w="1726" w:type="dxa"/>
            <w:hideMark/>
          </w:tcPr>
          <w:p w14:paraId="00F78059" w14:textId="77777777" w:rsidR="0011418E" w:rsidRPr="0086760B" w:rsidRDefault="0011418E">
            <w:pPr>
              <w:rPr>
                <w:rFonts w:ascii="Times New Roman" w:hAnsi="Times New Roman" w:cs="Times New Roman"/>
                <w:sz w:val="20"/>
                <w:szCs w:val="20"/>
              </w:rPr>
            </w:pPr>
            <w:proofErr w:type="spellStart"/>
            <w:r w:rsidRPr="0086760B">
              <w:rPr>
                <w:rFonts w:ascii="Times New Roman" w:hAnsi="Times New Roman" w:cs="Times New Roman"/>
                <w:sz w:val="20"/>
                <w:szCs w:val="20"/>
              </w:rPr>
              <w:t>Edgcomb</w:t>
            </w:r>
            <w:proofErr w:type="spellEnd"/>
            <w:r w:rsidRPr="0086760B">
              <w:rPr>
                <w:rFonts w:ascii="Times New Roman" w:hAnsi="Times New Roman" w:cs="Times New Roman"/>
                <w:sz w:val="20"/>
                <w:szCs w:val="20"/>
              </w:rPr>
              <w:t xml:space="preserve"> et al, 2019</w:t>
            </w:r>
          </w:p>
        </w:tc>
        <w:tc>
          <w:tcPr>
            <w:tcW w:w="1689" w:type="dxa"/>
            <w:hideMark/>
          </w:tcPr>
          <w:p w14:paraId="32039054"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University of California Health Care System EHR</w:t>
            </w:r>
          </w:p>
        </w:tc>
        <w:tc>
          <w:tcPr>
            <w:tcW w:w="1782" w:type="dxa"/>
            <w:hideMark/>
          </w:tcPr>
          <w:p w14:paraId="4DC4B09F" w14:textId="1CF21DCA" w:rsidR="0011418E" w:rsidRPr="0086760B" w:rsidRDefault="006A21F9">
            <w:pPr>
              <w:rPr>
                <w:rFonts w:ascii="Times New Roman" w:hAnsi="Times New Roman" w:cs="Times New Roman"/>
                <w:sz w:val="20"/>
                <w:szCs w:val="20"/>
              </w:rPr>
            </w:pPr>
            <w:r w:rsidRPr="0086760B">
              <w:rPr>
                <w:rFonts w:ascii="Times New Roman" w:hAnsi="Times New Roman" w:cs="Times New Roman"/>
                <w:sz w:val="20"/>
                <w:szCs w:val="20"/>
              </w:rPr>
              <w:t>A</w:t>
            </w:r>
            <w:r w:rsidR="0011418E" w:rsidRPr="0086760B">
              <w:rPr>
                <w:rFonts w:ascii="Times New Roman" w:hAnsi="Times New Roman" w:cs="Times New Roman"/>
                <w:sz w:val="20"/>
                <w:szCs w:val="20"/>
              </w:rPr>
              <w:t xml:space="preserve">dult patients with coexisting bipolar disorder and </w:t>
            </w:r>
            <w:r w:rsidRPr="0086760B">
              <w:rPr>
                <w:rFonts w:ascii="Times New Roman" w:hAnsi="Times New Roman" w:cs="Times New Roman"/>
                <w:sz w:val="20"/>
                <w:szCs w:val="20"/>
              </w:rPr>
              <w:t>serious</w:t>
            </w:r>
            <w:r w:rsidR="0011418E" w:rsidRPr="0086760B">
              <w:rPr>
                <w:rFonts w:ascii="Times New Roman" w:hAnsi="Times New Roman" w:cs="Times New Roman"/>
                <w:sz w:val="20"/>
                <w:szCs w:val="20"/>
              </w:rPr>
              <w:t xml:space="preserve"> medical illness admitted to 2 academic medical centers within UCLA health system from 2006-2016</w:t>
            </w:r>
            <w:r w:rsidR="0011418E" w:rsidRPr="0086760B">
              <w:rPr>
                <w:rFonts w:ascii="Times New Roman" w:hAnsi="Times New Roman" w:cs="Times New Roman"/>
                <w:sz w:val="20"/>
                <w:szCs w:val="20"/>
              </w:rPr>
              <w:br/>
              <w:t>Comorbid Medical Illness</w:t>
            </w:r>
          </w:p>
        </w:tc>
        <w:tc>
          <w:tcPr>
            <w:tcW w:w="1633" w:type="dxa"/>
            <w:hideMark/>
          </w:tcPr>
          <w:p w14:paraId="0DB89B65"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552 patients</w:t>
            </w:r>
          </w:p>
        </w:tc>
        <w:tc>
          <w:tcPr>
            <w:tcW w:w="1776" w:type="dxa"/>
            <w:hideMark/>
          </w:tcPr>
          <w:p w14:paraId="7E2E2264"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 xml:space="preserve">30-day unplanned psychiatric readmission </w:t>
            </w:r>
          </w:p>
        </w:tc>
        <w:tc>
          <w:tcPr>
            <w:tcW w:w="2184" w:type="dxa"/>
            <w:hideMark/>
          </w:tcPr>
          <w:p w14:paraId="4AEA5914" w14:textId="62D17BF2"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7-day readmission=3%; 30</w:t>
            </w:r>
            <w:r w:rsidR="00B42A53" w:rsidRPr="0086760B">
              <w:rPr>
                <w:rFonts w:ascii="Times New Roman" w:hAnsi="Times New Roman" w:cs="Times New Roman"/>
                <w:sz w:val="20"/>
                <w:szCs w:val="20"/>
              </w:rPr>
              <w:t>-</w:t>
            </w:r>
            <w:r w:rsidRPr="0086760B">
              <w:rPr>
                <w:rFonts w:ascii="Times New Roman" w:hAnsi="Times New Roman" w:cs="Times New Roman"/>
                <w:sz w:val="20"/>
                <w:szCs w:val="20"/>
              </w:rPr>
              <w:t>day readmission=8.6%; 365</w:t>
            </w:r>
            <w:r w:rsidR="00B42A53" w:rsidRPr="0086760B">
              <w:rPr>
                <w:rFonts w:ascii="Times New Roman" w:hAnsi="Times New Roman" w:cs="Times New Roman"/>
                <w:sz w:val="20"/>
                <w:szCs w:val="20"/>
              </w:rPr>
              <w:t>-</w:t>
            </w:r>
            <w:r w:rsidRPr="0086760B">
              <w:rPr>
                <w:rFonts w:ascii="Times New Roman" w:hAnsi="Times New Roman" w:cs="Times New Roman"/>
                <w:sz w:val="20"/>
                <w:szCs w:val="20"/>
              </w:rPr>
              <w:t>day readmission=23.5%</w:t>
            </w:r>
          </w:p>
        </w:tc>
      </w:tr>
      <w:tr w:rsidR="0011418E" w:rsidRPr="0086760B" w14:paraId="5FB4C269" w14:textId="77777777" w:rsidTr="00F43DF7">
        <w:trPr>
          <w:trHeight w:val="2330"/>
        </w:trPr>
        <w:tc>
          <w:tcPr>
            <w:tcW w:w="1726" w:type="dxa"/>
            <w:hideMark/>
          </w:tcPr>
          <w:p w14:paraId="0689D5D0"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Fisher et al, 2015</w:t>
            </w:r>
          </w:p>
        </w:tc>
        <w:tc>
          <w:tcPr>
            <w:tcW w:w="1689" w:type="dxa"/>
            <w:hideMark/>
          </w:tcPr>
          <w:p w14:paraId="70DC3D0A"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Medicare Database: functional status information from the Inpatient Rehabilitation Facility-Patient Assessment Instrument linked with Medicare Provider Analysis and Review (</w:t>
            </w:r>
            <w:proofErr w:type="spellStart"/>
            <w:r w:rsidRPr="0086760B">
              <w:rPr>
                <w:rFonts w:ascii="Times New Roman" w:hAnsi="Times New Roman" w:cs="Times New Roman"/>
                <w:sz w:val="20"/>
                <w:szCs w:val="20"/>
              </w:rPr>
              <w:t>MedPAR</w:t>
            </w:r>
            <w:proofErr w:type="spellEnd"/>
            <w:r w:rsidRPr="0086760B">
              <w:rPr>
                <w:rFonts w:ascii="Times New Roman" w:hAnsi="Times New Roman" w:cs="Times New Roman"/>
                <w:sz w:val="20"/>
                <w:szCs w:val="20"/>
              </w:rPr>
              <w:t>) file</w:t>
            </w:r>
          </w:p>
        </w:tc>
        <w:tc>
          <w:tcPr>
            <w:tcW w:w="1782" w:type="dxa"/>
            <w:hideMark/>
          </w:tcPr>
          <w:p w14:paraId="4C1E967A" w14:textId="381BA1C9"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Patients discharged from inpatient rehabilitation from 01/2010-11/2011</w:t>
            </w:r>
          </w:p>
        </w:tc>
        <w:tc>
          <w:tcPr>
            <w:tcW w:w="1633" w:type="dxa"/>
            <w:hideMark/>
          </w:tcPr>
          <w:p w14:paraId="4C7FAB40"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87,577 patients</w:t>
            </w:r>
          </w:p>
        </w:tc>
        <w:tc>
          <w:tcPr>
            <w:tcW w:w="1776" w:type="dxa"/>
            <w:hideMark/>
          </w:tcPr>
          <w:p w14:paraId="58D9836D"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30-Day Readmission for acute care</w:t>
            </w:r>
          </w:p>
        </w:tc>
        <w:tc>
          <w:tcPr>
            <w:tcW w:w="2184" w:type="dxa"/>
            <w:hideMark/>
          </w:tcPr>
          <w:p w14:paraId="2B93C9E3"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25%</w:t>
            </w:r>
          </w:p>
        </w:tc>
      </w:tr>
      <w:tr w:rsidR="0011418E" w:rsidRPr="0086760B" w14:paraId="730A5BB5" w14:textId="77777777" w:rsidTr="00F43DF7">
        <w:trPr>
          <w:trHeight w:val="1190"/>
        </w:trPr>
        <w:tc>
          <w:tcPr>
            <w:tcW w:w="1726" w:type="dxa"/>
            <w:hideMark/>
          </w:tcPr>
          <w:p w14:paraId="349311C8"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Jones et al,2019</w:t>
            </w:r>
          </w:p>
        </w:tc>
        <w:tc>
          <w:tcPr>
            <w:tcW w:w="1689" w:type="dxa"/>
            <w:hideMark/>
          </w:tcPr>
          <w:p w14:paraId="091E051E"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Medicare Outcome and Assessment Information Set (OASIS-C)</w:t>
            </w:r>
          </w:p>
        </w:tc>
        <w:tc>
          <w:tcPr>
            <w:tcW w:w="1782" w:type="dxa"/>
            <w:hideMark/>
          </w:tcPr>
          <w:p w14:paraId="5FB7131C" w14:textId="79B68896" w:rsidR="0011418E" w:rsidRPr="0086760B" w:rsidRDefault="006A21F9">
            <w:pPr>
              <w:rPr>
                <w:rFonts w:ascii="Times New Roman" w:hAnsi="Times New Roman" w:cs="Times New Roman"/>
                <w:sz w:val="20"/>
                <w:szCs w:val="20"/>
              </w:rPr>
            </w:pPr>
            <w:r w:rsidRPr="0086760B">
              <w:rPr>
                <w:rFonts w:ascii="Times New Roman" w:hAnsi="Times New Roman" w:cs="Times New Roman"/>
                <w:sz w:val="20"/>
                <w:szCs w:val="20"/>
              </w:rPr>
              <w:t>A</w:t>
            </w:r>
            <w:r w:rsidR="0011418E" w:rsidRPr="0086760B">
              <w:rPr>
                <w:rFonts w:ascii="Times New Roman" w:hAnsi="Times New Roman" w:cs="Times New Roman"/>
                <w:sz w:val="20"/>
                <w:szCs w:val="20"/>
              </w:rPr>
              <w:t>ll elderly aged above 65 receiving home care within 5 days of discharge in 2012</w:t>
            </w:r>
          </w:p>
        </w:tc>
        <w:tc>
          <w:tcPr>
            <w:tcW w:w="1633" w:type="dxa"/>
            <w:hideMark/>
          </w:tcPr>
          <w:p w14:paraId="0D64F064"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43,407 patients</w:t>
            </w:r>
          </w:p>
        </w:tc>
        <w:tc>
          <w:tcPr>
            <w:tcW w:w="1776" w:type="dxa"/>
            <w:hideMark/>
          </w:tcPr>
          <w:p w14:paraId="7466F049"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30-day rehospitalization</w:t>
            </w:r>
          </w:p>
        </w:tc>
        <w:tc>
          <w:tcPr>
            <w:tcW w:w="2184" w:type="dxa"/>
            <w:hideMark/>
          </w:tcPr>
          <w:p w14:paraId="2C1D170F"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14.70%</w:t>
            </w:r>
          </w:p>
        </w:tc>
      </w:tr>
      <w:tr w:rsidR="0086760B" w:rsidRPr="0086760B" w14:paraId="7CDD2DAD" w14:textId="77777777" w:rsidTr="0086760B">
        <w:trPr>
          <w:trHeight w:val="660"/>
        </w:trPr>
        <w:tc>
          <w:tcPr>
            <w:tcW w:w="1726" w:type="dxa"/>
            <w:shd w:val="clear" w:color="auto" w:fill="808080" w:themeFill="background1" w:themeFillShade="80"/>
            <w:hideMark/>
          </w:tcPr>
          <w:p w14:paraId="68E70DF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lastRenderedPageBreak/>
              <w:t>Study</w:t>
            </w:r>
          </w:p>
        </w:tc>
        <w:tc>
          <w:tcPr>
            <w:tcW w:w="1689" w:type="dxa"/>
            <w:shd w:val="clear" w:color="auto" w:fill="808080" w:themeFill="background1" w:themeFillShade="80"/>
            <w:hideMark/>
          </w:tcPr>
          <w:p w14:paraId="0310551E"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Data Source</w:t>
            </w:r>
          </w:p>
        </w:tc>
        <w:tc>
          <w:tcPr>
            <w:tcW w:w="1782" w:type="dxa"/>
            <w:shd w:val="clear" w:color="auto" w:fill="808080" w:themeFill="background1" w:themeFillShade="80"/>
            <w:hideMark/>
          </w:tcPr>
          <w:p w14:paraId="249E07D6"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Population and Setting </w:t>
            </w:r>
          </w:p>
        </w:tc>
        <w:tc>
          <w:tcPr>
            <w:tcW w:w="1633" w:type="dxa"/>
            <w:shd w:val="clear" w:color="auto" w:fill="808080" w:themeFill="background1" w:themeFillShade="80"/>
            <w:hideMark/>
          </w:tcPr>
          <w:p w14:paraId="5D9F6F77"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Sample Size </w:t>
            </w:r>
          </w:p>
        </w:tc>
        <w:tc>
          <w:tcPr>
            <w:tcW w:w="1776" w:type="dxa"/>
            <w:shd w:val="clear" w:color="auto" w:fill="808080" w:themeFill="background1" w:themeFillShade="80"/>
            <w:hideMark/>
          </w:tcPr>
          <w:p w14:paraId="48840717"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Type of Readmission Measures </w:t>
            </w:r>
          </w:p>
        </w:tc>
        <w:tc>
          <w:tcPr>
            <w:tcW w:w="2184" w:type="dxa"/>
            <w:shd w:val="clear" w:color="auto" w:fill="808080" w:themeFill="background1" w:themeFillShade="80"/>
            <w:hideMark/>
          </w:tcPr>
          <w:p w14:paraId="0C10D58D"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Actual Readmission Rate, %</w:t>
            </w:r>
          </w:p>
        </w:tc>
      </w:tr>
      <w:tr w:rsidR="0011418E" w:rsidRPr="0086760B" w14:paraId="6E065BE1" w14:textId="77777777" w:rsidTr="00F43DF7">
        <w:trPr>
          <w:trHeight w:val="1510"/>
        </w:trPr>
        <w:tc>
          <w:tcPr>
            <w:tcW w:w="1726" w:type="dxa"/>
            <w:hideMark/>
          </w:tcPr>
          <w:p w14:paraId="6F6D36F9"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Hogan et al, 2019</w:t>
            </w:r>
          </w:p>
        </w:tc>
        <w:tc>
          <w:tcPr>
            <w:tcW w:w="1689" w:type="dxa"/>
            <w:hideMark/>
          </w:tcPr>
          <w:p w14:paraId="4BE2D0FD"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United States renal data system</w:t>
            </w:r>
          </w:p>
        </w:tc>
        <w:tc>
          <w:tcPr>
            <w:tcW w:w="1782" w:type="dxa"/>
            <w:hideMark/>
          </w:tcPr>
          <w:p w14:paraId="57784E5A" w14:textId="06415405" w:rsidR="0011418E" w:rsidRPr="0086760B" w:rsidRDefault="006A21F9" w:rsidP="00C132A2">
            <w:pPr>
              <w:rPr>
                <w:rFonts w:ascii="Times New Roman" w:hAnsi="Times New Roman" w:cs="Times New Roman"/>
                <w:sz w:val="20"/>
                <w:szCs w:val="20"/>
              </w:rPr>
            </w:pPr>
            <w:r w:rsidRPr="0086760B">
              <w:rPr>
                <w:rFonts w:ascii="Times New Roman" w:hAnsi="Times New Roman" w:cs="Times New Roman"/>
                <w:sz w:val="20"/>
                <w:szCs w:val="20"/>
              </w:rPr>
              <w:t>E</w:t>
            </w:r>
            <w:r w:rsidR="0011418E" w:rsidRPr="0086760B">
              <w:rPr>
                <w:rFonts w:ascii="Times New Roman" w:hAnsi="Times New Roman" w:cs="Times New Roman"/>
                <w:sz w:val="20"/>
                <w:szCs w:val="20"/>
              </w:rPr>
              <w:t>lderly patients (aged &gt;= 65)</w:t>
            </w:r>
            <w:r w:rsidR="00C132A2" w:rsidRPr="0086760B">
              <w:rPr>
                <w:rFonts w:ascii="Times New Roman" w:hAnsi="Times New Roman" w:cs="Times New Roman"/>
                <w:sz w:val="20"/>
                <w:szCs w:val="20"/>
              </w:rPr>
              <w:t xml:space="preserve"> </w:t>
            </w:r>
            <w:r w:rsidR="0011418E" w:rsidRPr="0086760B">
              <w:rPr>
                <w:rFonts w:ascii="Times New Roman" w:hAnsi="Times New Roman" w:cs="Times New Roman"/>
                <w:sz w:val="20"/>
                <w:szCs w:val="20"/>
              </w:rPr>
              <w:t>who received a</w:t>
            </w:r>
            <w:r w:rsidR="00C132A2" w:rsidRPr="0086760B">
              <w:rPr>
                <w:rFonts w:ascii="Times New Roman" w:hAnsi="Times New Roman" w:cs="Times New Roman"/>
                <w:sz w:val="20"/>
                <w:szCs w:val="20"/>
              </w:rPr>
              <w:t xml:space="preserve"> kidney transplant</w:t>
            </w:r>
            <w:r w:rsidR="0011418E" w:rsidRPr="0086760B">
              <w:rPr>
                <w:rFonts w:ascii="Times New Roman" w:hAnsi="Times New Roman" w:cs="Times New Roman"/>
                <w:sz w:val="20"/>
                <w:szCs w:val="20"/>
              </w:rPr>
              <w:t xml:space="preserve"> from multiple US hospitals from 01/2005 to 12/2014 and simultaneously enroll in Medicare </w:t>
            </w:r>
          </w:p>
        </w:tc>
        <w:tc>
          <w:tcPr>
            <w:tcW w:w="1633" w:type="dxa"/>
            <w:hideMark/>
          </w:tcPr>
          <w:p w14:paraId="3D62C7BC"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40,461 patients</w:t>
            </w:r>
          </w:p>
        </w:tc>
        <w:tc>
          <w:tcPr>
            <w:tcW w:w="1776" w:type="dxa"/>
            <w:hideMark/>
          </w:tcPr>
          <w:p w14:paraId="11954680"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30 days readmission; 31-90 days readmission; 91-365 days readmission</w:t>
            </w:r>
          </w:p>
        </w:tc>
        <w:tc>
          <w:tcPr>
            <w:tcW w:w="2184" w:type="dxa"/>
            <w:hideMark/>
          </w:tcPr>
          <w:p w14:paraId="26BE4FC1" w14:textId="4BA3023F"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30</w:t>
            </w:r>
            <w:r w:rsidR="00B42A53" w:rsidRPr="0086760B">
              <w:rPr>
                <w:rFonts w:ascii="Times New Roman" w:hAnsi="Times New Roman" w:cs="Times New Roman"/>
                <w:sz w:val="20"/>
                <w:szCs w:val="20"/>
              </w:rPr>
              <w:t>-</w:t>
            </w:r>
            <w:r w:rsidRPr="0086760B">
              <w:rPr>
                <w:rFonts w:ascii="Times New Roman" w:hAnsi="Times New Roman" w:cs="Times New Roman"/>
                <w:sz w:val="20"/>
                <w:szCs w:val="20"/>
              </w:rPr>
              <w:t>day readmission=31.8%; 365 days readmission=62.9%</w:t>
            </w:r>
          </w:p>
        </w:tc>
      </w:tr>
      <w:tr w:rsidR="0011418E" w:rsidRPr="0086760B" w14:paraId="3AD5D525" w14:textId="77777777" w:rsidTr="00F43DF7">
        <w:trPr>
          <w:trHeight w:val="1570"/>
        </w:trPr>
        <w:tc>
          <w:tcPr>
            <w:tcW w:w="1726" w:type="dxa"/>
            <w:hideMark/>
          </w:tcPr>
          <w:p w14:paraId="04FFAC7F"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Zack et al, 2019</w:t>
            </w:r>
          </w:p>
        </w:tc>
        <w:tc>
          <w:tcPr>
            <w:tcW w:w="1689" w:type="dxa"/>
            <w:hideMark/>
          </w:tcPr>
          <w:p w14:paraId="5F892B06"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Mayo Clinic Percutaneous coronary intervention registry</w:t>
            </w:r>
          </w:p>
        </w:tc>
        <w:tc>
          <w:tcPr>
            <w:tcW w:w="1782" w:type="dxa"/>
            <w:hideMark/>
          </w:tcPr>
          <w:p w14:paraId="2C44696F"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All patients who underwent percutaneous coronary intervention at Mayo clinic, Rochester, Minnesota, 01/2004-12/2013</w:t>
            </w:r>
          </w:p>
        </w:tc>
        <w:tc>
          <w:tcPr>
            <w:tcW w:w="1633" w:type="dxa"/>
            <w:hideMark/>
          </w:tcPr>
          <w:p w14:paraId="578DA283"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11,709 patients with 14,349 PCI index hospitalizations</w:t>
            </w:r>
          </w:p>
        </w:tc>
        <w:tc>
          <w:tcPr>
            <w:tcW w:w="1776" w:type="dxa"/>
            <w:hideMark/>
          </w:tcPr>
          <w:p w14:paraId="6FA05799"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 xml:space="preserve">30-day readmission for congestive heart failure related to either systolic and/or diastolic dysfunction </w:t>
            </w:r>
          </w:p>
        </w:tc>
        <w:tc>
          <w:tcPr>
            <w:tcW w:w="2184" w:type="dxa"/>
            <w:hideMark/>
          </w:tcPr>
          <w:p w14:paraId="754D8AE1"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0.70%</w:t>
            </w:r>
          </w:p>
        </w:tc>
      </w:tr>
      <w:tr w:rsidR="0011418E" w:rsidRPr="0086760B" w14:paraId="7465F240" w14:textId="77777777" w:rsidTr="00F43DF7">
        <w:trPr>
          <w:trHeight w:val="1190"/>
        </w:trPr>
        <w:tc>
          <w:tcPr>
            <w:tcW w:w="1726" w:type="dxa"/>
            <w:hideMark/>
          </w:tcPr>
          <w:p w14:paraId="385ECC93"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Mahajan et al, 2016</w:t>
            </w:r>
          </w:p>
        </w:tc>
        <w:tc>
          <w:tcPr>
            <w:tcW w:w="1689" w:type="dxa"/>
            <w:hideMark/>
          </w:tcPr>
          <w:p w14:paraId="27DAFEF7"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Veteran Administration (VA) Health System EHR</w:t>
            </w:r>
          </w:p>
        </w:tc>
        <w:tc>
          <w:tcPr>
            <w:tcW w:w="1782" w:type="dxa"/>
            <w:hideMark/>
          </w:tcPr>
          <w:p w14:paraId="17742239" w14:textId="5BE0901B"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HF</w:t>
            </w:r>
            <w:r w:rsidR="00C132A2" w:rsidRPr="0086760B">
              <w:rPr>
                <w:rFonts w:ascii="Times New Roman" w:hAnsi="Times New Roman" w:cs="Times New Roman"/>
                <w:sz w:val="20"/>
                <w:szCs w:val="20"/>
              </w:rPr>
              <w:t xml:space="preserve"> </w:t>
            </w:r>
            <w:r w:rsidRPr="0086760B">
              <w:rPr>
                <w:rFonts w:ascii="Times New Roman" w:hAnsi="Times New Roman" w:cs="Times New Roman"/>
                <w:sz w:val="20"/>
                <w:szCs w:val="20"/>
              </w:rPr>
              <w:t>patients</w:t>
            </w:r>
            <w:r w:rsidR="00C132A2" w:rsidRPr="0086760B">
              <w:rPr>
                <w:rFonts w:ascii="Times New Roman" w:hAnsi="Times New Roman" w:cs="Times New Roman"/>
                <w:sz w:val="20"/>
                <w:szCs w:val="20"/>
              </w:rPr>
              <w:t xml:space="preserve">, </w:t>
            </w:r>
            <w:r w:rsidRPr="0086760B">
              <w:rPr>
                <w:rFonts w:ascii="Times New Roman" w:hAnsi="Times New Roman" w:cs="Times New Roman"/>
                <w:sz w:val="20"/>
                <w:szCs w:val="20"/>
              </w:rPr>
              <w:t>Veterans Affairs Palo Alto Health Care</w:t>
            </w:r>
            <w:r w:rsidRPr="0086760B">
              <w:rPr>
                <w:rFonts w:ascii="Times New Roman" w:hAnsi="Times New Roman" w:cs="Times New Roman"/>
                <w:sz w:val="20"/>
                <w:szCs w:val="20"/>
              </w:rPr>
              <w:br/>
              <w:t>System, Palo Alto, California, for 6 years</w:t>
            </w:r>
          </w:p>
        </w:tc>
        <w:tc>
          <w:tcPr>
            <w:tcW w:w="1633" w:type="dxa"/>
            <w:hideMark/>
          </w:tcPr>
          <w:p w14:paraId="5D51AC0A"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1,037 patients</w:t>
            </w:r>
          </w:p>
        </w:tc>
        <w:tc>
          <w:tcPr>
            <w:tcW w:w="1776" w:type="dxa"/>
            <w:hideMark/>
          </w:tcPr>
          <w:p w14:paraId="2141D27A"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 xml:space="preserve">30-day HF readmissions </w:t>
            </w:r>
          </w:p>
        </w:tc>
        <w:tc>
          <w:tcPr>
            <w:tcW w:w="2184" w:type="dxa"/>
            <w:hideMark/>
          </w:tcPr>
          <w:p w14:paraId="753459CD"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17.36%</w:t>
            </w:r>
          </w:p>
        </w:tc>
      </w:tr>
      <w:tr w:rsidR="00A709FA" w:rsidRPr="0086760B" w14:paraId="5162C290" w14:textId="77777777" w:rsidTr="00F43DF7">
        <w:trPr>
          <w:trHeight w:val="1190"/>
        </w:trPr>
        <w:tc>
          <w:tcPr>
            <w:tcW w:w="1726" w:type="dxa"/>
            <w:hideMark/>
          </w:tcPr>
          <w:p w14:paraId="060B66EE" w14:textId="77777777" w:rsidR="0011418E" w:rsidRPr="0086760B" w:rsidRDefault="0011418E">
            <w:pPr>
              <w:rPr>
                <w:rFonts w:ascii="Times New Roman" w:hAnsi="Times New Roman" w:cs="Times New Roman"/>
                <w:sz w:val="20"/>
                <w:szCs w:val="20"/>
              </w:rPr>
            </w:pPr>
            <w:proofErr w:type="spellStart"/>
            <w:r w:rsidRPr="0086760B">
              <w:rPr>
                <w:rFonts w:ascii="Times New Roman" w:hAnsi="Times New Roman" w:cs="Times New Roman"/>
                <w:sz w:val="20"/>
                <w:szCs w:val="20"/>
              </w:rPr>
              <w:t>Xue</w:t>
            </w:r>
            <w:proofErr w:type="spellEnd"/>
            <w:r w:rsidRPr="0086760B">
              <w:rPr>
                <w:rFonts w:ascii="Times New Roman" w:hAnsi="Times New Roman" w:cs="Times New Roman"/>
                <w:sz w:val="20"/>
                <w:szCs w:val="20"/>
              </w:rPr>
              <w:t xml:space="preserve"> et al, 2019</w:t>
            </w:r>
          </w:p>
        </w:tc>
        <w:tc>
          <w:tcPr>
            <w:tcW w:w="1689" w:type="dxa"/>
            <w:hideMark/>
          </w:tcPr>
          <w:p w14:paraId="7E787EAA"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a rehabilitation center within a state based large health system EHR</w:t>
            </w:r>
          </w:p>
        </w:tc>
        <w:tc>
          <w:tcPr>
            <w:tcW w:w="1782" w:type="dxa"/>
            <w:hideMark/>
          </w:tcPr>
          <w:p w14:paraId="6FA04786" w14:textId="3B95C9DD" w:rsidR="0011418E" w:rsidRPr="0086760B" w:rsidRDefault="006A21F9">
            <w:pPr>
              <w:rPr>
                <w:rFonts w:ascii="Times New Roman" w:hAnsi="Times New Roman" w:cs="Times New Roman"/>
                <w:sz w:val="20"/>
                <w:szCs w:val="20"/>
              </w:rPr>
            </w:pPr>
            <w:r w:rsidRPr="0086760B">
              <w:rPr>
                <w:rFonts w:ascii="Times New Roman" w:hAnsi="Times New Roman" w:cs="Times New Roman"/>
                <w:sz w:val="20"/>
                <w:szCs w:val="20"/>
              </w:rPr>
              <w:t>A</w:t>
            </w:r>
            <w:r w:rsidR="0011418E" w:rsidRPr="0086760B">
              <w:rPr>
                <w:rFonts w:ascii="Times New Roman" w:hAnsi="Times New Roman" w:cs="Times New Roman"/>
                <w:sz w:val="20"/>
                <w:szCs w:val="20"/>
              </w:rPr>
              <w:t>ll patients admitted to a</w:t>
            </w:r>
            <w:r w:rsidR="00C132A2" w:rsidRPr="0086760B">
              <w:rPr>
                <w:rFonts w:ascii="Times New Roman" w:hAnsi="Times New Roman" w:cs="Times New Roman"/>
                <w:sz w:val="20"/>
                <w:szCs w:val="20"/>
              </w:rPr>
              <w:t>n</w:t>
            </w:r>
            <w:r w:rsidR="0011418E" w:rsidRPr="0086760B">
              <w:rPr>
                <w:rFonts w:ascii="Times New Roman" w:hAnsi="Times New Roman" w:cs="Times New Roman"/>
                <w:sz w:val="20"/>
                <w:szCs w:val="20"/>
              </w:rPr>
              <w:t xml:space="preserve"> inpatient</w:t>
            </w:r>
            <w:r w:rsidR="00C132A2" w:rsidRPr="0086760B">
              <w:rPr>
                <w:rFonts w:ascii="Times New Roman" w:hAnsi="Times New Roman" w:cs="Times New Roman"/>
                <w:sz w:val="20"/>
                <w:szCs w:val="20"/>
              </w:rPr>
              <w:t xml:space="preserve"> rehabilitation </w:t>
            </w:r>
            <w:r w:rsidR="0011418E" w:rsidRPr="0086760B">
              <w:rPr>
                <w:rFonts w:ascii="Times New Roman" w:hAnsi="Times New Roman" w:cs="Times New Roman"/>
                <w:sz w:val="20"/>
                <w:szCs w:val="20"/>
              </w:rPr>
              <w:t>facility in Eastern North Carolina, 2001-2017</w:t>
            </w:r>
          </w:p>
        </w:tc>
        <w:tc>
          <w:tcPr>
            <w:tcW w:w="1633" w:type="dxa"/>
            <w:hideMark/>
          </w:tcPr>
          <w:p w14:paraId="72E4E4F9"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16,902 patients</w:t>
            </w:r>
          </w:p>
        </w:tc>
        <w:tc>
          <w:tcPr>
            <w:tcW w:w="1776" w:type="dxa"/>
            <w:hideMark/>
          </w:tcPr>
          <w:p w14:paraId="52312A0E"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30 days acute care readmission</w:t>
            </w:r>
          </w:p>
        </w:tc>
        <w:tc>
          <w:tcPr>
            <w:tcW w:w="2184" w:type="dxa"/>
            <w:hideMark/>
          </w:tcPr>
          <w:p w14:paraId="43272FD4"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10.00%</w:t>
            </w:r>
          </w:p>
        </w:tc>
      </w:tr>
      <w:tr w:rsidR="0011418E" w:rsidRPr="0086760B" w14:paraId="5F12FB39" w14:textId="77777777" w:rsidTr="00F43DF7">
        <w:trPr>
          <w:trHeight w:val="960"/>
        </w:trPr>
        <w:tc>
          <w:tcPr>
            <w:tcW w:w="1726" w:type="dxa"/>
            <w:hideMark/>
          </w:tcPr>
          <w:p w14:paraId="54CEF364"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Mahajan et al, 2018</w:t>
            </w:r>
          </w:p>
        </w:tc>
        <w:tc>
          <w:tcPr>
            <w:tcW w:w="1689" w:type="dxa"/>
            <w:hideMark/>
          </w:tcPr>
          <w:p w14:paraId="225C1E71" w14:textId="6FF3A2B2"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VA Health System EHR</w:t>
            </w:r>
          </w:p>
        </w:tc>
        <w:tc>
          <w:tcPr>
            <w:tcW w:w="1782" w:type="dxa"/>
            <w:hideMark/>
          </w:tcPr>
          <w:p w14:paraId="4308AA18"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HF patients treated 31 hospitals from multi regions in the U.S. in 2015</w:t>
            </w:r>
          </w:p>
        </w:tc>
        <w:tc>
          <w:tcPr>
            <w:tcW w:w="1633" w:type="dxa"/>
            <w:hideMark/>
          </w:tcPr>
          <w:p w14:paraId="3E723AC7"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 xml:space="preserve">1778 patients with 701 readmissions </w:t>
            </w:r>
          </w:p>
        </w:tc>
        <w:tc>
          <w:tcPr>
            <w:tcW w:w="1776" w:type="dxa"/>
            <w:hideMark/>
          </w:tcPr>
          <w:p w14:paraId="3F45B8E3"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 xml:space="preserve">30-day HF readmissions </w:t>
            </w:r>
          </w:p>
        </w:tc>
        <w:tc>
          <w:tcPr>
            <w:tcW w:w="2184" w:type="dxa"/>
            <w:hideMark/>
          </w:tcPr>
          <w:p w14:paraId="70D2B913"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39.40%</w:t>
            </w:r>
          </w:p>
        </w:tc>
      </w:tr>
      <w:tr w:rsidR="0011418E" w:rsidRPr="0086760B" w14:paraId="0D42E0E5" w14:textId="77777777" w:rsidTr="00F43DF7">
        <w:trPr>
          <w:trHeight w:val="1190"/>
        </w:trPr>
        <w:tc>
          <w:tcPr>
            <w:tcW w:w="1726" w:type="dxa"/>
            <w:hideMark/>
          </w:tcPr>
          <w:p w14:paraId="763C9424" w14:textId="77777777" w:rsidR="0011418E" w:rsidRPr="0086760B" w:rsidRDefault="0011418E">
            <w:pPr>
              <w:rPr>
                <w:rFonts w:ascii="Times New Roman" w:hAnsi="Times New Roman" w:cs="Times New Roman"/>
                <w:sz w:val="20"/>
                <w:szCs w:val="20"/>
              </w:rPr>
            </w:pPr>
            <w:proofErr w:type="spellStart"/>
            <w:r w:rsidRPr="0086760B">
              <w:rPr>
                <w:rFonts w:ascii="Times New Roman" w:hAnsi="Times New Roman" w:cs="Times New Roman"/>
                <w:sz w:val="20"/>
                <w:szCs w:val="20"/>
              </w:rPr>
              <w:t>Kalagara</w:t>
            </w:r>
            <w:proofErr w:type="spellEnd"/>
            <w:r w:rsidRPr="0086760B">
              <w:rPr>
                <w:rFonts w:ascii="Times New Roman" w:hAnsi="Times New Roman" w:cs="Times New Roman"/>
                <w:sz w:val="20"/>
                <w:szCs w:val="20"/>
              </w:rPr>
              <w:t xml:space="preserve"> et al, 2019</w:t>
            </w:r>
          </w:p>
        </w:tc>
        <w:tc>
          <w:tcPr>
            <w:tcW w:w="1689" w:type="dxa"/>
            <w:hideMark/>
          </w:tcPr>
          <w:p w14:paraId="0D0C3280"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ACS NSQIP database</w:t>
            </w:r>
          </w:p>
        </w:tc>
        <w:tc>
          <w:tcPr>
            <w:tcW w:w="1782" w:type="dxa"/>
            <w:hideMark/>
          </w:tcPr>
          <w:p w14:paraId="27FA1113" w14:textId="1FD445FC" w:rsidR="0011418E" w:rsidRPr="0086760B" w:rsidRDefault="006A21F9">
            <w:pPr>
              <w:rPr>
                <w:rFonts w:ascii="Times New Roman" w:hAnsi="Times New Roman" w:cs="Times New Roman"/>
                <w:sz w:val="20"/>
                <w:szCs w:val="20"/>
              </w:rPr>
            </w:pPr>
            <w:r w:rsidRPr="0086760B">
              <w:rPr>
                <w:rFonts w:ascii="Times New Roman" w:hAnsi="Times New Roman" w:cs="Times New Roman"/>
                <w:sz w:val="20"/>
                <w:szCs w:val="20"/>
              </w:rPr>
              <w:t>A</w:t>
            </w:r>
            <w:r w:rsidR="0011418E" w:rsidRPr="0086760B">
              <w:rPr>
                <w:rFonts w:ascii="Times New Roman" w:hAnsi="Times New Roman" w:cs="Times New Roman"/>
                <w:sz w:val="20"/>
                <w:szCs w:val="20"/>
              </w:rPr>
              <w:t>dult patients who had undergone lumbar laminectomy from multiple U.S. hospitals from 2011 to 2014</w:t>
            </w:r>
          </w:p>
        </w:tc>
        <w:tc>
          <w:tcPr>
            <w:tcW w:w="1633" w:type="dxa"/>
            <w:hideMark/>
          </w:tcPr>
          <w:p w14:paraId="3F6DBEB3"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26,869 patients</w:t>
            </w:r>
          </w:p>
        </w:tc>
        <w:tc>
          <w:tcPr>
            <w:tcW w:w="1776" w:type="dxa"/>
            <w:hideMark/>
          </w:tcPr>
          <w:p w14:paraId="7039A6BA"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30-day rehospitalization</w:t>
            </w:r>
          </w:p>
        </w:tc>
        <w:tc>
          <w:tcPr>
            <w:tcW w:w="2184" w:type="dxa"/>
            <w:hideMark/>
          </w:tcPr>
          <w:p w14:paraId="6EBE1545"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5.59%</w:t>
            </w:r>
          </w:p>
        </w:tc>
      </w:tr>
      <w:tr w:rsidR="0011418E" w:rsidRPr="0086760B" w14:paraId="4A88B615" w14:textId="77777777" w:rsidTr="00F43DF7">
        <w:trPr>
          <w:trHeight w:val="1550"/>
        </w:trPr>
        <w:tc>
          <w:tcPr>
            <w:tcW w:w="1726" w:type="dxa"/>
            <w:hideMark/>
          </w:tcPr>
          <w:p w14:paraId="59BA6929"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Merrill et al, 2018</w:t>
            </w:r>
          </w:p>
        </w:tc>
        <w:tc>
          <w:tcPr>
            <w:tcW w:w="1689" w:type="dxa"/>
            <w:hideMark/>
          </w:tcPr>
          <w:p w14:paraId="5F613E08"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Nationwide Inpatient Sample and Nationwide Readmission Database</w:t>
            </w:r>
          </w:p>
        </w:tc>
        <w:tc>
          <w:tcPr>
            <w:tcW w:w="1782" w:type="dxa"/>
            <w:hideMark/>
          </w:tcPr>
          <w:p w14:paraId="3095A794" w14:textId="2B6E4B6B" w:rsidR="0011418E" w:rsidRPr="0086760B" w:rsidRDefault="006A21F9">
            <w:pPr>
              <w:rPr>
                <w:rFonts w:ascii="Times New Roman" w:hAnsi="Times New Roman" w:cs="Times New Roman"/>
                <w:sz w:val="20"/>
                <w:szCs w:val="20"/>
              </w:rPr>
            </w:pPr>
            <w:r w:rsidRPr="0086760B">
              <w:rPr>
                <w:rFonts w:ascii="Times New Roman" w:hAnsi="Times New Roman" w:cs="Times New Roman"/>
                <w:sz w:val="20"/>
                <w:szCs w:val="20"/>
              </w:rPr>
              <w:t>A</w:t>
            </w:r>
            <w:r w:rsidR="0011418E" w:rsidRPr="0086760B">
              <w:rPr>
                <w:rFonts w:ascii="Times New Roman" w:hAnsi="Times New Roman" w:cs="Times New Roman"/>
                <w:sz w:val="20"/>
                <w:szCs w:val="20"/>
              </w:rPr>
              <w:t>dult patients who underwent open reduction and internal fixation (ORIF) of an ankle fracture from 2013-2014</w:t>
            </w:r>
          </w:p>
        </w:tc>
        <w:tc>
          <w:tcPr>
            <w:tcW w:w="1633" w:type="dxa"/>
            <w:hideMark/>
          </w:tcPr>
          <w:p w14:paraId="784A971A"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33,504 patients</w:t>
            </w:r>
          </w:p>
        </w:tc>
        <w:tc>
          <w:tcPr>
            <w:tcW w:w="1776" w:type="dxa"/>
            <w:hideMark/>
          </w:tcPr>
          <w:p w14:paraId="4CD3D9AD" w14:textId="77777777" w:rsidR="0011418E" w:rsidRDefault="0011418E">
            <w:pPr>
              <w:rPr>
                <w:rFonts w:ascii="Times New Roman" w:hAnsi="Times New Roman" w:cs="Times New Roman"/>
                <w:sz w:val="20"/>
                <w:szCs w:val="20"/>
              </w:rPr>
            </w:pPr>
            <w:r w:rsidRPr="0086760B">
              <w:rPr>
                <w:rFonts w:ascii="Times New Roman" w:hAnsi="Times New Roman" w:cs="Times New Roman"/>
                <w:sz w:val="20"/>
                <w:szCs w:val="20"/>
              </w:rPr>
              <w:t>30 days all-cause readmission</w:t>
            </w:r>
          </w:p>
          <w:p w14:paraId="5C114AC0" w14:textId="77777777" w:rsidR="00845FE1" w:rsidRDefault="00845FE1">
            <w:pPr>
              <w:rPr>
                <w:rFonts w:ascii="Times New Roman" w:hAnsi="Times New Roman" w:cs="Times New Roman"/>
                <w:sz w:val="20"/>
                <w:szCs w:val="20"/>
              </w:rPr>
            </w:pPr>
          </w:p>
          <w:p w14:paraId="6EDF982C" w14:textId="77777777" w:rsidR="00845FE1" w:rsidRDefault="00845FE1">
            <w:pPr>
              <w:rPr>
                <w:rFonts w:ascii="Times New Roman" w:hAnsi="Times New Roman" w:cs="Times New Roman"/>
                <w:sz w:val="20"/>
                <w:szCs w:val="20"/>
              </w:rPr>
            </w:pPr>
          </w:p>
          <w:p w14:paraId="6299D268" w14:textId="77777777" w:rsidR="00845FE1" w:rsidRDefault="00845FE1">
            <w:pPr>
              <w:rPr>
                <w:rFonts w:ascii="Times New Roman" w:hAnsi="Times New Roman" w:cs="Times New Roman"/>
                <w:sz w:val="20"/>
                <w:szCs w:val="20"/>
              </w:rPr>
            </w:pPr>
          </w:p>
          <w:p w14:paraId="58C817A5" w14:textId="77777777" w:rsidR="00845FE1" w:rsidRDefault="00845FE1">
            <w:pPr>
              <w:rPr>
                <w:rFonts w:ascii="Times New Roman" w:hAnsi="Times New Roman" w:cs="Times New Roman"/>
                <w:sz w:val="20"/>
                <w:szCs w:val="20"/>
              </w:rPr>
            </w:pPr>
          </w:p>
          <w:p w14:paraId="233F5A40" w14:textId="77777777" w:rsidR="00845FE1" w:rsidRDefault="00845FE1">
            <w:pPr>
              <w:rPr>
                <w:rFonts w:ascii="Times New Roman" w:hAnsi="Times New Roman" w:cs="Times New Roman"/>
                <w:sz w:val="20"/>
                <w:szCs w:val="20"/>
              </w:rPr>
            </w:pPr>
          </w:p>
          <w:p w14:paraId="5ED3DF09" w14:textId="77777777" w:rsidR="00845FE1" w:rsidRDefault="00845FE1">
            <w:pPr>
              <w:rPr>
                <w:rFonts w:ascii="Times New Roman" w:hAnsi="Times New Roman" w:cs="Times New Roman"/>
                <w:sz w:val="20"/>
                <w:szCs w:val="20"/>
              </w:rPr>
            </w:pPr>
          </w:p>
          <w:p w14:paraId="6093C571" w14:textId="507620C4" w:rsidR="00845FE1" w:rsidRPr="0086760B" w:rsidRDefault="00845FE1">
            <w:pPr>
              <w:rPr>
                <w:rFonts w:ascii="Times New Roman" w:hAnsi="Times New Roman" w:cs="Times New Roman"/>
                <w:sz w:val="20"/>
                <w:szCs w:val="20"/>
              </w:rPr>
            </w:pPr>
          </w:p>
        </w:tc>
        <w:tc>
          <w:tcPr>
            <w:tcW w:w="2184" w:type="dxa"/>
            <w:hideMark/>
          </w:tcPr>
          <w:p w14:paraId="17D34C24" w14:textId="77777777" w:rsidR="0011418E" w:rsidRPr="0086760B" w:rsidRDefault="0011418E">
            <w:pPr>
              <w:rPr>
                <w:rFonts w:ascii="Times New Roman" w:hAnsi="Times New Roman" w:cs="Times New Roman"/>
                <w:sz w:val="20"/>
                <w:szCs w:val="20"/>
              </w:rPr>
            </w:pPr>
            <w:r w:rsidRPr="0086760B">
              <w:rPr>
                <w:rFonts w:ascii="Times New Roman" w:hAnsi="Times New Roman" w:cs="Times New Roman"/>
                <w:sz w:val="20"/>
                <w:szCs w:val="20"/>
              </w:rPr>
              <w:t>5.90%</w:t>
            </w:r>
          </w:p>
          <w:p w14:paraId="5BA41B70" w14:textId="77777777" w:rsidR="0086760B" w:rsidRPr="0086760B" w:rsidRDefault="0086760B">
            <w:pPr>
              <w:rPr>
                <w:rFonts w:ascii="Times New Roman" w:hAnsi="Times New Roman" w:cs="Times New Roman"/>
                <w:sz w:val="20"/>
                <w:szCs w:val="20"/>
              </w:rPr>
            </w:pPr>
          </w:p>
          <w:p w14:paraId="0182A98B" w14:textId="77777777" w:rsidR="0086760B" w:rsidRPr="0086760B" w:rsidRDefault="0086760B">
            <w:pPr>
              <w:rPr>
                <w:rFonts w:ascii="Times New Roman" w:hAnsi="Times New Roman" w:cs="Times New Roman"/>
                <w:sz w:val="20"/>
                <w:szCs w:val="20"/>
              </w:rPr>
            </w:pPr>
          </w:p>
          <w:p w14:paraId="3E6CED8F" w14:textId="77777777" w:rsidR="0086760B" w:rsidRPr="0086760B" w:rsidRDefault="0086760B">
            <w:pPr>
              <w:rPr>
                <w:rFonts w:ascii="Times New Roman" w:hAnsi="Times New Roman" w:cs="Times New Roman"/>
                <w:sz w:val="20"/>
                <w:szCs w:val="20"/>
              </w:rPr>
            </w:pPr>
          </w:p>
          <w:p w14:paraId="751BEFB9" w14:textId="77777777" w:rsidR="0086760B" w:rsidRPr="0086760B" w:rsidRDefault="0086760B">
            <w:pPr>
              <w:rPr>
                <w:rFonts w:ascii="Times New Roman" w:hAnsi="Times New Roman" w:cs="Times New Roman"/>
                <w:sz w:val="20"/>
                <w:szCs w:val="20"/>
              </w:rPr>
            </w:pPr>
          </w:p>
          <w:p w14:paraId="2EA0D5F4" w14:textId="77777777" w:rsidR="0086760B" w:rsidRPr="0086760B" w:rsidRDefault="0086760B">
            <w:pPr>
              <w:rPr>
                <w:rFonts w:ascii="Times New Roman" w:hAnsi="Times New Roman" w:cs="Times New Roman"/>
                <w:sz w:val="20"/>
                <w:szCs w:val="20"/>
              </w:rPr>
            </w:pPr>
          </w:p>
          <w:p w14:paraId="0D4B0987" w14:textId="77777777" w:rsidR="0086760B" w:rsidRPr="0086760B" w:rsidRDefault="0086760B">
            <w:pPr>
              <w:rPr>
                <w:rFonts w:ascii="Times New Roman" w:hAnsi="Times New Roman" w:cs="Times New Roman"/>
                <w:sz w:val="20"/>
                <w:szCs w:val="20"/>
              </w:rPr>
            </w:pPr>
          </w:p>
          <w:p w14:paraId="5C5A0C17" w14:textId="77777777" w:rsidR="0086760B" w:rsidRPr="0086760B" w:rsidRDefault="0086760B">
            <w:pPr>
              <w:rPr>
                <w:rFonts w:ascii="Times New Roman" w:hAnsi="Times New Roman" w:cs="Times New Roman"/>
                <w:sz w:val="20"/>
                <w:szCs w:val="20"/>
              </w:rPr>
            </w:pPr>
          </w:p>
          <w:p w14:paraId="200A69C7" w14:textId="7B1128E0" w:rsidR="0086760B" w:rsidRPr="0086760B" w:rsidRDefault="0086760B">
            <w:pPr>
              <w:rPr>
                <w:rFonts w:ascii="Times New Roman" w:hAnsi="Times New Roman" w:cs="Times New Roman"/>
                <w:sz w:val="20"/>
                <w:szCs w:val="20"/>
              </w:rPr>
            </w:pPr>
          </w:p>
        </w:tc>
      </w:tr>
      <w:tr w:rsidR="0086760B" w:rsidRPr="0086760B" w14:paraId="0AA37848" w14:textId="77777777" w:rsidTr="0086760B">
        <w:trPr>
          <w:trHeight w:val="660"/>
        </w:trPr>
        <w:tc>
          <w:tcPr>
            <w:tcW w:w="1726" w:type="dxa"/>
            <w:shd w:val="clear" w:color="auto" w:fill="808080" w:themeFill="background1" w:themeFillShade="80"/>
            <w:hideMark/>
          </w:tcPr>
          <w:p w14:paraId="06C120AF"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lastRenderedPageBreak/>
              <w:t>Study</w:t>
            </w:r>
          </w:p>
        </w:tc>
        <w:tc>
          <w:tcPr>
            <w:tcW w:w="1689" w:type="dxa"/>
            <w:shd w:val="clear" w:color="auto" w:fill="808080" w:themeFill="background1" w:themeFillShade="80"/>
            <w:hideMark/>
          </w:tcPr>
          <w:p w14:paraId="3A0FA015"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Data Source</w:t>
            </w:r>
          </w:p>
        </w:tc>
        <w:tc>
          <w:tcPr>
            <w:tcW w:w="1782" w:type="dxa"/>
            <w:shd w:val="clear" w:color="auto" w:fill="808080" w:themeFill="background1" w:themeFillShade="80"/>
            <w:hideMark/>
          </w:tcPr>
          <w:p w14:paraId="047D1C8D"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Population and Setting </w:t>
            </w:r>
          </w:p>
        </w:tc>
        <w:tc>
          <w:tcPr>
            <w:tcW w:w="1633" w:type="dxa"/>
            <w:shd w:val="clear" w:color="auto" w:fill="808080" w:themeFill="background1" w:themeFillShade="80"/>
            <w:hideMark/>
          </w:tcPr>
          <w:p w14:paraId="4EBCF54F"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Sample Size </w:t>
            </w:r>
          </w:p>
        </w:tc>
        <w:tc>
          <w:tcPr>
            <w:tcW w:w="1776" w:type="dxa"/>
            <w:shd w:val="clear" w:color="auto" w:fill="808080" w:themeFill="background1" w:themeFillShade="80"/>
            <w:hideMark/>
          </w:tcPr>
          <w:p w14:paraId="421BB85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Type of Readmission Measures </w:t>
            </w:r>
          </w:p>
        </w:tc>
        <w:tc>
          <w:tcPr>
            <w:tcW w:w="2184" w:type="dxa"/>
            <w:shd w:val="clear" w:color="auto" w:fill="808080" w:themeFill="background1" w:themeFillShade="80"/>
            <w:hideMark/>
          </w:tcPr>
          <w:p w14:paraId="3C7C6109"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Actual Readmission Rate, %</w:t>
            </w:r>
          </w:p>
        </w:tc>
      </w:tr>
      <w:tr w:rsidR="0086760B" w:rsidRPr="0086760B" w14:paraId="3624CDBD" w14:textId="77777777" w:rsidTr="00F43DF7">
        <w:trPr>
          <w:trHeight w:val="1730"/>
        </w:trPr>
        <w:tc>
          <w:tcPr>
            <w:tcW w:w="1726" w:type="dxa"/>
            <w:hideMark/>
          </w:tcPr>
          <w:p w14:paraId="79BE25B5"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Rojas et al, 2017</w:t>
            </w:r>
          </w:p>
        </w:tc>
        <w:tc>
          <w:tcPr>
            <w:tcW w:w="1689" w:type="dxa"/>
            <w:hideMark/>
          </w:tcPr>
          <w:p w14:paraId="0EB9880B" w14:textId="1C601CF6"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University of Chicago Medical</w:t>
            </w:r>
            <w:r w:rsidRPr="0086760B">
              <w:rPr>
                <w:rFonts w:ascii="Times New Roman" w:hAnsi="Times New Roman" w:cs="Times New Roman"/>
                <w:sz w:val="20"/>
                <w:szCs w:val="20"/>
              </w:rPr>
              <w:br/>
              <w:t>Center based EHR (model derivation); Beth Israel Deaconess medical center based EHR, Medical Information Mart for Intensive Care</w:t>
            </w:r>
            <w:r w:rsidRPr="0086760B">
              <w:rPr>
                <w:rFonts w:ascii="Times New Roman" w:hAnsi="Times New Roman" w:cs="Times New Roman"/>
                <w:sz w:val="20"/>
                <w:szCs w:val="20"/>
              </w:rPr>
              <w:br/>
              <w:t>(MIMIC-III) database (model validation)</w:t>
            </w:r>
          </w:p>
        </w:tc>
        <w:tc>
          <w:tcPr>
            <w:tcW w:w="1782" w:type="dxa"/>
            <w:hideMark/>
          </w:tcPr>
          <w:p w14:paraId="7EA4C810" w14:textId="3A4113C1"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Adult ICU patients transferred to the wards at a single medical center from 11/2008-01/2016</w:t>
            </w:r>
          </w:p>
        </w:tc>
        <w:tc>
          <w:tcPr>
            <w:tcW w:w="1633" w:type="dxa"/>
            <w:hideMark/>
          </w:tcPr>
          <w:p w14:paraId="129C0540"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18,000 patients with 24,885 ICU admissions</w:t>
            </w:r>
          </w:p>
        </w:tc>
        <w:tc>
          <w:tcPr>
            <w:tcW w:w="1776" w:type="dxa"/>
            <w:hideMark/>
          </w:tcPr>
          <w:p w14:paraId="06823069" w14:textId="122EBF86"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early ICU unplanned readmission (0-72 hours); late ICU unplanned readmission (&gt;72 hours); ever ICU unplanned readmission</w:t>
            </w:r>
          </w:p>
        </w:tc>
        <w:tc>
          <w:tcPr>
            <w:tcW w:w="2184" w:type="dxa"/>
            <w:hideMark/>
          </w:tcPr>
          <w:p w14:paraId="4B87DC8C"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11%</w:t>
            </w:r>
          </w:p>
        </w:tc>
      </w:tr>
      <w:tr w:rsidR="0086760B" w:rsidRPr="0086760B" w14:paraId="2B92C1B6" w14:textId="77777777" w:rsidTr="00F43DF7">
        <w:trPr>
          <w:trHeight w:val="1190"/>
        </w:trPr>
        <w:tc>
          <w:tcPr>
            <w:tcW w:w="1726" w:type="dxa"/>
            <w:hideMark/>
          </w:tcPr>
          <w:p w14:paraId="3CF58E32"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Chandra et al, 2019</w:t>
            </w:r>
          </w:p>
        </w:tc>
        <w:tc>
          <w:tcPr>
            <w:tcW w:w="1689" w:type="dxa"/>
            <w:hideMark/>
          </w:tcPr>
          <w:p w14:paraId="335CF965" w14:textId="7E79CA99"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Administrative claims cross matched to EHR</w:t>
            </w:r>
          </w:p>
        </w:tc>
        <w:tc>
          <w:tcPr>
            <w:tcW w:w="1782" w:type="dxa"/>
            <w:hideMark/>
          </w:tcPr>
          <w:p w14:paraId="10D85A61" w14:textId="227895C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Elderly patients (aged above 55) discharged to skilled nursing facilities from 2 Mayo Clinic hospitals, Rochester, Minnesota, 01/2009-06/2014</w:t>
            </w:r>
          </w:p>
        </w:tc>
        <w:tc>
          <w:tcPr>
            <w:tcW w:w="1633" w:type="dxa"/>
            <w:hideMark/>
          </w:tcPr>
          <w:p w14:paraId="5710080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6,032 patients</w:t>
            </w:r>
          </w:p>
        </w:tc>
        <w:tc>
          <w:tcPr>
            <w:tcW w:w="1776" w:type="dxa"/>
            <w:hideMark/>
          </w:tcPr>
          <w:p w14:paraId="1D114871"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readmission</w:t>
            </w:r>
          </w:p>
        </w:tc>
        <w:tc>
          <w:tcPr>
            <w:tcW w:w="2184" w:type="dxa"/>
            <w:hideMark/>
          </w:tcPr>
          <w:p w14:paraId="3B14E49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18.20%</w:t>
            </w:r>
          </w:p>
        </w:tc>
      </w:tr>
      <w:tr w:rsidR="0086760B" w:rsidRPr="0086760B" w14:paraId="72CA2736" w14:textId="77777777" w:rsidTr="00F43DF7">
        <w:trPr>
          <w:trHeight w:val="1190"/>
        </w:trPr>
        <w:tc>
          <w:tcPr>
            <w:tcW w:w="1726" w:type="dxa"/>
            <w:hideMark/>
          </w:tcPr>
          <w:p w14:paraId="381E2DD2" w14:textId="77777777" w:rsidR="0086760B" w:rsidRPr="0086760B" w:rsidRDefault="0086760B" w:rsidP="0086760B">
            <w:pPr>
              <w:rPr>
                <w:rFonts w:ascii="Times New Roman" w:hAnsi="Times New Roman" w:cs="Times New Roman"/>
                <w:sz w:val="20"/>
                <w:szCs w:val="20"/>
              </w:rPr>
            </w:pPr>
            <w:proofErr w:type="spellStart"/>
            <w:r w:rsidRPr="0086760B">
              <w:rPr>
                <w:rFonts w:ascii="Times New Roman" w:hAnsi="Times New Roman" w:cs="Times New Roman"/>
                <w:sz w:val="20"/>
                <w:szCs w:val="20"/>
              </w:rPr>
              <w:t>Pakbin</w:t>
            </w:r>
            <w:proofErr w:type="spellEnd"/>
            <w:r w:rsidRPr="0086760B">
              <w:rPr>
                <w:rFonts w:ascii="Times New Roman" w:hAnsi="Times New Roman" w:cs="Times New Roman"/>
                <w:sz w:val="20"/>
                <w:szCs w:val="20"/>
              </w:rPr>
              <w:t xml:space="preserve"> et al, 2018</w:t>
            </w:r>
          </w:p>
        </w:tc>
        <w:tc>
          <w:tcPr>
            <w:tcW w:w="1689" w:type="dxa"/>
            <w:hideMark/>
          </w:tcPr>
          <w:p w14:paraId="78D0AECC" w14:textId="6099040C"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Beth Israel Deaconess medical center based EHR, Medical Information Mart for Intensive Care (MIMIC-III) database</w:t>
            </w:r>
          </w:p>
        </w:tc>
        <w:tc>
          <w:tcPr>
            <w:tcW w:w="1782" w:type="dxa"/>
            <w:hideMark/>
          </w:tcPr>
          <w:p w14:paraId="78CEBC52" w14:textId="1032E9C0"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Adult patients in intensive critical care units at Beth Israel Deaconess Medical Center, 2001 and 2012</w:t>
            </w:r>
          </w:p>
        </w:tc>
        <w:tc>
          <w:tcPr>
            <w:tcW w:w="1633" w:type="dxa"/>
            <w:hideMark/>
          </w:tcPr>
          <w:p w14:paraId="2E1B8B81"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46,252 patients with 58,151 index hospital admissions</w:t>
            </w:r>
          </w:p>
        </w:tc>
        <w:tc>
          <w:tcPr>
            <w:tcW w:w="1776" w:type="dxa"/>
            <w:hideMark/>
          </w:tcPr>
          <w:p w14:paraId="71C39520" w14:textId="1EC921C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ICU readmissions for 24hours,72hours, 7days, 30days</w:t>
            </w:r>
          </w:p>
        </w:tc>
        <w:tc>
          <w:tcPr>
            <w:tcW w:w="2184" w:type="dxa"/>
            <w:hideMark/>
          </w:tcPr>
          <w:p w14:paraId="773CCE7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11.69%</w:t>
            </w:r>
          </w:p>
        </w:tc>
      </w:tr>
      <w:tr w:rsidR="0086760B" w:rsidRPr="0086760B" w14:paraId="2385668A" w14:textId="77777777" w:rsidTr="00F43DF7">
        <w:trPr>
          <w:trHeight w:val="1190"/>
        </w:trPr>
        <w:tc>
          <w:tcPr>
            <w:tcW w:w="1726" w:type="dxa"/>
            <w:hideMark/>
          </w:tcPr>
          <w:p w14:paraId="504F3D6D"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Salem et al, 2018</w:t>
            </w:r>
          </w:p>
        </w:tc>
        <w:tc>
          <w:tcPr>
            <w:tcW w:w="1689" w:type="dxa"/>
            <w:hideMark/>
          </w:tcPr>
          <w:p w14:paraId="0AF44D5A" w14:textId="6F5EAB53"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an academic hospital in Houston EHR</w:t>
            </w:r>
          </w:p>
        </w:tc>
        <w:tc>
          <w:tcPr>
            <w:tcW w:w="1782" w:type="dxa"/>
            <w:hideMark/>
          </w:tcPr>
          <w:p w14:paraId="59482580" w14:textId="496782B8"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Mental illness/adult patients with bipolar disorder comorbid medical illness admitted to psychiatric unit, an academic hospital in Houston, 07/2013-07/2018</w:t>
            </w:r>
          </w:p>
        </w:tc>
        <w:tc>
          <w:tcPr>
            <w:tcW w:w="1633" w:type="dxa"/>
            <w:hideMark/>
          </w:tcPr>
          <w:p w14:paraId="3FD374FE"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714 adult patients</w:t>
            </w:r>
          </w:p>
        </w:tc>
        <w:tc>
          <w:tcPr>
            <w:tcW w:w="1776" w:type="dxa"/>
            <w:hideMark/>
          </w:tcPr>
          <w:p w14:paraId="2E3C17C8"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readmission </w:t>
            </w:r>
          </w:p>
        </w:tc>
        <w:tc>
          <w:tcPr>
            <w:tcW w:w="2184" w:type="dxa"/>
            <w:hideMark/>
          </w:tcPr>
          <w:p w14:paraId="52690F86"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8.80%</w:t>
            </w:r>
          </w:p>
        </w:tc>
      </w:tr>
      <w:tr w:rsidR="0086760B" w:rsidRPr="0086760B" w14:paraId="21965A09" w14:textId="77777777" w:rsidTr="00F43DF7">
        <w:trPr>
          <w:trHeight w:val="1660"/>
        </w:trPr>
        <w:tc>
          <w:tcPr>
            <w:tcW w:w="1726" w:type="dxa"/>
            <w:hideMark/>
          </w:tcPr>
          <w:p w14:paraId="4FBB9453" w14:textId="77777777" w:rsidR="0086760B" w:rsidRPr="0086760B" w:rsidRDefault="0086760B" w:rsidP="0086760B">
            <w:pPr>
              <w:rPr>
                <w:rFonts w:ascii="Times New Roman" w:hAnsi="Times New Roman" w:cs="Times New Roman"/>
                <w:sz w:val="20"/>
                <w:szCs w:val="20"/>
              </w:rPr>
            </w:pPr>
            <w:proofErr w:type="spellStart"/>
            <w:r w:rsidRPr="0086760B">
              <w:rPr>
                <w:rFonts w:ascii="Times New Roman" w:hAnsi="Times New Roman" w:cs="Times New Roman"/>
                <w:sz w:val="20"/>
                <w:szCs w:val="20"/>
              </w:rPr>
              <w:t>Rumshisky</w:t>
            </w:r>
            <w:proofErr w:type="spellEnd"/>
            <w:r w:rsidRPr="0086760B">
              <w:rPr>
                <w:rFonts w:ascii="Times New Roman" w:hAnsi="Times New Roman" w:cs="Times New Roman"/>
                <w:sz w:val="20"/>
                <w:szCs w:val="20"/>
              </w:rPr>
              <w:t xml:space="preserve"> et al, 2016</w:t>
            </w:r>
          </w:p>
        </w:tc>
        <w:tc>
          <w:tcPr>
            <w:tcW w:w="1689" w:type="dxa"/>
            <w:hideMark/>
          </w:tcPr>
          <w:p w14:paraId="6A3605F9" w14:textId="25218EE9"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Partners HealthCare EHR</w:t>
            </w:r>
          </w:p>
        </w:tc>
        <w:tc>
          <w:tcPr>
            <w:tcW w:w="1782" w:type="dxa"/>
            <w:hideMark/>
          </w:tcPr>
          <w:p w14:paraId="359008C9" w14:textId="06733E5A"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Mental illness/patients with major depressive disorder admitted to a psychiatric inpatient unit, several hospitals under a not-for-profit health care system, 1994 and 2012 </w:t>
            </w:r>
          </w:p>
        </w:tc>
        <w:tc>
          <w:tcPr>
            <w:tcW w:w="1633" w:type="dxa"/>
            <w:hideMark/>
          </w:tcPr>
          <w:p w14:paraId="71ADCD00"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4,687 patients with 470 readmissions</w:t>
            </w:r>
          </w:p>
        </w:tc>
        <w:tc>
          <w:tcPr>
            <w:tcW w:w="1776" w:type="dxa"/>
            <w:hideMark/>
          </w:tcPr>
          <w:p w14:paraId="339E6BDE"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 day psychiatric readmission</w:t>
            </w:r>
          </w:p>
        </w:tc>
        <w:tc>
          <w:tcPr>
            <w:tcW w:w="2184" w:type="dxa"/>
            <w:hideMark/>
          </w:tcPr>
          <w:p w14:paraId="5F9CE8A8"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10.03%</w:t>
            </w:r>
          </w:p>
        </w:tc>
      </w:tr>
      <w:tr w:rsidR="0086760B" w:rsidRPr="0086760B" w14:paraId="54AD2D62" w14:textId="77777777" w:rsidTr="0086760B">
        <w:trPr>
          <w:trHeight w:val="660"/>
        </w:trPr>
        <w:tc>
          <w:tcPr>
            <w:tcW w:w="1726" w:type="dxa"/>
            <w:shd w:val="clear" w:color="auto" w:fill="808080" w:themeFill="background1" w:themeFillShade="80"/>
            <w:hideMark/>
          </w:tcPr>
          <w:p w14:paraId="234AB1DA"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lastRenderedPageBreak/>
              <w:t>Study</w:t>
            </w:r>
          </w:p>
        </w:tc>
        <w:tc>
          <w:tcPr>
            <w:tcW w:w="1689" w:type="dxa"/>
            <w:shd w:val="clear" w:color="auto" w:fill="808080" w:themeFill="background1" w:themeFillShade="80"/>
            <w:hideMark/>
          </w:tcPr>
          <w:p w14:paraId="0395AED2"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Data Source</w:t>
            </w:r>
          </w:p>
        </w:tc>
        <w:tc>
          <w:tcPr>
            <w:tcW w:w="1782" w:type="dxa"/>
            <w:shd w:val="clear" w:color="auto" w:fill="808080" w:themeFill="background1" w:themeFillShade="80"/>
            <w:hideMark/>
          </w:tcPr>
          <w:p w14:paraId="206071BA"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Population and Setting </w:t>
            </w:r>
          </w:p>
        </w:tc>
        <w:tc>
          <w:tcPr>
            <w:tcW w:w="1633" w:type="dxa"/>
            <w:shd w:val="clear" w:color="auto" w:fill="808080" w:themeFill="background1" w:themeFillShade="80"/>
            <w:hideMark/>
          </w:tcPr>
          <w:p w14:paraId="2EF7B254"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Sample Size </w:t>
            </w:r>
          </w:p>
        </w:tc>
        <w:tc>
          <w:tcPr>
            <w:tcW w:w="1776" w:type="dxa"/>
            <w:shd w:val="clear" w:color="auto" w:fill="808080" w:themeFill="background1" w:themeFillShade="80"/>
            <w:hideMark/>
          </w:tcPr>
          <w:p w14:paraId="6F811E79"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Type of Readmission Measures </w:t>
            </w:r>
          </w:p>
        </w:tc>
        <w:tc>
          <w:tcPr>
            <w:tcW w:w="2184" w:type="dxa"/>
            <w:shd w:val="clear" w:color="auto" w:fill="808080" w:themeFill="background1" w:themeFillShade="80"/>
            <w:hideMark/>
          </w:tcPr>
          <w:p w14:paraId="477AFF9E"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Actual Readmission Rate, %</w:t>
            </w:r>
          </w:p>
        </w:tc>
      </w:tr>
      <w:tr w:rsidR="0086760B" w:rsidRPr="0086760B" w14:paraId="543B1C3E" w14:textId="77777777" w:rsidTr="00F43DF7">
        <w:trPr>
          <w:trHeight w:val="1190"/>
        </w:trPr>
        <w:tc>
          <w:tcPr>
            <w:tcW w:w="1726" w:type="dxa"/>
            <w:hideMark/>
          </w:tcPr>
          <w:p w14:paraId="2008DF6B" w14:textId="77777777" w:rsidR="0086760B" w:rsidRPr="0086760B" w:rsidRDefault="0086760B" w:rsidP="0086760B">
            <w:pPr>
              <w:rPr>
                <w:rFonts w:ascii="Times New Roman" w:hAnsi="Times New Roman" w:cs="Times New Roman"/>
                <w:sz w:val="20"/>
                <w:szCs w:val="20"/>
              </w:rPr>
            </w:pPr>
            <w:proofErr w:type="spellStart"/>
            <w:r w:rsidRPr="0086760B">
              <w:rPr>
                <w:rFonts w:ascii="Times New Roman" w:hAnsi="Times New Roman" w:cs="Times New Roman"/>
                <w:sz w:val="20"/>
                <w:szCs w:val="20"/>
              </w:rPr>
              <w:t>Turgeman</w:t>
            </w:r>
            <w:proofErr w:type="spellEnd"/>
            <w:r w:rsidRPr="0086760B">
              <w:rPr>
                <w:rFonts w:ascii="Times New Roman" w:hAnsi="Times New Roman" w:cs="Times New Roman"/>
                <w:sz w:val="20"/>
                <w:szCs w:val="20"/>
              </w:rPr>
              <w:t xml:space="preserve"> et al, 2016</w:t>
            </w:r>
          </w:p>
        </w:tc>
        <w:tc>
          <w:tcPr>
            <w:tcW w:w="1689" w:type="dxa"/>
            <w:hideMark/>
          </w:tcPr>
          <w:p w14:paraId="0F6FBEAD" w14:textId="3C0A8E0A"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Administrative claims of Veterans Health Administration (VHA) hospitals in Pittsburgh</w:t>
            </w:r>
          </w:p>
        </w:tc>
        <w:tc>
          <w:tcPr>
            <w:tcW w:w="1782" w:type="dxa"/>
            <w:hideMark/>
          </w:tcPr>
          <w:p w14:paraId="4CF2AC2B" w14:textId="1DDF8FE2"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CHF inpatients, VA hospitals, Pittsburgh, fiscal years 2006-2014</w:t>
            </w:r>
          </w:p>
        </w:tc>
        <w:tc>
          <w:tcPr>
            <w:tcW w:w="1633" w:type="dxa"/>
            <w:hideMark/>
          </w:tcPr>
          <w:p w14:paraId="14C3C5BD"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4,840 patients with 20,321 inpatient admissions</w:t>
            </w:r>
          </w:p>
        </w:tc>
        <w:tc>
          <w:tcPr>
            <w:tcW w:w="1776" w:type="dxa"/>
            <w:hideMark/>
          </w:tcPr>
          <w:p w14:paraId="3585AE84"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all cause readmission</w:t>
            </w:r>
          </w:p>
        </w:tc>
        <w:tc>
          <w:tcPr>
            <w:tcW w:w="2184" w:type="dxa"/>
            <w:hideMark/>
          </w:tcPr>
          <w:p w14:paraId="6484C30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27.99%</w:t>
            </w:r>
          </w:p>
        </w:tc>
      </w:tr>
      <w:tr w:rsidR="0086760B" w:rsidRPr="0086760B" w14:paraId="0058F478" w14:textId="77777777" w:rsidTr="00F43DF7">
        <w:trPr>
          <w:trHeight w:val="1190"/>
        </w:trPr>
        <w:tc>
          <w:tcPr>
            <w:tcW w:w="1726" w:type="dxa"/>
            <w:hideMark/>
          </w:tcPr>
          <w:p w14:paraId="7AB7468B" w14:textId="77777777" w:rsidR="0086760B" w:rsidRPr="0086760B" w:rsidRDefault="0086760B" w:rsidP="0086760B">
            <w:pPr>
              <w:rPr>
                <w:rFonts w:ascii="Times New Roman" w:hAnsi="Times New Roman" w:cs="Times New Roman"/>
                <w:sz w:val="20"/>
                <w:szCs w:val="20"/>
              </w:rPr>
            </w:pPr>
            <w:proofErr w:type="spellStart"/>
            <w:r w:rsidRPr="0086760B">
              <w:rPr>
                <w:rFonts w:ascii="Times New Roman" w:hAnsi="Times New Roman" w:cs="Times New Roman"/>
                <w:sz w:val="20"/>
                <w:szCs w:val="20"/>
              </w:rPr>
              <w:t>Povalej</w:t>
            </w:r>
            <w:proofErr w:type="spellEnd"/>
            <w:r w:rsidRPr="0086760B">
              <w:rPr>
                <w:rFonts w:ascii="Times New Roman" w:hAnsi="Times New Roman" w:cs="Times New Roman"/>
                <w:sz w:val="20"/>
                <w:szCs w:val="20"/>
              </w:rPr>
              <w:t xml:space="preserve"> et al, 2017</w:t>
            </w:r>
          </w:p>
        </w:tc>
        <w:tc>
          <w:tcPr>
            <w:tcW w:w="1689" w:type="dxa"/>
            <w:hideMark/>
          </w:tcPr>
          <w:p w14:paraId="641A4266"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Healthcare Cost and Utilization Project, State Inpatient Database for California</w:t>
            </w:r>
          </w:p>
        </w:tc>
        <w:tc>
          <w:tcPr>
            <w:tcW w:w="1782" w:type="dxa"/>
            <w:hideMark/>
          </w:tcPr>
          <w:p w14:paraId="5E721F4A" w14:textId="3BED5F32"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Morbidly obese patients, California State, 2009-2011</w:t>
            </w:r>
          </w:p>
        </w:tc>
        <w:tc>
          <w:tcPr>
            <w:tcW w:w="1633" w:type="dxa"/>
            <w:hideMark/>
          </w:tcPr>
          <w:p w14:paraId="5B274AB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4,787 (6 records of hospitalization) -20,521 patients (with at least 2 hospitalization records)</w:t>
            </w:r>
          </w:p>
        </w:tc>
        <w:tc>
          <w:tcPr>
            <w:tcW w:w="1776" w:type="dxa"/>
            <w:hideMark/>
          </w:tcPr>
          <w:p w14:paraId="0D6A8A2E"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readmission</w:t>
            </w:r>
          </w:p>
        </w:tc>
        <w:tc>
          <w:tcPr>
            <w:tcW w:w="2184" w:type="dxa"/>
            <w:hideMark/>
          </w:tcPr>
          <w:p w14:paraId="4B43BA90"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34.36%-43.85%</w:t>
            </w:r>
          </w:p>
        </w:tc>
      </w:tr>
      <w:tr w:rsidR="0086760B" w:rsidRPr="0086760B" w14:paraId="6FCA8804" w14:textId="77777777" w:rsidTr="00F43DF7">
        <w:trPr>
          <w:trHeight w:val="1190"/>
        </w:trPr>
        <w:tc>
          <w:tcPr>
            <w:tcW w:w="1726" w:type="dxa"/>
            <w:hideMark/>
          </w:tcPr>
          <w:p w14:paraId="6FA73E03"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Mahajan et al, 2017</w:t>
            </w:r>
          </w:p>
        </w:tc>
        <w:tc>
          <w:tcPr>
            <w:tcW w:w="1689" w:type="dxa"/>
            <w:hideMark/>
          </w:tcPr>
          <w:p w14:paraId="7E02EF8D" w14:textId="7BF7F430"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VA Health System EHR</w:t>
            </w:r>
          </w:p>
        </w:tc>
        <w:tc>
          <w:tcPr>
            <w:tcW w:w="1782" w:type="dxa"/>
            <w:hideMark/>
          </w:tcPr>
          <w:p w14:paraId="51ACE331" w14:textId="74E55715"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HF patients, Veterans Affairs Palo Alto Health Care System, Palo Alto, California, from 2005-2013</w:t>
            </w:r>
          </w:p>
        </w:tc>
        <w:tc>
          <w:tcPr>
            <w:tcW w:w="1633" w:type="dxa"/>
            <w:hideMark/>
          </w:tcPr>
          <w:p w14:paraId="7094A916"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1,210 patients with 263 readmissions</w:t>
            </w:r>
          </w:p>
        </w:tc>
        <w:tc>
          <w:tcPr>
            <w:tcW w:w="1776" w:type="dxa"/>
            <w:hideMark/>
          </w:tcPr>
          <w:p w14:paraId="1227AC7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30-day HF readmissions </w:t>
            </w:r>
          </w:p>
        </w:tc>
        <w:tc>
          <w:tcPr>
            <w:tcW w:w="2184" w:type="dxa"/>
            <w:hideMark/>
          </w:tcPr>
          <w:p w14:paraId="171084FC"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23.96%</w:t>
            </w:r>
          </w:p>
        </w:tc>
      </w:tr>
      <w:tr w:rsidR="0086760B" w:rsidRPr="0086760B" w14:paraId="36AA7B0C" w14:textId="77777777" w:rsidTr="00F43DF7">
        <w:trPr>
          <w:trHeight w:val="1900"/>
        </w:trPr>
        <w:tc>
          <w:tcPr>
            <w:tcW w:w="1726" w:type="dxa"/>
            <w:hideMark/>
          </w:tcPr>
          <w:p w14:paraId="47D104CD"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Nakamura et al, 2019</w:t>
            </w:r>
          </w:p>
        </w:tc>
        <w:tc>
          <w:tcPr>
            <w:tcW w:w="1689" w:type="dxa"/>
            <w:hideMark/>
          </w:tcPr>
          <w:p w14:paraId="38B2165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Boston Children’s Hospital, Children’s Hospital Colorado, and Lucile Packard Children’s Hospital Stanford EHR</w:t>
            </w:r>
          </w:p>
        </w:tc>
        <w:tc>
          <w:tcPr>
            <w:tcW w:w="1782" w:type="dxa"/>
            <w:hideMark/>
          </w:tcPr>
          <w:p w14:paraId="23102110" w14:textId="065C60FB"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Pediatric patients (aged 29days- 18 years) admitted to regional based hospitals: Boston Children's Hospital, Children's Hospital Colorado, Lucile Packard Children's Hospital Stanford, 02/2011-02/2014</w:t>
            </w:r>
          </w:p>
        </w:tc>
        <w:tc>
          <w:tcPr>
            <w:tcW w:w="1633" w:type="dxa"/>
            <w:hideMark/>
          </w:tcPr>
          <w:p w14:paraId="3CD1164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84,984 index admissions</w:t>
            </w:r>
          </w:p>
        </w:tc>
        <w:tc>
          <w:tcPr>
            <w:tcW w:w="1776" w:type="dxa"/>
            <w:hideMark/>
          </w:tcPr>
          <w:p w14:paraId="3C50E68E"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readmission</w:t>
            </w:r>
          </w:p>
        </w:tc>
        <w:tc>
          <w:tcPr>
            <w:tcW w:w="2184" w:type="dxa"/>
            <w:hideMark/>
          </w:tcPr>
          <w:p w14:paraId="06A9AEFB"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7.60%</w:t>
            </w:r>
          </w:p>
        </w:tc>
      </w:tr>
      <w:tr w:rsidR="0086760B" w:rsidRPr="0086760B" w14:paraId="687DAD30" w14:textId="77777777" w:rsidTr="00F43DF7">
        <w:trPr>
          <w:trHeight w:val="1190"/>
        </w:trPr>
        <w:tc>
          <w:tcPr>
            <w:tcW w:w="1726" w:type="dxa"/>
            <w:hideMark/>
          </w:tcPr>
          <w:p w14:paraId="453F471D" w14:textId="77777777" w:rsidR="0086760B" w:rsidRPr="0086760B" w:rsidRDefault="0086760B" w:rsidP="0086760B">
            <w:pPr>
              <w:rPr>
                <w:rFonts w:ascii="Times New Roman" w:hAnsi="Times New Roman" w:cs="Times New Roman"/>
                <w:sz w:val="20"/>
                <w:szCs w:val="20"/>
              </w:rPr>
            </w:pPr>
            <w:proofErr w:type="spellStart"/>
            <w:r w:rsidRPr="0086760B">
              <w:rPr>
                <w:rFonts w:ascii="Times New Roman" w:hAnsi="Times New Roman" w:cs="Times New Roman"/>
                <w:sz w:val="20"/>
                <w:szCs w:val="20"/>
              </w:rPr>
              <w:t>Ehwerhemuepha</w:t>
            </w:r>
            <w:proofErr w:type="spellEnd"/>
            <w:r w:rsidRPr="0086760B">
              <w:rPr>
                <w:rFonts w:ascii="Times New Roman" w:hAnsi="Times New Roman" w:cs="Times New Roman"/>
                <w:sz w:val="20"/>
                <w:szCs w:val="20"/>
              </w:rPr>
              <w:t xml:space="preserve"> et al, 2020</w:t>
            </w:r>
          </w:p>
        </w:tc>
        <w:tc>
          <w:tcPr>
            <w:tcW w:w="1689" w:type="dxa"/>
            <w:hideMark/>
          </w:tcPr>
          <w:p w14:paraId="2797EF84" w14:textId="62E6F710"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 tertiary pediatric</w:t>
            </w:r>
            <w:r w:rsidRPr="0086760B">
              <w:rPr>
                <w:rFonts w:ascii="Times New Roman" w:hAnsi="Times New Roman" w:cs="Times New Roman"/>
                <w:sz w:val="20"/>
                <w:szCs w:val="20"/>
              </w:rPr>
              <w:br/>
              <w:t>hospital in Southern California EHR</w:t>
            </w:r>
          </w:p>
        </w:tc>
        <w:tc>
          <w:tcPr>
            <w:tcW w:w="1782" w:type="dxa"/>
            <w:hideMark/>
          </w:tcPr>
          <w:p w14:paraId="0ACC557A" w14:textId="215D258F"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All pediatric inpatients (aged 29 days- 21 years), a regional based single tertiary pediatric hospital, 2013-2017 </w:t>
            </w:r>
          </w:p>
        </w:tc>
        <w:tc>
          <w:tcPr>
            <w:tcW w:w="1633" w:type="dxa"/>
            <w:hideMark/>
          </w:tcPr>
          <w:p w14:paraId="5BF7D77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50,241 encounters</w:t>
            </w:r>
          </w:p>
        </w:tc>
        <w:tc>
          <w:tcPr>
            <w:tcW w:w="1776" w:type="dxa"/>
            <w:hideMark/>
          </w:tcPr>
          <w:p w14:paraId="4E1238F6" w14:textId="44C24514"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pediatric 7-day unpreventable readmissions</w:t>
            </w:r>
          </w:p>
        </w:tc>
        <w:tc>
          <w:tcPr>
            <w:tcW w:w="2184" w:type="dxa"/>
            <w:hideMark/>
          </w:tcPr>
          <w:p w14:paraId="2C2026C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Overall=4.46%; training=4.65%; testing=4.28%</w:t>
            </w:r>
          </w:p>
        </w:tc>
      </w:tr>
      <w:tr w:rsidR="0086760B" w:rsidRPr="0086760B" w14:paraId="69C4CF12" w14:textId="77777777" w:rsidTr="00845FE1">
        <w:trPr>
          <w:trHeight w:val="539"/>
        </w:trPr>
        <w:tc>
          <w:tcPr>
            <w:tcW w:w="1726" w:type="dxa"/>
            <w:hideMark/>
          </w:tcPr>
          <w:p w14:paraId="3869EA0C"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Tong et al, 2016</w:t>
            </w:r>
          </w:p>
        </w:tc>
        <w:tc>
          <w:tcPr>
            <w:tcW w:w="1689" w:type="dxa"/>
            <w:hideMark/>
          </w:tcPr>
          <w:p w14:paraId="52449F82" w14:textId="17ABBD06"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EHR of eight Advocate Health Care hospitals in the Chicago </w:t>
            </w:r>
          </w:p>
        </w:tc>
        <w:tc>
          <w:tcPr>
            <w:tcW w:w="1782" w:type="dxa"/>
            <w:hideMark/>
          </w:tcPr>
          <w:p w14:paraId="2DA80D34" w14:textId="1AD05AC5"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All inpatients, 8 hospitals (Condell Medical Center, Good Shepherd Hospital, Lutheran</w:t>
            </w:r>
            <w:r w:rsidRPr="0086760B">
              <w:rPr>
                <w:rFonts w:ascii="Times New Roman" w:hAnsi="Times New Roman" w:cs="Times New Roman"/>
                <w:sz w:val="20"/>
                <w:szCs w:val="20"/>
              </w:rPr>
              <w:br/>
              <w:t>General Hospital, Illinois Masonic Medical Center, Good</w:t>
            </w:r>
            <w:r w:rsidRPr="0086760B">
              <w:rPr>
                <w:rFonts w:ascii="Times New Roman" w:hAnsi="Times New Roman" w:cs="Times New Roman"/>
                <w:sz w:val="20"/>
                <w:szCs w:val="20"/>
              </w:rPr>
              <w:br/>
              <w:t xml:space="preserve">Samaritan Hospital, Christ Medical Center, Trinity Hospital and South Suburban Hospital), a large </w:t>
            </w:r>
            <w:r w:rsidRPr="0086760B">
              <w:rPr>
                <w:rFonts w:ascii="Times New Roman" w:hAnsi="Times New Roman" w:cs="Times New Roman"/>
                <w:sz w:val="20"/>
                <w:szCs w:val="20"/>
              </w:rPr>
              <w:lastRenderedPageBreak/>
              <w:t>urban area, 03/2011-07/2012</w:t>
            </w:r>
          </w:p>
        </w:tc>
        <w:tc>
          <w:tcPr>
            <w:tcW w:w="1633" w:type="dxa"/>
            <w:hideMark/>
          </w:tcPr>
          <w:p w14:paraId="230F489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lastRenderedPageBreak/>
              <w:t>109,421 patients with 18,707 readmissions</w:t>
            </w:r>
          </w:p>
        </w:tc>
        <w:tc>
          <w:tcPr>
            <w:tcW w:w="1776" w:type="dxa"/>
            <w:hideMark/>
          </w:tcPr>
          <w:p w14:paraId="1C610514"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w:t>
            </w:r>
            <w:r w:rsidRPr="0086760B">
              <w:rPr>
                <w:rFonts w:ascii="Times New Roman" w:hAnsi="Times New Roman" w:cs="Times New Roman"/>
                <w:sz w:val="20"/>
                <w:szCs w:val="20"/>
              </w:rPr>
              <w:br/>
            </w:r>
            <w:r w:rsidRPr="0086760B">
              <w:rPr>
                <w:rFonts w:ascii="Times New Roman" w:hAnsi="Times New Roman" w:cs="Times New Roman"/>
                <w:sz w:val="20"/>
                <w:szCs w:val="20"/>
              </w:rPr>
              <w:br/>
              <w:t>all-cause non-elective readmission</w:t>
            </w:r>
          </w:p>
        </w:tc>
        <w:tc>
          <w:tcPr>
            <w:tcW w:w="2184" w:type="dxa"/>
            <w:hideMark/>
          </w:tcPr>
          <w:p w14:paraId="510C8E88"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11.50%</w:t>
            </w:r>
          </w:p>
        </w:tc>
      </w:tr>
      <w:tr w:rsidR="0086760B" w:rsidRPr="0086760B" w14:paraId="0EB67CA4" w14:textId="77777777" w:rsidTr="0086760B">
        <w:trPr>
          <w:trHeight w:val="660"/>
        </w:trPr>
        <w:tc>
          <w:tcPr>
            <w:tcW w:w="1726" w:type="dxa"/>
            <w:shd w:val="clear" w:color="auto" w:fill="808080" w:themeFill="background1" w:themeFillShade="80"/>
            <w:hideMark/>
          </w:tcPr>
          <w:p w14:paraId="38C32B9E"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1689" w:type="dxa"/>
            <w:shd w:val="clear" w:color="auto" w:fill="808080" w:themeFill="background1" w:themeFillShade="80"/>
            <w:hideMark/>
          </w:tcPr>
          <w:p w14:paraId="326D0FAF"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Data Source</w:t>
            </w:r>
          </w:p>
        </w:tc>
        <w:tc>
          <w:tcPr>
            <w:tcW w:w="1782" w:type="dxa"/>
            <w:shd w:val="clear" w:color="auto" w:fill="808080" w:themeFill="background1" w:themeFillShade="80"/>
            <w:hideMark/>
          </w:tcPr>
          <w:p w14:paraId="1CFF8AC3"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Population and Setting </w:t>
            </w:r>
          </w:p>
        </w:tc>
        <w:tc>
          <w:tcPr>
            <w:tcW w:w="1633" w:type="dxa"/>
            <w:shd w:val="clear" w:color="auto" w:fill="808080" w:themeFill="background1" w:themeFillShade="80"/>
            <w:hideMark/>
          </w:tcPr>
          <w:p w14:paraId="127B1AAF"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Sample Size </w:t>
            </w:r>
          </w:p>
        </w:tc>
        <w:tc>
          <w:tcPr>
            <w:tcW w:w="1776" w:type="dxa"/>
            <w:shd w:val="clear" w:color="auto" w:fill="808080" w:themeFill="background1" w:themeFillShade="80"/>
            <w:hideMark/>
          </w:tcPr>
          <w:p w14:paraId="17BB55C3"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Type of Readmission Measures </w:t>
            </w:r>
          </w:p>
        </w:tc>
        <w:tc>
          <w:tcPr>
            <w:tcW w:w="2184" w:type="dxa"/>
            <w:shd w:val="clear" w:color="auto" w:fill="808080" w:themeFill="background1" w:themeFillShade="80"/>
            <w:hideMark/>
          </w:tcPr>
          <w:p w14:paraId="08D5D76F"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Actual Readmission Rate, %</w:t>
            </w:r>
          </w:p>
        </w:tc>
      </w:tr>
      <w:tr w:rsidR="0086760B" w:rsidRPr="0086760B" w14:paraId="796131CD" w14:textId="77777777" w:rsidTr="00F43DF7">
        <w:trPr>
          <w:trHeight w:val="1190"/>
        </w:trPr>
        <w:tc>
          <w:tcPr>
            <w:tcW w:w="1726" w:type="dxa"/>
            <w:hideMark/>
          </w:tcPr>
          <w:p w14:paraId="3E48D34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McKinley et al, 2018</w:t>
            </w:r>
          </w:p>
        </w:tc>
        <w:tc>
          <w:tcPr>
            <w:tcW w:w="1689" w:type="dxa"/>
            <w:hideMark/>
          </w:tcPr>
          <w:p w14:paraId="0ADF5B83" w14:textId="4A81C534"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 WellStar Atlanta Medical Center in Atlanta EHR</w:t>
            </w:r>
          </w:p>
        </w:tc>
        <w:tc>
          <w:tcPr>
            <w:tcW w:w="1782" w:type="dxa"/>
            <w:hideMark/>
          </w:tcPr>
          <w:p w14:paraId="35C673F4" w14:textId="61729CE0"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HF African American Males admitted to an academic medical center, Atlanta, Georgia, 05/2012-12/2015</w:t>
            </w:r>
          </w:p>
        </w:tc>
        <w:tc>
          <w:tcPr>
            <w:tcW w:w="1633" w:type="dxa"/>
            <w:hideMark/>
          </w:tcPr>
          <w:p w14:paraId="195B166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132 patients</w:t>
            </w:r>
          </w:p>
        </w:tc>
        <w:tc>
          <w:tcPr>
            <w:tcW w:w="1776" w:type="dxa"/>
            <w:hideMark/>
          </w:tcPr>
          <w:p w14:paraId="56785C0B"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w:t>
            </w:r>
            <w:r w:rsidRPr="0086760B">
              <w:rPr>
                <w:rFonts w:ascii="Times New Roman" w:hAnsi="Times New Roman" w:cs="Times New Roman"/>
                <w:sz w:val="20"/>
                <w:szCs w:val="20"/>
              </w:rPr>
              <w:br/>
            </w:r>
            <w:r w:rsidRPr="0086760B">
              <w:rPr>
                <w:rFonts w:ascii="Times New Roman" w:hAnsi="Times New Roman" w:cs="Times New Roman"/>
                <w:sz w:val="20"/>
                <w:szCs w:val="20"/>
              </w:rPr>
              <w:br/>
              <w:t>readmission</w:t>
            </w:r>
          </w:p>
        </w:tc>
        <w:tc>
          <w:tcPr>
            <w:tcW w:w="2184" w:type="dxa"/>
            <w:hideMark/>
          </w:tcPr>
          <w:p w14:paraId="626FE2EB"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28.80%</w:t>
            </w:r>
          </w:p>
        </w:tc>
      </w:tr>
      <w:tr w:rsidR="0086760B" w:rsidRPr="0086760B" w14:paraId="6A6E59E1" w14:textId="77777777" w:rsidTr="00F43DF7">
        <w:trPr>
          <w:trHeight w:val="1190"/>
        </w:trPr>
        <w:tc>
          <w:tcPr>
            <w:tcW w:w="1726" w:type="dxa"/>
            <w:hideMark/>
          </w:tcPr>
          <w:p w14:paraId="20C07CE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Kulkarni et al, 2016</w:t>
            </w:r>
          </w:p>
        </w:tc>
        <w:tc>
          <w:tcPr>
            <w:tcW w:w="1689" w:type="dxa"/>
            <w:hideMark/>
          </w:tcPr>
          <w:p w14:paraId="1384BECE" w14:textId="49D10A10"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Data from a private health system</w:t>
            </w:r>
          </w:p>
        </w:tc>
        <w:tc>
          <w:tcPr>
            <w:tcW w:w="1782" w:type="dxa"/>
            <w:hideMark/>
          </w:tcPr>
          <w:p w14:paraId="6698953D" w14:textId="504109A3"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All inpatients admitted to hospitals in a private health system, during 1 year</w:t>
            </w:r>
          </w:p>
        </w:tc>
        <w:tc>
          <w:tcPr>
            <w:tcW w:w="1633" w:type="dxa"/>
            <w:hideMark/>
          </w:tcPr>
          <w:p w14:paraId="06A22C0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112,750 index admissions</w:t>
            </w:r>
          </w:p>
        </w:tc>
        <w:tc>
          <w:tcPr>
            <w:tcW w:w="1776" w:type="dxa"/>
            <w:hideMark/>
          </w:tcPr>
          <w:p w14:paraId="16803E2C"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30-days unplanned readmission </w:t>
            </w:r>
          </w:p>
        </w:tc>
        <w:tc>
          <w:tcPr>
            <w:tcW w:w="2184" w:type="dxa"/>
            <w:hideMark/>
          </w:tcPr>
          <w:p w14:paraId="50DDDCD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12.15%</w:t>
            </w:r>
          </w:p>
        </w:tc>
      </w:tr>
      <w:tr w:rsidR="0086760B" w:rsidRPr="0086760B" w14:paraId="057860C8" w14:textId="77777777" w:rsidTr="00F43DF7">
        <w:trPr>
          <w:trHeight w:val="1520"/>
        </w:trPr>
        <w:tc>
          <w:tcPr>
            <w:tcW w:w="1726" w:type="dxa"/>
            <w:hideMark/>
          </w:tcPr>
          <w:p w14:paraId="267AFFE8"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Goyal et al, 2019</w:t>
            </w:r>
          </w:p>
        </w:tc>
        <w:tc>
          <w:tcPr>
            <w:tcW w:w="1689" w:type="dxa"/>
            <w:hideMark/>
          </w:tcPr>
          <w:p w14:paraId="57B821B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ACS NSQIP</w:t>
            </w:r>
          </w:p>
        </w:tc>
        <w:tc>
          <w:tcPr>
            <w:tcW w:w="1782" w:type="dxa"/>
            <w:hideMark/>
          </w:tcPr>
          <w:p w14:paraId="4DF2AA1F" w14:textId="3C015BF8"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Patients undergoing cervical or lumbar spinal fusion (neurosurgery, 500 hospitals across the nation, 2012-2013</w:t>
            </w:r>
          </w:p>
        </w:tc>
        <w:tc>
          <w:tcPr>
            <w:tcW w:w="1633" w:type="dxa"/>
            <w:hideMark/>
          </w:tcPr>
          <w:p w14:paraId="71754106"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59,145 patients</w:t>
            </w:r>
          </w:p>
        </w:tc>
        <w:tc>
          <w:tcPr>
            <w:tcW w:w="1776" w:type="dxa"/>
            <w:hideMark/>
          </w:tcPr>
          <w:p w14:paraId="3A4C743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 days unplanned readmission</w:t>
            </w:r>
          </w:p>
        </w:tc>
        <w:tc>
          <w:tcPr>
            <w:tcW w:w="2184" w:type="dxa"/>
            <w:hideMark/>
          </w:tcPr>
          <w:p w14:paraId="2214727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4.50%</w:t>
            </w:r>
          </w:p>
        </w:tc>
      </w:tr>
      <w:tr w:rsidR="0086760B" w:rsidRPr="0086760B" w14:paraId="6E61E807" w14:textId="77777777" w:rsidTr="00F43DF7">
        <w:trPr>
          <w:trHeight w:val="1660"/>
        </w:trPr>
        <w:tc>
          <w:tcPr>
            <w:tcW w:w="1726" w:type="dxa"/>
            <w:hideMark/>
          </w:tcPr>
          <w:p w14:paraId="76257D71"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Garcia-Acre et al, 2018</w:t>
            </w:r>
          </w:p>
        </w:tc>
        <w:tc>
          <w:tcPr>
            <w:tcW w:w="1689" w:type="dxa"/>
            <w:hideMark/>
          </w:tcPr>
          <w:p w14:paraId="174A5F60" w14:textId="7560F4BF"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Administrative claims of</w:t>
            </w:r>
            <w:r w:rsidRPr="0086760B">
              <w:rPr>
                <w:rFonts w:ascii="Times New Roman" w:hAnsi="Times New Roman" w:cs="Times New Roman"/>
                <w:sz w:val="20"/>
                <w:szCs w:val="20"/>
              </w:rPr>
              <w:br/>
              <w:t>a network of 11 hospitals in Florida</w:t>
            </w:r>
          </w:p>
        </w:tc>
        <w:tc>
          <w:tcPr>
            <w:tcW w:w="1782" w:type="dxa"/>
            <w:hideMark/>
          </w:tcPr>
          <w:p w14:paraId="1B399B27" w14:textId="68C8869E"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Patients diagnosed with AMI, or COPD, or CHF, or PN, or DIA at 11 hospitals from Florida, 2005-2012</w:t>
            </w:r>
          </w:p>
        </w:tc>
        <w:tc>
          <w:tcPr>
            <w:tcW w:w="1633" w:type="dxa"/>
            <w:hideMark/>
          </w:tcPr>
          <w:p w14:paraId="0C01E044"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594,751 patients; AMI=11,205; CHF=9,586; COPD=7,911; DIA=6,145; PN=12,123</w:t>
            </w:r>
          </w:p>
        </w:tc>
        <w:tc>
          <w:tcPr>
            <w:tcW w:w="1776" w:type="dxa"/>
            <w:hideMark/>
          </w:tcPr>
          <w:p w14:paraId="3F0553EA" w14:textId="77777777" w:rsidR="0086760B" w:rsidRPr="0086760B" w:rsidRDefault="0086760B" w:rsidP="0086760B">
            <w:pPr>
              <w:spacing w:after="160"/>
              <w:rPr>
                <w:rFonts w:ascii="Times New Roman" w:hAnsi="Times New Roman" w:cs="Times New Roman"/>
                <w:sz w:val="20"/>
                <w:szCs w:val="20"/>
              </w:rPr>
            </w:pPr>
            <w:r w:rsidRPr="0086760B">
              <w:rPr>
                <w:rFonts w:ascii="Times New Roman" w:hAnsi="Times New Roman" w:cs="Times New Roman"/>
                <w:sz w:val="20"/>
                <w:szCs w:val="20"/>
              </w:rPr>
              <w:t>30-day preventable hospital readmissions</w:t>
            </w:r>
          </w:p>
        </w:tc>
        <w:tc>
          <w:tcPr>
            <w:tcW w:w="2184" w:type="dxa"/>
            <w:hideMark/>
          </w:tcPr>
          <w:p w14:paraId="4A710F39" w14:textId="77777777" w:rsidR="0086760B" w:rsidRPr="0086760B" w:rsidRDefault="0086760B" w:rsidP="0086760B">
            <w:pPr>
              <w:spacing w:after="160"/>
              <w:rPr>
                <w:rFonts w:ascii="Times New Roman" w:hAnsi="Times New Roman" w:cs="Times New Roman"/>
                <w:sz w:val="20"/>
                <w:szCs w:val="20"/>
              </w:rPr>
            </w:pPr>
            <w:r w:rsidRPr="0086760B">
              <w:rPr>
                <w:rFonts w:ascii="Times New Roman" w:hAnsi="Times New Roman" w:cs="Times New Roman"/>
                <w:sz w:val="20"/>
                <w:szCs w:val="20"/>
              </w:rPr>
              <w:t>AMI=18%; CHF=16%; COPD=15%; DIA=12%; PD=11%</w:t>
            </w:r>
          </w:p>
        </w:tc>
      </w:tr>
      <w:tr w:rsidR="0086760B" w:rsidRPr="0086760B" w14:paraId="4C06B1AE" w14:textId="77777777" w:rsidTr="00F43DF7">
        <w:trPr>
          <w:trHeight w:val="1190"/>
        </w:trPr>
        <w:tc>
          <w:tcPr>
            <w:tcW w:w="1726" w:type="dxa"/>
            <w:hideMark/>
          </w:tcPr>
          <w:p w14:paraId="3D0F4B14"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Mortazavi et al, 2016</w:t>
            </w:r>
          </w:p>
        </w:tc>
        <w:tc>
          <w:tcPr>
            <w:tcW w:w="1689" w:type="dxa"/>
            <w:hideMark/>
          </w:tcPr>
          <w:p w14:paraId="0EC025E5"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Telemonitoring to Improve Heart Failure Outcomes trial</w:t>
            </w:r>
          </w:p>
        </w:tc>
        <w:tc>
          <w:tcPr>
            <w:tcW w:w="1782" w:type="dxa"/>
            <w:hideMark/>
          </w:tcPr>
          <w:p w14:paraId="7C7A7DAE"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HF patients</w:t>
            </w:r>
          </w:p>
        </w:tc>
        <w:tc>
          <w:tcPr>
            <w:tcW w:w="1633" w:type="dxa"/>
            <w:hideMark/>
          </w:tcPr>
          <w:p w14:paraId="023484F6"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1004 patients (30-day); 977 (180 day)</w:t>
            </w:r>
          </w:p>
        </w:tc>
        <w:tc>
          <w:tcPr>
            <w:tcW w:w="1776" w:type="dxa"/>
            <w:hideMark/>
          </w:tcPr>
          <w:p w14:paraId="33DD7183" w14:textId="1DFCDFBA"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and 180-day all-cause; 30-day and 180-day heart failure-only readmissions</w:t>
            </w:r>
          </w:p>
        </w:tc>
        <w:tc>
          <w:tcPr>
            <w:tcW w:w="2184" w:type="dxa"/>
            <w:hideMark/>
          </w:tcPr>
          <w:p w14:paraId="51588582"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30 d all=17.1%; 180 d all=48.9%; </w:t>
            </w:r>
          </w:p>
        </w:tc>
      </w:tr>
      <w:tr w:rsidR="0086760B" w:rsidRPr="0086760B" w14:paraId="5B050F15" w14:textId="77777777" w:rsidTr="00F43DF7">
        <w:trPr>
          <w:trHeight w:val="1190"/>
        </w:trPr>
        <w:tc>
          <w:tcPr>
            <w:tcW w:w="1726" w:type="dxa"/>
            <w:hideMark/>
          </w:tcPr>
          <w:p w14:paraId="37DB37CE"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Frizzell et al, 2017</w:t>
            </w:r>
          </w:p>
        </w:tc>
        <w:tc>
          <w:tcPr>
            <w:tcW w:w="1689" w:type="dxa"/>
            <w:hideMark/>
          </w:tcPr>
          <w:p w14:paraId="6FF89A46" w14:textId="1BDA7B63"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Get with the Guidelines Heart Failure registry (GWTG-HF) linked with Medicare Inpatient data</w:t>
            </w:r>
          </w:p>
        </w:tc>
        <w:tc>
          <w:tcPr>
            <w:tcW w:w="1782" w:type="dxa"/>
            <w:hideMark/>
          </w:tcPr>
          <w:p w14:paraId="2F43515D" w14:textId="31B8094F"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Elderly patients (aged above 65) admitted to GWTG-HF registry and discharged alive between 01/2005-12/2011 with enrollment in Medicare Fee-for Service A and B at discharge. </w:t>
            </w:r>
          </w:p>
        </w:tc>
        <w:tc>
          <w:tcPr>
            <w:tcW w:w="1633" w:type="dxa"/>
            <w:hideMark/>
          </w:tcPr>
          <w:p w14:paraId="44951FD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56,477 patients</w:t>
            </w:r>
          </w:p>
        </w:tc>
        <w:tc>
          <w:tcPr>
            <w:tcW w:w="1776" w:type="dxa"/>
            <w:hideMark/>
          </w:tcPr>
          <w:p w14:paraId="27F3911D"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 days all-cause readmissions </w:t>
            </w:r>
          </w:p>
        </w:tc>
        <w:tc>
          <w:tcPr>
            <w:tcW w:w="2184" w:type="dxa"/>
            <w:hideMark/>
          </w:tcPr>
          <w:p w14:paraId="4612D1BD"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21.20%</w:t>
            </w:r>
          </w:p>
        </w:tc>
      </w:tr>
      <w:tr w:rsidR="0086760B" w:rsidRPr="0086760B" w14:paraId="6FF88F54" w14:textId="77777777" w:rsidTr="00845FE1">
        <w:trPr>
          <w:trHeight w:val="809"/>
        </w:trPr>
        <w:tc>
          <w:tcPr>
            <w:tcW w:w="1726" w:type="dxa"/>
            <w:hideMark/>
          </w:tcPr>
          <w:p w14:paraId="6C208725"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Eckert et al, 2018</w:t>
            </w:r>
          </w:p>
        </w:tc>
        <w:tc>
          <w:tcPr>
            <w:tcW w:w="1689" w:type="dxa"/>
            <w:hideMark/>
          </w:tcPr>
          <w:p w14:paraId="36ED9393" w14:textId="40CD677B"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 Madigan Army Medical Center EHR</w:t>
            </w:r>
          </w:p>
        </w:tc>
        <w:tc>
          <w:tcPr>
            <w:tcW w:w="1782" w:type="dxa"/>
            <w:hideMark/>
          </w:tcPr>
          <w:p w14:paraId="53432F11" w14:textId="3D65F4E8"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All inpatients admitted to a tertiary care medical facility (Madigan Army Medical Center), Tacoma, </w:t>
            </w:r>
            <w:r w:rsidRPr="0086760B">
              <w:rPr>
                <w:rFonts w:ascii="Times New Roman" w:hAnsi="Times New Roman" w:cs="Times New Roman"/>
                <w:sz w:val="20"/>
                <w:szCs w:val="20"/>
              </w:rPr>
              <w:lastRenderedPageBreak/>
              <w:t>Washington, 01/2014-01/2016</w:t>
            </w:r>
          </w:p>
        </w:tc>
        <w:tc>
          <w:tcPr>
            <w:tcW w:w="1633" w:type="dxa"/>
            <w:hideMark/>
          </w:tcPr>
          <w:p w14:paraId="53716FA6"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lastRenderedPageBreak/>
              <w:t xml:space="preserve">24,499 patients with 32,659 admissions (training);1,574 patients (testing); 32,219 patients with 42, 392 admissions </w:t>
            </w:r>
            <w:r w:rsidRPr="0086760B">
              <w:rPr>
                <w:rFonts w:ascii="Times New Roman" w:hAnsi="Times New Roman" w:cs="Times New Roman"/>
                <w:sz w:val="20"/>
                <w:szCs w:val="20"/>
              </w:rPr>
              <w:lastRenderedPageBreak/>
              <w:t>(revised model retrospective testing)</w:t>
            </w:r>
          </w:p>
        </w:tc>
        <w:tc>
          <w:tcPr>
            <w:tcW w:w="1776" w:type="dxa"/>
            <w:hideMark/>
          </w:tcPr>
          <w:p w14:paraId="41D5104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lastRenderedPageBreak/>
              <w:t>30 days all-cause readmissions </w:t>
            </w:r>
          </w:p>
        </w:tc>
        <w:tc>
          <w:tcPr>
            <w:tcW w:w="2184" w:type="dxa"/>
            <w:hideMark/>
          </w:tcPr>
          <w:p w14:paraId="25DED0A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training=9.4%; prospective testing=9.7%; retrospective testing=12.09%</w:t>
            </w:r>
          </w:p>
        </w:tc>
      </w:tr>
      <w:tr w:rsidR="0086760B" w:rsidRPr="0086760B" w14:paraId="215D3630" w14:textId="77777777" w:rsidTr="0086760B">
        <w:trPr>
          <w:trHeight w:val="660"/>
        </w:trPr>
        <w:tc>
          <w:tcPr>
            <w:tcW w:w="1726" w:type="dxa"/>
            <w:shd w:val="clear" w:color="auto" w:fill="808080" w:themeFill="background1" w:themeFillShade="80"/>
            <w:hideMark/>
          </w:tcPr>
          <w:p w14:paraId="195E911D"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1689" w:type="dxa"/>
            <w:shd w:val="clear" w:color="auto" w:fill="808080" w:themeFill="background1" w:themeFillShade="80"/>
            <w:hideMark/>
          </w:tcPr>
          <w:p w14:paraId="5BF1C4B3"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Data Source</w:t>
            </w:r>
          </w:p>
        </w:tc>
        <w:tc>
          <w:tcPr>
            <w:tcW w:w="1782" w:type="dxa"/>
            <w:shd w:val="clear" w:color="auto" w:fill="808080" w:themeFill="background1" w:themeFillShade="80"/>
            <w:hideMark/>
          </w:tcPr>
          <w:p w14:paraId="6513E596"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Population and Setting </w:t>
            </w:r>
          </w:p>
        </w:tc>
        <w:tc>
          <w:tcPr>
            <w:tcW w:w="1633" w:type="dxa"/>
            <w:shd w:val="clear" w:color="auto" w:fill="808080" w:themeFill="background1" w:themeFillShade="80"/>
            <w:hideMark/>
          </w:tcPr>
          <w:p w14:paraId="475B8E2C"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Sample Size </w:t>
            </w:r>
          </w:p>
        </w:tc>
        <w:tc>
          <w:tcPr>
            <w:tcW w:w="1776" w:type="dxa"/>
            <w:shd w:val="clear" w:color="auto" w:fill="808080" w:themeFill="background1" w:themeFillShade="80"/>
            <w:hideMark/>
          </w:tcPr>
          <w:p w14:paraId="1E6A104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Type of Readmission Measures </w:t>
            </w:r>
          </w:p>
        </w:tc>
        <w:tc>
          <w:tcPr>
            <w:tcW w:w="2184" w:type="dxa"/>
            <w:shd w:val="clear" w:color="auto" w:fill="808080" w:themeFill="background1" w:themeFillShade="80"/>
            <w:hideMark/>
          </w:tcPr>
          <w:p w14:paraId="65FFCCB5"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Actual Readmission Rate, %</w:t>
            </w:r>
          </w:p>
        </w:tc>
      </w:tr>
      <w:tr w:rsidR="0086760B" w:rsidRPr="0086760B" w14:paraId="5D6D3369" w14:textId="77777777" w:rsidTr="00F43DF7">
        <w:trPr>
          <w:trHeight w:val="1190"/>
        </w:trPr>
        <w:tc>
          <w:tcPr>
            <w:tcW w:w="1726" w:type="dxa"/>
            <w:hideMark/>
          </w:tcPr>
          <w:p w14:paraId="2D9F8DD7"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Lodhi et al, 2017</w:t>
            </w:r>
          </w:p>
        </w:tc>
        <w:tc>
          <w:tcPr>
            <w:tcW w:w="1689" w:type="dxa"/>
            <w:hideMark/>
          </w:tcPr>
          <w:p w14:paraId="5D11428D" w14:textId="77A4A2B0"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Four hospitals-based Nursing EHR of HANDS database</w:t>
            </w:r>
          </w:p>
        </w:tc>
        <w:tc>
          <w:tcPr>
            <w:tcW w:w="1782" w:type="dxa"/>
            <w:hideMark/>
          </w:tcPr>
          <w:p w14:paraId="7A330611" w14:textId="13A369B2"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All inpatients with pain problems who had received nursing care from 4 different hospitals, 2005-2008</w:t>
            </w:r>
          </w:p>
        </w:tc>
        <w:tc>
          <w:tcPr>
            <w:tcW w:w="1633" w:type="dxa"/>
            <w:hideMark/>
          </w:tcPr>
          <w:p w14:paraId="127CBB21"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34,929 patients</w:t>
            </w:r>
          </w:p>
        </w:tc>
        <w:tc>
          <w:tcPr>
            <w:tcW w:w="1776" w:type="dxa"/>
            <w:hideMark/>
          </w:tcPr>
          <w:p w14:paraId="5623ABB1"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readmission rate</w:t>
            </w:r>
          </w:p>
        </w:tc>
        <w:tc>
          <w:tcPr>
            <w:tcW w:w="2184" w:type="dxa"/>
            <w:hideMark/>
          </w:tcPr>
          <w:p w14:paraId="317E82D0"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15%</w:t>
            </w:r>
          </w:p>
        </w:tc>
      </w:tr>
      <w:tr w:rsidR="0086760B" w:rsidRPr="0086760B" w14:paraId="0330D5E7" w14:textId="77777777" w:rsidTr="00F43DF7">
        <w:trPr>
          <w:trHeight w:val="2150"/>
        </w:trPr>
        <w:tc>
          <w:tcPr>
            <w:tcW w:w="1726" w:type="dxa"/>
            <w:hideMark/>
          </w:tcPr>
          <w:p w14:paraId="415A38C8" w14:textId="77777777" w:rsidR="0086760B" w:rsidRPr="0086760B" w:rsidRDefault="0086760B" w:rsidP="0086760B">
            <w:pPr>
              <w:rPr>
                <w:rFonts w:ascii="Times New Roman" w:hAnsi="Times New Roman" w:cs="Times New Roman"/>
                <w:sz w:val="20"/>
                <w:szCs w:val="20"/>
              </w:rPr>
            </w:pPr>
            <w:proofErr w:type="spellStart"/>
            <w:r w:rsidRPr="0086760B">
              <w:rPr>
                <w:rFonts w:ascii="Times New Roman" w:hAnsi="Times New Roman" w:cs="Times New Roman"/>
                <w:sz w:val="20"/>
                <w:szCs w:val="20"/>
              </w:rPr>
              <w:t>Jamei</w:t>
            </w:r>
            <w:proofErr w:type="spellEnd"/>
            <w:r w:rsidRPr="0086760B">
              <w:rPr>
                <w:rFonts w:ascii="Times New Roman" w:hAnsi="Times New Roman" w:cs="Times New Roman"/>
                <w:sz w:val="20"/>
                <w:szCs w:val="20"/>
              </w:rPr>
              <w:t xml:space="preserve"> et al, 2017</w:t>
            </w:r>
          </w:p>
        </w:tc>
        <w:tc>
          <w:tcPr>
            <w:tcW w:w="1689" w:type="dxa"/>
            <w:hideMark/>
          </w:tcPr>
          <w:p w14:paraId="3D41313D"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Sutter Health, EHR of a large nonprofit hospital network in North California </w:t>
            </w:r>
          </w:p>
        </w:tc>
        <w:tc>
          <w:tcPr>
            <w:tcW w:w="1782" w:type="dxa"/>
            <w:hideMark/>
          </w:tcPr>
          <w:p w14:paraId="090AD02C" w14:textId="3D1E0A9B"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Inpatients treated in all Sutter hospitals, excluding Skilled Nursing and other specialty facilities, in California.2009-2015, Multiple hospitals under a single health system, a single state</w:t>
            </w:r>
          </w:p>
        </w:tc>
        <w:tc>
          <w:tcPr>
            <w:tcW w:w="1633" w:type="dxa"/>
            <w:hideMark/>
          </w:tcPr>
          <w:p w14:paraId="7EE0E7B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335,815 patient records</w:t>
            </w:r>
          </w:p>
        </w:tc>
        <w:tc>
          <w:tcPr>
            <w:tcW w:w="1776" w:type="dxa"/>
            <w:hideMark/>
          </w:tcPr>
          <w:p w14:paraId="15277A55"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hospital</w:t>
            </w:r>
            <w:r w:rsidRPr="0086760B">
              <w:rPr>
                <w:rFonts w:ascii="Times New Roman" w:hAnsi="Times New Roman" w:cs="Times New Roman"/>
                <w:sz w:val="20"/>
                <w:szCs w:val="20"/>
              </w:rPr>
              <w:br/>
            </w:r>
            <w:r w:rsidRPr="0086760B">
              <w:rPr>
                <w:rFonts w:ascii="Times New Roman" w:hAnsi="Times New Roman" w:cs="Times New Roman"/>
                <w:sz w:val="20"/>
                <w:szCs w:val="20"/>
              </w:rPr>
              <w:br/>
              <w:t>readmission</w:t>
            </w:r>
          </w:p>
        </w:tc>
        <w:tc>
          <w:tcPr>
            <w:tcW w:w="2184" w:type="dxa"/>
            <w:hideMark/>
          </w:tcPr>
          <w:p w14:paraId="268CD0BE"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9.74%</w:t>
            </w:r>
          </w:p>
        </w:tc>
      </w:tr>
      <w:tr w:rsidR="0086760B" w:rsidRPr="0086760B" w14:paraId="744D0E44" w14:textId="77777777" w:rsidTr="00F43DF7">
        <w:trPr>
          <w:trHeight w:val="1730"/>
        </w:trPr>
        <w:tc>
          <w:tcPr>
            <w:tcW w:w="1726" w:type="dxa"/>
            <w:hideMark/>
          </w:tcPr>
          <w:p w14:paraId="038AC056" w14:textId="77777777" w:rsidR="0086760B" w:rsidRPr="0086760B" w:rsidRDefault="0086760B" w:rsidP="0086760B">
            <w:pPr>
              <w:rPr>
                <w:rFonts w:ascii="Times New Roman" w:hAnsi="Times New Roman" w:cs="Times New Roman"/>
                <w:sz w:val="20"/>
                <w:szCs w:val="20"/>
              </w:rPr>
            </w:pPr>
            <w:proofErr w:type="spellStart"/>
            <w:r w:rsidRPr="0086760B">
              <w:rPr>
                <w:rFonts w:ascii="Times New Roman" w:hAnsi="Times New Roman" w:cs="Times New Roman"/>
                <w:sz w:val="20"/>
                <w:szCs w:val="20"/>
              </w:rPr>
              <w:t>Welchowski</w:t>
            </w:r>
            <w:proofErr w:type="spellEnd"/>
            <w:r w:rsidRPr="0086760B">
              <w:rPr>
                <w:rFonts w:ascii="Times New Roman" w:hAnsi="Times New Roman" w:cs="Times New Roman"/>
                <w:sz w:val="20"/>
                <w:szCs w:val="20"/>
              </w:rPr>
              <w:t xml:space="preserve"> et al, 2016</w:t>
            </w:r>
          </w:p>
        </w:tc>
        <w:tc>
          <w:tcPr>
            <w:tcW w:w="1689" w:type="dxa"/>
            <w:hideMark/>
          </w:tcPr>
          <w:p w14:paraId="7D01464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Cerner Health Facts HER</w:t>
            </w:r>
          </w:p>
        </w:tc>
        <w:tc>
          <w:tcPr>
            <w:tcW w:w="1782" w:type="dxa"/>
            <w:hideMark/>
          </w:tcPr>
          <w:p w14:paraId="34F335D5" w14:textId="374A4990"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Diabetes patients, multiple hospitals, 1999-2008</w:t>
            </w:r>
          </w:p>
        </w:tc>
        <w:tc>
          <w:tcPr>
            <w:tcW w:w="1633" w:type="dxa"/>
            <w:hideMark/>
          </w:tcPr>
          <w:p w14:paraId="716501B8"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71,518 patients</w:t>
            </w:r>
          </w:p>
        </w:tc>
        <w:tc>
          <w:tcPr>
            <w:tcW w:w="1776" w:type="dxa"/>
            <w:hideMark/>
          </w:tcPr>
          <w:p w14:paraId="4AFFEBC6"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hospital readmissions</w:t>
            </w:r>
          </w:p>
        </w:tc>
        <w:tc>
          <w:tcPr>
            <w:tcW w:w="2184" w:type="dxa"/>
            <w:hideMark/>
          </w:tcPr>
          <w:p w14:paraId="5704F58D"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15.88%</w:t>
            </w:r>
          </w:p>
        </w:tc>
      </w:tr>
      <w:tr w:rsidR="0086760B" w:rsidRPr="0086760B" w14:paraId="465131F0" w14:textId="77777777" w:rsidTr="00F43DF7">
        <w:trPr>
          <w:trHeight w:val="1680"/>
        </w:trPr>
        <w:tc>
          <w:tcPr>
            <w:tcW w:w="1726" w:type="dxa"/>
            <w:hideMark/>
          </w:tcPr>
          <w:p w14:paraId="4B29440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Wang et al. 2018</w:t>
            </w:r>
          </w:p>
        </w:tc>
        <w:tc>
          <w:tcPr>
            <w:tcW w:w="1689" w:type="dxa"/>
            <w:hideMark/>
          </w:tcPr>
          <w:p w14:paraId="0924C8F2"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Barnes-Jewish Hospital based EHR</w:t>
            </w:r>
          </w:p>
        </w:tc>
        <w:tc>
          <w:tcPr>
            <w:tcW w:w="1782" w:type="dxa"/>
            <w:hideMark/>
          </w:tcPr>
          <w:p w14:paraId="633DA90E" w14:textId="483592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All adult inpatients from general hospital wards (GHW) from 07/2007-07/2011; all post-surgical patients from operating room pilot data (ORP)</w:t>
            </w:r>
          </w:p>
        </w:tc>
        <w:tc>
          <w:tcPr>
            <w:tcW w:w="1633" w:type="dxa"/>
            <w:hideMark/>
          </w:tcPr>
          <w:p w14:paraId="4F8B6051"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GHW=41,503 patient visits; ORP=700 patients</w:t>
            </w:r>
          </w:p>
        </w:tc>
        <w:tc>
          <w:tcPr>
            <w:tcW w:w="1776" w:type="dxa"/>
            <w:hideMark/>
          </w:tcPr>
          <w:p w14:paraId="30FAE249" w14:textId="26C8BD95"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30-day;60-day;1-year readmission</w:t>
            </w:r>
          </w:p>
        </w:tc>
        <w:tc>
          <w:tcPr>
            <w:tcW w:w="2184" w:type="dxa"/>
            <w:hideMark/>
          </w:tcPr>
          <w:p w14:paraId="23C7E2B6" w14:textId="73EF4C86"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GHW: 30-d readmission=0.98%; 60-day readmission=1.30%; ORP: 30-d readmission=17.71%; 1-year readmission=17.71%</w:t>
            </w:r>
          </w:p>
        </w:tc>
      </w:tr>
      <w:tr w:rsidR="0086760B" w:rsidRPr="0086760B" w14:paraId="0ABB9303" w14:textId="77777777" w:rsidTr="00F43DF7">
        <w:trPr>
          <w:trHeight w:val="1190"/>
        </w:trPr>
        <w:tc>
          <w:tcPr>
            <w:tcW w:w="1726" w:type="dxa"/>
            <w:hideMark/>
          </w:tcPr>
          <w:p w14:paraId="33F5AB84"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Hopkins et al, 2019</w:t>
            </w:r>
          </w:p>
        </w:tc>
        <w:tc>
          <w:tcPr>
            <w:tcW w:w="1689" w:type="dxa"/>
            <w:hideMark/>
          </w:tcPr>
          <w:p w14:paraId="72C1ACE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ACS NSQIP</w:t>
            </w:r>
          </w:p>
        </w:tc>
        <w:tc>
          <w:tcPr>
            <w:tcW w:w="1782" w:type="dxa"/>
            <w:hideMark/>
          </w:tcPr>
          <w:p w14:paraId="0B143FB1" w14:textId="2F8FFEA5"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All adult patients who had undergone a posterior lumbar fusion procedure from 2011 to 2016 </w:t>
            </w:r>
          </w:p>
        </w:tc>
        <w:tc>
          <w:tcPr>
            <w:tcW w:w="1633" w:type="dxa"/>
            <w:hideMark/>
          </w:tcPr>
          <w:p w14:paraId="22DC2E50"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23,264 patients</w:t>
            </w:r>
          </w:p>
        </w:tc>
        <w:tc>
          <w:tcPr>
            <w:tcW w:w="1776" w:type="dxa"/>
            <w:hideMark/>
          </w:tcPr>
          <w:p w14:paraId="73E971B3" w14:textId="0A64C149"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readmission</w:t>
            </w:r>
          </w:p>
        </w:tc>
        <w:tc>
          <w:tcPr>
            <w:tcW w:w="2184" w:type="dxa"/>
            <w:hideMark/>
          </w:tcPr>
          <w:p w14:paraId="5DBBDA8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5.15%</w:t>
            </w:r>
          </w:p>
        </w:tc>
      </w:tr>
      <w:tr w:rsidR="0086760B" w:rsidRPr="0086760B" w14:paraId="7DA96FB5" w14:textId="77777777" w:rsidTr="00F43DF7">
        <w:trPr>
          <w:trHeight w:val="1190"/>
        </w:trPr>
        <w:tc>
          <w:tcPr>
            <w:tcW w:w="1726" w:type="dxa"/>
            <w:hideMark/>
          </w:tcPr>
          <w:p w14:paraId="59039A61" w14:textId="77777777" w:rsidR="0086760B" w:rsidRPr="0086760B" w:rsidRDefault="0086760B" w:rsidP="0086760B">
            <w:pPr>
              <w:rPr>
                <w:rFonts w:ascii="Times New Roman" w:hAnsi="Times New Roman" w:cs="Times New Roman"/>
                <w:sz w:val="20"/>
                <w:szCs w:val="20"/>
              </w:rPr>
            </w:pPr>
            <w:proofErr w:type="spellStart"/>
            <w:r w:rsidRPr="0086760B">
              <w:rPr>
                <w:rFonts w:ascii="Times New Roman" w:hAnsi="Times New Roman" w:cs="Times New Roman"/>
                <w:sz w:val="20"/>
                <w:szCs w:val="20"/>
              </w:rPr>
              <w:t>Golas</w:t>
            </w:r>
            <w:proofErr w:type="spellEnd"/>
            <w:r w:rsidRPr="0086760B">
              <w:rPr>
                <w:rFonts w:ascii="Times New Roman" w:hAnsi="Times New Roman" w:cs="Times New Roman"/>
                <w:sz w:val="20"/>
                <w:szCs w:val="20"/>
              </w:rPr>
              <w:t xml:space="preserve"> et al, 2018 </w:t>
            </w:r>
          </w:p>
        </w:tc>
        <w:tc>
          <w:tcPr>
            <w:tcW w:w="1689" w:type="dxa"/>
            <w:hideMark/>
          </w:tcPr>
          <w:p w14:paraId="7A464F3B"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Partners Healthcare System based EHR</w:t>
            </w:r>
          </w:p>
        </w:tc>
        <w:tc>
          <w:tcPr>
            <w:tcW w:w="1782" w:type="dxa"/>
            <w:hideMark/>
          </w:tcPr>
          <w:p w14:paraId="765A7C06" w14:textId="3157C070"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Adult HF patients, 2 Academic centers and 7 community health centers in a Massachusetts metropolitan area, 2013-2015</w:t>
            </w:r>
          </w:p>
        </w:tc>
        <w:tc>
          <w:tcPr>
            <w:tcW w:w="1633" w:type="dxa"/>
            <w:hideMark/>
          </w:tcPr>
          <w:p w14:paraId="0854DA1C"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11,510 patients with 27,334 admissions</w:t>
            </w:r>
          </w:p>
        </w:tc>
        <w:tc>
          <w:tcPr>
            <w:tcW w:w="1776" w:type="dxa"/>
            <w:hideMark/>
          </w:tcPr>
          <w:p w14:paraId="3A401540"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 day all cause readmission</w:t>
            </w:r>
          </w:p>
        </w:tc>
        <w:tc>
          <w:tcPr>
            <w:tcW w:w="2184" w:type="dxa"/>
            <w:hideMark/>
          </w:tcPr>
          <w:p w14:paraId="477C111D"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55.33%</w:t>
            </w:r>
          </w:p>
        </w:tc>
      </w:tr>
      <w:tr w:rsidR="0086760B" w:rsidRPr="0086760B" w14:paraId="669DF3E9" w14:textId="77777777" w:rsidTr="0086760B">
        <w:trPr>
          <w:trHeight w:val="660"/>
        </w:trPr>
        <w:tc>
          <w:tcPr>
            <w:tcW w:w="1726" w:type="dxa"/>
            <w:shd w:val="clear" w:color="auto" w:fill="808080" w:themeFill="background1" w:themeFillShade="80"/>
            <w:hideMark/>
          </w:tcPr>
          <w:p w14:paraId="62336E98"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lastRenderedPageBreak/>
              <w:t>Study</w:t>
            </w:r>
          </w:p>
        </w:tc>
        <w:tc>
          <w:tcPr>
            <w:tcW w:w="1689" w:type="dxa"/>
            <w:shd w:val="clear" w:color="auto" w:fill="808080" w:themeFill="background1" w:themeFillShade="80"/>
            <w:hideMark/>
          </w:tcPr>
          <w:p w14:paraId="6A26B254"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Data Source</w:t>
            </w:r>
          </w:p>
        </w:tc>
        <w:tc>
          <w:tcPr>
            <w:tcW w:w="1782" w:type="dxa"/>
            <w:shd w:val="clear" w:color="auto" w:fill="808080" w:themeFill="background1" w:themeFillShade="80"/>
            <w:hideMark/>
          </w:tcPr>
          <w:p w14:paraId="69943D0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Population and Setting </w:t>
            </w:r>
          </w:p>
        </w:tc>
        <w:tc>
          <w:tcPr>
            <w:tcW w:w="1633" w:type="dxa"/>
            <w:shd w:val="clear" w:color="auto" w:fill="808080" w:themeFill="background1" w:themeFillShade="80"/>
            <w:hideMark/>
          </w:tcPr>
          <w:p w14:paraId="76F6CAD9"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Sample Size </w:t>
            </w:r>
          </w:p>
        </w:tc>
        <w:tc>
          <w:tcPr>
            <w:tcW w:w="1776" w:type="dxa"/>
            <w:shd w:val="clear" w:color="auto" w:fill="808080" w:themeFill="background1" w:themeFillShade="80"/>
            <w:hideMark/>
          </w:tcPr>
          <w:p w14:paraId="74D0F0B2"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Type of Readmission Measures </w:t>
            </w:r>
          </w:p>
        </w:tc>
        <w:tc>
          <w:tcPr>
            <w:tcW w:w="2184" w:type="dxa"/>
            <w:shd w:val="clear" w:color="auto" w:fill="808080" w:themeFill="background1" w:themeFillShade="80"/>
            <w:hideMark/>
          </w:tcPr>
          <w:p w14:paraId="0EAEE543"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Actual Readmission Rate, %</w:t>
            </w:r>
          </w:p>
        </w:tc>
      </w:tr>
      <w:tr w:rsidR="0086760B" w:rsidRPr="0086760B" w14:paraId="6F3581FF" w14:textId="77777777" w:rsidTr="00F43DF7">
        <w:trPr>
          <w:trHeight w:val="1190"/>
        </w:trPr>
        <w:tc>
          <w:tcPr>
            <w:tcW w:w="1726" w:type="dxa"/>
            <w:hideMark/>
          </w:tcPr>
          <w:p w14:paraId="682F5B5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Reddy et al, 2018</w:t>
            </w:r>
          </w:p>
        </w:tc>
        <w:tc>
          <w:tcPr>
            <w:tcW w:w="1689" w:type="dxa"/>
            <w:hideMark/>
          </w:tcPr>
          <w:p w14:paraId="7BD07B6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Cerner </w:t>
            </w:r>
            <w:proofErr w:type="spellStart"/>
            <w:r w:rsidRPr="0086760B">
              <w:rPr>
                <w:rFonts w:ascii="Times New Roman" w:hAnsi="Times New Roman" w:cs="Times New Roman"/>
                <w:sz w:val="20"/>
                <w:szCs w:val="20"/>
              </w:rPr>
              <w:t>HealthFacts</w:t>
            </w:r>
            <w:proofErr w:type="spellEnd"/>
            <w:r w:rsidRPr="0086760B">
              <w:rPr>
                <w:rFonts w:ascii="Times New Roman" w:hAnsi="Times New Roman" w:cs="Times New Roman"/>
                <w:sz w:val="20"/>
                <w:szCs w:val="20"/>
              </w:rPr>
              <w:t xml:space="preserve"> (National EHR)</w:t>
            </w:r>
          </w:p>
        </w:tc>
        <w:tc>
          <w:tcPr>
            <w:tcW w:w="1782" w:type="dxa"/>
            <w:hideMark/>
          </w:tcPr>
          <w:p w14:paraId="081B64AF" w14:textId="1EA5889A"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Lupus inpatients, 500 healthcare facilities, 2000-2015</w:t>
            </w:r>
          </w:p>
        </w:tc>
        <w:tc>
          <w:tcPr>
            <w:tcW w:w="1633" w:type="dxa"/>
            <w:hideMark/>
          </w:tcPr>
          <w:p w14:paraId="1DF232AB"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11,007 patients</w:t>
            </w:r>
          </w:p>
        </w:tc>
        <w:tc>
          <w:tcPr>
            <w:tcW w:w="1776" w:type="dxa"/>
            <w:hideMark/>
          </w:tcPr>
          <w:p w14:paraId="6F8E7A3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30-day readmissions </w:t>
            </w:r>
          </w:p>
        </w:tc>
        <w:tc>
          <w:tcPr>
            <w:tcW w:w="2184" w:type="dxa"/>
            <w:hideMark/>
          </w:tcPr>
          <w:p w14:paraId="47F3CE13"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17..2%</w:t>
            </w:r>
          </w:p>
        </w:tc>
      </w:tr>
      <w:tr w:rsidR="0086760B" w:rsidRPr="0086760B" w14:paraId="6EA51347" w14:textId="77777777" w:rsidTr="00F43DF7">
        <w:trPr>
          <w:trHeight w:val="1370"/>
        </w:trPr>
        <w:tc>
          <w:tcPr>
            <w:tcW w:w="1726" w:type="dxa"/>
            <w:hideMark/>
          </w:tcPr>
          <w:p w14:paraId="72C8FE55"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Xiao et al, 2018</w:t>
            </w:r>
          </w:p>
        </w:tc>
        <w:tc>
          <w:tcPr>
            <w:tcW w:w="1689" w:type="dxa"/>
            <w:hideMark/>
          </w:tcPr>
          <w:p w14:paraId="23D1F5E5"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EHR&amp; Synthetic EHR data</w:t>
            </w:r>
          </w:p>
        </w:tc>
        <w:tc>
          <w:tcPr>
            <w:tcW w:w="1782" w:type="dxa"/>
            <w:hideMark/>
          </w:tcPr>
          <w:p w14:paraId="48D32523"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CHF patients (no clear setting)</w:t>
            </w:r>
          </w:p>
        </w:tc>
        <w:tc>
          <w:tcPr>
            <w:tcW w:w="1633" w:type="dxa"/>
            <w:hideMark/>
          </w:tcPr>
          <w:p w14:paraId="67448C79"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EHR=5,393 patients; Synthetic EHR=3,000 patients</w:t>
            </w:r>
          </w:p>
        </w:tc>
        <w:tc>
          <w:tcPr>
            <w:tcW w:w="1776" w:type="dxa"/>
            <w:hideMark/>
          </w:tcPr>
          <w:p w14:paraId="4BCDF937"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hospital readmissions</w:t>
            </w:r>
          </w:p>
        </w:tc>
        <w:tc>
          <w:tcPr>
            <w:tcW w:w="2184" w:type="dxa"/>
            <w:hideMark/>
          </w:tcPr>
          <w:p w14:paraId="37DE851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w:t>
            </w:r>
          </w:p>
        </w:tc>
      </w:tr>
      <w:tr w:rsidR="0086760B" w:rsidRPr="0086760B" w14:paraId="7E409534" w14:textId="77777777" w:rsidTr="00F43DF7">
        <w:trPr>
          <w:trHeight w:val="1190"/>
        </w:trPr>
        <w:tc>
          <w:tcPr>
            <w:tcW w:w="1726" w:type="dxa"/>
            <w:hideMark/>
          </w:tcPr>
          <w:p w14:paraId="4DE18D05"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Lin et al, 2019</w:t>
            </w:r>
          </w:p>
        </w:tc>
        <w:tc>
          <w:tcPr>
            <w:tcW w:w="1689" w:type="dxa"/>
            <w:hideMark/>
          </w:tcPr>
          <w:p w14:paraId="60EBC6F7" w14:textId="463FA1E2"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Beth Israel Deaconess medical center based HER, Medical Information Mart for Intensive Care</w:t>
            </w:r>
            <w:r w:rsidRPr="0086760B">
              <w:rPr>
                <w:rFonts w:ascii="Times New Roman" w:hAnsi="Times New Roman" w:cs="Times New Roman"/>
                <w:sz w:val="20"/>
                <w:szCs w:val="20"/>
              </w:rPr>
              <w:br/>
              <w:t>(MIMIC-III) database</w:t>
            </w:r>
          </w:p>
        </w:tc>
        <w:tc>
          <w:tcPr>
            <w:tcW w:w="1782" w:type="dxa"/>
            <w:hideMark/>
          </w:tcPr>
          <w:p w14:paraId="503CDCE1" w14:textId="04C98B1E"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All adults admitted to ICU of a single medical center, from 2001-2012</w:t>
            </w:r>
          </w:p>
        </w:tc>
        <w:tc>
          <w:tcPr>
            <w:tcW w:w="1633" w:type="dxa"/>
            <w:hideMark/>
          </w:tcPr>
          <w:p w14:paraId="49F273D6"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35,334 patients with 48,393 ICU stays</w:t>
            </w:r>
          </w:p>
        </w:tc>
        <w:tc>
          <w:tcPr>
            <w:tcW w:w="1776" w:type="dxa"/>
            <w:hideMark/>
          </w:tcPr>
          <w:p w14:paraId="7552B93F" w14:textId="4C5399CF"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unplanned ICU readmission</w:t>
            </w:r>
          </w:p>
        </w:tc>
        <w:tc>
          <w:tcPr>
            <w:tcW w:w="2184" w:type="dxa"/>
            <w:hideMark/>
          </w:tcPr>
          <w:p w14:paraId="0199A44B"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9.07%</w:t>
            </w:r>
          </w:p>
        </w:tc>
      </w:tr>
      <w:tr w:rsidR="0086760B" w:rsidRPr="0086760B" w14:paraId="2470A2E5" w14:textId="77777777" w:rsidTr="00F43DF7">
        <w:trPr>
          <w:trHeight w:val="1590"/>
        </w:trPr>
        <w:tc>
          <w:tcPr>
            <w:tcW w:w="1726" w:type="dxa"/>
            <w:hideMark/>
          </w:tcPr>
          <w:p w14:paraId="0EA8E26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Allam et al, 2019</w:t>
            </w:r>
          </w:p>
        </w:tc>
        <w:tc>
          <w:tcPr>
            <w:tcW w:w="1689" w:type="dxa"/>
            <w:hideMark/>
          </w:tcPr>
          <w:p w14:paraId="0003629E" w14:textId="1696775F"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Healthcare Cost and Utilization Project, National wide Readmission Database</w:t>
            </w:r>
          </w:p>
        </w:tc>
        <w:tc>
          <w:tcPr>
            <w:tcW w:w="1782" w:type="dxa"/>
            <w:hideMark/>
          </w:tcPr>
          <w:p w14:paraId="1CEAF3E9" w14:textId="3ED1D67F"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Adult’s HF inpatients, nationwide multiple hospitals, from 2013 onwards</w:t>
            </w:r>
          </w:p>
        </w:tc>
        <w:tc>
          <w:tcPr>
            <w:tcW w:w="1633" w:type="dxa"/>
            <w:hideMark/>
          </w:tcPr>
          <w:p w14:paraId="7C9BE112"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272,778 patients</w:t>
            </w:r>
          </w:p>
        </w:tc>
        <w:tc>
          <w:tcPr>
            <w:tcW w:w="1776" w:type="dxa"/>
            <w:hideMark/>
          </w:tcPr>
          <w:p w14:paraId="03167CB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30-day all-cause readmissions </w:t>
            </w:r>
          </w:p>
        </w:tc>
        <w:tc>
          <w:tcPr>
            <w:tcW w:w="2184" w:type="dxa"/>
            <w:hideMark/>
          </w:tcPr>
          <w:p w14:paraId="10BC575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23.60%</w:t>
            </w:r>
          </w:p>
        </w:tc>
      </w:tr>
      <w:tr w:rsidR="0086760B" w:rsidRPr="0086760B" w14:paraId="37FA910D" w14:textId="77777777" w:rsidTr="00F43DF7">
        <w:trPr>
          <w:trHeight w:val="1190"/>
        </w:trPr>
        <w:tc>
          <w:tcPr>
            <w:tcW w:w="1726" w:type="dxa"/>
            <w:hideMark/>
          </w:tcPr>
          <w:p w14:paraId="1025EB55"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Min et al. 2019</w:t>
            </w:r>
          </w:p>
        </w:tc>
        <w:tc>
          <w:tcPr>
            <w:tcW w:w="1689" w:type="dxa"/>
            <w:hideMark/>
          </w:tcPr>
          <w:p w14:paraId="19C1E1F1"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Geisinger Health system administrative Claims</w:t>
            </w:r>
          </w:p>
        </w:tc>
        <w:tc>
          <w:tcPr>
            <w:tcW w:w="1782" w:type="dxa"/>
            <w:hideMark/>
          </w:tcPr>
          <w:p w14:paraId="3E0587A8"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COPD, multicenter hospitals in health system, 2004-2015</w:t>
            </w:r>
          </w:p>
        </w:tc>
        <w:tc>
          <w:tcPr>
            <w:tcW w:w="1633" w:type="dxa"/>
            <w:hideMark/>
          </w:tcPr>
          <w:p w14:paraId="75321F34"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111,992 patients</w:t>
            </w:r>
          </w:p>
        </w:tc>
        <w:tc>
          <w:tcPr>
            <w:tcW w:w="1776" w:type="dxa"/>
            <w:hideMark/>
          </w:tcPr>
          <w:p w14:paraId="1EE412AA"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all cause readmission</w:t>
            </w:r>
          </w:p>
        </w:tc>
        <w:tc>
          <w:tcPr>
            <w:tcW w:w="2184" w:type="dxa"/>
            <w:hideMark/>
          </w:tcPr>
          <w:p w14:paraId="2EACD881"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w:t>
            </w:r>
          </w:p>
        </w:tc>
      </w:tr>
      <w:tr w:rsidR="0086760B" w:rsidRPr="0086760B" w14:paraId="3C3F2F65" w14:textId="77777777" w:rsidTr="00F43DF7">
        <w:trPr>
          <w:trHeight w:val="1360"/>
        </w:trPr>
        <w:tc>
          <w:tcPr>
            <w:tcW w:w="1726" w:type="dxa"/>
            <w:hideMark/>
          </w:tcPr>
          <w:p w14:paraId="229B5E71" w14:textId="77777777" w:rsidR="0086760B" w:rsidRPr="0086760B" w:rsidRDefault="0086760B" w:rsidP="0086760B">
            <w:pPr>
              <w:rPr>
                <w:rFonts w:ascii="Times New Roman" w:hAnsi="Times New Roman" w:cs="Times New Roman"/>
                <w:sz w:val="20"/>
                <w:szCs w:val="20"/>
              </w:rPr>
            </w:pPr>
            <w:proofErr w:type="spellStart"/>
            <w:r w:rsidRPr="0086760B">
              <w:rPr>
                <w:rFonts w:ascii="Times New Roman" w:hAnsi="Times New Roman" w:cs="Times New Roman"/>
                <w:sz w:val="20"/>
                <w:szCs w:val="20"/>
              </w:rPr>
              <w:t>Rajkomar</w:t>
            </w:r>
            <w:proofErr w:type="spellEnd"/>
            <w:r w:rsidRPr="0086760B">
              <w:rPr>
                <w:rFonts w:ascii="Times New Roman" w:hAnsi="Times New Roman" w:cs="Times New Roman"/>
                <w:sz w:val="20"/>
                <w:szCs w:val="20"/>
              </w:rPr>
              <w:t xml:space="preserve"> et al, 2018</w:t>
            </w:r>
          </w:p>
        </w:tc>
        <w:tc>
          <w:tcPr>
            <w:tcW w:w="1689" w:type="dxa"/>
            <w:hideMark/>
          </w:tcPr>
          <w:p w14:paraId="3D82C9CD"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Health system based EHR</w:t>
            </w:r>
          </w:p>
        </w:tc>
        <w:tc>
          <w:tcPr>
            <w:tcW w:w="1782" w:type="dxa"/>
            <w:hideMark/>
          </w:tcPr>
          <w:p w14:paraId="5D849284" w14:textId="1B2AF1A1"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 xml:space="preserve">All adult inpatients from UCSF health system from 2012-2016, and UCM health system from 2009-2016. </w:t>
            </w:r>
          </w:p>
        </w:tc>
        <w:tc>
          <w:tcPr>
            <w:tcW w:w="1633" w:type="dxa"/>
            <w:hideMark/>
          </w:tcPr>
          <w:p w14:paraId="41F5B203"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114,003 patients with 216,221 hospitalizations</w:t>
            </w:r>
          </w:p>
        </w:tc>
        <w:tc>
          <w:tcPr>
            <w:tcW w:w="1776" w:type="dxa"/>
            <w:hideMark/>
          </w:tcPr>
          <w:p w14:paraId="09BAF1B0"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30-day unplanned readmissions</w:t>
            </w:r>
          </w:p>
        </w:tc>
        <w:tc>
          <w:tcPr>
            <w:tcW w:w="2184" w:type="dxa"/>
            <w:hideMark/>
          </w:tcPr>
          <w:p w14:paraId="63D6A32F"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12.90%</w:t>
            </w:r>
          </w:p>
        </w:tc>
      </w:tr>
      <w:tr w:rsidR="0086760B" w:rsidRPr="0086760B" w14:paraId="2016C52D" w14:textId="77777777" w:rsidTr="00F43DF7">
        <w:trPr>
          <w:trHeight w:val="1340"/>
        </w:trPr>
        <w:tc>
          <w:tcPr>
            <w:tcW w:w="10790" w:type="dxa"/>
            <w:gridSpan w:val="6"/>
            <w:hideMark/>
          </w:tcPr>
          <w:p w14:paraId="5F0A100E" w14:textId="77777777" w:rsidR="0086760B" w:rsidRPr="0086760B" w:rsidRDefault="0086760B" w:rsidP="0086760B">
            <w:pPr>
              <w:rPr>
                <w:rFonts w:ascii="Times New Roman" w:hAnsi="Times New Roman" w:cs="Times New Roman"/>
                <w:sz w:val="20"/>
                <w:szCs w:val="20"/>
              </w:rPr>
            </w:pPr>
            <w:r w:rsidRPr="0086760B">
              <w:rPr>
                <w:rFonts w:ascii="Times New Roman" w:hAnsi="Times New Roman" w:cs="Times New Roman"/>
                <w:sz w:val="20"/>
                <w:szCs w:val="20"/>
              </w:rPr>
              <w:t>abbreviations: Medical Information Mart for Intensive Care; Medicare Outcome and Assessment Information Set, FIM: Functional Independence Measure; OASIS-C: Medicare Outcome and Assessment Information Set; ACS NSQIP: American College of Surgeons National Surgical Quality Improvement Program (ACS NSQIP) database; electronic health records (EHR); VA: Veteran Administration; HF: heart failure; UCLA: University of California, Los Angeles; ICU: Intensive care unit; AMI: Acute Myocardial Infarction; COPD: Chronic obstructive pulmonary disease; Congestive heart failure (CHF); PN: Pneumonia; DIA: Type 2 diabetes; GWTG-HF: Get With the Guidelines Heart Failure registry; UCM: University of Chicago Medicine; UCSF: University of California, San Francisco</w:t>
            </w:r>
          </w:p>
        </w:tc>
      </w:tr>
    </w:tbl>
    <w:p w14:paraId="36655A38" w14:textId="635A84E8" w:rsidR="00BD4AF2" w:rsidRPr="0086760B" w:rsidRDefault="00BD4AF2">
      <w:pPr>
        <w:rPr>
          <w:rFonts w:ascii="Times New Roman" w:hAnsi="Times New Roman" w:cs="Times New Roman"/>
          <w:sz w:val="20"/>
          <w:szCs w:val="20"/>
        </w:rPr>
      </w:pPr>
    </w:p>
    <w:p w14:paraId="22A9A71A" w14:textId="65BBD3B1" w:rsidR="0011418E" w:rsidRPr="0086760B" w:rsidRDefault="0011418E">
      <w:pPr>
        <w:rPr>
          <w:rFonts w:ascii="Times New Roman" w:hAnsi="Times New Roman" w:cs="Times New Roman"/>
          <w:sz w:val="20"/>
          <w:szCs w:val="20"/>
        </w:rPr>
      </w:pPr>
    </w:p>
    <w:p w14:paraId="71B529C1" w14:textId="4E0FC600" w:rsidR="00F33B3A" w:rsidRPr="0086760B" w:rsidRDefault="00F33B3A">
      <w:pPr>
        <w:rPr>
          <w:rFonts w:ascii="Times New Roman" w:hAnsi="Times New Roman" w:cs="Times New Roman"/>
          <w:sz w:val="20"/>
          <w:szCs w:val="20"/>
        </w:rPr>
      </w:pPr>
    </w:p>
    <w:p w14:paraId="4E2BD5A0" w14:textId="02AF3CFC" w:rsidR="00F33B3A" w:rsidRPr="0086760B" w:rsidRDefault="00F33B3A">
      <w:pPr>
        <w:rPr>
          <w:rFonts w:ascii="Times New Roman" w:hAnsi="Times New Roman" w:cs="Times New Roman"/>
          <w:sz w:val="20"/>
          <w:szCs w:val="20"/>
        </w:rPr>
      </w:pPr>
    </w:p>
    <w:p w14:paraId="17C34B91" w14:textId="3A36C01D" w:rsidR="00F33B3A" w:rsidRPr="0086760B" w:rsidRDefault="00F33B3A">
      <w:pPr>
        <w:rPr>
          <w:rFonts w:ascii="Times New Roman" w:hAnsi="Times New Roman" w:cs="Times New Roman"/>
          <w:sz w:val="20"/>
          <w:szCs w:val="20"/>
        </w:rPr>
      </w:pPr>
    </w:p>
    <w:p w14:paraId="1C49FA33" w14:textId="7AB0A99F" w:rsidR="003233AC" w:rsidRPr="0086760B" w:rsidRDefault="003233AC">
      <w:pPr>
        <w:rPr>
          <w:rFonts w:ascii="Times New Roman" w:hAnsi="Times New Roman" w:cs="Times New Roman"/>
          <w:sz w:val="20"/>
          <w:szCs w:val="20"/>
        </w:rPr>
      </w:pPr>
    </w:p>
    <w:p w14:paraId="7AFDFB99" w14:textId="473BD703" w:rsidR="0011418E" w:rsidRPr="0086760B" w:rsidRDefault="0011418E">
      <w:pPr>
        <w:rPr>
          <w:rFonts w:ascii="Times New Roman" w:hAnsi="Times New Roman" w:cs="Times New Roman"/>
          <w:b/>
          <w:bCs/>
          <w:sz w:val="20"/>
          <w:szCs w:val="20"/>
        </w:rPr>
      </w:pPr>
      <w:r w:rsidRPr="0086760B">
        <w:rPr>
          <w:rFonts w:ascii="Times New Roman" w:hAnsi="Times New Roman" w:cs="Times New Roman"/>
          <w:b/>
          <w:bCs/>
          <w:sz w:val="20"/>
          <w:szCs w:val="20"/>
        </w:rPr>
        <w:lastRenderedPageBreak/>
        <w:t xml:space="preserve">Table </w:t>
      </w:r>
      <w:r w:rsidR="003E0F1A" w:rsidRPr="0086760B">
        <w:rPr>
          <w:rFonts w:ascii="Times New Roman" w:hAnsi="Times New Roman" w:cs="Times New Roman"/>
          <w:b/>
          <w:bCs/>
          <w:sz w:val="20"/>
          <w:szCs w:val="20"/>
        </w:rPr>
        <w:t>S</w:t>
      </w:r>
      <w:r w:rsidRPr="0086760B">
        <w:rPr>
          <w:rFonts w:ascii="Times New Roman" w:hAnsi="Times New Roman" w:cs="Times New Roman"/>
          <w:b/>
          <w:bCs/>
          <w:sz w:val="20"/>
          <w:szCs w:val="20"/>
        </w:rPr>
        <w:t xml:space="preserve">2. Performances </w:t>
      </w:r>
      <w:r w:rsidR="00F45F6B" w:rsidRPr="0086760B">
        <w:rPr>
          <w:rFonts w:ascii="Times New Roman" w:hAnsi="Times New Roman" w:cs="Times New Roman"/>
          <w:b/>
          <w:bCs/>
          <w:sz w:val="20"/>
          <w:szCs w:val="20"/>
        </w:rPr>
        <w:t>o</w:t>
      </w:r>
      <w:r w:rsidR="00DA487A" w:rsidRPr="0086760B">
        <w:rPr>
          <w:rFonts w:ascii="Times New Roman" w:hAnsi="Times New Roman" w:cs="Times New Roman"/>
          <w:b/>
          <w:bCs/>
          <w:sz w:val="20"/>
          <w:szCs w:val="20"/>
        </w:rPr>
        <w:t xml:space="preserve">f Included Studies </w:t>
      </w:r>
      <w:r w:rsidR="00F45F6B" w:rsidRPr="0086760B">
        <w:rPr>
          <w:rFonts w:ascii="Times New Roman" w:hAnsi="Times New Roman" w:cs="Times New Roman"/>
          <w:b/>
          <w:bCs/>
          <w:sz w:val="20"/>
          <w:szCs w:val="20"/>
        </w:rPr>
        <w:t>o</w:t>
      </w:r>
      <w:r w:rsidR="00DA487A" w:rsidRPr="0086760B">
        <w:rPr>
          <w:rFonts w:ascii="Times New Roman" w:hAnsi="Times New Roman" w:cs="Times New Roman"/>
          <w:b/>
          <w:bCs/>
          <w:sz w:val="20"/>
          <w:szCs w:val="20"/>
        </w:rPr>
        <w:t xml:space="preserve">n Hospital Readmission Predictive Models Using </w:t>
      </w:r>
      <w:r w:rsidRPr="0086760B">
        <w:rPr>
          <w:rFonts w:ascii="Times New Roman" w:hAnsi="Times New Roman" w:cs="Times New Roman"/>
          <w:b/>
          <w:bCs/>
          <w:sz w:val="20"/>
          <w:szCs w:val="20"/>
        </w:rPr>
        <w:t xml:space="preserve">ML </w:t>
      </w:r>
      <w:r w:rsidR="00DA487A" w:rsidRPr="0086760B">
        <w:rPr>
          <w:rFonts w:ascii="Times New Roman" w:hAnsi="Times New Roman" w:cs="Times New Roman"/>
          <w:b/>
          <w:bCs/>
          <w:sz w:val="20"/>
          <w:szCs w:val="20"/>
        </w:rPr>
        <w:t>Algorithms (</w:t>
      </w:r>
      <w:r w:rsidRPr="0086760B">
        <w:rPr>
          <w:rFonts w:ascii="Times New Roman" w:hAnsi="Times New Roman" w:cs="Times New Roman"/>
          <w:b/>
          <w:bCs/>
          <w:sz w:val="20"/>
          <w:szCs w:val="20"/>
        </w:rPr>
        <w:t>N</w:t>
      </w:r>
      <w:r w:rsidR="00DA487A" w:rsidRPr="0086760B">
        <w:rPr>
          <w:rFonts w:ascii="Times New Roman" w:hAnsi="Times New Roman" w:cs="Times New Roman"/>
          <w:b/>
          <w:bCs/>
          <w:sz w:val="20"/>
          <w:szCs w:val="20"/>
        </w:rPr>
        <w:t>=43 Studies)</w:t>
      </w:r>
    </w:p>
    <w:tbl>
      <w:tblPr>
        <w:tblStyle w:val="TableGrid"/>
        <w:tblW w:w="0" w:type="auto"/>
        <w:tblLayout w:type="fixed"/>
        <w:tblLook w:val="04A0" w:firstRow="1" w:lastRow="0" w:firstColumn="1" w:lastColumn="0" w:noHBand="0" w:noVBand="1"/>
      </w:tblPr>
      <w:tblGrid>
        <w:gridCol w:w="1586"/>
        <w:gridCol w:w="2009"/>
        <w:gridCol w:w="2160"/>
        <w:gridCol w:w="1710"/>
        <w:gridCol w:w="3325"/>
      </w:tblGrid>
      <w:tr w:rsidR="0011418E" w:rsidRPr="0086760B" w14:paraId="08838920" w14:textId="77777777" w:rsidTr="0086760B">
        <w:trPr>
          <w:trHeight w:val="980"/>
        </w:trPr>
        <w:tc>
          <w:tcPr>
            <w:tcW w:w="1586" w:type="dxa"/>
            <w:shd w:val="clear" w:color="auto" w:fill="808080" w:themeFill="background1" w:themeFillShade="80"/>
            <w:hideMark/>
          </w:tcPr>
          <w:p w14:paraId="42BE141C" w14:textId="4650CAA9" w:rsidR="0011418E" w:rsidRPr="0086760B" w:rsidRDefault="00B235BA">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11165376" w14:textId="77777777"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208C8ED1" w14:textId="77777777"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4B4F9D33" w14:textId="77777777"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764B8B40" w14:textId="45F3F559" w:rsidR="0011418E" w:rsidRPr="0086760B" w:rsidRDefault="0011418E">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 xml:space="preserve">Model </w:t>
            </w:r>
            <w:r w:rsidR="00C66EDD" w:rsidRPr="0086760B">
              <w:rPr>
                <w:rFonts w:ascii="Times New Roman" w:hAnsi="Times New Roman" w:cs="Times New Roman"/>
                <w:b/>
                <w:color w:val="FFFFFF" w:themeColor="background1"/>
                <w:sz w:val="20"/>
                <w:szCs w:val="20"/>
              </w:rPr>
              <w:t>Discrimination</w:t>
            </w:r>
          </w:p>
          <w:p w14:paraId="484E8CFC" w14:textId="35EA3DA4" w:rsidR="00C66EDD" w:rsidRPr="0086760B" w:rsidRDefault="00C66EDD" w:rsidP="00C66EDD">
            <w:pPr>
              <w:jc w:val="center"/>
              <w:rPr>
                <w:rFonts w:ascii="Times New Roman" w:hAnsi="Times New Roman" w:cs="Times New Roman"/>
                <w:b/>
                <w:color w:val="FFFFFF" w:themeColor="background1"/>
                <w:sz w:val="20"/>
                <w:szCs w:val="20"/>
              </w:rPr>
            </w:pPr>
          </w:p>
        </w:tc>
      </w:tr>
      <w:tr w:rsidR="00F33B3A" w:rsidRPr="0086760B" w14:paraId="3D832033" w14:textId="77777777" w:rsidTr="007E7DB0">
        <w:trPr>
          <w:trHeight w:val="1280"/>
        </w:trPr>
        <w:tc>
          <w:tcPr>
            <w:tcW w:w="1586" w:type="dxa"/>
          </w:tcPr>
          <w:p w14:paraId="3292166A" w14:textId="7889B789"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Kang et al, 2016</w:t>
            </w:r>
          </w:p>
        </w:tc>
        <w:tc>
          <w:tcPr>
            <w:tcW w:w="2009" w:type="dxa"/>
          </w:tcPr>
          <w:p w14:paraId="2972C104" w14:textId="5652FD5A"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Decision tree</w:t>
            </w:r>
          </w:p>
        </w:tc>
        <w:tc>
          <w:tcPr>
            <w:tcW w:w="2160" w:type="dxa"/>
          </w:tcPr>
          <w:p w14:paraId="32638E7F" w14:textId="175D1FEF"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A model containing 85 variables (including patient's overall health status, living situation, severe pain experience, presence of skin issues, ability to dress the lower body) at the start of the homecare</w:t>
            </w:r>
          </w:p>
        </w:tc>
        <w:tc>
          <w:tcPr>
            <w:tcW w:w="1710" w:type="dxa"/>
          </w:tcPr>
          <w:p w14:paraId="2C59B194" w14:textId="77777777" w:rsidR="00F33B3A" w:rsidRPr="0086760B" w:rsidRDefault="00F33B3A" w:rsidP="00F33B3A">
            <w:pPr>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training/</w:t>
            </w:r>
          </w:p>
          <w:p w14:paraId="305E6206" w14:textId="07FE5342"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testing:67%/33%; 10-fold cross-validation</w:t>
            </w:r>
          </w:p>
        </w:tc>
        <w:tc>
          <w:tcPr>
            <w:tcW w:w="3325" w:type="dxa"/>
          </w:tcPr>
          <w:p w14:paraId="2FE34963" w14:textId="42CCD24F"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0.59</w:t>
            </w:r>
          </w:p>
        </w:tc>
      </w:tr>
      <w:tr w:rsidR="00F33B3A" w:rsidRPr="0086760B" w14:paraId="7602640C" w14:textId="77777777" w:rsidTr="007E7DB0">
        <w:trPr>
          <w:trHeight w:val="1280"/>
        </w:trPr>
        <w:tc>
          <w:tcPr>
            <w:tcW w:w="1586" w:type="dxa"/>
          </w:tcPr>
          <w:p w14:paraId="45981444" w14:textId="1B2E73A8"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Brom et al, 2019</w:t>
            </w:r>
          </w:p>
        </w:tc>
        <w:tc>
          <w:tcPr>
            <w:tcW w:w="2009" w:type="dxa"/>
          </w:tcPr>
          <w:p w14:paraId="764E53A2" w14:textId="6017B119"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CART</w:t>
            </w:r>
          </w:p>
        </w:tc>
        <w:tc>
          <w:tcPr>
            <w:tcW w:w="2160" w:type="dxa"/>
          </w:tcPr>
          <w:p w14:paraId="35EB7360" w14:textId="0CD78342"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 xml:space="preserve">A model containing 14 variables (from domains of patient’s demographic, social characteristics, utilization patterns, </w:t>
            </w:r>
            <w:proofErr w:type="spellStart"/>
            <w:r w:rsidRPr="0086760B">
              <w:rPr>
                <w:rFonts w:ascii="Times New Roman" w:eastAsia="Times New Roman" w:hAnsi="Times New Roman" w:cs="Times New Roman"/>
                <w:sz w:val="20"/>
                <w:szCs w:val="20"/>
              </w:rPr>
              <w:t>Elixhauser</w:t>
            </w:r>
            <w:proofErr w:type="spellEnd"/>
            <w:r w:rsidRPr="0086760B">
              <w:rPr>
                <w:rFonts w:ascii="Times New Roman" w:eastAsia="Times New Roman" w:hAnsi="Times New Roman" w:cs="Times New Roman"/>
                <w:sz w:val="20"/>
                <w:szCs w:val="20"/>
              </w:rPr>
              <w:t xml:space="preserve"> </w:t>
            </w:r>
            <w:proofErr w:type="spellStart"/>
            <w:r w:rsidRPr="0086760B">
              <w:rPr>
                <w:rFonts w:ascii="Times New Roman" w:eastAsia="Times New Roman" w:hAnsi="Times New Roman" w:cs="Times New Roman"/>
                <w:sz w:val="20"/>
                <w:szCs w:val="20"/>
              </w:rPr>
              <w:t>cormobidities</w:t>
            </w:r>
            <w:proofErr w:type="spellEnd"/>
            <w:r w:rsidRPr="0086760B">
              <w:rPr>
                <w:rFonts w:ascii="Times New Roman" w:eastAsia="Times New Roman" w:hAnsi="Times New Roman" w:cs="Times New Roman"/>
                <w:sz w:val="20"/>
                <w:szCs w:val="20"/>
              </w:rPr>
              <w:t>) available at time of discharge</w:t>
            </w:r>
          </w:p>
        </w:tc>
        <w:tc>
          <w:tcPr>
            <w:tcW w:w="1710" w:type="dxa"/>
          </w:tcPr>
          <w:p w14:paraId="6644FDF2" w14:textId="77777777" w:rsidR="00F33B3A" w:rsidRPr="0086760B" w:rsidRDefault="00F33B3A" w:rsidP="00F33B3A">
            <w:pPr>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training/</w:t>
            </w:r>
          </w:p>
          <w:p w14:paraId="7FCF2B17" w14:textId="77777777" w:rsidR="00F33B3A" w:rsidRPr="0086760B" w:rsidRDefault="00F33B3A" w:rsidP="00F33B3A">
            <w:pPr>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validation/</w:t>
            </w:r>
          </w:p>
          <w:p w14:paraId="24B5F7BA" w14:textId="49B50D10"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testing: 50%/25%/25%; cross- validation</w:t>
            </w:r>
          </w:p>
        </w:tc>
        <w:tc>
          <w:tcPr>
            <w:tcW w:w="3325" w:type="dxa"/>
          </w:tcPr>
          <w:p w14:paraId="73ED69D7" w14:textId="41C2F475" w:rsidR="00F33B3A" w:rsidRPr="0086760B" w:rsidRDefault="00F33B3A" w:rsidP="00F33B3A">
            <w:pPr>
              <w:rPr>
                <w:rFonts w:ascii="Times New Roman" w:hAnsi="Times New Roman" w:cs="Times New Roman"/>
                <w:sz w:val="20"/>
                <w:szCs w:val="20"/>
              </w:rPr>
            </w:pPr>
            <w:r w:rsidRPr="0086760B">
              <w:rPr>
                <w:rFonts w:ascii="Times New Roman" w:eastAsia="Times New Roman" w:hAnsi="Times New Roman" w:cs="Times New Roman"/>
                <w:sz w:val="20"/>
                <w:szCs w:val="20"/>
              </w:rPr>
              <w:t>0.74</w:t>
            </w:r>
          </w:p>
        </w:tc>
      </w:tr>
      <w:tr w:rsidR="00F33B3A" w:rsidRPr="0086760B" w14:paraId="3EBEF35A" w14:textId="77777777" w:rsidTr="007E7DB0">
        <w:trPr>
          <w:trHeight w:val="1280"/>
        </w:trPr>
        <w:tc>
          <w:tcPr>
            <w:tcW w:w="1586" w:type="dxa"/>
            <w:hideMark/>
          </w:tcPr>
          <w:p w14:paraId="3930417B"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Yeo et al, 2016</w:t>
            </w:r>
          </w:p>
        </w:tc>
        <w:tc>
          <w:tcPr>
            <w:tcW w:w="2009" w:type="dxa"/>
            <w:hideMark/>
          </w:tcPr>
          <w:p w14:paraId="0B4CCFA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CART</w:t>
            </w:r>
          </w:p>
        </w:tc>
        <w:tc>
          <w:tcPr>
            <w:tcW w:w="2160" w:type="dxa"/>
            <w:hideMark/>
          </w:tcPr>
          <w:p w14:paraId="1CC6BD1E"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model containing 28 variables (demographic characteristics, nutritional status, functional status, behavioral variables, and comorbidities) at the time of admission</w:t>
            </w:r>
          </w:p>
        </w:tc>
        <w:tc>
          <w:tcPr>
            <w:tcW w:w="1710" w:type="dxa"/>
            <w:hideMark/>
          </w:tcPr>
          <w:p w14:paraId="0F51E90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w:t>
            </w:r>
          </w:p>
        </w:tc>
        <w:tc>
          <w:tcPr>
            <w:tcW w:w="3325" w:type="dxa"/>
            <w:hideMark/>
          </w:tcPr>
          <w:p w14:paraId="5464EC02"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0.63(0.59–0.67)</w:t>
            </w:r>
          </w:p>
        </w:tc>
      </w:tr>
      <w:tr w:rsidR="00F33B3A" w:rsidRPr="0086760B" w14:paraId="580A1B01" w14:textId="77777777" w:rsidTr="007E7DB0">
        <w:trPr>
          <w:trHeight w:val="2510"/>
        </w:trPr>
        <w:tc>
          <w:tcPr>
            <w:tcW w:w="1586" w:type="dxa"/>
            <w:hideMark/>
          </w:tcPr>
          <w:p w14:paraId="3E8A8961"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Edgcomb</w:t>
            </w:r>
            <w:proofErr w:type="spellEnd"/>
            <w:r w:rsidRPr="0086760B">
              <w:rPr>
                <w:rFonts w:ascii="Times New Roman" w:hAnsi="Times New Roman" w:cs="Times New Roman"/>
                <w:sz w:val="20"/>
                <w:szCs w:val="20"/>
              </w:rPr>
              <w:t xml:space="preserve"> et al, 2019</w:t>
            </w:r>
          </w:p>
        </w:tc>
        <w:tc>
          <w:tcPr>
            <w:tcW w:w="2009" w:type="dxa"/>
            <w:hideMark/>
          </w:tcPr>
          <w:p w14:paraId="63C5253A"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CART</w:t>
            </w:r>
          </w:p>
        </w:tc>
        <w:tc>
          <w:tcPr>
            <w:tcW w:w="2160" w:type="dxa"/>
            <w:hideMark/>
          </w:tcPr>
          <w:p w14:paraId="1D321DDB" w14:textId="27FE1D7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two models trained separately by unbalanced and balanced trees containing 249 variables (demographics, medical and psychiatric diagnoses, medication regimen and disposition, time-varying predictors (number of encounters with a given chief complaint, the number of hospitalizations, ambulatory visits, ED </w:t>
            </w:r>
            <w:proofErr w:type="spellStart"/>
            <w:r w:rsidRPr="0086760B">
              <w:rPr>
                <w:rFonts w:ascii="Times New Roman" w:hAnsi="Times New Roman" w:cs="Times New Roman"/>
                <w:sz w:val="20"/>
                <w:szCs w:val="20"/>
              </w:rPr>
              <w:t>vistis</w:t>
            </w:r>
            <w:proofErr w:type="spellEnd"/>
            <w:r w:rsidRPr="0086760B">
              <w:rPr>
                <w:rFonts w:ascii="Times New Roman" w:hAnsi="Times New Roman" w:cs="Times New Roman"/>
                <w:sz w:val="20"/>
                <w:szCs w:val="20"/>
              </w:rPr>
              <w:t xml:space="preserve"> and procedures; modal pain score; financial charges), psychiatric and medical comorbidities, ECI)</w:t>
            </w:r>
          </w:p>
        </w:tc>
        <w:tc>
          <w:tcPr>
            <w:tcW w:w="1710" w:type="dxa"/>
            <w:hideMark/>
          </w:tcPr>
          <w:p w14:paraId="26B010BC"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10-fold cross-validation </w:t>
            </w:r>
          </w:p>
        </w:tc>
        <w:tc>
          <w:tcPr>
            <w:tcW w:w="3325" w:type="dxa"/>
            <w:hideMark/>
          </w:tcPr>
          <w:p w14:paraId="4B7EBC49"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 unbalanced tree=0.88; (2). balanced tree=0.87</w:t>
            </w:r>
          </w:p>
        </w:tc>
      </w:tr>
      <w:tr w:rsidR="00F33B3A" w:rsidRPr="0086760B" w14:paraId="33CF60AE" w14:textId="77777777" w:rsidTr="0086760B">
        <w:trPr>
          <w:trHeight w:val="530"/>
        </w:trPr>
        <w:tc>
          <w:tcPr>
            <w:tcW w:w="1586" w:type="dxa"/>
            <w:hideMark/>
          </w:tcPr>
          <w:p w14:paraId="16BAD11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Fisher et al, 2015</w:t>
            </w:r>
          </w:p>
        </w:tc>
        <w:tc>
          <w:tcPr>
            <w:tcW w:w="2009" w:type="dxa"/>
            <w:hideMark/>
          </w:tcPr>
          <w:p w14:paraId="17F3AC55"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CART</w:t>
            </w:r>
          </w:p>
        </w:tc>
        <w:tc>
          <w:tcPr>
            <w:tcW w:w="2160" w:type="dxa"/>
            <w:hideMark/>
          </w:tcPr>
          <w:p w14:paraId="7A26F7F7" w14:textId="574BB2D5"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 model containing 13 variables (sociodemographic, functional status, </w:t>
            </w:r>
            <w:r w:rsidRPr="0086760B">
              <w:rPr>
                <w:rFonts w:ascii="Times New Roman" w:hAnsi="Times New Roman" w:cs="Times New Roman"/>
                <w:sz w:val="20"/>
                <w:szCs w:val="20"/>
              </w:rPr>
              <w:lastRenderedPageBreak/>
              <w:t>clinical variables, comorbidity tier)</w:t>
            </w:r>
          </w:p>
        </w:tc>
        <w:tc>
          <w:tcPr>
            <w:tcW w:w="1710" w:type="dxa"/>
            <w:hideMark/>
          </w:tcPr>
          <w:p w14:paraId="4403BCAF"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w:t>
            </w:r>
          </w:p>
        </w:tc>
        <w:tc>
          <w:tcPr>
            <w:tcW w:w="3325" w:type="dxa"/>
            <w:hideMark/>
          </w:tcPr>
          <w:p w14:paraId="5E6A6C73"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0.67</w:t>
            </w:r>
          </w:p>
        </w:tc>
      </w:tr>
      <w:tr w:rsidR="0086760B" w:rsidRPr="0086760B" w14:paraId="2886F14F" w14:textId="77777777" w:rsidTr="0086760B">
        <w:trPr>
          <w:trHeight w:val="980"/>
        </w:trPr>
        <w:tc>
          <w:tcPr>
            <w:tcW w:w="1586" w:type="dxa"/>
            <w:shd w:val="clear" w:color="auto" w:fill="808080" w:themeFill="background1" w:themeFillShade="80"/>
            <w:hideMark/>
          </w:tcPr>
          <w:p w14:paraId="29AE005E"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1350EB1F"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2258B6FE"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4070E0A0"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4566365D"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7D405843"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1FC33FB9" w14:textId="77777777" w:rsidTr="007E7DB0">
        <w:trPr>
          <w:trHeight w:val="1700"/>
        </w:trPr>
        <w:tc>
          <w:tcPr>
            <w:tcW w:w="1586" w:type="dxa"/>
            <w:hideMark/>
          </w:tcPr>
          <w:p w14:paraId="35BCB21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Jones et al,2019</w:t>
            </w:r>
          </w:p>
        </w:tc>
        <w:tc>
          <w:tcPr>
            <w:tcW w:w="2009" w:type="dxa"/>
            <w:hideMark/>
          </w:tcPr>
          <w:p w14:paraId="23086BF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GBM</w:t>
            </w:r>
          </w:p>
        </w:tc>
        <w:tc>
          <w:tcPr>
            <w:tcW w:w="2160" w:type="dxa"/>
            <w:hideMark/>
          </w:tcPr>
          <w:p w14:paraId="15223C72" w14:textId="5D660ADC"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the full model containing 53 variables available at time of discharge (including measures of rehospitalization factors, social situation, cognition, cognition, depression, anxiety, ADLs, pain and other factors); parsimonious model with backward elimination</w:t>
            </w:r>
          </w:p>
        </w:tc>
        <w:tc>
          <w:tcPr>
            <w:tcW w:w="1710" w:type="dxa"/>
            <w:hideMark/>
          </w:tcPr>
          <w:p w14:paraId="5D759BDB"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w:t>
            </w:r>
          </w:p>
        </w:tc>
        <w:tc>
          <w:tcPr>
            <w:tcW w:w="3325" w:type="dxa"/>
            <w:hideMark/>
          </w:tcPr>
          <w:p w14:paraId="68E3E68D"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(1). full model = 0.67; </w:t>
            </w:r>
          </w:p>
          <w:p w14:paraId="03E9147A" w14:textId="37C5D838"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(2). parsimonious model=</w:t>
            </w:r>
            <w:r w:rsidRPr="0086760B">
              <w:rPr>
                <w:rFonts w:ascii="Times New Roman" w:hAnsi="Times New Roman" w:cs="Times New Roman"/>
                <w:sz w:val="20"/>
                <w:szCs w:val="20"/>
              </w:rPr>
              <w:br/>
              <w:t>0.66</w:t>
            </w:r>
          </w:p>
        </w:tc>
      </w:tr>
      <w:tr w:rsidR="00F33B3A" w:rsidRPr="0086760B" w14:paraId="23A14304" w14:textId="77777777" w:rsidTr="007E7DB0">
        <w:trPr>
          <w:trHeight w:val="2020"/>
        </w:trPr>
        <w:tc>
          <w:tcPr>
            <w:tcW w:w="1586" w:type="dxa"/>
            <w:hideMark/>
          </w:tcPr>
          <w:p w14:paraId="207066EA"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Hogan et al, 2019</w:t>
            </w:r>
          </w:p>
        </w:tc>
        <w:tc>
          <w:tcPr>
            <w:tcW w:w="2009" w:type="dxa"/>
            <w:hideMark/>
          </w:tcPr>
          <w:p w14:paraId="1328D628"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Random Forest</w:t>
            </w:r>
          </w:p>
        </w:tc>
        <w:tc>
          <w:tcPr>
            <w:tcW w:w="2160" w:type="dxa"/>
            <w:hideMark/>
          </w:tcPr>
          <w:p w14:paraId="20AC8A62" w14:textId="7200B5B8"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3 models predicting different timing of readmission outcome containing 131 variables( recipients(demographics, medical, socioeconomic), donors (demographic, medical) and transplant factor(cold ischemia type, number of mismatch), ESRD-related risk factor(dialysis vintage, modality) at time of transplantation </w:t>
            </w:r>
          </w:p>
        </w:tc>
        <w:tc>
          <w:tcPr>
            <w:tcW w:w="1710" w:type="dxa"/>
            <w:hideMark/>
          </w:tcPr>
          <w:p w14:paraId="1645A0E1"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3-fold cross-validation</w:t>
            </w:r>
          </w:p>
        </w:tc>
        <w:tc>
          <w:tcPr>
            <w:tcW w:w="3325" w:type="dxa"/>
            <w:hideMark/>
          </w:tcPr>
          <w:p w14:paraId="083991F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 30 days=0.61(0.60, 0.63); (2). 90 days=0.62 (0.61, 0.64); (3). 365 days=0.63 (0.62, 0.64)</w:t>
            </w:r>
          </w:p>
        </w:tc>
      </w:tr>
      <w:tr w:rsidR="00F33B3A" w:rsidRPr="0086760B" w14:paraId="0B83472B" w14:textId="77777777" w:rsidTr="007E7DB0">
        <w:trPr>
          <w:trHeight w:val="980"/>
        </w:trPr>
        <w:tc>
          <w:tcPr>
            <w:tcW w:w="1586" w:type="dxa"/>
            <w:hideMark/>
          </w:tcPr>
          <w:p w14:paraId="7C94B037"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Zack et al, 2019</w:t>
            </w:r>
          </w:p>
        </w:tc>
        <w:tc>
          <w:tcPr>
            <w:tcW w:w="2009" w:type="dxa"/>
            <w:hideMark/>
          </w:tcPr>
          <w:p w14:paraId="6F391DEC"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Random forest</w:t>
            </w:r>
          </w:p>
        </w:tc>
        <w:tc>
          <w:tcPr>
            <w:tcW w:w="2160" w:type="dxa"/>
            <w:hideMark/>
          </w:tcPr>
          <w:p w14:paraId="7D3DCEF5" w14:textId="189ABF9B"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model containing 410 variables (sociodemographic, clinical diagnoses, admission, procedural and in-hospital events) available at discharge</w:t>
            </w:r>
          </w:p>
        </w:tc>
        <w:tc>
          <w:tcPr>
            <w:tcW w:w="1710" w:type="dxa"/>
            <w:hideMark/>
          </w:tcPr>
          <w:p w14:paraId="47398052"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8-fold cross-validation internally; training/testing split by time: 2004-2008/2009-2013</w:t>
            </w:r>
          </w:p>
        </w:tc>
        <w:tc>
          <w:tcPr>
            <w:tcW w:w="3325" w:type="dxa"/>
            <w:hideMark/>
          </w:tcPr>
          <w:p w14:paraId="03FC9240" w14:textId="247B9561"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0.90 (0.89-0.91)</w:t>
            </w:r>
          </w:p>
        </w:tc>
      </w:tr>
      <w:tr w:rsidR="00F33B3A" w:rsidRPr="0086760B" w14:paraId="37739274" w14:textId="77777777" w:rsidTr="007E7DB0">
        <w:trPr>
          <w:trHeight w:val="980"/>
        </w:trPr>
        <w:tc>
          <w:tcPr>
            <w:tcW w:w="1586" w:type="dxa"/>
            <w:hideMark/>
          </w:tcPr>
          <w:p w14:paraId="464DECA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Mahajan et al, 2016</w:t>
            </w:r>
          </w:p>
        </w:tc>
        <w:tc>
          <w:tcPr>
            <w:tcW w:w="2009" w:type="dxa"/>
            <w:hideMark/>
          </w:tcPr>
          <w:p w14:paraId="367C86B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RF</w:t>
            </w:r>
          </w:p>
        </w:tc>
        <w:tc>
          <w:tcPr>
            <w:tcW w:w="2160" w:type="dxa"/>
            <w:hideMark/>
          </w:tcPr>
          <w:p w14:paraId="62487E88" w14:textId="0B520B29"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two models containing 48 clinical predictors (vitals, lab value, comorbidities) at the time of discharge</w:t>
            </w:r>
          </w:p>
        </w:tc>
        <w:tc>
          <w:tcPr>
            <w:tcW w:w="1710" w:type="dxa"/>
            <w:hideMark/>
          </w:tcPr>
          <w:p w14:paraId="122B0AC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w:t>
            </w:r>
          </w:p>
        </w:tc>
        <w:tc>
          <w:tcPr>
            <w:tcW w:w="3325" w:type="dxa"/>
            <w:hideMark/>
          </w:tcPr>
          <w:p w14:paraId="1848AF23"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0.61</w:t>
            </w:r>
          </w:p>
        </w:tc>
      </w:tr>
      <w:tr w:rsidR="00F33B3A" w:rsidRPr="0086760B" w14:paraId="4A20B55F" w14:textId="77777777" w:rsidTr="00845FE1">
        <w:trPr>
          <w:trHeight w:val="629"/>
        </w:trPr>
        <w:tc>
          <w:tcPr>
            <w:tcW w:w="1586" w:type="dxa"/>
            <w:hideMark/>
          </w:tcPr>
          <w:p w14:paraId="67C64394"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Xue</w:t>
            </w:r>
            <w:proofErr w:type="spellEnd"/>
            <w:r w:rsidRPr="0086760B">
              <w:rPr>
                <w:rFonts w:ascii="Times New Roman" w:hAnsi="Times New Roman" w:cs="Times New Roman"/>
                <w:sz w:val="20"/>
                <w:szCs w:val="20"/>
              </w:rPr>
              <w:t xml:space="preserve"> et al, 2019</w:t>
            </w:r>
          </w:p>
        </w:tc>
        <w:tc>
          <w:tcPr>
            <w:tcW w:w="2009" w:type="dxa"/>
            <w:hideMark/>
          </w:tcPr>
          <w:p w14:paraId="3C1B83FF"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Random forest; SVM</w:t>
            </w:r>
          </w:p>
        </w:tc>
        <w:tc>
          <w:tcPr>
            <w:tcW w:w="2160" w:type="dxa"/>
            <w:hideMark/>
          </w:tcPr>
          <w:p w14:paraId="06A39173" w14:textId="48981D2D"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three models trained by three different algorithms, and each model include 3 submodels containing different predictors were compared: baseline model (demographic, comorbidity only), FIM model (baseline+ </w:t>
            </w:r>
            <w:r w:rsidRPr="0086760B">
              <w:rPr>
                <w:rFonts w:ascii="Times New Roman" w:hAnsi="Times New Roman" w:cs="Times New Roman"/>
                <w:sz w:val="20"/>
                <w:szCs w:val="20"/>
              </w:rPr>
              <w:lastRenderedPageBreak/>
              <w:t>admission FIM), FIM plus model (all 17 predictors).</w:t>
            </w:r>
          </w:p>
        </w:tc>
        <w:tc>
          <w:tcPr>
            <w:tcW w:w="1710" w:type="dxa"/>
            <w:hideMark/>
          </w:tcPr>
          <w:p w14:paraId="4C0FAB03"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training/testing split by time: 2011-2015/2016-2017; 10-fold cross-validation</w:t>
            </w:r>
          </w:p>
        </w:tc>
        <w:tc>
          <w:tcPr>
            <w:tcW w:w="3325" w:type="dxa"/>
            <w:hideMark/>
          </w:tcPr>
          <w:p w14:paraId="102081D0"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SVM: baseline=0.612 (0.564, 0.661), FIM only=0.716 (0.674, 0.758), FIM plus=0.794 (0.752, 0.837); b. RF: baseline=0.625 (0.576, 0.676), FIM only=0.819 (0.767, 0.850), FIM plus=0.813 (0.772, 0.853)</w:t>
            </w:r>
          </w:p>
        </w:tc>
      </w:tr>
      <w:tr w:rsidR="0086760B" w:rsidRPr="0086760B" w14:paraId="53B38ACF" w14:textId="77777777" w:rsidTr="0086760B">
        <w:trPr>
          <w:trHeight w:val="980"/>
        </w:trPr>
        <w:tc>
          <w:tcPr>
            <w:tcW w:w="1586" w:type="dxa"/>
            <w:shd w:val="clear" w:color="auto" w:fill="808080" w:themeFill="background1" w:themeFillShade="80"/>
            <w:hideMark/>
          </w:tcPr>
          <w:p w14:paraId="27A4E3D1"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7BC49B7E"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408E376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2AF0ED72"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77D205A1"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4F2EDBD0"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60C8B78C" w14:textId="77777777" w:rsidTr="007E7DB0">
        <w:trPr>
          <w:trHeight w:val="1470"/>
        </w:trPr>
        <w:tc>
          <w:tcPr>
            <w:tcW w:w="1586" w:type="dxa"/>
            <w:hideMark/>
          </w:tcPr>
          <w:p w14:paraId="63DAC8D0"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Mahajan et al, 2018</w:t>
            </w:r>
          </w:p>
        </w:tc>
        <w:tc>
          <w:tcPr>
            <w:tcW w:w="2009" w:type="dxa"/>
            <w:hideMark/>
          </w:tcPr>
          <w:p w14:paraId="5B56C274" w14:textId="2E8C6773"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Boosted trees analysis; Spike-and-slab regression</w:t>
            </w:r>
          </w:p>
        </w:tc>
        <w:tc>
          <w:tcPr>
            <w:tcW w:w="2160" w:type="dxa"/>
            <w:hideMark/>
          </w:tcPr>
          <w:p w14:paraId="2A6ED5C0" w14:textId="70DD3F1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two models trained by two algorithms containing 56 predictors (from domains of clinical, administrative and psychosocial) at the time discharge and grid search methods were used for parameter tuning for each algorithm</w:t>
            </w:r>
          </w:p>
        </w:tc>
        <w:tc>
          <w:tcPr>
            <w:tcW w:w="1710" w:type="dxa"/>
            <w:hideMark/>
          </w:tcPr>
          <w:p w14:paraId="790AF905"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w:t>
            </w:r>
          </w:p>
        </w:tc>
        <w:tc>
          <w:tcPr>
            <w:tcW w:w="3325" w:type="dxa"/>
            <w:hideMark/>
          </w:tcPr>
          <w:p w14:paraId="35001F97"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boosted trees=0.719; b. spike-and-slab regression=0.621</w:t>
            </w:r>
          </w:p>
        </w:tc>
      </w:tr>
      <w:tr w:rsidR="00F33B3A" w:rsidRPr="0086760B" w14:paraId="3262A1F7" w14:textId="77777777" w:rsidTr="007E7DB0">
        <w:trPr>
          <w:trHeight w:val="1640"/>
        </w:trPr>
        <w:tc>
          <w:tcPr>
            <w:tcW w:w="1586" w:type="dxa"/>
            <w:hideMark/>
          </w:tcPr>
          <w:p w14:paraId="0F3671F2"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Kalagara</w:t>
            </w:r>
            <w:proofErr w:type="spellEnd"/>
            <w:r w:rsidRPr="0086760B">
              <w:rPr>
                <w:rFonts w:ascii="Times New Roman" w:hAnsi="Times New Roman" w:cs="Times New Roman"/>
                <w:sz w:val="20"/>
                <w:szCs w:val="20"/>
              </w:rPr>
              <w:t xml:space="preserve"> et al, 2019</w:t>
            </w:r>
          </w:p>
        </w:tc>
        <w:tc>
          <w:tcPr>
            <w:tcW w:w="2009" w:type="dxa"/>
            <w:hideMark/>
          </w:tcPr>
          <w:p w14:paraId="36BDFC99" w14:textId="774D380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Supervised gradient boosting machine (GBM)</w:t>
            </w:r>
          </w:p>
        </w:tc>
        <w:tc>
          <w:tcPr>
            <w:tcW w:w="2160" w:type="dxa"/>
            <w:hideMark/>
          </w:tcPr>
          <w:p w14:paraId="31904F73" w14:textId="273F7BB2"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one model containing all variables (14 patient and operation characteristics, 21 postsurgical complications and 36 comorbidities); one model containing only predischarge variables (including discharge location, comorbidities, ASA classification)</w:t>
            </w:r>
          </w:p>
        </w:tc>
        <w:tc>
          <w:tcPr>
            <w:tcW w:w="1710" w:type="dxa"/>
            <w:hideMark/>
          </w:tcPr>
          <w:p w14:paraId="0844CEC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85%/15%; three repeats of a 10-fold</w:t>
            </w:r>
            <w:r w:rsidRPr="0086760B">
              <w:rPr>
                <w:rFonts w:ascii="Times New Roman" w:hAnsi="Times New Roman" w:cs="Times New Roman"/>
                <w:sz w:val="20"/>
                <w:szCs w:val="20"/>
              </w:rPr>
              <w:br/>
              <w:t xml:space="preserve">cross-validation </w:t>
            </w:r>
          </w:p>
        </w:tc>
        <w:tc>
          <w:tcPr>
            <w:tcW w:w="3325" w:type="dxa"/>
            <w:hideMark/>
          </w:tcPr>
          <w:p w14:paraId="52BCDC77"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 Model with all variables=0.8059; (2). Model with only predischarge variables=0.6901</w:t>
            </w:r>
          </w:p>
        </w:tc>
      </w:tr>
      <w:tr w:rsidR="00F33B3A" w:rsidRPr="0086760B" w14:paraId="5941DB5D" w14:textId="77777777" w:rsidTr="007E7DB0">
        <w:trPr>
          <w:trHeight w:val="1720"/>
        </w:trPr>
        <w:tc>
          <w:tcPr>
            <w:tcW w:w="1586" w:type="dxa"/>
            <w:hideMark/>
          </w:tcPr>
          <w:p w14:paraId="0CEC4751"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Merrill et al, 2018</w:t>
            </w:r>
          </w:p>
        </w:tc>
        <w:tc>
          <w:tcPr>
            <w:tcW w:w="2009" w:type="dxa"/>
            <w:hideMark/>
          </w:tcPr>
          <w:p w14:paraId="5F78A5F2"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Gradient boosting</w:t>
            </w:r>
          </w:p>
        </w:tc>
        <w:tc>
          <w:tcPr>
            <w:tcW w:w="2160" w:type="dxa"/>
            <w:hideMark/>
          </w:tcPr>
          <w:p w14:paraId="3283259B" w14:textId="66209E96"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one model containing 17 variables (age, elective surgery, sex, insurance, teaching hospital, deficiency anemias, CHF, chronic lung diseases, depression, diabetes, hypertension, obesity, PVD, renal failure and open fracture) following ORIF</w:t>
            </w:r>
          </w:p>
        </w:tc>
        <w:tc>
          <w:tcPr>
            <w:tcW w:w="1710" w:type="dxa"/>
            <w:hideMark/>
          </w:tcPr>
          <w:p w14:paraId="6C468C57"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(70%/30%); three repeats of a 10-fold</w:t>
            </w:r>
            <w:r w:rsidRPr="0086760B">
              <w:rPr>
                <w:rFonts w:ascii="Times New Roman" w:hAnsi="Times New Roman" w:cs="Times New Roman"/>
                <w:sz w:val="20"/>
                <w:szCs w:val="20"/>
              </w:rPr>
              <w:br/>
              <w:t xml:space="preserve">cross-validation </w:t>
            </w:r>
          </w:p>
        </w:tc>
        <w:tc>
          <w:tcPr>
            <w:tcW w:w="3325" w:type="dxa"/>
            <w:hideMark/>
          </w:tcPr>
          <w:p w14:paraId="6982C80F"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0.6979</w:t>
            </w:r>
          </w:p>
        </w:tc>
      </w:tr>
      <w:tr w:rsidR="00F33B3A" w:rsidRPr="0086760B" w14:paraId="03F23E3A" w14:textId="77777777" w:rsidTr="007E7DB0">
        <w:trPr>
          <w:trHeight w:val="2380"/>
        </w:trPr>
        <w:tc>
          <w:tcPr>
            <w:tcW w:w="1586" w:type="dxa"/>
            <w:hideMark/>
          </w:tcPr>
          <w:p w14:paraId="4E89588C"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Rojas et al, 2017</w:t>
            </w:r>
          </w:p>
        </w:tc>
        <w:tc>
          <w:tcPr>
            <w:tcW w:w="2009" w:type="dxa"/>
            <w:hideMark/>
          </w:tcPr>
          <w:p w14:paraId="0616E3EE" w14:textId="7969B78D"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Gradient boosted machine (GBM)</w:t>
            </w:r>
          </w:p>
        </w:tc>
        <w:tc>
          <w:tcPr>
            <w:tcW w:w="2160" w:type="dxa"/>
            <w:hideMark/>
          </w:tcPr>
          <w:p w14:paraId="3732D89C"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one model containing 117 variables (demographics, vital signs, laboratory values, medications administered during the ICU admission, ICU interventions, nursing</w:t>
            </w:r>
            <w:r w:rsidRPr="0086760B">
              <w:rPr>
                <w:rFonts w:ascii="Times New Roman" w:hAnsi="Times New Roman" w:cs="Times New Roman"/>
                <w:sz w:val="20"/>
                <w:szCs w:val="20"/>
              </w:rPr>
              <w:br/>
              <w:t xml:space="preserve">documentation, diagnostic tests); a simpler model only containing physiology related variables (age, vital and lab data). </w:t>
            </w:r>
          </w:p>
        </w:tc>
        <w:tc>
          <w:tcPr>
            <w:tcW w:w="1710" w:type="dxa"/>
            <w:hideMark/>
          </w:tcPr>
          <w:p w14:paraId="34ACA68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(60%/40%) internally; external validation</w:t>
            </w:r>
          </w:p>
        </w:tc>
        <w:tc>
          <w:tcPr>
            <w:tcW w:w="3325" w:type="dxa"/>
            <w:hideMark/>
          </w:tcPr>
          <w:p w14:paraId="5E7D31F4" w14:textId="0B77B79D"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Internal Validation: (1).GBM(72 hours readmission)=0.72 (0.71, 0.75); (2).GBM( ³72 hours readmission)n=0.77 (0.75, 0.78); (3).GBM(Ever readmission)=0.76 (0.75-0.78); External Validation: GBM(Ever readmission)= 0.71 (0.70-0.72) </w:t>
            </w:r>
          </w:p>
        </w:tc>
      </w:tr>
      <w:tr w:rsidR="0086760B" w:rsidRPr="0086760B" w14:paraId="1979862C" w14:textId="77777777" w:rsidTr="0086760B">
        <w:trPr>
          <w:trHeight w:val="980"/>
        </w:trPr>
        <w:tc>
          <w:tcPr>
            <w:tcW w:w="1586" w:type="dxa"/>
            <w:shd w:val="clear" w:color="auto" w:fill="808080" w:themeFill="background1" w:themeFillShade="80"/>
            <w:hideMark/>
          </w:tcPr>
          <w:p w14:paraId="00606217"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lastRenderedPageBreak/>
              <w:t>Study</w:t>
            </w:r>
          </w:p>
        </w:tc>
        <w:tc>
          <w:tcPr>
            <w:tcW w:w="2009" w:type="dxa"/>
            <w:shd w:val="clear" w:color="auto" w:fill="808080" w:themeFill="background1" w:themeFillShade="80"/>
            <w:hideMark/>
          </w:tcPr>
          <w:p w14:paraId="0C9FB199"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656CF89F"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208AE344"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0B3D6765"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4DB4504D"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7B0D415C" w14:textId="77777777" w:rsidTr="007E7DB0">
        <w:trPr>
          <w:trHeight w:val="1900"/>
        </w:trPr>
        <w:tc>
          <w:tcPr>
            <w:tcW w:w="1586" w:type="dxa"/>
            <w:hideMark/>
          </w:tcPr>
          <w:p w14:paraId="7F49EFB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Chandra et al, 2019</w:t>
            </w:r>
          </w:p>
        </w:tc>
        <w:tc>
          <w:tcPr>
            <w:tcW w:w="2009" w:type="dxa"/>
            <w:hideMark/>
          </w:tcPr>
          <w:p w14:paraId="527E259B"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GBM</w:t>
            </w:r>
          </w:p>
        </w:tc>
        <w:tc>
          <w:tcPr>
            <w:tcW w:w="2160" w:type="dxa"/>
            <w:hideMark/>
          </w:tcPr>
          <w:p w14:paraId="4C759B53" w14:textId="652B4E75"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one comprehensive model containing 17 variables (patient demographics, medical comorbidity, prior use of healthcare, clinical parameters during the index hospitalization)</w:t>
            </w:r>
          </w:p>
        </w:tc>
        <w:tc>
          <w:tcPr>
            <w:tcW w:w="1710" w:type="dxa"/>
            <w:hideMark/>
          </w:tcPr>
          <w:p w14:paraId="56D4AE32"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out-of-sample 10-fold cross-validation</w:t>
            </w:r>
          </w:p>
        </w:tc>
        <w:tc>
          <w:tcPr>
            <w:tcW w:w="3325" w:type="dxa"/>
            <w:hideMark/>
          </w:tcPr>
          <w:p w14:paraId="382B9559"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0.70 (0.68-0.72)</w:t>
            </w:r>
          </w:p>
        </w:tc>
      </w:tr>
      <w:tr w:rsidR="00F33B3A" w:rsidRPr="0086760B" w14:paraId="52762C52" w14:textId="77777777" w:rsidTr="007E7DB0">
        <w:trPr>
          <w:trHeight w:val="2370"/>
        </w:trPr>
        <w:tc>
          <w:tcPr>
            <w:tcW w:w="1586" w:type="dxa"/>
            <w:hideMark/>
          </w:tcPr>
          <w:p w14:paraId="469151F2"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Pakbin</w:t>
            </w:r>
            <w:proofErr w:type="spellEnd"/>
            <w:r w:rsidRPr="0086760B">
              <w:rPr>
                <w:rFonts w:ascii="Times New Roman" w:hAnsi="Times New Roman" w:cs="Times New Roman"/>
                <w:sz w:val="20"/>
                <w:szCs w:val="20"/>
              </w:rPr>
              <w:t xml:space="preserve"> et al, 2018</w:t>
            </w:r>
          </w:p>
        </w:tc>
        <w:tc>
          <w:tcPr>
            <w:tcW w:w="2009" w:type="dxa"/>
            <w:hideMark/>
          </w:tcPr>
          <w:p w14:paraId="50017D91"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Gradient descent boosting</w:t>
            </w:r>
          </w:p>
        </w:tc>
        <w:tc>
          <w:tcPr>
            <w:tcW w:w="2160" w:type="dxa"/>
            <w:hideMark/>
          </w:tcPr>
          <w:p w14:paraId="643AF68B" w14:textId="09701743"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 model trained by two different algorithms containing 58 variables (admissions, ICU stays, patients,</w:t>
            </w:r>
            <w:r w:rsidRPr="0086760B">
              <w:rPr>
                <w:rFonts w:ascii="Times New Roman" w:hAnsi="Times New Roman" w:cs="Times New Roman"/>
                <w:sz w:val="20"/>
                <w:szCs w:val="20"/>
              </w:rPr>
              <w:br/>
              <w:t>Procedure Events, ICD9 Admission Diagnosis Codes,</w:t>
            </w:r>
            <w:r w:rsidRPr="0086760B">
              <w:rPr>
                <w:rFonts w:ascii="Times New Roman" w:hAnsi="Times New Roman" w:cs="Times New Roman"/>
                <w:sz w:val="20"/>
                <w:szCs w:val="20"/>
              </w:rPr>
              <w:br/>
              <w:t>Chart events, and Lab events. Chart events contains vitals,</w:t>
            </w:r>
            <w:r w:rsidRPr="0086760B">
              <w:rPr>
                <w:rFonts w:ascii="Times New Roman" w:hAnsi="Times New Roman" w:cs="Times New Roman"/>
                <w:sz w:val="20"/>
                <w:szCs w:val="20"/>
              </w:rPr>
              <w:br/>
              <w:t>measurements, and other such time-series events and nursing), and each model included 6 submodels predicting different timing of readmission outcome.</w:t>
            </w:r>
          </w:p>
        </w:tc>
        <w:tc>
          <w:tcPr>
            <w:tcW w:w="1710" w:type="dxa"/>
            <w:hideMark/>
          </w:tcPr>
          <w:p w14:paraId="45112EA7"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80%/20%; stratified k-fold cross-validation</w:t>
            </w:r>
          </w:p>
        </w:tc>
        <w:tc>
          <w:tcPr>
            <w:tcW w:w="3325" w:type="dxa"/>
            <w:hideMark/>
          </w:tcPr>
          <w:p w14:paraId="3F3795AF" w14:textId="0284F442"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(1).24 hours=0.72 (0.70-0.74); (2). 72 hours =0.76 (0.74-0.77), (3).24-72 hours = 0.75 (0.72-0.78); (4). 7 days=0.77 (0.76-0.78); (5).30 days= 0.75 (0.74-0.77); (6). Bounceback: 0.84 (0.83-0.85)</w:t>
            </w:r>
          </w:p>
        </w:tc>
      </w:tr>
      <w:tr w:rsidR="00F33B3A" w:rsidRPr="0086760B" w14:paraId="0BFE7208" w14:textId="77777777" w:rsidTr="007E7DB0">
        <w:trPr>
          <w:trHeight w:val="1260"/>
        </w:trPr>
        <w:tc>
          <w:tcPr>
            <w:tcW w:w="1586" w:type="dxa"/>
            <w:hideMark/>
          </w:tcPr>
          <w:p w14:paraId="1A8F262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Salem et al, 2018</w:t>
            </w:r>
          </w:p>
        </w:tc>
        <w:tc>
          <w:tcPr>
            <w:tcW w:w="2009" w:type="dxa"/>
            <w:hideMark/>
          </w:tcPr>
          <w:p w14:paraId="00B749EA" w14:textId="7BA37E8B"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Support vector machine</w:t>
            </w:r>
          </w:p>
        </w:tc>
        <w:tc>
          <w:tcPr>
            <w:tcW w:w="2160" w:type="dxa"/>
            <w:hideMark/>
          </w:tcPr>
          <w:p w14:paraId="129B3BC6" w14:textId="5ABC107A"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model containing 14 variables (Scores on the 9</w:t>
            </w:r>
            <w:r w:rsidRPr="0086760B">
              <w:rPr>
                <w:rFonts w:ascii="Times New Roman" w:hAnsi="Times New Roman" w:cs="Times New Roman"/>
                <w:sz w:val="20"/>
                <w:szCs w:val="20"/>
              </w:rPr>
              <w:br/>
              <w:t xml:space="preserve">subscales of the BPQ and 5 clinical variables (sex, age, diagnosis, LOS, number of admissions at BPQ baseline) </w:t>
            </w:r>
          </w:p>
        </w:tc>
        <w:tc>
          <w:tcPr>
            <w:tcW w:w="1710" w:type="dxa"/>
            <w:hideMark/>
          </w:tcPr>
          <w:p w14:paraId="6850E362" w14:textId="2C390AE1"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split (69.89%/30.11%)</w:t>
            </w:r>
          </w:p>
        </w:tc>
        <w:tc>
          <w:tcPr>
            <w:tcW w:w="3325" w:type="dxa"/>
            <w:hideMark/>
          </w:tcPr>
          <w:p w14:paraId="023024BF"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0.86</w:t>
            </w:r>
          </w:p>
        </w:tc>
      </w:tr>
      <w:tr w:rsidR="00F33B3A" w:rsidRPr="0086760B" w14:paraId="5BF50820" w14:textId="77777777" w:rsidTr="007E7DB0">
        <w:trPr>
          <w:trHeight w:val="1900"/>
        </w:trPr>
        <w:tc>
          <w:tcPr>
            <w:tcW w:w="1586" w:type="dxa"/>
            <w:hideMark/>
          </w:tcPr>
          <w:p w14:paraId="3B694AB1"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Rumshisky</w:t>
            </w:r>
            <w:proofErr w:type="spellEnd"/>
            <w:r w:rsidRPr="0086760B">
              <w:rPr>
                <w:rFonts w:ascii="Times New Roman" w:hAnsi="Times New Roman" w:cs="Times New Roman"/>
                <w:sz w:val="20"/>
                <w:szCs w:val="20"/>
              </w:rPr>
              <w:t xml:space="preserve"> et al, 2016</w:t>
            </w:r>
          </w:p>
        </w:tc>
        <w:tc>
          <w:tcPr>
            <w:tcW w:w="2009" w:type="dxa"/>
            <w:hideMark/>
          </w:tcPr>
          <w:p w14:paraId="51633218"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SVM</w:t>
            </w:r>
          </w:p>
        </w:tc>
        <w:tc>
          <w:tcPr>
            <w:tcW w:w="2160" w:type="dxa"/>
            <w:hideMark/>
          </w:tcPr>
          <w:p w14:paraId="6585B069" w14:textId="788FA9C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3 models based on different sets of variables(ranging from 4 to 1004): (1)only baseline features (age/ gender/ insurance/Charlson) , (2) baseline features + top-N words (N most informative words from each patient's record), (3)baseline+ topic features derived from the k-topic LDA model</w:t>
            </w:r>
          </w:p>
        </w:tc>
        <w:tc>
          <w:tcPr>
            <w:tcW w:w="1710" w:type="dxa"/>
            <w:hideMark/>
          </w:tcPr>
          <w:p w14:paraId="54CDA959" w14:textId="27D1116F"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split (70%/30%); 3-fold cross-validation</w:t>
            </w:r>
          </w:p>
        </w:tc>
        <w:tc>
          <w:tcPr>
            <w:tcW w:w="3325" w:type="dxa"/>
            <w:hideMark/>
          </w:tcPr>
          <w:p w14:paraId="70E6A92D" w14:textId="49829E5C"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 baseline clinical model= 0.618; (2). baseline features+ top-N bag-of-words features words= 0.682; (3). baseline+ topic features derived from the k-topic LDA model= 0.784</w:t>
            </w:r>
          </w:p>
        </w:tc>
      </w:tr>
      <w:tr w:rsidR="0086760B" w:rsidRPr="0086760B" w14:paraId="4FABBF59" w14:textId="77777777" w:rsidTr="0086760B">
        <w:trPr>
          <w:trHeight w:val="980"/>
        </w:trPr>
        <w:tc>
          <w:tcPr>
            <w:tcW w:w="1586" w:type="dxa"/>
            <w:shd w:val="clear" w:color="auto" w:fill="808080" w:themeFill="background1" w:themeFillShade="80"/>
            <w:hideMark/>
          </w:tcPr>
          <w:p w14:paraId="2BF628E7"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lastRenderedPageBreak/>
              <w:t>Study</w:t>
            </w:r>
          </w:p>
        </w:tc>
        <w:tc>
          <w:tcPr>
            <w:tcW w:w="2009" w:type="dxa"/>
            <w:shd w:val="clear" w:color="auto" w:fill="808080" w:themeFill="background1" w:themeFillShade="80"/>
            <w:hideMark/>
          </w:tcPr>
          <w:p w14:paraId="1D8BFCC3"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1E6C8C53"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45500A91"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2AB24248"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13A58353"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78A29B63" w14:textId="77777777" w:rsidTr="007E7DB0">
        <w:trPr>
          <w:trHeight w:val="2140"/>
        </w:trPr>
        <w:tc>
          <w:tcPr>
            <w:tcW w:w="1586" w:type="dxa"/>
            <w:hideMark/>
          </w:tcPr>
          <w:p w14:paraId="6245994D"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Turgeman</w:t>
            </w:r>
            <w:proofErr w:type="spellEnd"/>
            <w:r w:rsidRPr="0086760B">
              <w:rPr>
                <w:rFonts w:ascii="Times New Roman" w:hAnsi="Times New Roman" w:cs="Times New Roman"/>
                <w:sz w:val="20"/>
                <w:szCs w:val="20"/>
              </w:rPr>
              <w:t xml:space="preserve"> et al, 2016</w:t>
            </w:r>
          </w:p>
        </w:tc>
        <w:tc>
          <w:tcPr>
            <w:tcW w:w="2009" w:type="dxa"/>
            <w:hideMark/>
          </w:tcPr>
          <w:p w14:paraId="23170B79" w14:textId="2348EA4F"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DT; SVM; DT ensembled with SVM; other ensembled algorithms</w:t>
            </w:r>
          </w:p>
        </w:tc>
        <w:tc>
          <w:tcPr>
            <w:tcW w:w="2160" w:type="dxa"/>
            <w:hideMark/>
          </w:tcPr>
          <w:p w14:paraId="461FD508" w14:textId="6B41FD8A"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Multiple standalone models based on different learning algorithms and other mixed-ensemble models (combining C5.0 tree with SVM) containing 38 variables (including demographic and historical variables, lab values, comorbidities) </w:t>
            </w:r>
          </w:p>
        </w:tc>
        <w:tc>
          <w:tcPr>
            <w:tcW w:w="1710" w:type="dxa"/>
            <w:hideMark/>
          </w:tcPr>
          <w:p w14:paraId="4E3C76F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(75%/25%); 10-fold cross-validation</w:t>
            </w:r>
          </w:p>
        </w:tc>
        <w:tc>
          <w:tcPr>
            <w:tcW w:w="3325" w:type="dxa"/>
            <w:hideMark/>
          </w:tcPr>
          <w:p w14:paraId="237A762E" w14:textId="07C8B9ED"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AUC: Stand-alone models: a. SVM=0.643; b. Naïve-Bayes net=0.676; c. Neural Net=0.639; Ensemble models: e. DT C5+SVM=0.693; f. Naive Net+ Neural Net=0.65; g. Naive net+ SVM=0.649; h. Neural-Net+ SVM=0.577</w:t>
            </w:r>
          </w:p>
          <w:p w14:paraId="2BA47778" w14:textId="77777777" w:rsidR="00F33B3A" w:rsidRPr="0086760B" w:rsidRDefault="00F33B3A" w:rsidP="00F33B3A">
            <w:pPr>
              <w:rPr>
                <w:rFonts w:ascii="Times New Roman" w:hAnsi="Times New Roman" w:cs="Times New Roman"/>
                <w:sz w:val="20"/>
                <w:szCs w:val="20"/>
              </w:rPr>
            </w:pPr>
          </w:p>
          <w:p w14:paraId="28029E80"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Precision: Stand-alone models:</w:t>
            </w:r>
          </w:p>
          <w:p w14:paraId="00AC9A28" w14:textId="07876E91"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SVM= 0.286; b. Naïve-Bayes net= 0.250; c. Neural Net=0.053; Ensemble models: e. DT C5+SVM= 0.197; f. Naive Net+ Neural Net=0.234; g. Naive net+ SVM=0.263; h. Neural-Net+ SVM=0.287</w:t>
            </w:r>
          </w:p>
        </w:tc>
      </w:tr>
      <w:tr w:rsidR="00F33B3A" w:rsidRPr="0086760B" w14:paraId="1F10C0E0" w14:textId="77777777" w:rsidTr="007E7DB0">
        <w:trPr>
          <w:trHeight w:val="4720"/>
        </w:trPr>
        <w:tc>
          <w:tcPr>
            <w:tcW w:w="1586" w:type="dxa"/>
            <w:hideMark/>
          </w:tcPr>
          <w:p w14:paraId="11302146"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Povalej</w:t>
            </w:r>
            <w:proofErr w:type="spellEnd"/>
            <w:r w:rsidRPr="0086760B">
              <w:rPr>
                <w:rFonts w:ascii="Times New Roman" w:hAnsi="Times New Roman" w:cs="Times New Roman"/>
                <w:sz w:val="20"/>
                <w:szCs w:val="20"/>
              </w:rPr>
              <w:t xml:space="preserve"> et al, 2017</w:t>
            </w:r>
          </w:p>
        </w:tc>
        <w:tc>
          <w:tcPr>
            <w:tcW w:w="2009" w:type="dxa"/>
            <w:hideMark/>
          </w:tcPr>
          <w:p w14:paraId="7E7946A1" w14:textId="3F518F2C"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Regularized Logistic Regression, RF, </w:t>
            </w:r>
            <w:proofErr w:type="spellStart"/>
            <w:r w:rsidRPr="0086760B">
              <w:rPr>
                <w:rFonts w:ascii="Times New Roman" w:hAnsi="Times New Roman" w:cs="Times New Roman"/>
                <w:sz w:val="20"/>
                <w:szCs w:val="20"/>
              </w:rPr>
              <w:t>XGBoost</w:t>
            </w:r>
            <w:proofErr w:type="spellEnd"/>
          </w:p>
        </w:tc>
        <w:tc>
          <w:tcPr>
            <w:tcW w:w="2160" w:type="dxa"/>
            <w:hideMark/>
          </w:tcPr>
          <w:p w14:paraId="0D978447" w14:textId="625C3AFF"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3 models trained by 3 algorithms; each model included 5 submodels based on five datasets of different sample size stratified by the number of available hospitalizations per patient of datasets, and containing 29.50 to 184.960 variables (demographic, information about the hospital stay, primary diagnosis, and procedures during hospitalization)</w:t>
            </w:r>
          </w:p>
        </w:tc>
        <w:tc>
          <w:tcPr>
            <w:tcW w:w="1710" w:type="dxa"/>
            <w:hideMark/>
          </w:tcPr>
          <w:p w14:paraId="08BA5FF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100 repeated 10-fold cross-validation</w:t>
            </w:r>
          </w:p>
        </w:tc>
        <w:tc>
          <w:tcPr>
            <w:tcW w:w="3325" w:type="dxa"/>
            <w:hideMark/>
          </w:tcPr>
          <w:p w14:paraId="70FFC40B" w14:textId="0B316ECE"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 LASSO(D1)=0.639 (0.637, 0.642); LASSO(D2)=0.673 (0.67, 0.675); LASSO(D3)= 0.672 (0.669, 0.675); LASSO(D4)=0.668 (0.664, 0.671); LASSO(D5)=0.678 (0.673, 0.683); b. RF(D1)=0.655 (0.653, 0.658); RF(D2)=0.678 (0.675, 0.68); RF(D3)=0.686 (0.683, 0.69); RF(D4)=0.694 (0.691, 0.698); RF(D5)=0.696 (0.691, 0.701); c. </w:t>
            </w:r>
            <w:proofErr w:type="spellStart"/>
            <w:r w:rsidRPr="0086760B">
              <w:rPr>
                <w:rFonts w:ascii="Times New Roman" w:hAnsi="Times New Roman" w:cs="Times New Roman"/>
                <w:sz w:val="20"/>
                <w:szCs w:val="20"/>
              </w:rPr>
              <w:t>XGBoost</w:t>
            </w:r>
            <w:proofErr w:type="spellEnd"/>
            <w:r w:rsidRPr="0086760B">
              <w:rPr>
                <w:rFonts w:ascii="Times New Roman" w:hAnsi="Times New Roman" w:cs="Times New Roman"/>
                <w:sz w:val="20"/>
                <w:szCs w:val="20"/>
              </w:rPr>
              <w:t xml:space="preserve"> (D1)=0.645 (0.642, 0.647); </w:t>
            </w:r>
            <w:proofErr w:type="spellStart"/>
            <w:r w:rsidRPr="0086760B">
              <w:rPr>
                <w:rFonts w:ascii="Times New Roman" w:hAnsi="Times New Roman" w:cs="Times New Roman"/>
                <w:sz w:val="20"/>
                <w:szCs w:val="20"/>
              </w:rPr>
              <w:t>XGBoost</w:t>
            </w:r>
            <w:proofErr w:type="spellEnd"/>
            <w:r w:rsidRPr="0086760B">
              <w:rPr>
                <w:rFonts w:ascii="Times New Roman" w:hAnsi="Times New Roman" w:cs="Times New Roman"/>
                <w:sz w:val="20"/>
                <w:szCs w:val="20"/>
              </w:rPr>
              <w:t xml:space="preserve"> (D2)=0.673 (0.67, 0.675); </w:t>
            </w:r>
            <w:proofErr w:type="spellStart"/>
            <w:r w:rsidRPr="0086760B">
              <w:rPr>
                <w:rFonts w:ascii="Times New Roman" w:hAnsi="Times New Roman" w:cs="Times New Roman"/>
                <w:sz w:val="20"/>
                <w:szCs w:val="20"/>
              </w:rPr>
              <w:t>XGBoost</w:t>
            </w:r>
            <w:proofErr w:type="spellEnd"/>
            <w:r w:rsidRPr="0086760B">
              <w:rPr>
                <w:rFonts w:ascii="Times New Roman" w:hAnsi="Times New Roman" w:cs="Times New Roman"/>
                <w:sz w:val="20"/>
                <w:szCs w:val="20"/>
              </w:rPr>
              <w:t xml:space="preserve"> (D3)=0.675 (0.672, 0.679); </w:t>
            </w:r>
            <w:proofErr w:type="spellStart"/>
            <w:r w:rsidRPr="0086760B">
              <w:rPr>
                <w:rFonts w:ascii="Times New Roman" w:hAnsi="Times New Roman" w:cs="Times New Roman"/>
                <w:sz w:val="20"/>
                <w:szCs w:val="20"/>
              </w:rPr>
              <w:t>XGBoost</w:t>
            </w:r>
            <w:proofErr w:type="spellEnd"/>
            <w:r w:rsidRPr="0086760B">
              <w:rPr>
                <w:rFonts w:ascii="Times New Roman" w:hAnsi="Times New Roman" w:cs="Times New Roman"/>
                <w:sz w:val="20"/>
                <w:szCs w:val="20"/>
              </w:rPr>
              <w:t xml:space="preserve"> (D4)=0.686 (0.682, 0.689); </w:t>
            </w:r>
            <w:proofErr w:type="spellStart"/>
            <w:r w:rsidRPr="0086760B">
              <w:rPr>
                <w:rFonts w:ascii="Times New Roman" w:hAnsi="Times New Roman" w:cs="Times New Roman"/>
                <w:sz w:val="20"/>
                <w:szCs w:val="20"/>
              </w:rPr>
              <w:t>XGBoost</w:t>
            </w:r>
            <w:proofErr w:type="spellEnd"/>
            <w:r w:rsidRPr="0086760B">
              <w:rPr>
                <w:rFonts w:ascii="Times New Roman" w:hAnsi="Times New Roman" w:cs="Times New Roman"/>
                <w:sz w:val="20"/>
                <w:szCs w:val="20"/>
              </w:rPr>
              <w:t xml:space="preserve"> (D5)=0.686 (0.681, 0.691)</w:t>
            </w:r>
          </w:p>
        </w:tc>
      </w:tr>
      <w:tr w:rsidR="00F33B3A" w:rsidRPr="0086760B" w14:paraId="2D4715AB" w14:textId="77777777" w:rsidTr="0086760B">
        <w:trPr>
          <w:trHeight w:val="800"/>
        </w:trPr>
        <w:tc>
          <w:tcPr>
            <w:tcW w:w="1586" w:type="dxa"/>
            <w:hideMark/>
          </w:tcPr>
          <w:p w14:paraId="60C413FC"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Mahajan et al, 2017</w:t>
            </w:r>
          </w:p>
        </w:tc>
        <w:tc>
          <w:tcPr>
            <w:tcW w:w="2009" w:type="dxa"/>
            <w:hideMark/>
          </w:tcPr>
          <w:p w14:paraId="5D3F96BE"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Regularized Logistic Regression</w:t>
            </w:r>
          </w:p>
        </w:tc>
        <w:tc>
          <w:tcPr>
            <w:tcW w:w="2160" w:type="dxa"/>
            <w:hideMark/>
          </w:tcPr>
          <w:p w14:paraId="6B86DBF3" w14:textId="286E134E"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One full model containing 59 predictor variables(clinical, administrative (comorbidities and demographic variables), and psychosocial domain (psychiatric comorbidities including substance abuse and other variables indicating patient’s behavioral and social situation)), and another 4 submodels with sub-datasets with only psychosocial, clinical, administrative or  </w:t>
            </w:r>
            <w:r w:rsidRPr="0086760B">
              <w:rPr>
                <w:rFonts w:ascii="Times New Roman" w:hAnsi="Times New Roman" w:cs="Times New Roman"/>
                <w:sz w:val="20"/>
                <w:szCs w:val="20"/>
              </w:rPr>
              <w:lastRenderedPageBreak/>
              <w:t>combined clinical and administrative domain variables, respectively.</w:t>
            </w:r>
          </w:p>
        </w:tc>
        <w:tc>
          <w:tcPr>
            <w:tcW w:w="1710" w:type="dxa"/>
            <w:hideMark/>
          </w:tcPr>
          <w:p w14:paraId="2FB0ECD1"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10-fold cross-validation</w:t>
            </w:r>
          </w:p>
        </w:tc>
        <w:tc>
          <w:tcPr>
            <w:tcW w:w="3325" w:type="dxa"/>
            <w:hideMark/>
          </w:tcPr>
          <w:p w14:paraId="3179EB5D" w14:textId="2A6F916C"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 Psychosocial only Model=0.50 (0.49, 0.51); (2).clinical only model=0.65 (0.64, 0.66); (3).administrative only model=0.71 (0.69,</w:t>
            </w:r>
            <w:r w:rsidRPr="0086760B">
              <w:rPr>
                <w:rFonts w:ascii="Times New Roman" w:hAnsi="Times New Roman" w:cs="Times New Roman"/>
                <w:sz w:val="20"/>
                <w:szCs w:val="20"/>
              </w:rPr>
              <w:br/>
              <w:t>0.72); (4).combined clinical and administrative model= 0.77 (0.75, 0.78); (5).full model=0.84 (0.83, 0.85)</w:t>
            </w:r>
          </w:p>
        </w:tc>
      </w:tr>
      <w:tr w:rsidR="0086760B" w:rsidRPr="0086760B" w14:paraId="5F0E3DDF" w14:textId="77777777" w:rsidTr="0086760B">
        <w:trPr>
          <w:trHeight w:val="980"/>
        </w:trPr>
        <w:tc>
          <w:tcPr>
            <w:tcW w:w="1586" w:type="dxa"/>
            <w:shd w:val="clear" w:color="auto" w:fill="808080" w:themeFill="background1" w:themeFillShade="80"/>
            <w:hideMark/>
          </w:tcPr>
          <w:p w14:paraId="561180B7"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7883CCD6"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73561E35"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49D1C9D2"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10384CC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5AE6B081"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606618CB" w14:textId="77777777" w:rsidTr="007E7DB0">
        <w:trPr>
          <w:trHeight w:val="2470"/>
        </w:trPr>
        <w:tc>
          <w:tcPr>
            <w:tcW w:w="1586" w:type="dxa"/>
            <w:hideMark/>
          </w:tcPr>
          <w:p w14:paraId="1B171485"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Nakamura et al, 2019</w:t>
            </w:r>
          </w:p>
        </w:tc>
        <w:tc>
          <w:tcPr>
            <w:tcW w:w="2009" w:type="dxa"/>
            <w:hideMark/>
          </w:tcPr>
          <w:p w14:paraId="5F7AEC29"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L2-regularized logistic regression; CNN</w:t>
            </w:r>
          </w:p>
        </w:tc>
        <w:tc>
          <w:tcPr>
            <w:tcW w:w="2160" w:type="dxa"/>
            <w:hideMark/>
          </w:tcPr>
          <w:p w14:paraId="09C2C36E" w14:textId="31F39BA5" w:rsidR="00F33B3A" w:rsidRPr="0086760B" w:rsidRDefault="0086760B" w:rsidP="00F33B3A">
            <w:pPr>
              <w:rPr>
                <w:rFonts w:ascii="Times New Roman" w:hAnsi="Times New Roman" w:cs="Times New Roman"/>
                <w:sz w:val="20"/>
                <w:szCs w:val="20"/>
              </w:rPr>
            </w:pPr>
            <w:r>
              <w:rPr>
                <w:rFonts w:ascii="Times New Roman" w:hAnsi="Times New Roman" w:cs="Times New Roman"/>
                <w:sz w:val="20"/>
                <w:szCs w:val="20"/>
              </w:rPr>
              <w:t>T</w:t>
            </w:r>
            <w:r w:rsidR="00F33B3A" w:rsidRPr="0086760B">
              <w:rPr>
                <w:rFonts w:ascii="Times New Roman" w:hAnsi="Times New Roman" w:cs="Times New Roman"/>
                <w:sz w:val="20"/>
                <w:szCs w:val="20"/>
              </w:rPr>
              <w:t xml:space="preserve">hree models with first two models using  L2-regularized logistic regression, with a core model containing 121 variables (including age, gender, chronic conditions and primary diagnosis were developed using two algorithms, and an improved multivariable model containing 121 variables with addition of initial vital signs and lab variables; and a third model using CNN. </w:t>
            </w:r>
          </w:p>
        </w:tc>
        <w:tc>
          <w:tcPr>
            <w:tcW w:w="1710" w:type="dxa"/>
            <w:hideMark/>
          </w:tcPr>
          <w:p w14:paraId="0FD000F8"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w:t>
            </w:r>
          </w:p>
        </w:tc>
        <w:tc>
          <w:tcPr>
            <w:tcW w:w="3325" w:type="dxa"/>
            <w:hideMark/>
          </w:tcPr>
          <w:p w14:paraId="39C1F1CD" w14:textId="0B4F673A"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 core mode = 0.713 (0.706, 0.719); (2). multivariable model (with addition of clinical variables) = 0.722 (0.715, 0.728); (3). AUC for CNN model not reported</w:t>
            </w:r>
          </w:p>
        </w:tc>
      </w:tr>
      <w:tr w:rsidR="00F33B3A" w:rsidRPr="0086760B" w14:paraId="3FBFC99F" w14:textId="77777777" w:rsidTr="007E7DB0">
        <w:trPr>
          <w:trHeight w:val="2460"/>
        </w:trPr>
        <w:tc>
          <w:tcPr>
            <w:tcW w:w="1586" w:type="dxa"/>
            <w:hideMark/>
          </w:tcPr>
          <w:p w14:paraId="47D1FCFC"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Ehwerhemuepha</w:t>
            </w:r>
            <w:proofErr w:type="spellEnd"/>
            <w:r w:rsidRPr="0086760B">
              <w:rPr>
                <w:rFonts w:ascii="Times New Roman" w:hAnsi="Times New Roman" w:cs="Times New Roman"/>
                <w:sz w:val="20"/>
                <w:szCs w:val="20"/>
              </w:rPr>
              <w:t xml:space="preserve"> et al, 2020</w:t>
            </w:r>
          </w:p>
        </w:tc>
        <w:tc>
          <w:tcPr>
            <w:tcW w:w="2009" w:type="dxa"/>
            <w:hideMark/>
          </w:tcPr>
          <w:p w14:paraId="5DE33632" w14:textId="4B03F223"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Least absolute shrinkage and selection operator regression model</w:t>
            </w:r>
          </w:p>
        </w:tc>
        <w:tc>
          <w:tcPr>
            <w:tcW w:w="2160" w:type="dxa"/>
            <w:hideMark/>
          </w:tcPr>
          <w:p w14:paraId="70A31685" w14:textId="4D5ADEF8"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LASSO was used to train the model at the time discharge based on 86 variables from such as demographics, </w:t>
            </w:r>
            <w:proofErr w:type="spellStart"/>
            <w:r w:rsidRPr="0086760B">
              <w:rPr>
                <w:rFonts w:ascii="Times New Roman" w:hAnsi="Times New Roman" w:cs="Times New Roman"/>
                <w:sz w:val="20"/>
                <w:szCs w:val="20"/>
              </w:rPr>
              <w:t>SDoH</w:t>
            </w:r>
            <w:proofErr w:type="spellEnd"/>
            <w:r w:rsidRPr="0086760B">
              <w:rPr>
                <w:rFonts w:ascii="Times New Roman" w:hAnsi="Times New Roman" w:cs="Times New Roman"/>
                <w:sz w:val="20"/>
                <w:szCs w:val="20"/>
              </w:rPr>
              <w:t xml:space="preserve">, health care use, diagnoses, medications,  severity of illness, acuity, psychosocial variables, discharge related variables (season of discharge, day of discharge week), and primary care related (primary care no show, primary care visit cancellations). </w:t>
            </w:r>
          </w:p>
        </w:tc>
        <w:tc>
          <w:tcPr>
            <w:tcW w:w="1710" w:type="dxa"/>
            <w:hideMark/>
          </w:tcPr>
          <w:p w14:paraId="3BA3DDE9" w14:textId="77CEA34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split (50%/50%)</w:t>
            </w:r>
          </w:p>
        </w:tc>
        <w:tc>
          <w:tcPr>
            <w:tcW w:w="3325" w:type="dxa"/>
            <w:hideMark/>
          </w:tcPr>
          <w:p w14:paraId="1884F536" w14:textId="0037CD61"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0.778 (0.763–0.793)</w:t>
            </w:r>
          </w:p>
        </w:tc>
      </w:tr>
      <w:tr w:rsidR="00F33B3A" w:rsidRPr="0086760B" w14:paraId="062CB17F" w14:textId="77777777" w:rsidTr="007E7DB0">
        <w:trPr>
          <w:trHeight w:val="2650"/>
        </w:trPr>
        <w:tc>
          <w:tcPr>
            <w:tcW w:w="1586" w:type="dxa"/>
            <w:hideMark/>
          </w:tcPr>
          <w:p w14:paraId="3BA6AAA9"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Tong et al, 2016</w:t>
            </w:r>
          </w:p>
        </w:tc>
        <w:tc>
          <w:tcPr>
            <w:tcW w:w="2009" w:type="dxa"/>
            <w:hideMark/>
          </w:tcPr>
          <w:p w14:paraId="03EDDD54" w14:textId="01634C98"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Least absolute shrinkage and selection operator</w:t>
            </w:r>
            <w:r w:rsidRPr="0086760B">
              <w:rPr>
                <w:rFonts w:ascii="Times New Roman" w:hAnsi="Times New Roman" w:cs="Times New Roman"/>
                <w:sz w:val="20"/>
                <w:szCs w:val="20"/>
              </w:rPr>
              <w:br/>
              <w:t>logistic regression; AdaBoost</w:t>
            </w:r>
          </w:p>
        </w:tc>
        <w:tc>
          <w:tcPr>
            <w:tcW w:w="2160" w:type="dxa"/>
            <w:hideMark/>
          </w:tcPr>
          <w:p w14:paraId="5750A160"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two models using LASSO and AdaBoost algorithms; and each model contains four submodels, applied in samples with various sizes. </w:t>
            </w:r>
          </w:p>
        </w:tc>
        <w:tc>
          <w:tcPr>
            <w:tcW w:w="1710" w:type="dxa"/>
            <w:hideMark/>
          </w:tcPr>
          <w:p w14:paraId="4B4BD31D" w14:textId="3228A1D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split (50%/50%)</w:t>
            </w:r>
          </w:p>
        </w:tc>
        <w:tc>
          <w:tcPr>
            <w:tcW w:w="3325" w:type="dxa"/>
            <w:hideMark/>
          </w:tcPr>
          <w:p w14:paraId="5990944E" w14:textId="26CB8721" w:rsidR="00F33B3A" w:rsidRPr="0086760B" w:rsidRDefault="00F33B3A" w:rsidP="0086760B">
            <w:pPr>
              <w:rPr>
                <w:rFonts w:ascii="Times New Roman" w:hAnsi="Times New Roman" w:cs="Times New Roman"/>
                <w:sz w:val="20"/>
                <w:szCs w:val="20"/>
              </w:rPr>
            </w:pPr>
            <w:r w:rsidRPr="0086760B">
              <w:rPr>
                <w:rFonts w:ascii="Times New Roman" w:hAnsi="Times New Roman" w:cs="Times New Roman"/>
                <w:sz w:val="20"/>
                <w:szCs w:val="20"/>
              </w:rPr>
              <w:t>LASSO: size~2500=0.703 (0.680, 0.727), size~5,000= 0.703 (0.690, 0.717), size~20,000= 0.735 (0.728, 0.743), size~80,000=0.737 (0.733, 0.741); b. AdaBoost:  size~2500=0.676 (0.650, 0.703), size~5,000= 0.694 (0.678, 0.709), size~20,000= 0.735 (0.728, 0.743), size~80,000=0.737 (0.733, 0.741)</w:t>
            </w:r>
          </w:p>
          <w:p w14:paraId="060E65AA" w14:textId="77777777" w:rsidR="0086760B" w:rsidRDefault="0086760B" w:rsidP="0086760B">
            <w:pPr>
              <w:pStyle w:val="ListParagraph"/>
              <w:rPr>
                <w:rFonts w:ascii="Times New Roman" w:hAnsi="Times New Roman" w:cs="Times New Roman"/>
                <w:sz w:val="20"/>
                <w:szCs w:val="20"/>
              </w:rPr>
            </w:pPr>
          </w:p>
          <w:p w14:paraId="7E3E2780" w14:textId="77777777" w:rsidR="0086760B" w:rsidRDefault="0086760B" w:rsidP="0086760B">
            <w:pPr>
              <w:pStyle w:val="ListParagraph"/>
              <w:rPr>
                <w:rFonts w:ascii="Times New Roman" w:hAnsi="Times New Roman" w:cs="Times New Roman"/>
                <w:sz w:val="20"/>
                <w:szCs w:val="20"/>
              </w:rPr>
            </w:pPr>
          </w:p>
          <w:p w14:paraId="77BE9787" w14:textId="77777777" w:rsidR="0086760B" w:rsidRDefault="0086760B" w:rsidP="0086760B">
            <w:pPr>
              <w:pStyle w:val="ListParagraph"/>
              <w:rPr>
                <w:rFonts w:ascii="Times New Roman" w:hAnsi="Times New Roman" w:cs="Times New Roman"/>
                <w:sz w:val="20"/>
                <w:szCs w:val="20"/>
              </w:rPr>
            </w:pPr>
          </w:p>
          <w:p w14:paraId="36EEE750" w14:textId="643C48B8" w:rsidR="0086760B" w:rsidRPr="0086760B" w:rsidRDefault="0086760B" w:rsidP="0086760B">
            <w:pPr>
              <w:pStyle w:val="ListParagraph"/>
              <w:rPr>
                <w:rFonts w:ascii="Times New Roman" w:hAnsi="Times New Roman" w:cs="Times New Roman"/>
                <w:sz w:val="20"/>
                <w:szCs w:val="20"/>
              </w:rPr>
            </w:pPr>
          </w:p>
        </w:tc>
      </w:tr>
      <w:tr w:rsidR="0086760B" w:rsidRPr="0086760B" w14:paraId="6366BEB2" w14:textId="77777777" w:rsidTr="0086760B">
        <w:trPr>
          <w:trHeight w:val="980"/>
        </w:trPr>
        <w:tc>
          <w:tcPr>
            <w:tcW w:w="1586" w:type="dxa"/>
            <w:shd w:val="clear" w:color="auto" w:fill="808080" w:themeFill="background1" w:themeFillShade="80"/>
            <w:hideMark/>
          </w:tcPr>
          <w:p w14:paraId="668AF472"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7BD0B8A4"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114855C1"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1F0E8F6D"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0CA118ED"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1B45E4C9"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3098E663" w14:textId="77777777" w:rsidTr="007E7DB0">
        <w:trPr>
          <w:trHeight w:val="1770"/>
        </w:trPr>
        <w:tc>
          <w:tcPr>
            <w:tcW w:w="1586" w:type="dxa"/>
            <w:hideMark/>
          </w:tcPr>
          <w:p w14:paraId="7BA208E9"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McKinley et al, 2018</w:t>
            </w:r>
          </w:p>
        </w:tc>
        <w:tc>
          <w:tcPr>
            <w:tcW w:w="2009" w:type="dxa"/>
            <w:hideMark/>
          </w:tcPr>
          <w:p w14:paraId="123CC031" w14:textId="05E05536"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K nearest neighbor; randomized</w:t>
            </w:r>
            <w:r w:rsidRPr="0086760B">
              <w:rPr>
                <w:rFonts w:ascii="Times New Roman" w:hAnsi="Times New Roman" w:cs="Times New Roman"/>
                <w:sz w:val="20"/>
                <w:szCs w:val="20"/>
              </w:rPr>
              <w:br/>
              <w:t>K-nearest neighbor (</w:t>
            </w:r>
            <w:proofErr w:type="spellStart"/>
            <w:r w:rsidRPr="0086760B">
              <w:rPr>
                <w:rFonts w:ascii="Times New Roman" w:hAnsi="Times New Roman" w:cs="Times New Roman"/>
                <w:sz w:val="20"/>
                <w:szCs w:val="20"/>
              </w:rPr>
              <w:t>rKNN</w:t>
            </w:r>
            <w:proofErr w:type="spellEnd"/>
            <w:r w:rsidRPr="0086760B">
              <w:rPr>
                <w:rFonts w:ascii="Times New Roman" w:hAnsi="Times New Roman" w:cs="Times New Roman"/>
                <w:sz w:val="20"/>
                <w:szCs w:val="20"/>
              </w:rPr>
              <w:t>), support vector</w:t>
            </w:r>
            <w:r w:rsidRPr="0086760B">
              <w:rPr>
                <w:rFonts w:ascii="Times New Roman" w:hAnsi="Times New Roman" w:cs="Times New Roman"/>
                <w:sz w:val="20"/>
                <w:szCs w:val="20"/>
              </w:rPr>
              <w:br/>
              <w:t xml:space="preserve">machine (SVM), random forest, </w:t>
            </w:r>
            <w:r w:rsidRPr="0086760B">
              <w:rPr>
                <w:rFonts w:ascii="Times New Roman" w:hAnsi="Times New Roman" w:cs="Times New Roman"/>
                <w:sz w:val="20"/>
                <w:szCs w:val="20"/>
              </w:rPr>
              <w:br/>
              <w:t>gradient boosting machine (GBM), and Lasso regression</w:t>
            </w:r>
          </w:p>
        </w:tc>
        <w:tc>
          <w:tcPr>
            <w:tcW w:w="2160" w:type="dxa"/>
            <w:hideMark/>
          </w:tcPr>
          <w:p w14:paraId="3FA5E0DB" w14:textId="6C4A9FC6"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6 different ML algorithms-based models containing 29 variables (demographic, social and clinical) were trained on the propensity score matched data combining the control and intervention groups. </w:t>
            </w:r>
          </w:p>
        </w:tc>
        <w:tc>
          <w:tcPr>
            <w:tcW w:w="1710" w:type="dxa"/>
            <w:hideMark/>
          </w:tcPr>
          <w:p w14:paraId="59B00F38"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 split (66.7%/33.3%); 10-fold cross-validation</w:t>
            </w:r>
          </w:p>
        </w:tc>
        <w:tc>
          <w:tcPr>
            <w:tcW w:w="3325" w:type="dxa"/>
            <w:hideMark/>
          </w:tcPr>
          <w:p w14:paraId="5244B321" w14:textId="1156A8DD"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 KNN (combined group) = 0.768, KNN (balanced group) = 0.70; b. </w:t>
            </w:r>
            <w:proofErr w:type="spellStart"/>
            <w:r w:rsidRPr="0086760B">
              <w:rPr>
                <w:rFonts w:ascii="Times New Roman" w:hAnsi="Times New Roman" w:cs="Times New Roman"/>
                <w:sz w:val="20"/>
                <w:szCs w:val="20"/>
              </w:rPr>
              <w:t>rKNN</w:t>
            </w:r>
            <w:proofErr w:type="spellEnd"/>
            <w:r w:rsidRPr="0086760B">
              <w:rPr>
                <w:rFonts w:ascii="Times New Roman" w:hAnsi="Times New Roman" w:cs="Times New Roman"/>
                <w:sz w:val="20"/>
                <w:szCs w:val="20"/>
              </w:rPr>
              <w:t xml:space="preserve"> (combined group) = 0.469,  c. SVM=0.496; d. random forest=0.616; e. GBM=0.589; f. LASSO=0.576</w:t>
            </w:r>
          </w:p>
        </w:tc>
      </w:tr>
      <w:tr w:rsidR="00F33B3A" w:rsidRPr="0086760B" w14:paraId="10F067AC" w14:textId="77777777" w:rsidTr="007E7DB0">
        <w:trPr>
          <w:trHeight w:val="1550"/>
        </w:trPr>
        <w:tc>
          <w:tcPr>
            <w:tcW w:w="1586" w:type="dxa"/>
            <w:hideMark/>
          </w:tcPr>
          <w:p w14:paraId="74CB1EEE"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Kulkarni et al, 2016</w:t>
            </w:r>
          </w:p>
        </w:tc>
        <w:tc>
          <w:tcPr>
            <w:tcW w:w="2009" w:type="dxa"/>
            <w:hideMark/>
          </w:tcPr>
          <w:p w14:paraId="2F6E8ECB"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NN, DT</w:t>
            </w:r>
          </w:p>
        </w:tc>
        <w:tc>
          <w:tcPr>
            <w:tcW w:w="2160" w:type="dxa"/>
            <w:hideMark/>
          </w:tcPr>
          <w:p w14:paraId="3F68BED0" w14:textId="7489FAFF"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2 different ML algorithm based models applying data of all patient cohorts, and each containing admission </w:t>
            </w:r>
            <w:proofErr w:type="gramStart"/>
            <w:r w:rsidRPr="0086760B">
              <w:rPr>
                <w:rFonts w:ascii="Times New Roman" w:hAnsi="Times New Roman" w:cs="Times New Roman"/>
                <w:sz w:val="20"/>
                <w:szCs w:val="20"/>
              </w:rPr>
              <w:t>Model(</w:t>
            </w:r>
            <w:proofErr w:type="gramEnd"/>
            <w:r w:rsidRPr="0086760B">
              <w:rPr>
                <w:rFonts w:ascii="Times New Roman" w:hAnsi="Times New Roman" w:cs="Times New Roman"/>
                <w:sz w:val="20"/>
                <w:szCs w:val="20"/>
              </w:rPr>
              <w:t>AM)and discharge model (DM), with AM containing 6 variables, DM containing 8 variables.</w:t>
            </w:r>
          </w:p>
        </w:tc>
        <w:tc>
          <w:tcPr>
            <w:tcW w:w="1710" w:type="dxa"/>
            <w:hideMark/>
          </w:tcPr>
          <w:p w14:paraId="306D0CD4" w14:textId="0A31A9D9"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training/validation split (75%/25%)</w:t>
            </w:r>
          </w:p>
        </w:tc>
        <w:tc>
          <w:tcPr>
            <w:tcW w:w="3325" w:type="dxa"/>
            <w:hideMark/>
          </w:tcPr>
          <w:p w14:paraId="6291DDA1" w14:textId="2E4DAA46"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NN(AM)=0.78, NN(DM)=0.79; b. DT(AM)=0.72, DT(DM)=0.77</w:t>
            </w:r>
          </w:p>
        </w:tc>
      </w:tr>
      <w:tr w:rsidR="00F33B3A" w:rsidRPr="0086760B" w14:paraId="298A86C5" w14:textId="77777777" w:rsidTr="007E7DB0">
        <w:trPr>
          <w:trHeight w:val="2510"/>
        </w:trPr>
        <w:tc>
          <w:tcPr>
            <w:tcW w:w="1586" w:type="dxa"/>
            <w:hideMark/>
          </w:tcPr>
          <w:p w14:paraId="71C5E07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Goyal et al, 2019</w:t>
            </w:r>
          </w:p>
        </w:tc>
        <w:tc>
          <w:tcPr>
            <w:tcW w:w="2009" w:type="dxa"/>
            <w:hideMark/>
          </w:tcPr>
          <w:p w14:paraId="4F410ACC" w14:textId="39B6AB66"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ANNs, RF, gradient boosting machines (GBMs), naïve Bayes, penalized</w:t>
            </w:r>
            <w:r w:rsidRPr="0086760B">
              <w:rPr>
                <w:rFonts w:ascii="Times New Roman" w:hAnsi="Times New Roman" w:cs="Times New Roman"/>
                <w:sz w:val="20"/>
                <w:szCs w:val="20"/>
              </w:rPr>
              <w:br/>
              <w:t>linear discriminant analysis, elastic-net GLM</w:t>
            </w:r>
          </w:p>
        </w:tc>
        <w:tc>
          <w:tcPr>
            <w:tcW w:w="2160" w:type="dxa"/>
            <w:hideMark/>
          </w:tcPr>
          <w:p w14:paraId="0D481EBC" w14:textId="62610866"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6 different ML algorithm based models containing 27 variables (patient characteristics (age, race, sex, BMI), behavioral (smoking), medical history (diabetes, HTN, COPD, bleeding disorder, dyspnea), prior medication use (chronic corticosteroid use)) using </w:t>
            </w:r>
            <w:proofErr w:type="spellStart"/>
            <w:r w:rsidRPr="0086760B">
              <w:rPr>
                <w:rFonts w:ascii="Times New Roman" w:hAnsi="Times New Roman" w:cs="Times New Roman"/>
                <w:sz w:val="20"/>
                <w:szCs w:val="20"/>
              </w:rPr>
              <w:t>fter</w:t>
            </w:r>
            <w:proofErr w:type="spellEnd"/>
            <w:r w:rsidRPr="0086760B">
              <w:rPr>
                <w:rFonts w:ascii="Times New Roman" w:hAnsi="Times New Roman" w:cs="Times New Roman"/>
                <w:sz w:val="20"/>
                <w:szCs w:val="20"/>
              </w:rPr>
              <w:t xml:space="preserve"> discharge using retrospective analysis.</w:t>
            </w:r>
          </w:p>
        </w:tc>
        <w:tc>
          <w:tcPr>
            <w:tcW w:w="1710" w:type="dxa"/>
            <w:hideMark/>
          </w:tcPr>
          <w:p w14:paraId="22CFD7FB"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10-fold cross-validation</w:t>
            </w:r>
          </w:p>
        </w:tc>
        <w:tc>
          <w:tcPr>
            <w:tcW w:w="3325" w:type="dxa"/>
            <w:hideMark/>
          </w:tcPr>
          <w:p w14:paraId="1A9D8F2E" w14:textId="7AFDBFB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 ANN=0.63; b. RF=0.64; c. GBM=0.66; d. </w:t>
            </w:r>
            <w:proofErr w:type="spellStart"/>
            <w:r w:rsidRPr="0086760B">
              <w:rPr>
                <w:rFonts w:ascii="Times New Roman" w:hAnsi="Times New Roman" w:cs="Times New Roman"/>
                <w:sz w:val="20"/>
                <w:szCs w:val="20"/>
              </w:rPr>
              <w:t>VarBayes</w:t>
            </w:r>
            <w:proofErr w:type="spellEnd"/>
            <w:r w:rsidRPr="0086760B">
              <w:rPr>
                <w:rFonts w:ascii="Times New Roman" w:hAnsi="Times New Roman" w:cs="Times New Roman"/>
                <w:sz w:val="20"/>
                <w:szCs w:val="20"/>
              </w:rPr>
              <w:t xml:space="preserve">=0.66; </w:t>
            </w:r>
            <w:proofErr w:type="spellStart"/>
            <w:r w:rsidRPr="0086760B">
              <w:rPr>
                <w:rFonts w:ascii="Times New Roman" w:hAnsi="Times New Roman" w:cs="Times New Roman"/>
                <w:sz w:val="20"/>
                <w:szCs w:val="20"/>
              </w:rPr>
              <w:t>e.pLDA</w:t>
            </w:r>
            <w:proofErr w:type="spellEnd"/>
            <w:r w:rsidRPr="0086760B">
              <w:rPr>
                <w:rFonts w:ascii="Times New Roman" w:hAnsi="Times New Roman" w:cs="Times New Roman"/>
                <w:sz w:val="20"/>
                <w:szCs w:val="20"/>
              </w:rPr>
              <w:t xml:space="preserve">=0.66; f. </w:t>
            </w:r>
            <w:proofErr w:type="spellStart"/>
            <w:r w:rsidRPr="0086760B">
              <w:rPr>
                <w:rFonts w:ascii="Times New Roman" w:hAnsi="Times New Roman" w:cs="Times New Roman"/>
                <w:sz w:val="20"/>
                <w:szCs w:val="20"/>
              </w:rPr>
              <w:t>GLMnet</w:t>
            </w:r>
            <w:proofErr w:type="spellEnd"/>
            <w:r w:rsidRPr="0086760B">
              <w:rPr>
                <w:rFonts w:ascii="Times New Roman" w:hAnsi="Times New Roman" w:cs="Times New Roman"/>
                <w:sz w:val="20"/>
                <w:szCs w:val="20"/>
              </w:rPr>
              <w:t>=0.66</w:t>
            </w:r>
          </w:p>
        </w:tc>
      </w:tr>
      <w:tr w:rsidR="00F33B3A" w:rsidRPr="0086760B" w14:paraId="7D9956D1" w14:textId="77777777" w:rsidTr="007E7DB0">
        <w:trPr>
          <w:trHeight w:val="3960"/>
        </w:trPr>
        <w:tc>
          <w:tcPr>
            <w:tcW w:w="1586" w:type="dxa"/>
            <w:hideMark/>
          </w:tcPr>
          <w:p w14:paraId="4260E9BD"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Garcia-Acre et al, 2018</w:t>
            </w:r>
          </w:p>
        </w:tc>
        <w:tc>
          <w:tcPr>
            <w:tcW w:w="2009" w:type="dxa"/>
            <w:hideMark/>
          </w:tcPr>
          <w:p w14:paraId="1AF3DE0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NNs; RF; GBM; SVM</w:t>
            </w:r>
          </w:p>
        </w:tc>
        <w:tc>
          <w:tcPr>
            <w:tcW w:w="2160" w:type="dxa"/>
            <w:hideMark/>
          </w:tcPr>
          <w:p w14:paraId="1898F794" w14:textId="23EBF7C1"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4  different ML algorithm containing 17 variables(age, LoS, admission type, behavioral health comorbidity index, marital status, discharge disposition, payer, race, sex, disease severity index and etc..) applied to 5 different patient cohorts (with AMI, pneumonia, COPD, CHF, type 2 diabetes) after discharge using retrospective analysis.</w:t>
            </w:r>
          </w:p>
        </w:tc>
        <w:tc>
          <w:tcPr>
            <w:tcW w:w="1710" w:type="dxa"/>
            <w:hideMark/>
          </w:tcPr>
          <w:p w14:paraId="3F5E9E1D" w14:textId="54EBF50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split (66.7%/33.3%); 10-fold cross-validation</w:t>
            </w:r>
          </w:p>
        </w:tc>
        <w:tc>
          <w:tcPr>
            <w:tcW w:w="3325" w:type="dxa"/>
            <w:hideMark/>
          </w:tcPr>
          <w:p w14:paraId="2BE4A4F7" w14:textId="57576D52"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NN(AMI=0.7518, NN(pneumonia)=0.6546, NN(COPD)=0.6988, NN(CHF)=0.6248,NN(diabetes)=0.6957; b. RF(AMI)=0.747,RF(pneumonia)=0.6325, RF(COPD)=0.6886, RF(CHF)=0.6,RF(diabetes)=0.6699829; c. GBM(AMI)=0.7510, GBM(pneumonia)=0.6442, GBM(COPD)=0.6850, GBM(CHF)=0.6314,GBM(diabetes)=0.6829; d. SVM(AMI)=0.7074, SVM(pneumonia)=0.5598, SVM(COPD)=0.611, SVM(CHF)=0.5728,SVM(diabetes)=0.6123;</w:t>
            </w:r>
          </w:p>
        </w:tc>
      </w:tr>
      <w:tr w:rsidR="0086760B" w:rsidRPr="0086760B" w14:paraId="5A089E8C" w14:textId="77777777" w:rsidTr="0086760B">
        <w:trPr>
          <w:trHeight w:val="980"/>
        </w:trPr>
        <w:tc>
          <w:tcPr>
            <w:tcW w:w="1586" w:type="dxa"/>
            <w:shd w:val="clear" w:color="auto" w:fill="808080" w:themeFill="background1" w:themeFillShade="80"/>
            <w:hideMark/>
          </w:tcPr>
          <w:p w14:paraId="23CD1BF4"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0EB62DA5"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7E01C9C9"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25A722BA"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17EBF30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51D7ACAF"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5AECEFEF" w14:textId="77777777" w:rsidTr="007E7DB0">
        <w:trPr>
          <w:trHeight w:val="3280"/>
        </w:trPr>
        <w:tc>
          <w:tcPr>
            <w:tcW w:w="1586" w:type="dxa"/>
            <w:hideMark/>
          </w:tcPr>
          <w:p w14:paraId="7EA48DE0"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Mortazavi et al, 2016</w:t>
            </w:r>
          </w:p>
        </w:tc>
        <w:tc>
          <w:tcPr>
            <w:tcW w:w="2009" w:type="dxa"/>
            <w:hideMark/>
          </w:tcPr>
          <w:p w14:paraId="09E3D79E" w14:textId="547BC4DF"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Random forests (RF), Boosting, RF combined hierarchically with Support Vector Machines (SVM), </w:t>
            </w:r>
          </w:p>
        </w:tc>
        <w:tc>
          <w:tcPr>
            <w:tcW w:w="2160" w:type="dxa"/>
            <w:hideMark/>
          </w:tcPr>
          <w:p w14:paraId="04D38B03" w14:textId="59F7BEF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3 different ML algorithms-based models containing 236 variables (medical record abstractions, hospital laboratory results, physical examination information as well as quality of life, socioeconomic, and demographic information) after discharge using retrospective analysis and each containing 3 submodels with different prediction outcomes.</w:t>
            </w:r>
          </w:p>
        </w:tc>
        <w:tc>
          <w:tcPr>
            <w:tcW w:w="1710" w:type="dxa"/>
            <w:hideMark/>
          </w:tcPr>
          <w:p w14:paraId="4288B7EC"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100 repeated random training/test split (50%/50%)</w:t>
            </w:r>
          </w:p>
        </w:tc>
        <w:tc>
          <w:tcPr>
            <w:tcW w:w="3325" w:type="dxa"/>
            <w:hideMark/>
          </w:tcPr>
          <w:p w14:paraId="1204BDAA" w14:textId="254D80C5"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RF(30 day readmission)0.628 (0.624, 0.633), RF(180 day readmission)=0.654 (0.650, 0.657) , RF(HF only readmission)=0.669 (0.661, 0.676); b. Boosting(30 day readmission)= 0.613 (0.607, 0.618), boosting (180 day readmission)=, boosting (HF only readmission)=0.678 (0.670, 0.687). c. RF combined SVM (30 day readmission) = 0.583 (0.579, 0.587), RF combined SVM (180 day readmission) =0.654 (0.650, 0.657), RF combined SVM(HF only readmission)=0.657 (0.652, 0.661)</w:t>
            </w:r>
          </w:p>
        </w:tc>
      </w:tr>
      <w:tr w:rsidR="00F33B3A" w:rsidRPr="0086760B" w14:paraId="0103E8D4" w14:textId="77777777" w:rsidTr="007E7DB0">
        <w:trPr>
          <w:trHeight w:val="1820"/>
        </w:trPr>
        <w:tc>
          <w:tcPr>
            <w:tcW w:w="1586" w:type="dxa"/>
            <w:hideMark/>
          </w:tcPr>
          <w:p w14:paraId="4EBD811C"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Frizzell et al, 2017</w:t>
            </w:r>
          </w:p>
        </w:tc>
        <w:tc>
          <w:tcPr>
            <w:tcW w:w="2009" w:type="dxa"/>
            <w:hideMark/>
          </w:tcPr>
          <w:p w14:paraId="570EEE7B" w14:textId="4C1FDBE8"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Tree augmented naïve Bayesian network, RF, GBM, LASSO</w:t>
            </w:r>
          </w:p>
        </w:tc>
        <w:tc>
          <w:tcPr>
            <w:tcW w:w="2160" w:type="dxa"/>
            <w:hideMark/>
          </w:tcPr>
          <w:p w14:paraId="72DFC051" w14:textId="67751B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4 different ML algorithms-based models containing 93 candidate variables (demographics, SES, medical history, characterization of HF, admission and discharge medications, vitals, weights, selected lab and discharge interventions) after discharge</w:t>
            </w:r>
          </w:p>
        </w:tc>
        <w:tc>
          <w:tcPr>
            <w:tcW w:w="1710" w:type="dxa"/>
            <w:hideMark/>
          </w:tcPr>
          <w:p w14:paraId="0CE1E940"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 split (70%/30%)</w:t>
            </w:r>
          </w:p>
        </w:tc>
        <w:tc>
          <w:tcPr>
            <w:tcW w:w="3325" w:type="dxa"/>
            <w:hideMark/>
          </w:tcPr>
          <w:p w14:paraId="51BDFF9C" w14:textId="3C64E10D"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tree-augmented naïve Bayesian network=0.618; b. RF=0.607; c. GBM=0.614; d. LASSO logit= 0.618</w:t>
            </w:r>
          </w:p>
        </w:tc>
      </w:tr>
      <w:tr w:rsidR="00F33B3A" w:rsidRPr="0086760B" w14:paraId="6CDFBD6E" w14:textId="77777777" w:rsidTr="007E7DB0">
        <w:trPr>
          <w:trHeight w:val="3370"/>
        </w:trPr>
        <w:tc>
          <w:tcPr>
            <w:tcW w:w="1586" w:type="dxa"/>
            <w:hideMark/>
          </w:tcPr>
          <w:p w14:paraId="0E07C8BD"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Eckert et al, 2018</w:t>
            </w:r>
          </w:p>
        </w:tc>
        <w:tc>
          <w:tcPr>
            <w:tcW w:w="2009" w:type="dxa"/>
            <w:hideMark/>
          </w:tcPr>
          <w:p w14:paraId="5BACA538" w14:textId="58A003BE"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DT; AdaBoost; RF</w:t>
            </w:r>
          </w:p>
        </w:tc>
        <w:tc>
          <w:tcPr>
            <w:tcW w:w="2160" w:type="dxa"/>
            <w:hideMark/>
          </w:tcPr>
          <w:p w14:paraId="094B4148" w14:textId="2330D946"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3 different ML algorithms based models containing 54 variables (patient comorbidities, health care utilization elements, and pharmaceutical details, vital signs, and lab values) applying on the retrospective cohort after discharge; and another 3 revised models containing additional features (CCI, military rank, prior and current medication use) applying pediatric patients (aged &lt;18) and among adults (aged &gt;=18) </w:t>
            </w:r>
          </w:p>
        </w:tc>
        <w:tc>
          <w:tcPr>
            <w:tcW w:w="1710" w:type="dxa"/>
            <w:hideMark/>
          </w:tcPr>
          <w:p w14:paraId="2714208E"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retrospective training (01/2014-01/2016)/prospective testing (06/2017-08/2017)/retrospective testing (01/2014-06/2017); 10-fold cross-validation</w:t>
            </w:r>
          </w:p>
        </w:tc>
        <w:tc>
          <w:tcPr>
            <w:tcW w:w="3325" w:type="dxa"/>
            <w:hideMark/>
          </w:tcPr>
          <w:p w14:paraId="62F48CCF"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AUC: a. AdaBoost (retrospective analyses) =0.68, AdaBoost (prospective validation) = 0.64, AdaBoost (retrospective revised model) = 0.76; b. DT (retrospective analyses) = 0.60; c. RF (retrospective analyses) = 0.65;  </w:t>
            </w:r>
          </w:p>
          <w:p w14:paraId="3306A28F"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Precision:</w:t>
            </w:r>
          </w:p>
          <w:p w14:paraId="5EB08E4E" w14:textId="504C0529"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 AdaBoost (retrospective analyses) = 0.18, AdaBoost (prospective validation) = 0.15, AdaBoost (retrospective revised model) = 0.23; b. DT (retrospective analyses) = 0.21; c. RF (retrospective analyses) = 0.20;  </w:t>
            </w:r>
          </w:p>
          <w:p w14:paraId="0FEB5072" w14:textId="11FC97E2"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Recall: a. AdaBoost (retrospective analyses) = 0.73, AdaBoost (prospective validation) = 0.66, AdaBoost (retrospective revised model) = 0.76; b. DT (retrospective analyses) = 0.65; c. RF (retrospective analyses) =0.71;  </w:t>
            </w:r>
          </w:p>
          <w:p w14:paraId="4A31A04E" w14:textId="29DC9FCD" w:rsidR="00F33B3A" w:rsidRPr="0086760B" w:rsidRDefault="00F33B3A" w:rsidP="00F33B3A">
            <w:pPr>
              <w:rPr>
                <w:rFonts w:ascii="Times New Roman" w:hAnsi="Times New Roman" w:cs="Times New Roman"/>
                <w:sz w:val="20"/>
                <w:szCs w:val="20"/>
              </w:rPr>
            </w:pPr>
          </w:p>
        </w:tc>
      </w:tr>
      <w:tr w:rsidR="0086760B" w:rsidRPr="0086760B" w14:paraId="1ECCE5DD" w14:textId="77777777" w:rsidTr="0086760B">
        <w:trPr>
          <w:trHeight w:val="980"/>
        </w:trPr>
        <w:tc>
          <w:tcPr>
            <w:tcW w:w="1586" w:type="dxa"/>
            <w:shd w:val="clear" w:color="auto" w:fill="808080" w:themeFill="background1" w:themeFillShade="80"/>
            <w:hideMark/>
          </w:tcPr>
          <w:p w14:paraId="16D62389"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301DF41F"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082B0954"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76119A9A"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1C6503E7"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6A53756E"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4052C97C" w14:textId="77777777" w:rsidTr="007E7DB0">
        <w:trPr>
          <w:trHeight w:val="1180"/>
        </w:trPr>
        <w:tc>
          <w:tcPr>
            <w:tcW w:w="1586" w:type="dxa"/>
            <w:hideMark/>
          </w:tcPr>
          <w:p w14:paraId="5E7310C8"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Lodhi et al, 2017</w:t>
            </w:r>
          </w:p>
        </w:tc>
        <w:tc>
          <w:tcPr>
            <w:tcW w:w="2009" w:type="dxa"/>
            <w:hideMark/>
          </w:tcPr>
          <w:p w14:paraId="7F57B12D"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DT; Naïve-Bayes; KNN; SVM</w:t>
            </w:r>
          </w:p>
        </w:tc>
        <w:tc>
          <w:tcPr>
            <w:tcW w:w="2160" w:type="dxa"/>
            <w:hideMark/>
          </w:tcPr>
          <w:p w14:paraId="62351A75" w14:textId="0DDFB1FD"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4 different ML algorithms-based models containing x variables (patient, nurse staff variables, diagnoses, interventions) at the time of discharge.</w:t>
            </w:r>
          </w:p>
        </w:tc>
        <w:tc>
          <w:tcPr>
            <w:tcW w:w="1710" w:type="dxa"/>
            <w:hideMark/>
          </w:tcPr>
          <w:p w14:paraId="2A44F84F"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10-fold cross-validation</w:t>
            </w:r>
          </w:p>
        </w:tc>
        <w:tc>
          <w:tcPr>
            <w:tcW w:w="3325" w:type="dxa"/>
            <w:hideMark/>
          </w:tcPr>
          <w:p w14:paraId="7F9DE400" w14:textId="3B238213"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AUC: a. DT=0.78; b. NB=0.71; c. KNN(K=2) =0.62, KNN(K=5) = 0.69, KNN(K=10):0.67; d. SVM=0.65;</w:t>
            </w:r>
          </w:p>
          <w:p w14:paraId="5FA6E093" w14:textId="54AA298B"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Precision:</w:t>
            </w:r>
          </w:p>
          <w:p w14:paraId="1F0899EE" w14:textId="6E0BFC91"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DT=0.725; b. NB=0.674; c. KNN(K=2) =0.608, KNN(K=5) = 0.605, KNN(K=10)=0.591; d. SVM=0.591;</w:t>
            </w:r>
          </w:p>
          <w:p w14:paraId="3E90DE20" w14:textId="4887DCE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Recall:</w:t>
            </w:r>
          </w:p>
          <w:p w14:paraId="1F315D83" w14:textId="6023C56F"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DT=0.774; b. NB=0.727; c. KNN(K=2) =0.841, KNN(K=5) = 0.851, KNN(K=10)=0.823; d. SVM=0.807;</w:t>
            </w:r>
          </w:p>
          <w:p w14:paraId="575A0FB6" w14:textId="5B2C1C95"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F-1 Score:</w:t>
            </w:r>
          </w:p>
          <w:p w14:paraId="1C208882" w14:textId="7A33466C"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DT=0.75; b. NB=0.70; c. KNN(K=2) =0.71, KNN(K=5) = 0.71, KNN(K=10)=0.69; d. SVM=0.68;</w:t>
            </w:r>
          </w:p>
          <w:p w14:paraId="32F6C791" w14:textId="18C1D8CD" w:rsidR="00F33B3A" w:rsidRPr="0086760B" w:rsidRDefault="00F33B3A" w:rsidP="00F33B3A">
            <w:pPr>
              <w:rPr>
                <w:rFonts w:ascii="Times New Roman" w:hAnsi="Times New Roman" w:cs="Times New Roman"/>
                <w:sz w:val="20"/>
                <w:szCs w:val="20"/>
              </w:rPr>
            </w:pPr>
          </w:p>
        </w:tc>
      </w:tr>
      <w:tr w:rsidR="00F33B3A" w:rsidRPr="0086760B" w14:paraId="3F484EAC" w14:textId="77777777" w:rsidTr="007E7DB0">
        <w:trPr>
          <w:trHeight w:val="2090"/>
        </w:trPr>
        <w:tc>
          <w:tcPr>
            <w:tcW w:w="1586" w:type="dxa"/>
            <w:hideMark/>
          </w:tcPr>
          <w:p w14:paraId="430882A6"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Jamei</w:t>
            </w:r>
            <w:proofErr w:type="spellEnd"/>
            <w:r w:rsidRPr="0086760B">
              <w:rPr>
                <w:rFonts w:ascii="Times New Roman" w:hAnsi="Times New Roman" w:cs="Times New Roman"/>
                <w:sz w:val="20"/>
                <w:szCs w:val="20"/>
              </w:rPr>
              <w:t xml:space="preserve"> et al, 2017</w:t>
            </w:r>
          </w:p>
        </w:tc>
        <w:tc>
          <w:tcPr>
            <w:tcW w:w="2009" w:type="dxa"/>
            <w:hideMark/>
          </w:tcPr>
          <w:p w14:paraId="3888E3A9" w14:textId="605F3FA3"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ANN, Random forests, and Neural networks</w:t>
            </w:r>
          </w:p>
        </w:tc>
        <w:tc>
          <w:tcPr>
            <w:tcW w:w="2160" w:type="dxa"/>
            <w:hideMark/>
          </w:tcPr>
          <w:p w14:paraId="76929D90" w14:textId="60F0AB63"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several different ML based models containing 1667 features using real-time EHR during inpatient stays or at time of discharge and then the model was retained with only top N features retained; and then NN models and LACE models were built across specific age group, hospitals and medical conditions</w:t>
            </w:r>
          </w:p>
        </w:tc>
        <w:tc>
          <w:tcPr>
            <w:tcW w:w="1710" w:type="dxa"/>
            <w:hideMark/>
          </w:tcPr>
          <w:p w14:paraId="71B38EFA"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5-fold cross-validation</w:t>
            </w:r>
          </w:p>
        </w:tc>
        <w:tc>
          <w:tcPr>
            <w:tcW w:w="3325" w:type="dxa"/>
            <w:hideMark/>
          </w:tcPr>
          <w:p w14:paraId="7B18480D"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AUC: </w:t>
            </w:r>
          </w:p>
          <w:p w14:paraId="71A354C6" w14:textId="7C1A4C8B"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2-layer NN (1667 features) =0.78, 2 layer NN (500 features) =0.77, 2 layer NN (features)=0.76; b. RF=0.77;</w:t>
            </w:r>
          </w:p>
          <w:p w14:paraId="4C675585"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Precision: </w:t>
            </w:r>
          </w:p>
          <w:p w14:paraId="1FCB6414" w14:textId="06C5528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2-layer NN (1667 features) =0.24, 2 layer NN (500 features) =0.22, 2 layer NN (100 features)=0.22; b. RF=0.23;</w:t>
            </w:r>
          </w:p>
          <w:p w14:paraId="2EF8066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Recall:</w:t>
            </w:r>
          </w:p>
          <w:p w14:paraId="07B61C60" w14:textId="5095F524"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2-layer NN (1667 features) =0.60, 2 layer NN (500 features) =0.61, 2 layer NN (features)=0.58; b. RF=0.57;</w:t>
            </w:r>
          </w:p>
          <w:p w14:paraId="1080FBCB" w14:textId="1D931778" w:rsidR="00F33B3A" w:rsidRPr="0086760B" w:rsidRDefault="00F33B3A" w:rsidP="00F33B3A">
            <w:pPr>
              <w:rPr>
                <w:rFonts w:ascii="Times New Roman" w:hAnsi="Times New Roman" w:cs="Times New Roman"/>
                <w:sz w:val="20"/>
                <w:szCs w:val="20"/>
              </w:rPr>
            </w:pPr>
          </w:p>
        </w:tc>
      </w:tr>
      <w:tr w:rsidR="00F33B3A" w:rsidRPr="0086760B" w14:paraId="68175085" w14:textId="77777777" w:rsidTr="007E7DB0">
        <w:trPr>
          <w:trHeight w:val="1290"/>
        </w:trPr>
        <w:tc>
          <w:tcPr>
            <w:tcW w:w="1586" w:type="dxa"/>
            <w:hideMark/>
          </w:tcPr>
          <w:p w14:paraId="53FEF19A"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Welchowski</w:t>
            </w:r>
            <w:proofErr w:type="spellEnd"/>
            <w:r w:rsidRPr="0086760B">
              <w:rPr>
                <w:rFonts w:ascii="Times New Roman" w:hAnsi="Times New Roman" w:cs="Times New Roman"/>
                <w:sz w:val="20"/>
                <w:szCs w:val="20"/>
              </w:rPr>
              <w:t xml:space="preserve"> et al, 2016</w:t>
            </w:r>
          </w:p>
        </w:tc>
        <w:tc>
          <w:tcPr>
            <w:tcW w:w="2009" w:type="dxa"/>
            <w:hideMark/>
          </w:tcPr>
          <w:p w14:paraId="768787F8" w14:textId="3E404D0D"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Kernel deep stacking networks; RF, H20 deep learning, </w:t>
            </w:r>
            <w:proofErr w:type="spellStart"/>
            <w:r w:rsidRPr="0086760B">
              <w:rPr>
                <w:rFonts w:ascii="Times New Roman" w:hAnsi="Times New Roman" w:cs="Times New Roman"/>
                <w:sz w:val="20"/>
                <w:szCs w:val="20"/>
              </w:rPr>
              <w:t>darch</w:t>
            </w:r>
            <w:proofErr w:type="spellEnd"/>
            <w:r w:rsidRPr="0086760B">
              <w:rPr>
                <w:rFonts w:ascii="Times New Roman" w:hAnsi="Times New Roman" w:cs="Times New Roman"/>
                <w:sz w:val="20"/>
                <w:szCs w:val="20"/>
              </w:rPr>
              <w:t xml:space="preserve"> algorithms</w:t>
            </w:r>
          </w:p>
        </w:tc>
        <w:tc>
          <w:tcPr>
            <w:tcW w:w="2160" w:type="dxa"/>
            <w:hideMark/>
          </w:tcPr>
          <w:p w14:paraId="11942787" w14:textId="77777777" w:rsidR="00F33B3A"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KDSN model was trained on 31 predictors of 4 domains (demographic, clinical variables, medical features, hospital characteristic, readmission information) </w:t>
            </w:r>
          </w:p>
          <w:p w14:paraId="20BF2BB5" w14:textId="77777777" w:rsidR="0086760B" w:rsidRDefault="0086760B" w:rsidP="00F33B3A">
            <w:pPr>
              <w:rPr>
                <w:rFonts w:ascii="Times New Roman" w:hAnsi="Times New Roman" w:cs="Times New Roman"/>
                <w:sz w:val="20"/>
                <w:szCs w:val="20"/>
              </w:rPr>
            </w:pPr>
          </w:p>
          <w:p w14:paraId="1AAE4DB8" w14:textId="77777777" w:rsidR="0086760B" w:rsidRDefault="0086760B" w:rsidP="00F33B3A">
            <w:pPr>
              <w:rPr>
                <w:rFonts w:ascii="Times New Roman" w:hAnsi="Times New Roman" w:cs="Times New Roman"/>
                <w:sz w:val="20"/>
                <w:szCs w:val="20"/>
              </w:rPr>
            </w:pPr>
          </w:p>
          <w:p w14:paraId="0BB1A866" w14:textId="77777777" w:rsidR="0086760B" w:rsidRDefault="0086760B" w:rsidP="00F33B3A">
            <w:pPr>
              <w:rPr>
                <w:rFonts w:ascii="Times New Roman" w:hAnsi="Times New Roman" w:cs="Times New Roman"/>
                <w:sz w:val="20"/>
                <w:szCs w:val="20"/>
              </w:rPr>
            </w:pPr>
          </w:p>
          <w:p w14:paraId="59600058" w14:textId="77777777" w:rsidR="0086760B" w:rsidRDefault="0086760B" w:rsidP="00F33B3A">
            <w:pPr>
              <w:rPr>
                <w:rFonts w:ascii="Times New Roman" w:hAnsi="Times New Roman" w:cs="Times New Roman"/>
                <w:sz w:val="20"/>
                <w:szCs w:val="20"/>
              </w:rPr>
            </w:pPr>
          </w:p>
          <w:p w14:paraId="7DA2F875" w14:textId="77777777" w:rsidR="0086760B" w:rsidRDefault="0086760B" w:rsidP="00F33B3A">
            <w:pPr>
              <w:rPr>
                <w:rFonts w:ascii="Times New Roman" w:hAnsi="Times New Roman" w:cs="Times New Roman"/>
                <w:sz w:val="20"/>
                <w:szCs w:val="20"/>
              </w:rPr>
            </w:pPr>
          </w:p>
          <w:p w14:paraId="55C60F73" w14:textId="77777777" w:rsidR="0086760B" w:rsidRDefault="0086760B" w:rsidP="00F33B3A">
            <w:pPr>
              <w:rPr>
                <w:rFonts w:ascii="Times New Roman" w:hAnsi="Times New Roman" w:cs="Times New Roman"/>
                <w:sz w:val="20"/>
                <w:szCs w:val="20"/>
              </w:rPr>
            </w:pPr>
          </w:p>
          <w:p w14:paraId="0ABBF229" w14:textId="77777777" w:rsidR="0086760B" w:rsidRDefault="0086760B" w:rsidP="00F33B3A">
            <w:pPr>
              <w:rPr>
                <w:rFonts w:ascii="Times New Roman" w:hAnsi="Times New Roman" w:cs="Times New Roman"/>
                <w:sz w:val="20"/>
                <w:szCs w:val="20"/>
              </w:rPr>
            </w:pPr>
          </w:p>
          <w:p w14:paraId="51F6EB9D" w14:textId="77777777" w:rsidR="0086760B" w:rsidRDefault="0086760B" w:rsidP="00F33B3A">
            <w:pPr>
              <w:rPr>
                <w:rFonts w:ascii="Times New Roman" w:hAnsi="Times New Roman" w:cs="Times New Roman"/>
                <w:sz w:val="20"/>
                <w:szCs w:val="20"/>
              </w:rPr>
            </w:pPr>
          </w:p>
          <w:p w14:paraId="48782BEE" w14:textId="14B72AF0" w:rsidR="0086760B" w:rsidRPr="0086760B" w:rsidRDefault="0086760B" w:rsidP="00F33B3A">
            <w:pPr>
              <w:rPr>
                <w:rFonts w:ascii="Times New Roman" w:hAnsi="Times New Roman" w:cs="Times New Roman"/>
                <w:sz w:val="20"/>
                <w:szCs w:val="20"/>
              </w:rPr>
            </w:pPr>
          </w:p>
        </w:tc>
        <w:tc>
          <w:tcPr>
            <w:tcW w:w="1710" w:type="dxa"/>
            <w:hideMark/>
          </w:tcPr>
          <w:p w14:paraId="453A2699"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10-fold cross-validation</w:t>
            </w:r>
          </w:p>
        </w:tc>
        <w:tc>
          <w:tcPr>
            <w:tcW w:w="3325" w:type="dxa"/>
            <w:hideMark/>
          </w:tcPr>
          <w:p w14:paraId="62E78CF4" w14:textId="7207CE32"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 KDSN= 0.61 (0.59, 0.63); </w:t>
            </w:r>
            <w:proofErr w:type="spellStart"/>
            <w:r w:rsidRPr="0086760B">
              <w:rPr>
                <w:rFonts w:ascii="Times New Roman" w:hAnsi="Times New Roman" w:cs="Times New Roman"/>
                <w:sz w:val="20"/>
                <w:szCs w:val="20"/>
              </w:rPr>
              <w:t>b.RF</w:t>
            </w:r>
            <w:proofErr w:type="spellEnd"/>
            <w:r w:rsidRPr="0086760B">
              <w:rPr>
                <w:rFonts w:ascii="Times New Roman" w:hAnsi="Times New Roman" w:cs="Times New Roman"/>
                <w:sz w:val="20"/>
                <w:szCs w:val="20"/>
              </w:rPr>
              <w:t xml:space="preserve">=0.53 (0.52, 0.55); </w:t>
            </w:r>
            <w:proofErr w:type="spellStart"/>
            <w:r w:rsidRPr="0086760B">
              <w:rPr>
                <w:rFonts w:ascii="Times New Roman" w:hAnsi="Times New Roman" w:cs="Times New Roman"/>
                <w:sz w:val="20"/>
                <w:szCs w:val="20"/>
              </w:rPr>
              <w:t>c.darch</w:t>
            </w:r>
            <w:proofErr w:type="spellEnd"/>
            <w:r w:rsidRPr="0086760B">
              <w:rPr>
                <w:rFonts w:ascii="Times New Roman" w:hAnsi="Times New Roman" w:cs="Times New Roman"/>
                <w:sz w:val="20"/>
                <w:szCs w:val="20"/>
              </w:rPr>
              <w:t>=0.59(0.58, 0.61); d.H2O= 0.57 (0.56, 0.59).</w:t>
            </w:r>
          </w:p>
        </w:tc>
      </w:tr>
      <w:tr w:rsidR="0086760B" w:rsidRPr="0086760B" w14:paraId="41699F9C" w14:textId="77777777" w:rsidTr="0086760B">
        <w:trPr>
          <w:trHeight w:val="980"/>
        </w:trPr>
        <w:tc>
          <w:tcPr>
            <w:tcW w:w="1586" w:type="dxa"/>
            <w:shd w:val="clear" w:color="auto" w:fill="808080" w:themeFill="background1" w:themeFillShade="80"/>
            <w:hideMark/>
          </w:tcPr>
          <w:p w14:paraId="2FFEA4FA"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570BE7A8"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7EC2F3E4"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18136632"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3B444316"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44CE824D"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2AAD42BD" w14:textId="77777777" w:rsidTr="00B34D7C">
        <w:trPr>
          <w:trHeight w:val="3248"/>
        </w:trPr>
        <w:tc>
          <w:tcPr>
            <w:tcW w:w="1586" w:type="dxa"/>
            <w:hideMark/>
          </w:tcPr>
          <w:p w14:paraId="6178DD0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Wang et al. 2018</w:t>
            </w:r>
          </w:p>
        </w:tc>
        <w:tc>
          <w:tcPr>
            <w:tcW w:w="2009" w:type="dxa"/>
            <w:hideMark/>
          </w:tcPr>
          <w:p w14:paraId="74C41FCB" w14:textId="004F0BA8"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Convolutional neural networks; Support Vector Machine (SVM), DT, RF, ANN</w:t>
            </w:r>
          </w:p>
        </w:tc>
        <w:tc>
          <w:tcPr>
            <w:tcW w:w="2160" w:type="dxa"/>
            <w:hideMark/>
          </w:tcPr>
          <w:p w14:paraId="2304AF2D"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CNN with cost sensitive (CSDNN) was developed separately based on 34 variables (demographics, vital signs, lab values) from GHW s data, and 76 variables (pre-operation and intra-operation vital signs) from ORP data. </w:t>
            </w:r>
          </w:p>
        </w:tc>
        <w:tc>
          <w:tcPr>
            <w:tcW w:w="1710" w:type="dxa"/>
            <w:hideMark/>
          </w:tcPr>
          <w:p w14:paraId="05C111B7" w14:textId="029F0588"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training/validation/test split: 60%/15%/25%</w:t>
            </w:r>
          </w:p>
        </w:tc>
        <w:tc>
          <w:tcPr>
            <w:tcW w:w="3325" w:type="dxa"/>
            <w:hideMark/>
          </w:tcPr>
          <w:p w14:paraId="29A7045C"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AUC: a. CSDNN(30-d readmission on GHWs)=0.70, CSDNN(60-d readmission on GHWs)=0.71, CSDNN(1 year readmission on ORP)= 0.76, CSDNN(30-d readmission on ORP)=0.73; b. SVM(30-d readmission on GHWs)=0.53, SVM(60-d readmission on GHWs)=0.60; SVM(1 year readmission on ORP)= 0.58, SVM(30-d readmission on ORP)=0.65; c. DT (30-d readmission on GHWs)=0.61, DT(60-d readmission on GHWs)=0.59; DT(1 year readmission on ORP)= 0.63, DT(30-d readmission on ORP)=0.63; </w:t>
            </w:r>
            <w:proofErr w:type="spellStart"/>
            <w:r w:rsidRPr="0086760B">
              <w:rPr>
                <w:rFonts w:ascii="Times New Roman" w:hAnsi="Times New Roman" w:cs="Times New Roman"/>
                <w:sz w:val="20"/>
                <w:szCs w:val="20"/>
              </w:rPr>
              <w:t>d.RF</w:t>
            </w:r>
            <w:proofErr w:type="spellEnd"/>
            <w:r w:rsidRPr="0086760B">
              <w:rPr>
                <w:rFonts w:ascii="Times New Roman" w:hAnsi="Times New Roman" w:cs="Times New Roman"/>
                <w:sz w:val="20"/>
                <w:szCs w:val="20"/>
              </w:rPr>
              <w:t xml:space="preserve"> (30-d readmission on GHWs)=0.57, RF(60-d readmission on GHWs)=0.61; RF(1 year readmission on ORP)= 0.55, RF(30-d readmission on ORP)=0.64; </w:t>
            </w:r>
            <w:proofErr w:type="spellStart"/>
            <w:r w:rsidRPr="0086760B">
              <w:rPr>
                <w:rFonts w:ascii="Times New Roman" w:hAnsi="Times New Roman" w:cs="Times New Roman"/>
                <w:sz w:val="20"/>
                <w:szCs w:val="20"/>
              </w:rPr>
              <w:t>e.ANN</w:t>
            </w:r>
            <w:proofErr w:type="spellEnd"/>
            <w:r w:rsidRPr="0086760B">
              <w:rPr>
                <w:rFonts w:ascii="Times New Roman" w:hAnsi="Times New Roman" w:cs="Times New Roman"/>
                <w:sz w:val="20"/>
                <w:szCs w:val="20"/>
              </w:rPr>
              <w:t xml:space="preserve">(30-d readmission on GHWs)=0.62, ANN(60-d readmission on GHWs)=0.66; ANN(1 year readmission on ORP)= 0.71, ANN(30-d readmission on ORP)=0.69; </w:t>
            </w:r>
          </w:p>
          <w:p w14:paraId="2B199D3E" w14:textId="03F7F73F"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F1-Score:</w:t>
            </w:r>
          </w:p>
          <w:p w14:paraId="5AD14E14" w14:textId="4F7EB18A"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 CSDNN(30-d readmission on GHWs)=0.44, CSDNN(60-d readmission on GHWs)=0.45, CSDNN(1 year readmission on ORP)= 0.54, CSDNN(30-d readmission on ORP)=0.64; b. SVM(30-d readmission on GHWs)=0.15, SVM(60-d readmission on GHWs)=0.31; SVM(1 year readmission on ORP)= 0.26, SVM(30-d readmission on ORP)=0.00; c. DT (30-d readmission on GHWs)=0.00, DT(60-d readmission on GHWs)=0.00; DT(1 year readmission on ORP)= 0.44, DT(30-d readmission on ORP)=0.37; </w:t>
            </w:r>
            <w:proofErr w:type="spellStart"/>
            <w:r w:rsidRPr="0086760B">
              <w:rPr>
                <w:rFonts w:ascii="Times New Roman" w:hAnsi="Times New Roman" w:cs="Times New Roman"/>
                <w:sz w:val="20"/>
                <w:szCs w:val="20"/>
              </w:rPr>
              <w:t>d.RF</w:t>
            </w:r>
            <w:proofErr w:type="spellEnd"/>
            <w:r w:rsidRPr="0086760B">
              <w:rPr>
                <w:rFonts w:ascii="Times New Roman" w:hAnsi="Times New Roman" w:cs="Times New Roman"/>
                <w:sz w:val="20"/>
                <w:szCs w:val="20"/>
              </w:rPr>
              <w:t xml:space="preserve"> (30-d readmission on GHWs)=0.19, RF(60-d readmission on GHWs)=0.37; RF(1 year readmission on ORP)= 0.51, RF(30-d readmission on ORP)=0.38; </w:t>
            </w:r>
            <w:proofErr w:type="spellStart"/>
            <w:r w:rsidRPr="0086760B">
              <w:rPr>
                <w:rFonts w:ascii="Times New Roman" w:hAnsi="Times New Roman" w:cs="Times New Roman"/>
                <w:sz w:val="20"/>
                <w:szCs w:val="20"/>
              </w:rPr>
              <w:t>e.ANN</w:t>
            </w:r>
            <w:proofErr w:type="spellEnd"/>
            <w:r w:rsidRPr="0086760B">
              <w:rPr>
                <w:rFonts w:ascii="Times New Roman" w:hAnsi="Times New Roman" w:cs="Times New Roman"/>
                <w:sz w:val="20"/>
                <w:szCs w:val="20"/>
              </w:rPr>
              <w:t xml:space="preserve">(30-d readmission on GHWs)=0.36, ANN(60-d readmission on GHWs)=0.37; ANN(1 year readmission on ORP)= 0.48, ANN(30-d readmission on ORP)=0.55; </w:t>
            </w:r>
          </w:p>
        </w:tc>
      </w:tr>
      <w:tr w:rsidR="0086760B" w:rsidRPr="0086760B" w14:paraId="1E0C5115" w14:textId="77777777" w:rsidTr="0086760B">
        <w:trPr>
          <w:trHeight w:val="980"/>
        </w:trPr>
        <w:tc>
          <w:tcPr>
            <w:tcW w:w="1586" w:type="dxa"/>
            <w:shd w:val="clear" w:color="auto" w:fill="808080" w:themeFill="background1" w:themeFillShade="80"/>
            <w:hideMark/>
          </w:tcPr>
          <w:p w14:paraId="63B15A39"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25DF1C64"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7B510071"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6D8AE044"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03CA7C3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0A0C89BA"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01491A3A" w14:textId="77777777" w:rsidTr="007E7DB0">
        <w:trPr>
          <w:trHeight w:val="1930"/>
        </w:trPr>
        <w:tc>
          <w:tcPr>
            <w:tcW w:w="1586" w:type="dxa"/>
            <w:hideMark/>
          </w:tcPr>
          <w:p w14:paraId="53E60E99"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Hopkins et al, 2019</w:t>
            </w:r>
          </w:p>
        </w:tc>
        <w:tc>
          <w:tcPr>
            <w:tcW w:w="2009" w:type="dxa"/>
            <w:hideMark/>
          </w:tcPr>
          <w:p w14:paraId="3BCAD76D" w14:textId="626031C8"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Deep neural network (DNN) classification </w:t>
            </w:r>
          </w:p>
        </w:tc>
        <w:tc>
          <w:tcPr>
            <w:tcW w:w="2160" w:type="dxa"/>
            <w:hideMark/>
          </w:tcPr>
          <w:p w14:paraId="6FB75440" w14:textId="1AA4CDF4"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Two DNN models was trained separately on 177 input variables (including demographics, clinical characteristics, comorbidities, preoperative lab values, operative procedures and postoperative complications) and on 103 variables with (all the above variables excepting operative and postoperative variables) at the time of discharge. </w:t>
            </w:r>
          </w:p>
        </w:tc>
        <w:tc>
          <w:tcPr>
            <w:tcW w:w="1710" w:type="dxa"/>
            <w:hideMark/>
          </w:tcPr>
          <w:p w14:paraId="67280B6A"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 split: 75%/25%</w:t>
            </w:r>
          </w:p>
        </w:tc>
        <w:tc>
          <w:tcPr>
            <w:tcW w:w="3325" w:type="dxa"/>
            <w:hideMark/>
          </w:tcPr>
          <w:p w14:paraId="064ADE91" w14:textId="5201824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 DNN (all inputs) =0.812, (2). DNN (preoperative inputs only) =0.58</w:t>
            </w:r>
          </w:p>
        </w:tc>
      </w:tr>
      <w:tr w:rsidR="00F33B3A" w:rsidRPr="0086760B" w14:paraId="145B05A1" w14:textId="77777777" w:rsidTr="007E7DB0">
        <w:trPr>
          <w:trHeight w:val="2330"/>
        </w:trPr>
        <w:tc>
          <w:tcPr>
            <w:tcW w:w="1586" w:type="dxa"/>
            <w:hideMark/>
          </w:tcPr>
          <w:p w14:paraId="6C7FC35D"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Golas</w:t>
            </w:r>
            <w:proofErr w:type="spellEnd"/>
            <w:r w:rsidRPr="0086760B">
              <w:rPr>
                <w:rFonts w:ascii="Times New Roman" w:hAnsi="Times New Roman" w:cs="Times New Roman"/>
                <w:sz w:val="20"/>
                <w:szCs w:val="20"/>
              </w:rPr>
              <w:t xml:space="preserve"> et al, 2018 </w:t>
            </w:r>
          </w:p>
        </w:tc>
        <w:tc>
          <w:tcPr>
            <w:tcW w:w="2009" w:type="dxa"/>
            <w:hideMark/>
          </w:tcPr>
          <w:p w14:paraId="7C76ABA3" w14:textId="2878FB3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Deep unified network; GBM</w:t>
            </w:r>
          </w:p>
        </w:tc>
        <w:tc>
          <w:tcPr>
            <w:tcW w:w="2160" w:type="dxa"/>
            <w:hideMark/>
          </w:tcPr>
          <w:p w14:paraId="6FA38453"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deep unified networks with 6 different deep learning architectures (DNN, deep autoencoder, ) were trained on  3512 variables from over 25 feature categories (including demographic, socioeconomic, admission related data, diagnosis, lab data, medication data, procedure data,  unstructured patient notes) were used for model derivation at time of discharge.</w:t>
            </w:r>
          </w:p>
        </w:tc>
        <w:tc>
          <w:tcPr>
            <w:tcW w:w="1710" w:type="dxa"/>
            <w:hideMark/>
          </w:tcPr>
          <w:p w14:paraId="6F184495"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10-fold cross-validation</w:t>
            </w:r>
          </w:p>
        </w:tc>
        <w:tc>
          <w:tcPr>
            <w:tcW w:w="3325" w:type="dxa"/>
            <w:hideMark/>
          </w:tcPr>
          <w:p w14:paraId="456E177D"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AUC: </w:t>
            </w:r>
          </w:p>
          <w:p w14:paraId="646D6618" w14:textId="5F3E95E2"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 Deep Unified Network= 0.705 (0.69, 0.72); b. </w:t>
            </w:r>
            <w:proofErr w:type="spellStart"/>
            <w:r w:rsidRPr="0086760B">
              <w:rPr>
                <w:rFonts w:ascii="Times New Roman" w:hAnsi="Times New Roman" w:cs="Times New Roman"/>
                <w:sz w:val="20"/>
                <w:szCs w:val="20"/>
              </w:rPr>
              <w:t>Maxout</w:t>
            </w:r>
            <w:proofErr w:type="spellEnd"/>
            <w:r w:rsidRPr="0086760B">
              <w:rPr>
                <w:rFonts w:ascii="Times New Roman" w:hAnsi="Times New Roman" w:cs="Times New Roman"/>
                <w:sz w:val="20"/>
                <w:szCs w:val="20"/>
              </w:rPr>
              <w:t xml:space="preserve"> networks=0.695 (0.679, 0.711); c. Gradient boosting=0.650(0.639, 0.611);</w:t>
            </w:r>
          </w:p>
          <w:p w14:paraId="7F08EAFF" w14:textId="77777777" w:rsidR="00F33B3A" w:rsidRPr="0086760B" w:rsidRDefault="00F33B3A" w:rsidP="00F33B3A">
            <w:pPr>
              <w:rPr>
                <w:rFonts w:ascii="Times New Roman" w:hAnsi="Times New Roman" w:cs="Times New Roman"/>
                <w:sz w:val="20"/>
                <w:szCs w:val="20"/>
              </w:rPr>
            </w:pPr>
          </w:p>
          <w:p w14:paraId="19C5112A"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Precision: </w:t>
            </w:r>
          </w:p>
          <w:p w14:paraId="21FF7F95" w14:textId="6033EE4A"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 Deep Unified Network= 0.360 ± 0.015; b. </w:t>
            </w:r>
            <w:proofErr w:type="spellStart"/>
            <w:r w:rsidRPr="0086760B">
              <w:rPr>
                <w:rFonts w:ascii="Times New Roman" w:hAnsi="Times New Roman" w:cs="Times New Roman"/>
                <w:sz w:val="20"/>
                <w:szCs w:val="20"/>
              </w:rPr>
              <w:t>Maxout</w:t>
            </w:r>
            <w:proofErr w:type="spellEnd"/>
            <w:r w:rsidRPr="0086760B">
              <w:rPr>
                <w:rFonts w:ascii="Times New Roman" w:hAnsi="Times New Roman" w:cs="Times New Roman"/>
                <w:sz w:val="20"/>
                <w:szCs w:val="20"/>
              </w:rPr>
              <w:t xml:space="preserve"> networks= 0.354 ± 0.016; Gradient boosting= 0.325 ± 0.008;</w:t>
            </w:r>
          </w:p>
          <w:p w14:paraId="096A87C4" w14:textId="77777777" w:rsidR="00F33B3A" w:rsidRPr="0086760B" w:rsidRDefault="00F33B3A" w:rsidP="00F33B3A">
            <w:pPr>
              <w:rPr>
                <w:rFonts w:ascii="Times New Roman" w:hAnsi="Times New Roman" w:cs="Times New Roman"/>
                <w:sz w:val="20"/>
                <w:szCs w:val="20"/>
              </w:rPr>
            </w:pPr>
          </w:p>
          <w:p w14:paraId="2E29B904" w14:textId="11ABAD1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Recall:</w:t>
            </w:r>
          </w:p>
          <w:p w14:paraId="691993D7" w14:textId="5F63A619" w:rsidR="00F33B3A" w:rsidRPr="0086760B" w:rsidRDefault="00F33B3A" w:rsidP="00F33B3A">
            <w:pPr>
              <w:rPr>
                <w:rFonts w:ascii="Times New Roman" w:hAnsi="Times New Roman" w:cs="Times New Roman"/>
                <w:b/>
                <w:bCs/>
                <w:sz w:val="20"/>
                <w:szCs w:val="20"/>
              </w:rPr>
            </w:pPr>
            <w:r w:rsidRPr="0086760B">
              <w:rPr>
                <w:rFonts w:ascii="Times New Roman" w:hAnsi="Times New Roman" w:cs="Times New Roman"/>
                <w:sz w:val="20"/>
                <w:szCs w:val="20"/>
              </w:rPr>
              <w:t xml:space="preserve">a. Deep Unified Network= 0.652 ± 0.036; b. </w:t>
            </w:r>
            <w:proofErr w:type="spellStart"/>
            <w:r w:rsidRPr="0086760B">
              <w:rPr>
                <w:rFonts w:ascii="Times New Roman" w:hAnsi="Times New Roman" w:cs="Times New Roman"/>
                <w:sz w:val="20"/>
                <w:szCs w:val="20"/>
              </w:rPr>
              <w:t>Maxout</w:t>
            </w:r>
            <w:proofErr w:type="spellEnd"/>
            <w:r w:rsidRPr="0086760B">
              <w:rPr>
                <w:rFonts w:ascii="Times New Roman" w:hAnsi="Times New Roman" w:cs="Times New Roman"/>
                <w:sz w:val="20"/>
                <w:szCs w:val="20"/>
              </w:rPr>
              <w:t xml:space="preserve"> networks= 0.631 ± 0.016; c. Gradient boosting= 0.615 ± 0.032;</w:t>
            </w:r>
          </w:p>
          <w:p w14:paraId="72B595CC" w14:textId="77777777" w:rsidR="00F33B3A" w:rsidRPr="0086760B" w:rsidRDefault="00F33B3A" w:rsidP="00F33B3A">
            <w:pPr>
              <w:rPr>
                <w:rFonts w:ascii="Times New Roman" w:hAnsi="Times New Roman" w:cs="Times New Roman"/>
                <w:sz w:val="20"/>
                <w:szCs w:val="20"/>
              </w:rPr>
            </w:pPr>
          </w:p>
          <w:p w14:paraId="110BFFA5" w14:textId="1C6304B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F-1 Score: a. Deep Unified Network= 0.464 ± 0.013; b. </w:t>
            </w:r>
            <w:proofErr w:type="spellStart"/>
            <w:r w:rsidRPr="0086760B">
              <w:rPr>
                <w:rFonts w:ascii="Times New Roman" w:hAnsi="Times New Roman" w:cs="Times New Roman"/>
                <w:sz w:val="20"/>
                <w:szCs w:val="20"/>
              </w:rPr>
              <w:t>Maxout</w:t>
            </w:r>
            <w:proofErr w:type="spellEnd"/>
            <w:r w:rsidRPr="0086760B">
              <w:rPr>
                <w:rFonts w:ascii="Times New Roman" w:hAnsi="Times New Roman" w:cs="Times New Roman"/>
                <w:sz w:val="20"/>
                <w:szCs w:val="20"/>
              </w:rPr>
              <w:t xml:space="preserve"> networks= 0.454 ± 0.016; c. Gradient boosting= 0.425 ± 0.010;</w:t>
            </w:r>
          </w:p>
        </w:tc>
      </w:tr>
      <w:tr w:rsidR="00F33B3A" w:rsidRPr="0086760B" w14:paraId="746A78F5" w14:textId="77777777" w:rsidTr="007E7DB0">
        <w:trPr>
          <w:trHeight w:val="2950"/>
        </w:trPr>
        <w:tc>
          <w:tcPr>
            <w:tcW w:w="1586" w:type="dxa"/>
            <w:hideMark/>
          </w:tcPr>
          <w:p w14:paraId="02F3BD2B"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Reddy et al, 2018</w:t>
            </w:r>
          </w:p>
        </w:tc>
        <w:tc>
          <w:tcPr>
            <w:tcW w:w="2009" w:type="dxa"/>
            <w:hideMark/>
          </w:tcPr>
          <w:p w14:paraId="5BACDFA1" w14:textId="42E405CD"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Recurrent neural network; regularized regression, artificial neural</w:t>
            </w:r>
            <w:r w:rsidRPr="0086760B">
              <w:rPr>
                <w:rFonts w:ascii="Times New Roman" w:hAnsi="Times New Roman" w:cs="Times New Roman"/>
                <w:sz w:val="20"/>
                <w:szCs w:val="20"/>
              </w:rPr>
              <w:br/>
              <w:t>networks</w:t>
            </w:r>
          </w:p>
        </w:tc>
        <w:tc>
          <w:tcPr>
            <w:tcW w:w="2160" w:type="dxa"/>
            <w:hideMark/>
          </w:tcPr>
          <w:p w14:paraId="120C087F" w14:textId="730AFF6E"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Three RNN models (RNN, RNN-LTSM, RNN-GRU)  were trained on the longitudinal data of each time point for each patients of 20 variables from 6 categories (demographics, clinical diagnosis, healthcare setting, insurance, disease status, hospital stay derived) </w:t>
            </w:r>
          </w:p>
        </w:tc>
        <w:tc>
          <w:tcPr>
            <w:tcW w:w="1710" w:type="dxa"/>
            <w:hideMark/>
          </w:tcPr>
          <w:p w14:paraId="72AEB4EB"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training/testing split: 70%/30%</w:t>
            </w:r>
          </w:p>
        </w:tc>
        <w:tc>
          <w:tcPr>
            <w:tcW w:w="3325" w:type="dxa"/>
            <w:hideMark/>
          </w:tcPr>
          <w:p w14:paraId="335F91D5" w14:textId="2ECABE12"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Long Short-Term Memory</w:t>
            </w:r>
            <w:r w:rsidRPr="0086760B">
              <w:rPr>
                <w:rFonts w:ascii="Times New Roman" w:hAnsi="Times New Roman" w:cs="Times New Roman"/>
                <w:sz w:val="20"/>
                <w:szCs w:val="20"/>
              </w:rPr>
              <w:br/>
              <w:t>(LSTM)=0.7; b. Gated Recurrent Unit</w:t>
            </w:r>
            <w:r w:rsidRPr="0086760B">
              <w:rPr>
                <w:rFonts w:ascii="Times New Roman" w:hAnsi="Times New Roman" w:cs="Times New Roman"/>
                <w:sz w:val="20"/>
                <w:szCs w:val="20"/>
              </w:rPr>
              <w:br/>
              <w:t>(GRU)=0.70; c. Simple Recurrent Neural</w:t>
            </w:r>
            <w:r w:rsidRPr="0086760B">
              <w:rPr>
                <w:rFonts w:ascii="Times New Roman" w:hAnsi="Times New Roman" w:cs="Times New Roman"/>
                <w:sz w:val="20"/>
                <w:szCs w:val="20"/>
              </w:rPr>
              <w:br/>
              <w:t>Network (RNN)=0.69; d. Regularized/Penalized</w:t>
            </w:r>
            <w:r w:rsidRPr="0086760B">
              <w:rPr>
                <w:rFonts w:ascii="Times New Roman" w:hAnsi="Times New Roman" w:cs="Times New Roman"/>
                <w:sz w:val="20"/>
                <w:szCs w:val="20"/>
              </w:rPr>
              <w:br/>
              <w:t xml:space="preserve">Logistic Regression=0.63; e. Artificial Neural Network (ANN)=0.66 </w:t>
            </w:r>
            <w:r w:rsidRPr="0086760B">
              <w:rPr>
                <w:rFonts w:ascii="Times New Roman" w:hAnsi="Times New Roman" w:cs="Times New Roman"/>
                <w:sz w:val="20"/>
                <w:szCs w:val="20"/>
              </w:rPr>
              <w:br/>
              <w:t xml:space="preserve"> </w:t>
            </w:r>
          </w:p>
        </w:tc>
      </w:tr>
      <w:tr w:rsidR="0086760B" w:rsidRPr="0086760B" w14:paraId="4C0276FA" w14:textId="77777777" w:rsidTr="0086760B">
        <w:trPr>
          <w:trHeight w:val="980"/>
        </w:trPr>
        <w:tc>
          <w:tcPr>
            <w:tcW w:w="1586" w:type="dxa"/>
            <w:shd w:val="clear" w:color="auto" w:fill="808080" w:themeFill="background1" w:themeFillShade="80"/>
            <w:hideMark/>
          </w:tcPr>
          <w:p w14:paraId="20D9D3ED"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5FA3E1DE"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2D1CF963"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4B98087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228A3565"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2B2F2DF2"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43693D9E" w14:textId="77777777" w:rsidTr="007E7DB0">
        <w:trPr>
          <w:trHeight w:val="3650"/>
        </w:trPr>
        <w:tc>
          <w:tcPr>
            <w:tcW w:w="1586" w:type="dxa"/>
            <w:hideMark/>
          </w:tcPr>
          <w:p w14:paraId="33AF5461"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Xiao et al, 2018</w:t>
            </w:r>
          </w:p>
        </w:tc>
        <w:tc>
          <w:tcPr>
            <w:tcW w:w="2009" w:type="dxa"/>
            <w:hideMark/>
          </w:tcPr>
          <w:p w14:paraId="6844CD00" w14:textId="07F8D542"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Hybrid Topic Recurrent Neural Network</w:t>
            </w:r>
            <w:r w:rsidRPr="0086760B">
              <w:rPr>
                <w:rFonts w:ascii="Times New Roman" w:hAnsi="Times New Roman" w:cs="Times New Roman"/>
                <w:sz w:val="20"/>
                <w:szCs w:val="20"/>
              </w:rPr>
              <w:br/>
              <w:t>(</w:t>
            </w:r>
            <w:proofErr w:type="spellStart"/>
            <w:r w:rsidRPr="0086760B">
              <w:rPr>
                <w:rFonts w:ascii="Times New Roman" w:hAnsi="Times New Roman" w:cs="Times New Roman"/>
                <w:sz w:val="20"/>
                <w:szCs w:val="20"/>
              </w:rPr>
              <w:t>TopicRNN</w:t>
            </w:r>
            <w:proofErr w:type="spellEnd"/>
            <w:r w:rsidRPr="0086760B">
              <w:rPr>
                <w:rFonts w:ascii="Times New Roman" w:hAnsi="Times New Roman" w:cs="Times New Roman"/>
                <w:sz w:val="20"/>
                <w:szCs w:val="20"/>
              </w:rPr>
              <w:t>) mode; RNN (GRU), RETAIN, GRU+Word2Vec</w:t>
            </w:r>
          </w:p>
        </w:tc>
        <w:tc>
          <w:tcPr>
            <w:tcW w:w="2160" w:type="dxa"/>
            <w:hideMark/>
          </w:tcPr>
          <w:p w14:paraId="327968F2"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CONTENT model ( a hybrid DL model combining topic modeling and RNN) with word embedding via word2vec and size of 200 hidden layers of RNN was proposed to capture multiple input variables (global context (the general condition, chronic disease, comorbidities), and local context(the short disease progressions)); and word embedding sequences were used as inputs for clinical variables (e.g. diagnoses, procedures, medications, etc.) and the target variable (i.e., readmission)</w:t>
            </w:r>
          </w:p>
        </w:tc>
        <w:tc>
          <w:tcPr>
            <w:tcW w:w="1710" w:type="dxa"/>
            <w:hideMark/>
          </w:tcPr>
          <w:p w14:paraId="76BBCDA0"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training/validation/test split: 74.17%/12.98%/12.85%</w:t>
            </w:r>
          </w:p>
        </w:tc>
        <w:tc>
          <w:tcPr>
            <w:tcW w:w="3325" w:type="dxa"/>
            <w:hideMark/>
          </w:tcPr>
          <w:p w14:paraId="1DCC586E"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Content Model (real EHR)=0.61 03 (0.5973 0.6233), Content Model(synthetic EHR)= 0.6886 (0.6812 ,0.696); b. GRU (real EHR)=0.5998 (0.5874, 0.6122), GRU (synthetic HER)=0.6881 (0.6833, 0.6929); c. GRU+Word2Vec (real EHR)=0.5616 (0.5459, 0.5773), GRU+Word2Vec (synthetic HER)=0.6836 (0.6805, 0.6867); d. RETAIN Model (real EHR)=0.5707 (0.5567, 0.5847),  RETAIN  Model(synthetic HER)=0.6927 (0.6926, 0.6928)</w:t>
            </w:r>
          </w:p>
        </w:tc>
      </w:tr>
      <w:tr w:rsidR="00F33B3A" w:rsidRPr="0086760B" w14:paraId="3E510FE7" w14:textId="77777777" w:rsidTr="007E7DB0">
        <w:trPr>
          <w:trHeight w:val="2040"/>
        </w:trPr>
        <w:tc>
          <w:tcPr>
            <w:tcW w:w="1586" w:type="dxa"/>
            <w:hideMark/>
          </w:tcPr>
          <w:p w14:paraId="376D9F14"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Lin et al, 2019</w:t>
            </w:r>
          </w:p>
        </w:tc>
        <w:tc>
          <w:tcPr>
            <w:tcW w:w="2009" w:type="dxa"/>
            <w:hideMark/>
          </w:tcPr>
          <w:p w14:paraId="037CA374" w14:textId="2EAB13D5"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Recurrent neural network (RNN) architecture with long short-term memory (LSTM); LASSO, NB, RF, SVM</w:t>
            </w:r>
          </w:p>
        </w:tc>
        <w:tc>
          <w:tcPr>
            <w:tcW w:w="2160" w:type="dxa"/>
            <w:hideMark/>
          </w:tcPr>
          <w:p w14:paraId="5F973CCE"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4 RNN_LSTM models were sequentially built upon addition of chart events(CE), ICD-9 and demographics(D); 3 RNN related models ( RNN alone, two bidirectional RNN combination with CNN) were trained to incorporate 331 variables of 3 feature categories (demographic, chart events, ICD-9 embeddings)</w:t>
            </w:r>
          </w:p>
        </w:tc>
        <w:tc>
          <w:tcPr>
            <w:tcW w:w="1710" w:type="dxa"/>
            <w:hideMark/>
          </w:tcPr>
          <w:p w14:paraId="4804965C" w14:textId="07F60BB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training/validation/test split: 80%/10%/10%); 5- fold cross validation</w:t>
            </w:r>
          </w:p>
        </w:tc>
        <w:tc>
          <w:tcPr>
            <w:tcW w:w="3325" w:type="dxa"/>
            <w:hideMark/>
          </w:tcPr>
          <w:p w14:paraId="0F377ED7"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AUC: </w:t>
            </w:r>
          </w:p>
          <w:p w14:paraId="5CF9F170" w14:textId="5F09BDB8"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LSTM+CNN(L48-h CE+ICD-9+D)=0.791 (0.784, 0.798 ); b. LSTM(L48-h CE+ICD-9+D)=0.787 (0.771–0.802); c. RF =0.714(0.703, 0.725); d. NB= 0.709 (0.702–0.716);e. LASSO=0.777 (0.765–0.789); f. SVM= 0.779 (0.768–0.789);</w:t>
            </w:r>
          </w:p>
          <w:p w14:paraId="68AA4926" w14:textId="4C45FE26"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Recall:</w:t>
            </w:r>
          </w:p>
          <w:p w14:paraId="0CCB8961"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LSTM+CNN(L48-h CE+ICD-9+D)= 0.710</w:t>
            </w:r>
          </w:p>
          <w:p w14:paraId="6D2B53B7" w14:textId="199C6D2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(0.648–0.771); b. LSTM(L48-h CE+ICD-9+D)= 0.733</w:t>
            </w:r>
          </w:p>
          <w:p w14:paraId="4D85CBCE" w14:textId="11D0D33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(0.698–0.768); c. RF = 0.565</w:t>
            </w:r>
          </w:p>
          <w:p w14:paraId="4499861F" w14:textId="661ED4CC"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(0.550–0.580); d. NB= 0.709 0.509 (0.479–0.540);e. LASSO= 0.680 (0.662–0.697); f. SVM= 0.509 (0.479–0.540);</w:t>
            </w:r>
          </w:p>
          <w:p w14:paraId="796913E9" w14:textId="25D6F17D" w:rsidR="00F33B3A" w:rsidRDefault="00F33B3A" w:rsidP="00F33B3A">
            <w:pPr>
              <w:rPr>
                <w:rFonts w:ascii="Times New Roman" w:hAnsi="Times New Roman" w:cs="Times New Roman"/>
                <w:sz w:val="20"/>
                <w:szCs w:val="20"/>
              </w:rPr>
            </w:pPr>
          </w:p>
          <w:p w14:paraId="41FB12D0" w14:textId="36524792" w:rsidR="0086760B" w:rsidRDefault="0086760B" w:rsidP="00F33B3A">
            <w:pPr>
              <w:rPr>
                <w:rFonts w:ascii="Times New Roman" w:hAnsi="Times New Roman" w:cs="Times New Roman"/>
                <w:sz w:val="20"/>
                <w:szCs w:val="20"/>
              </w:rPr>
            </w:pPr>
          </w:p>
          <w:p w14:paraId="0D9080DC" w14:textId="31FE4664" w:rsidR="0086760B" w:rsidRDefault="0086760B" w:rsidP="00F33B3A">
            <w:pPr>
              <w:rPr>
                <w:rFonts w:ascii="Times New Roman" w:hAnsi="Times New Roman" w:cs="Times New Roman"/>
                <w:sz w:val="20"/>
                <w:szCs w:val="20"/>
              </w:rPr>
            </w:pPr>
          </w:p>
          <w:p w14:paraId="02DF2A9F" w14:textId="21617828" w:rsidR="0086760B" w:rsidRDefault="0086760B" w:rsidP="00F33B3A">
            <w:pPr>
              <w:rPr>
                <w:rFonts w:ascii="Times New Roman" w:hAnsi="Times New Roman" w:cs="Times New Roman"/>
                <w:sz w:val="20"/>
                <w:szCs w:val="20"/>
              </w:rPr>
            </w:pPr>
          </w:p>
          <w:p w14:paraId="334B56AC" w14:textId="66FA4647" w:rsidR="0086760B" w:rsidRDefault="0086760B" w:rsidP="00F33B3A">
            <w:pPr>
              <w:rPr>
                <w:rFonts w:ascii="Times New Roman" w:hAnsi="Times New Roman" w:cs="Times New Roman"/>
                <w:sz w:val="20"/>
                <w:szCs w:val="20"/>
              </w:rPr>
            </w:pPr>
          </w:p>
          <w:p w14:paraId="2A66FD04" w14:textId="62F401ED" w:rsidR="0086760B" w:rsidRDefault="0086760B" w:rsidP="00F33B3A">
            <w:pPr>
              <w:rPr>
                <w:rFonts w:ascii="Times New Roman" w:hAnsi="Times New Roman" w:cs="Times New Roman"/>
                <w:sz w:val="20"/>
                <w:szCs w:val="20"/>
              </w:rPr>
            </w:pPr>
          </w:p>
          <w:p w14:paraId="45FABC3E" w14:textId="77777777" w:rsidR="0086760B" w:rsidRPr="0086760B" w:rsidRDefault="0086760B" w:rsidP="00F33B3A">
            <w:pPr>
              <w:rPr>
                <w:rFonts w:ascii="Times New Roman" w:hAnsi="Times New Roman" w:cs="Times New Roman"/>
                <w:sz w:val="20"/>
                <w:szCs w:val="20"/>
              </w:rPr>
            </w:pPr>
          </w:p>
          <w:p w14:paraId="3433DC5C" w14:textId="77777777" w:rsidR="00F33B3A" w:rsidRPr="0086760B" w:rsidRDefault="00F33B3A" w:rsidP="00F33B3A">
            <w:pPr>
              <w:rPr>
                <w:rFonts w:ascii="Times New Roman" w:hAnsi="Times New Roman" w:cs="Times New Roman"/>
                <w:sz w:val="20"/>
                <w:szCs w:val="20"/>
              </w:rPr>
            </w:pPr>
          </w:p>
          <w:p w14:paraId="730913FF" w14:textId="0D0A8C05" w:rsidR="00F33B3A" w:rsidRPr="0086760B" w:rsidRDefault="00F33B3A" w:rsidP="00F33B3A">
            <w:pPr>
              <w:rPr>
                <w:rFonts w:ascii="Times New Roman" w:hAnsi="Times New Roman" w:cs="Times New Roman"/>
                <w:sz w:val="20"/>
                <w:szCs w:val="20"/>
              </w:rPr>
            </w:pPr>
          </w:p>
        </w:tc>
      </w:tr>
      <w:tr w:rsidR="0086760B" w:rsidRPr="0086760B" w14:paraId="233CDC01" w14:textId="77777777" w:rsidTr="0086760B">
        <w:trPr>
          <w:trHeight w:val="980"/>
        </w:trPr>
        <w:tc>
          <w:tcPr>
            <w:tcW w:w="1586" w:type="dxa"/>
            <w:shd w:val="clear" w:color="auto" w:fill="808080" w:themeFill="background1" w:themeFillShade="80"/>
            <w:hideMark/>
          </w:tcPr>
          <w:p w14:paraId="7ACC0061"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Study</w:t>
            </w:r>
          </w:p>
        </w:tc>
        <w:tc>
          <w:tcPr>
            <w:tcW w:w="2009" w:type="dxa"/>
            <w:shd w:val="clear" w:color="auto" w:fill="808080" w:themeFill="background1" w:themeFillShade="80"/>
            <w:hideMark/>
          </w:tcPr>
          <w:p w14:paraId="7F378996"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10A6458B"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55C69753"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3EA81CF9" w14:textId="77777777" w:rsidR="0086760B" w:rsidRPr="0086760B" w:rsidRDefault="0086760B" w:rsidP="0086760B">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526C63C8" w14:textId="77777777" w:rsidR="0086760B" w:rsidRPr="0086760B" w:rsidRDefault="0086760B" w:rsidP="0086760B">
            <w:pPr>
              <w:jc w:val="center"/>
              <w:rPr>
                <w:rFonts w:ascii="Times New Roman" w:hAnsi="Times New Roman" w:cs="Times New Roman"/>
                <w:b/>
                <w:color w:val="FFFFFF" w:themeColor="background1"/>
                <w:sz w:val="20"/>
                <w:szCs w:val="20"/>
              </w:rPr>
            </w:pPr>
          </w:p>
        </w:tc>
      </w:tr>
      <w:tr w:rsidR="00F33B3A" w:rsidRPr="0086760B" w14:paraId="4849B24F" w14:textId="77777777" w:rsidTr="007E7DB0">
        <w:trPr>
          <w:trHeight w:val="2360"/>
        </w:trPr>
        <w:tc>
          <w:tcPr>
            <w:tcW w:w="1586" w:type="dxa"/>
            <w:hideMark/>
          </w:tcPr>
          <w:p w14:paraId="46DBEAE8"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lastRenderedPageBreak/>
              <w:t>Allam et al, 2019</w:t>
            </w:r>
          </w:p>
        </w:tc>
        <w:tc>
          <w:tcPr>
            <w:tcW w:w="2009" w:type="dxa"/>
            <w:hideMark/>
          </w:tcPr>
          <w:p w14:paraId="7DCFA5E3"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CNN, RNN, RNNSS, Neutral CRF, CRF Only, RNNCRF; MLP, LASSO</w:t>
            </w:r>
          </w:p>
        </w:tc>
        <w:tc>
          <w:tcPr>
            <w:tcW w:w="2160" w:type="dxa"/>
            <w:hideMark/>
          </w:tcPr>
          <w:p w14:paraId="221BECFA" w14:textId="58FF3A40"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Multiple NN models (RNN, CNN) were implemented with temporal information in the patient's trajectories and other 150 input features (including sociodemographic, hospitalization events, top diagnosis and procedures and the payment source) </w:t>
            </w:r>
          </w:p>
        </w:tc>
        <w:tc>
          <w:tcPr>
            <w:tcW w:w="1710" w:type="dxa"/>
            <w:hideMark/>
          </w:tcPr>
          <w:p w14:paraId="245F01DF" w14:textId="21A30306"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stratified 5-fold cross-validation </w:t>
            </w:r>
          </w:p>
        </w:tc>
        <w:tc>
          <w:tcPr>
            <w:tcW w:w="3325" w:type="dxa"/>
            <w:hideMark/>
          </w:tcPr>
          <w:p w14:paraId="6BD793B0"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a.CNN=0.619 (0.616, 0.622); b. CNN-Wide=0.632 (0.629, 0.635); c.RNN=0.636 (0.633, 0.638); d.RNNSS=0.625 (0.623 0.628); e.Neural CRF=0.634 (0.631, 0.637); f. CRF Only=0.630 (0.627, 0.633); g.RNNCRF=0.642(0.640, 0.645); h. MLP= 0.628 (0.625, 0.631); i.LASSO=0.643 (0.640, 0.646)</w:t>
            </w:r>
          </w:p>
        </w:tc>
      </w:tr>
      <w:tr w:rsidR="00F33B3A" w:rsidRPr="0086760B" w14:paraId="726652CD" w14:textId="77777777" w:rsidTr="0086760B">
        <w:trPr>
          <w:trHeight w:val="530"/>
        </w:trPr>
        <w:tc>
          <w:tcPr>
            <w:tcW w:w="1586" w:type="dxa"/>
            <w:hideMark/>
          </w:tcPr>
          <w:p w14:paraId="4E4A65C7"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Min et al. 2019</w:t>
            </w:r>
          </w:p>
        </w:tc>
        <w:tc>
          <w:tcPr>
            <w:tcW w:w="2009" w:type="dxa"/>
            <w:hideMark/>
          </w:tcPr>
          <w:p w14:paraId="172F5E69" w14:textId="07F75DAB"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CNN, RNN, LSTM, GRU; RF, SVM, GBDT, MLP</w:t>
            </w:r>
          </w:p>
        </w:tc>
        <w:tc>
          <w:tcPr>
            <w:tcW w:w="2160" w:type="dxa"/>
            <w:hideMark/>
          </w:tcPr>
          <w:p w14:paraId="0F4590D4" w14:textId="6C542A7A"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Deep learning models were constructed to incorporate contextual event embedding, time fusion, and attention mechanisms based on 38 variables of 5 domains (demographics, medication, service location, diagnosis and procedure); other ML algorithms were used to incorporate knowledge drive features(including 4 features(number of procedures during hospital stays, number of hospital admissions during previous year, the number of hospital stays with &gt;=5 days, index admission type) from Hospital score, 4 features (LoS, Acute admission, CCI, number of ED within 6 months) from LACE, other 12 important features((age, gender, LoS, number of admissions in previous year, total length of all stays in previous year, number of all kinds of admissions)), or data-driven features(diagnosis, procedures, pharmacy, locations, Bag-of-Words, Boolean Bag-of-Words, term frequency-inverse document frequency)). </w:t>
            </w:r>
          </w:p>
        </w:tc>
        <w:tc>
          <w:tcPr>
            <w:tcW w:w="1710" w:type="dxa"/>
            <w:hideMark/>
          </w:tcPr>
          <w:p w14:paraId="7AD1CEB5"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5-fold cross validation</w:t>
            </w:r>
          </w:p>
        </w:tc>
        <w:tc>
          <w:tcPr>
            <w:tcW w:w="3325" w:type="dxa"/>
            <w:hideMark/>
          </w:tcPr>
          <w:p w14:paraId="5DF3F0B6"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 RF (one year)=0.636, RF(Full history)=0.624; b. SVM (one year)=0.612, SVM (Full history)=0.643, c. GBDT (one year)=0.653, GBDT (Full history)=0.654; d. MLP (one year)=0.571, MLP (Full history)=0.627; e. LR-l1 regularization(one year)=0.616,  LR-l1 regularization(Full history)=0.644; f. LR-l2 regularization (one year)=0.617,  LR-l2 regularization(Full history)=0.645</w:t>
            </w:r>
          </w:p>
        </w:tc>
      </w:tr>
      <w:tr w:rsidR="00CA1E5D" w:rsidRPr="0086760B" w14:paraId="5E243A5A" w14:textId="77777777" w:rsidTr="00977A5F">
        <w:trPr>
          <w:trHeight w:val="980"/>
        </w:trPr>
        <w:tc>
          <w:tcPr>
            <w:tcW w:w="1586" w:type="dxa"/>
            <w:shd w:val="clear" w:color="auto" w:fill="808080" w:themeFill="background1" w:themeFillShade="80"/>
            <w:hideMark/>
          </w:tcPr>
          <w:p w14:paraId="27172D2C" w14:textId="77777777" w:rsidR="00CA1E5D" w:rsidRPr="0086760B" w:rsidRDefault="00CA1E5D" w:rsidP="00977A5F">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lastRenderedPageBreak/>
              <w:t>Study</w:t>
            </w:r>
          </w:p>
        </w:tc>
        <w:tc>
          <w:tcPr>
            <w:tcW w:w="2009" w:type="dxa"/>
            <w:shd w:val="clear" w:color="auto" w:fill="808080" w:themeFill="background1" w:themeFillShade="80"/>
            <w:hideMark/>
          </w:tcPr>
          <w:p w14:paraId="3F2CB8FE" w14:textId="77777777" w:rsidR="00CA1E5D" w:rsidRPr="0086760B" w:rsidRDefault="00CA1E5D" w:rsidP="00977A5F">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ML based Algorithms</w:t>
            </w:r>
          </w:p>
        </w:tc>
        <w:tc>
          <w:tcPr>
            <w:tcW w:w="2160" w:type="dxa"/>
            <w:shd w:val="clear" w:color="auto" w:fill="808080" w:themeFill="background1" w:themeFillShade="80"/>
            <w:hideMark/>
          </w:tcPr>
          <w:p w14:paraId="31C1B11B" w14:textId="77777777" w:rsidR="00CA1E5D" w:rsidRPr="0086760B" w:rsidRDefault="00CA1E5D" w:rsidP="00977A5F">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Description (number of models, number of candidate variables, time)</w:t>
            </w:r>
          </w:p>
        </w:tc>
        <w:tc>
          <w:tcPr>
            <w:tcW w:w="1710" w:type="dxa"/>
            <w:shd w:val="clear" w:color="auto" w:fill="808080" w:themeFill="background1" w:themeFillShade="80"/>
            <w:hideMark/>
          </w:tcPr>
          <w:p w14:paraId="6EB42190" w14:textId="77777777" w:rsidR="00CA1E5D" w:rsidRPr="0086760B" w:rsidRDefault="00CA1E5D" w:rsidP="00977A5F">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Validation</w:t>
            </w:r>
          </w:p>
        </w:tc>
        <w:tc>
          <w:tcPr>
            <w:tcW w:w="3325" w:type="dxa"/>
            <w:shd w:val="clear" w:color="auto" w:fill="808080" w:themeFill="background1" w:themeFillShade="80"/>
            <w:hideMark/>
          </w:tcPr>
          <w:p w14:paraId="0F787977" w14:textId="77777777" w:rsidR="00CA1E5D" w:rsidRPr="0086760B" w:rsidRDefault="00CA1E5D" w:rsidP="00977A5F">
            <w:pPr>
              <w:rPr>
                <w:rFonts w:ascii="Times New Roman" w:hAnsi="Times New Roman" w:cs="Times New Roman"/>
                <w:b/>
                <w:color w:val="FFFFFF" w:themeColor="background1"/>
                <w:sz w:val="20"/>
                <w:szCs w:val="20"/>
              </w:rPr>
            </w:pPr>
            <w:r w:rsidRPr="0086760B">
              <w:rPr>
                <w:rFonts w:ascii="Times New Roman" w:hAnsi="Times New Roman" w:cs="Times New Roman"/>
                <w:b/>
                <w:color w:val="FFFFFF" w:themeColor="background1"/>
                <w:sz w:val="20"/>
                <w:szCs w:val="20"/>
              </w:rPr>
              <w:t>Model Discrimination</w:t>
            </w:r>
          </w:p>
          <w:p w14:paraId="1BD8904A" w14:textId="77777777" w:rsidR="00CA1E5D" w:rsidRPr="0086760B" w:rsidRDefault="00CA1E5D" w:rsidP="00977A5F">
            <w:pPr>
              <w:jc w:val="center"/>
              <w:rPr>
                <w:rFonts w:ascii="Times New Roman" w:hAnsi="Times New Roman" w:cs="Times New Roman"/>
                <w:b/>
                <w:color w:val="FFFFFF" w:themeColor="background1"/>
                <w:sz w:val="20"/>
                <w:szCs w:val="20"/>
              </w:rPr>
            </w:pPr>
          </w:p>
        </w:tc>
      </w:tr>
      <w:tr w:rsidR="00F33B3A" w:rsidRPr="0086760B" w14:paraId="05DD3942" w14:textId="77777777" w:rsidTr="007E7DB0">
        <w:trPr>
          <w:trHeight w:val="3570"/>
        </w:trPr>
        <w:tc>
          <w:tcPr>
            <w:tcW w:w="1586" w:type="dxa"/>
            <w:hideMark/>
          </w:tcPr>
          <w:p w14:paraId="5A8376C3" w14:textId="77777777" w:rsidR="00F33B3A" w:rsidRPr="0086760B" w:rsidRDefault="00F33B3A" w:rsidP="00F33B3A">
            <w:pPr>
              <w:rPr>
                <w:rFonts w:ascii="Times New Roman" w:hAnsi="Times New Roman" w:cs="Times New Roman"/>
                <w:sz w:val="20"/>
                <w:szCs w:val="20"/>
              </w:rPr>
            </w:pPr>
            <w:proofErr w:type="spellStart"/>
            <w:r w:rsidRPr="0086760B">
              <w:rPr>
                <w:rFonts w:ascii="Times New Roman" w:hAnsi="Times New Roman" w:cs="Times New Roman"/>
                <w:sz w:val="20"/>
                <w:szCs w:val="20"/>
              </w:rPr>
              <w:t>Rajkomar</w:t>
            </w:r>
            <w:proofErr w:type="spellEnd"/>
            <w:r w:rsidRPr="0086760B">
              <w:rPr>
                <w:rFonts w:ascii="Times New Roman" w:hAnsi="Times New Roman" w:cs="Times New Roman"/>
                <w:sz w:val="20"/>
                <w:szCs w:val="20"/>
              </w:rPr>
              <w:t xml:space="preserve"> et al, 2018</w:t>
            </w:r>
          </w:p>
        </w:tc>
        <w:tc>
          <w:tcPr>
            <w:tcW w:w="2009" w:type="dxa"/>
            <w:hideMark/>
          </w:tcPr>
          <w:p w14:paraId="006FED16" w14:textId="33F622C5"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 xml:space="preserve">Ensemble of RNN (Weighted Recurrent neural network model), Feedforward Model with Time-Aware Attention (TANNs) and NN with boosted embedded time-series model. </w:t>
            </w:r>
          </w:p>
        </w:tc>
        <w:tc>
          <w:tcPr>
            <w:tcW w:w="2160" w:type="dxa"/>
            <w:hideMark/>
          </w:tcPr>
          <w:p w14:paraId="60E71B17" w14:textId="3315FBDA"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Three deep learning neural network model architectures were trained based on tens of thousands of predictors (Patient, Encounter,</w:t>
            </w:r>
            <w:r w:rsidRPr="0086760B">
              <w:rPr>
                <w:rFonts w:ascii="Times New Roman" w:hAnsi="Times New Roman" w:cs="Times New Roman"/>
                <w:sz w:val="20"/>
                <w:szCs w:val="20"/>
              </w:rPr>
              <w:br/>
              <w:t>Medication, Observation (e.g. vital signs and nursing documentation), Composition (e.g. notes),Conditions (i.e. diagnoses), Medication Administration, Medication Order, Procedure Request, and Procedure) at multiple time points (including before admission, at</w:t>
            </w:r>
            <w:r w:rsidRPr="0086760B">
              <w:rPr>
                <w:rFonts w:ascii="Times New Roman" w:hAnsi="Times New Roman" w:cs="Times New Roman"/>
                <w:sz w:val="20"/>
                <w:szCs w:val="20"/>
              </w:rPr>
              <w:br/>
              <w:t>admission, 24 h after admission and at discharge), and the results of each architecture were combined using ensemble learning.</w:t>
            </w:r>
          </w:p>
        </w:tc>
        <w:tc>
          <w:tcPr>
            <w:tcW w:w="1710" w:type="dxa"/>
            <w:hideMark/>
          </w:tcPr>
          <w:p w14:paraId="1D0720BE"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training/validation/test split:  80%/10%/10%</w:t>
            </w:r>
          </w:p>
        </w:tc>
        <w:tc>
          <w:tcPr>
            <w:tcW w:w="3325" w:type="dxa"/>
            <w:hideMark/>
          </w:tcPr>
          <w:p w14:paraId="357FE0BB" w14:textId="77777777"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(1). Hospital A: at admission=0.73(0.71-0.74); at 24 h after admission=0.74(0.72-0.75); at discharge=0.77(0.75-0.78); (2). Hospital B: at admission=0.72(0.71-0.73); at 24 h after admission=0.73(0.72-0.74); at discharge=0.76(0.75-0.77)</w:t>
            </w:r>
          </w:p>
        </w:tc>
      </w:tr>
      <w:tr w:rsidR="00F33B3A" w:rsidRPr="0086760B" w14:paraId="416CD0D9" w14:textId="77777777" w:rsidTr="006C08E7">
        <w:trPr>
          <w:trHeight w:val="980"/>
        </w:trPr>
        <w:tc>
          <w:tcPr>
            <w:tcW w:w="10790" w:type="dxa"/>
            <w:gridSpan w:val="5"/>
            <w:hideMark/>
          </w:tcPr>
          <w:p w14:paraId="12EA4BDB" w14:textId="068A467C" w:rsidR="00F33B3A" w:rsidRPr="0086760B" w:rsidRDefault="00F33B3A" w:rsidP="00F33B3A">
            <w:pPr>
              <w:rPr>
                <w:rFonts w:ascii="Times New Roman" w:hAnsi="Times New Roman" w:cs="Times New Roman"/>
                <w:sz w:val="20"/>
                <w:szCs w:val="20"/>
              </w:rPr>
            </w:pPr>
            <w:r w:rsidRPr="0086760B">
              <w:rPr>
                <w:rFonts w:ascii="Times New Roman" w:hAnsi="Times New Roman" w:cs="Times New Roman"/>
                <w:sz w:val="20"/>
                <w:szCs w:val="20"/>
              </w:rPr>
              <w:t>Abbreviations: ML: machine learning; NNs: neural networks; RF: random forest, DT: decision tree; SVM: support vector machine; CART: Classification And Regression Trees; GBM: gradient boosting machines; GDB: gradient descent boosting; MLPs: Multilayer Perceptron; CNNs: Convolutional Neural Networks; RNNs: Recurrent Neural Networks; LSTM: Long short-term memory; GRU: Gated recurrent unit; CRF: Conditional random field; &gt;: means better performances</w:t>
            </w:r>
          </w:p>
        </w:tc>
      </w:tr>
    </w:tbl>
    <w:p w14:paraId="00DC5A6B" w14:textId="42D344DB" w:rsidR="0011418E" w:rsidRPr="0086760B" w:rsidRDefault="0011418E">
      <w:pPr>
        <w:rPr>
          <w:rFonts w:ascii="Times New Roman" w:hAnsi="Times New Roman" w:cs="Times New Roman"/>
          <w:sz w:val="20"/>
          <w:szCs w:val="20"/>
        </w:rPr>
      </w:pPr>
    </w:p>
    <w:p w14:paraId="3E056325" w14:textId="6FB95742" w:rsidR="00F33B3A" w:rsidRPr="0086760B" w:rsidRDefault="00F33B3A">
      <w:pPr>
        <w:rPr>
          <w:rFonts w:ascii="Times New Roman" w:hAnsi="Times New Roman" w:cs="Times New Roman"/>
          <w:sz w:val="20"/>
          <w:szCs w:val="20"/>
        </w:rPr>
      </w:pPr>
    </w:p>
    <w:p w14:paraId="312831EC" w14:textId="5027F7FD" w:rsidR="006335DE" w:rsidRDefault="006335DE">
      <w:pPr>
        <w:rPr>
          <w:rFonts w:ascii="Times New Roman" w:hAnsi="Times New Roman" w:cs="Times New Roman"/>
          <w:sz w:val="20"/>
          <w:szCs w:val="20"/>
        </w:rPr>
      </w:pPr>
    </w:p>
    <w:p w14:paraId="2861893E" w14:textId="191EEFB4" w:rsidR="00697C93" w:rsidRDefault="00697C93">
      <w:pPr>
        <w:rPr>
          <w:rFonts w:ascii="Times New Roman" w:hAnsi="Times New Roman" w:cs="Times New Roman"/>
          <w:sz w:val="20"/>
          <w:szCs w:val="20"/>
        </w:rPr>
      </w:pPr>
    </w:p>
    <w:p w14:paraId="52DE8B8E" w14:textId="4589686A" w:rsidR="00697C93" w:rsidRDefault="00697C93">
      <w:pPr>
        <w:rPr>
          <w:rFonts w:ascii="Times New Roman" w:hAnsi="Times New Roman" w:cs="Times New Roman"/>
          <w:sz w:val="20"/>
          <w:szCs w:val="20"/>
        </w:rPr>
      </w:pPr>
    </w:p>
    <w:p w14:paraId="437774C3" w14:textId="3EF67309" w:rsidR="00697C93" w:rsidRDefault="00697C93">
      <w:pPr>
        <w:rPr>
          <w:rFonts w:ascii="Times New Roman" w:hAnsi="Times New Roman" w:cs="Times New Roman"/>
          <w:sz w:val="20"/>
          <w:szCs w:val="20"/>
        </w:rPr>
      </w:pPr>
    </w:p>
    <w:p w14:paraId="0FA7F8C3" w14:textId="3BA2A536" w:rsidR="00697C93" w:rsidRDefault="00697C93">
      <w:pPr>
        <w:rPr>
          <w:rFonts w:ascii="Times New Roman" w:hAnsi="Times New Roman" w:cs="Times New Roman"/>
          <w:sz w:val="20"/>
          <w:szCs w:val="20"/>
        </w:rPr>
      </w:pPr>
    </w:p>
    <w:p w14:paraId="69A8DB43" w14:textId="744C0362" w:rsidR="00697C93" w:rsidRDefault="00697C93">
      <w:pPr>
        <w:rPr>
          <w:rFonts w:ascii="Times New Roman" w:hAnsi="Times New Roman" w:cs="Times New Roman"/>
          <w:sz w:val="20"/>
          <w:szCs w:val="20"/>
        </w:rPr>
      </w:pPr>
    </w:p>
    <w:p w14:paraId="232ABB6B" w14:textId="3E922226" w:rsidR="00697C93" w:rsidRDefault="00697C93">
      <w:pPr>
        <w:rPr>
          <w:rFonts w:ascii="Times New Roman" w:hAnsi="Times New Roman" w:cs="Times New Roman"/>
          <w:sz w:val="20"/>
          <w:szCs w:val="20"/>
        </w:rPr>
      </w:pPr>
    </w:p>
    <w:p w14:paraId="0734D7A3" w14:textId="1F374352" w:rsidR="00697C93" w:rsidRDefault="00697C93">
      <w:pPr>
        <w:rPr>
          <w:rFonts w:ascii="Times New Roman" w:hAnsi="Times New Roman" w:cs="Times New Roman"/>
          <w:sz w:val="20"/>
          <w:szCs w:val="20"/>
        </w:rPr>
      </w:pPr>
    </w:p>
    <w:p w14:paraId="261E6846" w14:textId="4A2BA958" w:rsidR="00697C93" w:rsidRDefault="00697C93">
      <w:pPr>
        <w:rPr>
          <w:rFonts w:ascii="Times New Roman" w:hAnsi="Times New Roman" w:cs="Times New Roman"/>
          <w:sz w:val="20"/>
          <w:szCs w:val="20"/>
        </w:rPr>
      </w:pPr>
    </w:p>
    <w:p w14:paraId="080C61B3" w14:textId="77777777" w:rsidR="00697C93" w:rsidRPr="0086760B" w:rsidRDefault="00697C93">
      <w:pPr>
        <w:rPr>
          <w:rFonts w:ascii="Times New Roman" w:hAnsi="Times New Roman" w:cs="Times New Roman"/>
          <w:sz w:val="20"/>
          <w:szCs w:val="20"/>
        </w:rPr>
      </w:pPr>
    </w:p>
    <w:p w14:paraId="753BF9B2" w14:textId="6029A92E" w:rsidR="00A709FA" w:rsidRPr="0086760B" w:rsidRDefault="00A709FA">
      <w:pPr>
        <w:rPr>
          <w:rFonts w:ascii="Times New Roman" w:hAnsi="Times New Roman" w:cs="Times New Roman"/>
          <w:b/>
          <w:bCs/>
          <w:sz w:val="20"/>
          <w:szCs w:val="20"/>
        </w:rPr>
      </w:pPr>
      <w:r w:rsidRPr="0086760B">
        <w:rPr>
          <w:rFonts w:ascii="Times New Roman" w:hAnsi="Times New Roman" w:cs="Times New Roman"/>
          <w:b/>
          <w:bCs/>
          <w:sz w:val="20"/>
          <w:szCs w:val="20"/>
        </w:rPr>
        <w:t xml:space="preserve">Table </w:t>
      </w:r>
      <w:r w:rsidR="003E0F1A" w:rsidRPr="0086760B">
        <w:rPr>
          <w:rFonts w:ascii="Times New Roman" w:hAnsi="Times New Roman" w:cs="Times New Roman"/>
          <w:b/>
          <w:bCs/>
          <w:sz w:val="20"/>
          <w:szCs w:val="20"/>
        </w:rPr>
        <w:t>S</w:t>
      </w:r>
      <w:r w:rsidRPr="0086760B">
        <w:rPr>
          <w:rFonts w:ascii="Times New Roman" w:hAnsi="Times New Roman" w:cs="Times New Roman"/>
          <w:b/>
          <w:bCs/>
          <w:sz w:val="20"/>
          <w:szCs w:val="20"/>
        </w:rPr>
        <w:t xml:space="preserve">3. Summary </w:t>
      </w:r>
      <w:r w:rsidR="003128D3" w:rsidRPr="0086760B">
        <w:rPr>
          <w:rFonts w:ascii="Times New Roman" w:hAnsi="Times New Roman" w:cs="Times New Roman"/>
          <w:b/>
          <w:bCs/>
          <w:sz w:val="20"/>
          <w:szCs w:val="20"/>
        </w:rPr>
        <w:t>o</w:t>
      </w:r>
      <w:r w:rsidR="007D6BFB" w:rsidRPr="0086760B">
        <w:rPr>
          <w:rFonts w:ascii="Times New Roman" w:hAnsi="Times New Roman" w:cs="Times New Roman"/>
          <w:b/>
          <w:bCs/>
          <w:sz w:val="20"/>
          <w:szCs w:val="20"/>
        </w:rPr>
        <w:t xml:space="preserve">f Variables </w:t>
      </w:r>
      <w:r w:rsidR="003128D3" w:rsidRPr="0086760B">
        <w:rPr>
          <w:rFonts w:ascii="Times New Roman" w:hAnsi="Times New Roman" w:cs="Times New Roman"/>
          <w:b/>
          <w:bCs/>
          <w:sz w:val="20"/>
          <w:szCs w:val="20"/>
        </w:rPr>
        <w:t>Included in ML Models</w:t>
      </w:r>
      <w:r w:rsidR="007D6BFB" w:rsidRPr="0086760B">
        <w:rPr>
          <w:rFonts w:ascii="Times New Roman" w:hAnsi="Times New Roman" w:cs="Times New Roman"/>
          <w:b/>
          <w:bCs/>
          <w:sz w:val="20"/>
          <w:szCs w:val="20"/>
        </w:rPr>
        <w:t xml:space="preserve"> </w:t>
      </w:r>
      <w:r w:rsidRPr="0086760B">
        <w:rPr>
          <w:rFonts w:ascii="Times New Roman" w:hAnsi="Times New Roman" w:cs="Times New Roman"/>
          <w:b/>
          <w:bCs/>
          <w:sz w:val="20"/>
          <w:szCs w:val="20"/>
        </w:rPr>
        <w:t>(N=43 studies)</w:t>
      </w:r>
    </w:p>
    <w:tbl>
      <w:tblPr>
        <w:tblStyle w:val="TableGrid"/>
        <w:tblW w:w="11250" w:type="dxa"/>
        <w:tblInd w:w="-95" w:type="dxa"/>
        <w:tblLayout w:type="fixed"/>
        <w:tblLook w:val="04A0" w:firstRow="1" w:lastRow="0" w:firstColumn="1" w:lastColumn="0" w:noHBand="0" w:noVBand="1"/>
      </w:tblPr>
      <w:tblGrid>
        <w:gridCol w:w="1309"/>
        <w:gridCol w:w="1102"/>
        <w:gridCol w:w="1999"/>
        <w:gridCol w:w="1319"/>
        <w:gridCol w:w="1111"/>
        <w:gridCol w:w="990"/>
        <w:gridCol w:w="1530"/>
        <w:gridCol w:w="1890"/>
      </w:tblGrid>
      <w:tr w:rsidR="008E5254" w:rsidRPr="0086760B" w14:paraId="3682F4C6" w14:textId="77777777" w:rsidTr="00E46576">
        <w:trPr>
          <w:trHeight w:val="580"/>
        </w:trPr>
        <w:tc>
          <w:tcPr>
            <w:tcW w:w="1309" w:type="dxa"/>
            <w:shd w:val="clear" w:color="auto" w:fill="808080" w:themeFill="background1" w:themeFillShade="80"/>
            <w:hideMark/>
          </w:tcPr>
          <w:p w14:paraId="63D0B9E0" w14:textId="44D0805D" w:rsidR="00A709FA" w:rsidRPr="00E46576" w:rsidRDefault="00E46576" w:rsidP="00E46576">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lastRenderedPageBreak/>
              <w:t>Study</w:t>
            </w:r>
          </w:p>
        </w:tc>
        <w:tc>
          <w:tcPr>
            <w:tcW w:w="1102" w:type="dxa"/>
            <w:shd w:val="clear" w:color="auto" w:fill="808080" w:themeFill="background1" w:themeFillShade="80"/>
            <w:hideMark/>
          </w:tcPr>
          <w:p w14:paraId="5977B9B0" w14:textId="3ED5B2FD" w:rsidR="00A709FA" w:rsidRPr="00E46576" w:rsidRDefault="00A709FA" w:rsidP="00E46576">
            <w:pPr>
              <w:rPr>
                <w:rFonts w:ascii="Times New Roman" w:hAnsi="Times New Roman" w:cs="Times New Roman"/>
                <w:b/>
                <w:color w:val="FFFFFF" w:themeColor="background1"/>
                <w:sz w:val="20"/>
                <w:szCs w:val="20"/>
              </w:rPr>
            </w:pPr>
            <w:proofErr w:type="spellStart"/>
            <w:r w:rsidRPr="00E46576">
              <w:rPr>
                <w:rFonts w:ascii="Times New Roman" w:hAnsi="Times New Roman" w:cs="Times New Roman"/>
                <w:b/>
                <w:color w:val="FFFFFF" w:themeColor="background1"/>
                <w:sz w:val="20"/>
                <w:szCs w:val="20"/>
              </w:rPr>
              <w:t>Demogr</w:t>
            </w:r>
            <w:r w:rsidR="00047A7D" w:rsidRPr="00E46576">
              <w:rPr>
                <w:rFonts w:ascii="Times New Roman" w:hAnsi="Times New Roman" w:cs="Times New Roman"/>
                <w:b/>
                <w:color w:val="FFFFFF" w:themeColor="background1"/>
                <w:sz w:val="20"/>
                <w:szCs w:val="20"/>
              </w:rPr>
              <w:t>-</w:t>
            </w:r>
            <w:r w:rsidRPr="00E46576">
              <w:rPr>
                <w:rFonts w:ascii="Times New Roman" w:hAnsi="Times New Roman" w:cs="Times New Roman"/>
                <w:b/>
                <w:color w:val="FFFFFF" w:themeColor="background1"/>
                <w:sz w:val="20"/>
                <w:szCs w:val="20"/>
              </w:rPr>
              <w:t>aphic</w:t>
            </w:r>
            <w:proofErr w:type="spellEnd"/>
          </w:p>
        </w:tc>
        <w:tc>
          <w:tcPr>
            <w:tcW w:w="1999" w:type="dxa"/>
            <w:shd w:val="clear" w:color="auto" w:fill="808080" w:themeFill="background1" w:themeFillShade="80"/>
            <w:hideMark/>
          </w:tcPr>
          <w:p w14:paraId="611B83AE" w14:textId="77777777" w:rsidR="00A709FA" w:rsidRPr="00E46576" w:rsidRDefault="00A709FA" w:rsidP="00E46576">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Social Determinants</w:t>
            </w:r>
          </w:p>
        </w:tc>
        <w:tc>
          <w:tcPr>
            <w:tcW w:w="1319" w:type="dxa"/>
            <w:shd w:val="clear" w:color="auto" w:fill="808080" w:themeFill="background1" w:themeFillShade="80"/>
            <w:hideMark/>
          </w:tcPr>
          <w:p w14:paraId="779795E1" w14:textId="7A973DDD" w:rsidR="00A709FA" w:rsidRPr="00E46576" w:rsidRDefault="00A709FA" w:rsidP="00E46576">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 xml:space="preserve">Primary Diagnosis or </w:t>
            </w:r>
            <w:r w:rsidR="008E5254" w:rsidRPr="00E46576">
              <w:rPr>
                <w:rFonts w:ascii="Times New Roman" w:hAnsi="Times New Roman" w:cs="Times New Roman"/>
                <w:b/>
                <w:color w:val="FFFFFF" w:themeColor="background1"/>
                <w:sz w:val="20"/>
                <w:szCs w:val="20"/>
              </w:rPr>
              <w:t>comorbidity</w:t>
            </w:r>
            <w:r w:rsidRPr="00E46576">
              <w:rPr>
                <w:rFonts w:ascii="Times New Roman" w:hAnsi="Times New Roman" w:cs="Times New Roman"/>
                <w:b/>
                <w:color w:val="FFFFFF" w:themeColor="background1"/>
                <w:sz w:val="20"/>
                <w:szCs w:val="20"/>
              </w:rPr>
              <w:t xml:space="preserve"> index</w:t>
            </w:r>
          </w:p>
        </w:tc>
        <w:tc>
          <w:tcPr>
            <w:tcW w:w="1111" w:type="dxa"/>
            <w:shd w:val="clear" w:color="auto" w:fill="808080" w:themeFill="background1" w:themeFillShade="80"/>
            <w:hideMark/>
          </w:tcPr>
          <w:p w14:paraId="0D5DD99E" w14:textId="77777777" w:rsidR="00A709FA" w:rsidRPr="00E46576" w:rsidRDefault="00A709FA" w:rsidP="00E46576">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Illness Severity</w:t>
            </w:r>
          </w:p>
        </w:tc>
        <w:tc>
          <w:tcPr>
            <w:tcW w:w="990" w:type="dxa"/>
            <w:shd w:val="clear" w:color="auto" w:fill="808080" w:themeFill="background1" w:themeFillShade="80"/>
            <w:hideMark/>
          </w:tcPr>
          <w:p w14:paraId="6472460F" w14:textId="5826650C" w:rsidR="00A709FA" w:rsidRPr="00E46576" w:rsidRDefault="00A709FA" w:rsidP="00E46576">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 xml:space="preserve">Mental Health </w:t>
            </w:r>
            <w:r w:rsidR="008E5254" w:rsidRPr="00E46576">
              <w:rPr>
                <w:rFonts w:ascii="Times New Roman" w:hAnsi="Times New Roman" w:cs="Times New Roman"/>
                <w:b/>
                <w:color w:val="FFFFFF" w:themeColor="background1"/>
                <w:sz w:val="20"/>
                <w:szCs w:val="20"/>
              </w:rPr>
              <w:t>Comorbidities</w:t>
            </w:r>
          </w:p>
        </w:tc>
        <w:tc>
          <w:tcPr>
            <w:tcW w:w="1530" w:type="dxa"/>
            <w:shd w:val="clear" w:color="auto" w:fill="808080" w:themeFill="background1" w:themeFillShade="80"/>
            <w:hideMark/>
          </w:tcPr>
          <w:p w14:paraId="0EF6881E" w14:textId="77777777" w:rsidR="00A709FA" w:rsidRPr="00E46576" w:rsidRDefault="00A709FA" w:rsidP="00E46576">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Overall Health Status and Functional Status</w:t>
            </w:r>
          </w:p>
        </w:tc>
        <w:tc>
          <w:tcPr>
            <w:tcW w:w="1890" w:type="dxa"/>
            <w:shd w:val="clear" w:color="auto" w:fill="808080" w:themeFill="background1" w:themeFillShade="80"/>
            <w:hideMark/>
          </w:tcPr>
          <w:p w14:paraId="22D09222" w14:textId="77777777" w:rsidR="00A709FA" w:rsidRPr="00E46576" w:rsidRDefault="00A709FA" w:rsidP="00E46576">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Pre-Index Utilization</w:t>
            </w:r>
          </w:p>
        </w:tc>
      </w:tr>
      <w:tr w:rsidR="008E5254" w:rsidRPr="0086760B" w14:paraId="1AF7CDBE" w14:textId="77777777" w:rsidTr="00E46576">
        <w:trPr>
          <w:trHeight w:val="1670"/>
        </w:trPr>
        <w:tc>
          <w:tcPr>
            <w:tcW w:w="1309" w:type="dxa"/>
            <w:shd w:val="clear" w:color="auto" w:fill="BFBFBF" w:themeFill="background1" w:themeFillShade="BF"/>
            <w:hideMark/>
          </w:tcPr>
          <w:p w14:paraId="58F52246" w14:textId="7B5A97D0" w:rsidR="00A709FA" w:rsidRPr="00E46576" w:rsidRDefault="00E46576">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Domains</w:t>
            </w:r>
          </w:p>
        </w:tc>
        <w:tc>
          <w:tcPr>
            <w:tcW w:w="1102" w:type="dxa"/>
            <w:shd w:val="clear" w:color="auto" w:fill="BFBFBF" w:themeFill="background1" w:themeFillShade="BF"/>
            <w:hideMark/>
          </w:tcPr>
          <w:p w14:paraId="4F30C92C" w14:textId="3D1526F9" w:rsidR="00A709FA" w:rsidRPr="00E46576" w:rsidRDefault="00E46576">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w:t>
            </w:r>
            <w:r w:rsidR="00A709FA" w:rsidRPr="00E46576">
              <w:rPr>
                <w:rFonts w:ascii="Times New Roman" w:hAnsi="Times New Roman" w:cs="Times New Roman"/>
                <w:b/>
                <w:color w:val="FFFFFF" w:themeColor="background1"/>
                <w:sz w:val="20"/>
                <w:szCs w:val="20"/>
              </w:rPr>
              <w:t>ge, gender, race, living area</w:t>
            </w:r>
          </w:p>
        </w:tc>
        <w:tc>
          <w:tcPr>
            <w:tcW w:w="1999" w:type="dxa"/>
            <w:shd w:val="clear" w:color="auto" w:fill="BFBFBF" w:themeFill="background1" w:themeFillShade="BF"/>
            <w:hideMark/>
          </w:tcPr>
          <w:p w14:paraId="1DA26C7C" w14:textId="77777777" w:rsidR="00A709FA" w:rsidRPr="00E46576" w:rsidRDefault="00A709FA">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Income/Insurance/Employment, education, marital, caregiver, access to care, discharge location</w:t>
            </w:r>
          </w:p>
        </w:tc>
        <w:tc>
          <w:tcPr>
            <w:tcW w:w="1319" w:type="dxa"/>
            <w:shd w:val="clear" w:color="auto" w:fill="BFBFBF" w:themeFill="background1" w:themeFillShade="BF"/>
            <w:hideMark/>
          </w:tcPr>
          <w:p w14:paraId="7B28A02B" w14:textId="763608F2" w:rsidR="00A709FA" w:rsidRPr="00E46576" w:rsidRDefault="00E46576">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S</w:t>
            </w:r>
            <w:r w:rsidR="008E5254" w:rsidRPr="00E46576">
              <w:rPr>
                <w:rFonts w:ascii="Times New Roman" w:hAnsi="Times New Roman" w:cs="Times New Roman"/>
                <w:b/>
                <w:color w:val="FFFFFF" w:themeColor="background1"/>
                <w:sz w:val="20"/>
                <w:szCs w:val="20"/>
              </w:rPr>
              <w:t>pecific</w:t>
            </w:r>
            <w:r w:rsidR="00A709FA" w:rsidRPr="00E46576">
              <w:rPr>
                <w:rFonts w:ascii="Times New Roman" w:hAnsi="Times New Roman" w:cs="Times New Roman"/>
                <w:b/>
                <w:color w:val="FFFFFF" w:themeColor="background1"/>
                <w:sz w:val="20"/>
                <w:szCs w:val="20"/>
              </w:rPr>
              <w:t xml:space="preserve"> medical diagnoses or </w:t>
            </w:r>
            <w:r w:rsidR="008E5254" w:rsidRPr="00E46576">
              <w:rPr>
                <w:rFonts w:ascii="Times New Roman" w:hAnsi="Times New Roman" w:cs="Times New Roman"/>
                <w:b/>
                <w:color w:val="FFFFFF" w:themeColor="background1"/>
                <w:sz w:val="20"/>
                <w:szCs w:val="20"/>
              </w:rPr>
              <w:t>comorbidity</w:t>
            </w:r>
            <w:r w:rsidR="00A709FA" w:rsidRPr="00E46576">
              <w:rPr>
                <w:rFonts w:ascii="Times New Roman" w:hAnsi="Times New Roman" w:cs="Times New Roman"/>
                <w:b/>
                <w:color w:val="FFFFFF" w:themeColor="background1"/>
                <w:sz w:val="20"/>
                <w:szCs w:val="20"/>
              </w:rPr>
              <w:t xml:space="preserve"> index</w:t>
            </w:r>
          </w:p>
        </w:tc>
        <w:tc>
          <w:tcPr>
            <w:tcW w:w="1111" w:type="dxa"/>
            <w:shd w:val="clear" w:color="auto" w:fill="BFBFBF" w:themeFill="background1" w:themeFillShade="BF"/>
            <w:hideMark/>
          </w:tcPr>
          <w:p w14:paraId="60958AA1" w14:textId="05300CAF" w:rsidR="00A709FA" w:rsidRPr="00E46576" w:rsidRDefault="00E46576">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S</w:t>
            </w:r>
            <w:r w:rsidR="00A709FA" w:rsidRPr="00E46576">
              <w:rPr>
                <w:rFonts w:ascii="Times New Roman" w:hAnsi="Times New Roman" w:cs="Times New Roman"/>
                <w:b/>
                <w:color w:val="FFFFFF" w:themeColor="background1"/>
                <w:sz w:val="20"/>
                <w:szCs w:val="20"/>
              </w:rPr>
              <w:t>everity index, lab findings, others</w:t>
            </w:r>
          </w:p>
        </w:tc>
        <w:tc>
          <w:tcPr>
            <w:tcW w:w="990" w:type="dxa"/>
            <w:shd w:val="clear" w:color="auto" w:fill="BFBFBF" w:themeFill="background1" w:themeFillShade="BF"/>
            <w:hideMark/>
          </w:tcPr>
          <w:p w14:paraId="5919A692" w14:textId="77777777" w:rsidR="008E5254" w:rsidRPr="00E46576" w:rsidRDefault="00A709FA">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Mental Illness,</w:t>
            </w:r>
          </w:p>
          <w:p w14:paraId="63F429D0" w14:textId="4376E027" w:rsidR="00A709FA" w:rsidRPr="00E46576" w:rsidRDefault="00A709FA">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Substance/</w:t>
            </w:r>
            <w:r w:rsidR="008E5254" w:rsidRPr="00E46576">
              <w:rPr>
                <w:rFonts w:ascii="Times New Roman" w:hAnsi="Times New Roman" w:cs="Times New Roman"/>
                <w:b/>
                <w:color w:val="FFFFFF" w:themeColor="background1"/>
                <w:sz w:val="20"/>
                <w:szCs w:val="20"/>
              </w:rPr>
              <w:t>Alcohol</w:t>
            </w:r>
            <w:r w:rsidRPr="00E46576">
              <w:rPr>
                <w:rFonts w:ascii="Times New Roman" w:hAnsi="Times New Roman" w:cs="Times New Roman"/>
                <w:b/>
                <w:color w:val="FFFFFF" w:themeColor="background1"/>
                <w:sz w:val="20"/>
                <w:szCs w:val="20"/>
              </w:rPr>
              <w:t xml:space="preserve"> Use</w:t>
            </w:r>
          </w:p>
        </w:tc>
        <w:tc>
          <w:tcPr>
            <w:tcW w:w="1530" w:type="dxa"/>
            <w:shd w:val="clear" w:color="auto" w:fill="BFBFBF" w:themeFill="background1" w:themeFillShade="BF"/>
            <w:hideMark/>
          </w:tcPr>
          <w:p w14:paraId="680FA97E" w14:textId="74747587" w:rsidR="008E5254" w:rsidRPr="00E46576" w:rsidRDefault="00A709FA">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ADL dependent, and mobility, Self</w:t>
            </w:r>
            <w:r w:rsidR="00047A7D" w:rsidRPr="00E46576">
              <w:rPr>
                <w:rFonts w:ascii="Times New Roman" w:hAnsi="Times New Roman" w:cs="Times New Roman"/>
                <w:b/>
                <w:color w:val="FFFFFF" w:themeColor="background1"/>
                <w:sz w:val="20"/>
                <w:szCs w:val="20"/>
              </w:rPr>
              <w:t>-r</w:t>
            </w:r>
            <w:r w:rsidRPr="00E46576">
              <w:rPr>
                <w:rFonts w:ascii="Times New Roman" w:hAnsi="Times New Roman" w:cs="Times New Roman"/>
                <w:b/>
                <w:color w:val="FFFFFF" w:themeColor="background1"/>
                <w:sz w:val="20"/>
                <w:szCs w:val="20"/>
              </w:rPr>
              <w:t xml:space="preserve">eported Health, QoL, </w:t>
            </w:r>
            <w:r w:rsidR="008E5254" w:rsidRPr="00E46576">
              <w:rPr>
                <w:rFonts w:ascii="Times New Roman" w:hAnsi="Times New Roman" w:cs="Times New Roman"/>
                <w:b/>
                <w:color w:val="FFFFFF" w:themeColor="background1"/>
                <w:sz w:val="20"/>
                <w:szCs w:val="20"/>
              </w:rPr>
              <w:t>Cognitive</w:t>
            </w:r>
            <w:r w:rsidRPr="00E46576">
              <w:rPr>
                <w:rFonts w:ascii="Times New Roman" w:hAnsi="Times New Roman" w:cs="Times New Roman"/>
                <w:b/>
                <w:color w:val="FFFFFF" w:themeColor="background1"/>
                <w:sz w:val="20"/>
                <w:szCs w:val="20"/>
              </w:rPr>
              <w:t xml:space="preserve"> impairment,</w:t>
            </w:r>
          </w:p>
          <w:p w14:paraId="28F4FCE9" w14:textId="3BE638E4" w:rsidR="00A709FA" w:rsidRPr="00E46576" w:rsidRDefault="00A709FA">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Visual,</w:t>
            </w:r>
            <w:r w:rsidR="008E5254" w:rsidRPr="00E46576">
              <w:rPr>
                <w:rFonts w:ascii="Times New Roman" w:hAnsi="Times New Roman" w:cs="Times New Roman"/>
                <w:b/>
                <w:color w:val="FFFFFF" w:themeColor="background1"/>
                <w:sz w:val="20"/>
                <w:szCs w:val="20"/>
              </w:rPr>
              <w:t xml:space="preserve"> </w:t>
            </w:r>
            <w:r w:rsidRPr="00E46576">
              <w:rPr>
                <w:rFonts w:ascii="Times New Roman" w:hAnsi="Times New Roman" w:cs="Times New Roman"/>
                <w:b/>
                <w:color w:val="FFFFFF" w:themeColor="background1"/>
                <w:sz w:val="20"/>
                <w:szCs w:val="20"/>
              </w:rPr>
              <w:t>or hearing impairment</w:t>
            </w:r>
          </w:p>
        </w:tc>
        <w:tc>
          <w:tcPr>
            <w:tcW w:w="1890" w:type="dxa"/>
            <w:shd w:val="clear" w:color="auto" w:fill="BFBFBF" w:themeFill="background1" w:themeFillShade="BF"/>
            <w:hideMark/>
          </w:tcPr>
          <w:p w14:paraId="59974325" w14:textId="017BBBE7" w:rsidR="00A709FA" w:rsidRPr="00E46576" w:rsidRDefault="00A709FA">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ER Visits,</w:t>
            </w:r>
            <w:r w:rsidR="008E5254" w:rsidRPr="00E46576">
              <w:rPr>
                <w:rFonts w:ascii="Times New Roman" w:hAnsi="Times New Roman" w:cs="Times New Roman"/>
                <w:b/>
                <w:color w:val="FFFFFF" w:themeColor="background1"/>
                <w:sz w:val="20"/>
                <w:szCs w:val="20"/>
              </w:rPr>
              <w:t xml:space="preserve"> </w:t>
            </w:r>
            <w:r w:rsidR="00047A7D" w:rsidRPr="00E46576">
              <w:rPr>
                <w:rFonts w:ascii="Times New Roman" w:hAnsi="Times New Roman" w:cs="Times New Roman"/>
                <w:b/>
                <w:color w:val="FFFFFF" w:themeColor="background1"/>
                <w:sz w:val="20"/>
                <w:szCs w:val="20"/>
              </w:rPr>
              <w:t>Hospitalizations, Length</w:t>
            </w:r>
            <w:r w:rsidRPr="00E46576">
              <w:rPr>
                <w:rFonts w:ascii="Times New Roman" w:hAnsi="Times New Roman" w:cs="Times New Roman"/>
                <w:b/>
                <w:color w:val="FFFFFF" w:themeColor="background1"/>
                <w:sz w:val="20"/>
                <w:szCs w:val="20"/>
              </w:rPr>
              <w:t xml:space="preserve"> of </w:t>
            </w:r>
            <w:r w:rsidR="008E5254" w:rsidRPr="00E46576">
              <w:rPr>
                <w:rFonts w:ascii="Times New Roman" w:hAnsi="Times New Roman" w:cs="Times New Roman"/>
                <w:b/>
                <w:color w:val="FFFFFF" w:themeColor="background1"/>
                <w:sz w:val="20"/>
                <w:szCs w:val="20"/>
              </w:rPr>
              <w:t>Stay</w:t>
            </w:r>
            <w:r w:rsidRPr="00E46576">
              <w:rPr>
                <w:rFonts w:ascii="Times New Roman" w:hAnsi="Times New Roman" w:cs="Times New Roman"/>
                <w:b/>
                <w:color w:val="FFFFFF" w:themeColor="background1"/>
                <w:sz w:val="20"/>
                <w:szCs w:val="20"/>
              </w:rPr>
              <w:t>,</w:t>
            </w:r>
            <w:r w:rsidR="008E5254" w:rsidRPr="00E46576">
              <w:rPr>
                <w:rFonts w:ascii="Times New Roman" w:hAnsi="Times New Roman" w:cs="Times New Roman"/>
                <w:b/>
                <w:color w:val="FFFFFF" w:themeColor="background1"/>
                <w:sz w:val="20"/>
                <w:szCs w:val="20"/>
              </w:rPr>
              <w:t xml:space="preserve"> Clinical</w:t>
            </w:r>
            <w:r w:rsidRPr="00E46576">
              <w:rPr>
                <w:rFonts w:ascii="Times New Roman" w:hAnsi="Times New Roman" w:cs="Times New Roman"/>
                <w:b/>
                <w:color w:val="FFFFFF" w:themeColor="background1"/>
                <w:sz w:val="20"/>
                <w:szCs w:val="20"/>
              </w:rPr>
              <w:t xml:space="preserve"> Visits/Missed Clinic Visits</w:t>
            </w:r>
          </w:p>
        </w:tc>
      </w:tr>
      <w:tr w:rsidR="008E5254" w:rsidRPr="0086760B" w14:paraId="69051E9A" w14:textId="77777777" w:rsidTr="00047A7D">
        <w:trPr>
          <w:trHeight w:val="310"/>
        </w:trPr>
        <w:tc>
          <w:tcPr>
            <w:tcW w:w="1309" w:type="dxa"/>
            <w:hideMark/>
          </w:tcPr>
          <w:p w14:paraId="2F9CA9B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Kang et al, 2016</w:t>
            </w:r>
          </w:p>
        </w:tc>
        <w:tc>
          <w:tcPr>
            <w:tcW w:w="1102" w:type="dxa"/>
            <w:noWrap/>
            <w:hideMark/>
          </w:tcPr>
          <w:p w14:paraId="2826E9E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77E9283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46BA0274" w14:textId="3886CF33"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68FD08D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4E49CF4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00A13A6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444A149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r>
      <w:tr w:rsidR="008E5254" w:rsidRPr="0086760B" w14:paraId="373D4A57" w14:textId="77777777" w:rsidTr="00047A7D">
        <w:trPr>
          <w:trHeight w:val="310"/>
        </w:trPr>
        <w:tc>
          <w:tcPr>
            <w:tcW w:w="1309" w:type="dxa"/>
            <w:hideMark/>
          </w:tcPr>
          <w:p w14:paraId="0473EA4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Brom et al, 2019</w:t>
            </w:r>
          </w:p>
        </w:tc>
        <w:tc>
          <w:tcPr>
            <w:tcW w:w="1102" w:type="dxa"/>
            <w:noWrap/>
            <w:hideMark/>
          </w:tcPr>
          <w:p w14:paraId="6DEEF0E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029C51E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41FE636E" w14:textId="526E3D0A"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5739575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4DD98AE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2DB2FDB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46BC0CA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518F8FA0" w14:textId="77777777" w:rsidTr="00047A7D">
        <w:trPr>
          <w:trHeight w:val="310"/>
        </w:trPr>
        <w:tc>
          <w:tcPr>
            <w:tcW w:w="1309" w:type="dxa"/>
            <w:hideMark/>
          </w:tcPr>
          <w:p w14:paraId="4559BAE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Yeo et al, 2016</w:t>
            </w:r>
          </w:p>
        </w:tc>
        <w:tc>
          <w:tcPr>
            <w:tcW w:w="1102" w:type="dxa"/>
            <w:noWrap/>
            <w:hideMark/>
          </w:tcPr>
          <w:p w14:paraId="1E632A5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5D5B6AC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171CFA3D" w14:textId="3169B360"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4DB8BFB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43A09DB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03D01A9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61994F9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757F25D2" w14:textId="77777777" w:rsidTr="00047A7D">
        <w:trPr>
          <w:trHeight w:val="310"/>
        </w:trPr>
        <w:tc>
          <w:tcPr>
            <w:tcW w:w="1309" w:type="dxa"/>
            <w:hideMark/>
          </w:tcPr>
          <w:p w14:paraId="0B85CE4F"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Edgcomb</w:t>
            </w:r>
            <w:proofErr w:type="spellEnd"/>
            <w:r w:rsidRPr="0086760B">
              <w:rPr>
                <w:rFonts w:ascii="Times New Roman" w:hAnsi="Times New Roman" w:cs="Times New Roman"/>
                <w:sz w:val="20"/>
                <w:szCs w:val="20"/>
              </w:rPr>
              <w:t xml:space="preserve"> et al, 2019</w:t>
            </w:r>
          </w:p>
        </w:tc>
        <w:tc>
          <w:tcPr>
            <w:tcW w:w="1102" w:type="dxa"/>
            <w:noWrap/>
            <w:hideMark/>
          </w:tcPr>
          <w:p w14:paraId="274876B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21FFA91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6806CA4B" w14:textId="6224E920"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678B918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705A288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4DD0B58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5ACFEB3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165B4839" w14:textId="77777777" w:rsidTr="00047A7D">
        <w:trPr>
          <w:trHeight w:val="310"/>
        </w:trPr>
        <w:tc>
          <w:tcPr>
            <w:tcW w:w="1309" w:type="dxa"/>
            <w:hideMark/>
          </w:tcPr>
          <w:p w14:paraId="29DAD3C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Fisher et al, 2015</w:t>
            </w:r>
          </w:p>
        </w:tc>
        <w:tc>
          <w:tcPr>
            <w:tcW w:w="1102" w:type="dxa"/>
            <w:noWrap/>
            <w:hideMark/>
          </w:tcPr>
          <w:p w14:paraId="4AFABE0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1058D26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3A8BCA26" w14:textId="3502A908"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1FD6F7C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14EBB32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3144CBA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3746133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2F7AEEA4" w14:textId="77777777" w:rsidTr="00047A7D">
        <w:trPr>
          <w:trHeight w:val="310"/>
        </w:trPr>
        <w:tc>
          <w:tcPr>
            <w:tcW w:w="1309" w:type="dxa"/>
            <w:hideMark/>
          </w:tcPr>
          <w:p w14:paraId="46EE6B2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Jones et al,2019</w:t>
            </w:r>
          </w:p>
        </w:tc>
        <w:tc>
          <w:tcPr>
            <w:tcW w:w="1102" w:type="dxa"/>
            <w:noWrap/>
            <w:hideMark/>
          </w:tcPr>
          <w:p w14:paraId="4390A23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1EABC79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3F139FE7" w14:textId="327457B9"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6EEA2A6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286A525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11E5BD0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3591A53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3FFF4CD2" w14:textId="77777777" w:rsidTr="00047A7D">
        <w:trPr>
          <w:trHeight w:val="310"/>
        </w:trPr>
        <w:tc>
          <w:tcPr>
            <w:tcW w:w="1309" w:type="dxa"/>
            <w:hideMark/>
          </w:tcPr>
          <w:p w14:paraId="1A21D90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Hogan et al, 2019</w:t>
            </w:r>
          </w:p>
        </w:tc>
        <w:tc>
          <w:tcPr>
            <w:tcW w:w="1102" w:type="dxa"/>
            <w:noWrap/>
            <w:hideMark/>
          </w:tcPr>
          <w:p w14:paraId="1F8EC38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42EF9C1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7D43B881" w14:textId="679C0644"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2A0A15C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5FF1BF1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583BD83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0AE2F5E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30E1795D" w14:textId="77777777" w:rsidTr="00047A7D">
        <w:trPr>
          <w:trHeight w:val="310"/>
        </w:trPr>
        <w:tc>
          <w:tcPr>
            <w:tcW w:w="1309" w:type="dxa"/>
            <w:hideMark/>
          </w:tcPr>
          <w:p w14:paraId="4032E1D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Zack et al, 2019</w:t>
            </w:r>
          </w:p>
        </w:tc>
        <w:tc>
          <w:tcPr>
            <w:tcW w:w="1102" w:type="dxa"/>
            <w:noWrap/>
            <w:hideMark/>
          </w:tcPr>
          <w:p w14:paraId="7B0ECED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02230BB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15854912" w14:textId="62B1553E"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3550E5F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7B9449C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02DFC8A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5E20F19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199907B9" w14:textId="77777777" w:rsidTr="00047A7D">
        <w:trPr>
          <w:trHeight w:val="310"/>
        </w:trPr>
        <w:tc>
          <w:tcPr>
            <w:tcW w:w="1309" w:type="dxa"/>
            <w:hideMark/>
          </w:tcPr>
          <w:p w14:paraId="54F9BC2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Mahajan et al, 2016</w:t>
            </w:r>
          </w:p>
        </w:tc>
        <w:tc>
          <w:tcPr>
            <w:tcW w:w="1102" w:type="dxa"/>
            <w:noWrap/>
            <w:hideMark/>
          </w:tcPr>
          <w:p w14:paraId="0BB3F61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11F3B21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4D049E09" w14:textId="12CA8C4F"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452F8C2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4C204F3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0E8BE0C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273AE61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r>
      <w:tr w:rsidR="008E5254" w:rsidRPr="0086760B" w14:paraId="38AAEBAA" w14:textId="77777777" w:rsidTr="00047A7D">
        <w:trPr>
          <w:trHeight w:val="310"/>
        </w:trPr>
        <w:tc>
          <w:tcPr>
            <w:tcW w:w="1309" w:type="dxa"/>
            <w:hideMark/>
          </w:tcPr>
          <w:p w14:paraId="1ECA0D1D"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Xue</w:t>
            </w:r>
            <w:proofErr w:type="spellEnd"/>
            <w:r w:rsidRPr="0086760B">
              <w:rPr>
                <w:rFonts w:ascii="Times New Roman" w:hAnsi="Times New Roman" w:cs="Times New Roman"/>
                <w:sz w:val="20"/>
                <w:szCs w:val="20"/>
              </w:rPr>
              <w:t xml:space="preserve"> et al, 2019</w:t>
            </w:r>
          </w:p>
        </w:tc>
        <w:tc>
          <w:tcPr>
            <w:tcW w:w="1102" w:type="dxa"/>
            <w:noWrap/>
            <w:hideMark/>
          </w:tcPr>
          <w:p w14:paraId="4865E14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077F850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421E6402" w14:textId="57956A3B"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22EF891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5A6B854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69E4148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6DF3AFC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44580314" w14:textId="77777777" w:rsidTr="00047A7D">
        <w:trPr>
          <w:trHeight w:val="310"/>
        </w:trPr>
        <w:tc>
          <w:tcPr>
            <w:tcW w:w="1309" w:type="dxa"/>
            <w:hideMark/>
          </w:tcPr>
          <w:p w14:paraId="101F9D2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Mahajan et al, 2018</w:t>
            </w:r>
          </w:p>
        </w:tc>
        <w:tc>
          <w:tcPr>
            <w:tcW w:w="1102" w:type="dxa"/>
            <w:noWrap/>
            <w:hideMark/>
          </w:tcPr>
          <w:p w14:paraId="27DD4E3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700F6F4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1B2CA69A" w14:textId="5701315F"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1B00113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6CA1A92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10E2F0C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6D3C7B6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727E403D" w14:textId="77777777" w:rsidTr="00047A7D">
        <w:trPr>
          <w:trHeight w:val="310"/>
        </w:trPr>
        <w:tc>
          <w:tcPr>
            <w:tcW w:w="1309" w:type="dxa"/>
            <w:hideMark/>
          </w:tcPr>
          <w:p w14:paraId="7F7AE11E"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Kalagara</w:t>
            </w:r>
            <w:proofErr w:type="spellEnd"/>
            <w:r w:rsidRPr="0086760B">
              <w:rPr>
                <w:rFonts w:ascii="Times New Roman" w:hAnsi="Times New Roman" w:cs="Times New Roman"/>
                <w:sz w:val="20"/>
                <w:szCs w:val="20"/>
              </w:rPr>
              <w:t xml:space="preserve"> et al, 2019</w:t>
            </w:r>
          </w:p>
        </w:tc>
        <w:tc>
          <w:tcPr>
            <w:tcW w:w="1102" w:type="dxa"/>
            <w:noWrap/>
            <w:hideMark/>
          </w:tcPr>
          <w:p w14:paraId="281B275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34C1471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75D11B50" w14:textId="3C14E58E"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7211C3B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2E8E6D3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28FFDAA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7A74EB9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13625859" w14:textId="77777777" w:rsidTr="00047A7D">
        <w:trPr>
          <w:trHeight w:val="310"/>
        </w:trPr>
        <w:tc>
          <w:tcPr>
            <w:tcW w:w="1309" w:type="dxa"/>
            <w:hideMark/>
          </w:tcPr>
          <w:p w14:paraId="70735C4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Merrill et al, 2018</w:t>
            </w:r>
          </w:p>
        </w:tc>
        <w:tc>
          <w:tcPr>
            <w:tcW w:w="1102" w:type="dxa"/>
            <w:noWrap/>
            <w:hideMark/>
          </w:tcPr>
          <w:p w14:paraId="14A7A38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7E3836A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4D954D47" w14:textId="795E0E3C"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73C2880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08E8D88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67C742D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625C8B8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700000A0" w14:textId="77777777" w:rsidTr="00047A7D">
        <w:trPr>
          <w:trHeight w:val="310"/>
        </w:trPr>
        <w:tc>
          <w:tcPr>
            <w:tcW w:w="1309" w:type="dxa"/>
            <w:hideMark/>
          </w:tcPr>
          <w:p w14:paraId="3EE403A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Rojas et al, 2017</w:t>
            </w:r>
          </w:p>
        </w:tc>
        <w:tc>
          <w:tcPr>
            <w:tcW w:w="1102" w:type="dxa"/>
            <w:noWrap/>
            <w:hideMark/>
          </w:tcPr>
          <w:p w14:paraId="4C6E10A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358122A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361BD1B7" w14:textId="6337D262"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644919E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63742E4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7B21295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423B177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3C354B90" w14:textId="77777777" w:rsidTr="00047A7D">
        <w:trPr>
          <w:trHeight w:val="310"/>
        </w:trPr>
        <w:tc>
          <w:tcPr>
            <w:tcW w:w="1309" w:type="dxa"/>
            <w:hideMark/>
          </w:tcPr>
          <w:p w14:paraId="4B24F68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Chandra et al, 2019</w:t>
            </w:r>
          </w:p>
        </w:tc>
        <w:tc>
          <w:tcPr>
            <w:tcW w:w="1102" w:type="dxa"/>
            <w:noWrap/>
            <w:hideMark/>
          </w:tcPr>
          <w:p w14:paraId="6411A0C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1352046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4C7FC4E6" w14:textId="577D2EC3"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5CB1917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2326108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0655729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17192F3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158D08EB" w14:textId="77777777" w:rsidTr="00047A7D">
        <w:trPr>
          <w:trHeight w:val="310"/>
        </w:trPr>
        <w:tc>
          <w:tcPr>
            <w:tcW w:w="1309" w:type="dxa"/>
            <w:hideMark/>
          </w:tcPr>
          <w:p w14:paraId="63A0B372"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Pakbin</w:t>
            </w:r>
            <w:proofErr w:type="spellEnd"/>
            <w:r w:rsidRPr="0086760B">
              <w:rPr>
                <w:rFonts w:ascii="Times New Roman" w:hAnsi="Times New Roman" w:cs="Times New Roman"/>
                <w:sz w:val="20"/>
                <w:szCs w:val="20"/>
              </w:rPr>
              <w:t xml:space="preserve"> et al, 2018</w:t>
            </w:r>
          </w:p>
        </w:tc>
        <w:tc>
          <w:tcPr>
            <w:tcW w:w="1102" w:type="dxa"/>
            <w:noWrap/>
            <w:hideMark/>
          </w:tcPr>
          <w:p w14:paraId="2710F7F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51060A4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6FC66664" w14:textId="27D5FBD0"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2953078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7154DA5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5F488DE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7D78922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3AFFE17F" w14:textId="77777777" w:rsidTr="00047A7D">
        <w:trPr>
          <w:trHeight w:val="310"/>
        </w:trPr>
        <w:tc>
          <w:tcPr>
            <w:tcW w:w="1309" w:type="dxa"/>
            <w:hideMark/>
          </w:tcPr>
          <w:p w14:paraId="5E9BCBF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Salem et al, 2018</w:t>
            </w:r>
          </w:p>
        </w:tc>
        <w:tc>
          <w:tcPr>
            <w:tcW w:w="1102" w:type="dxa"/>
            <w:noWrap/>
            <w:hideMark/>
          </w:tcPr>
          <w:p w14:paraId="19EC2C6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1470405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31600F2F" w14:textId="08153182"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4D335AE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4633788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3FA2E13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66A74B4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2451961D" w14:textId="77777777" w:rsidTr="00047A7D">
        <w:trPr>
          <w:trHeight w:val="310"/>
        </w:trPr>
        <w:tc>
          <w:tcPr>
            <w:tcW w:w="1309" w:type="dxa"/>
            <w:hideMark/>
          </w:tcPr>
          <w:p w14:paraId="057AA4E6"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Rumshisky</w:t>
            </w:r>
            <w:proofErr w:type="spellEnd"/>
            <w:r w:rsidRPr="0086760B">
              <w:rPr>
                <w:rFonts w:ascii="Times New Roman" w:hAnsi="Times New Roman" w:cs="Times New Roman"/>
                <w:sz w:val="20"/>
                <w:szCs w:val="20"/>
              </w:rPr>
              <w:t xml:space="preserve"> et al, 2016</w:t>
            </w:r>
          </w:p>
        </w:tc>
        <w:tc>
          <w:tcPr>
            <w:tcW w:w="1102" w:type="dxa"/>
            <w:noWrap/>
            <w:hideMark/>
          </w:tcPr>
          <w:p w14:paraId="4D14C44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30BA9E8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02606681" w14:textId="4B37A625"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474924F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5C1B600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214111D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5857332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5E21001D" w14:textId="77777777" w:rsidTr="00047A7D">
        <w:trPr>
          <w:trHeight w:val="310"/>
        </w:trPr>
        <w:tc>
          <w:tcPr>
            <w:tcW w:w="1309" w:type="dxa"/>
            <w:hideMark/>
          </w:tcPr>
          <w:p w14:paraId="68F8AC8D"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Turgeman</w:t>
            </w:r>
            <w:proofErr w:type="spellEnd"/>
            <w:r w:rsidRPr="0086760B">
              <w:rPr>
                <w:rFonts w:ascii="Times New Roman" w:hAnsi="Times New Roman" w:cs="Times New Roman"/>
                <w:sz w:val="20"/>
                <w:szCs w:val="20"/>
              </w:rPr>
              <w:t xml:space="preserve"> et al, 2016</w:t>
            </w:r>
          </w:p>
        </w:tc>
        <w:tc>
          <w:tcPr>
            <w:tcW w:w="1102" w:type="dxa"/>
            <w:noWrap/>
            <w:hideMark/>
          </w:tcPr>
          <w:p w14:paraId="27008B2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5AE6CFD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63BFB322" w14:textId="2C930558"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4C48054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01FE69A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1827F9B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50A4D23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2C5963DB" w14:textId="77777777" w:rsidTr="00047A7D">
        <w:trPr>
          <w:trHeight w:val="310"/>
        </w:trPr>
        <w:tc>
          <w:tcPr>
            <w:tcW w:w="1309" w:type="dxa"/>
            <w:hideMark/>
          </w:tcPr>
          <w:p w14:paraId="330E2F9A"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Povalej</w:t>
            </w:r>
            <w:proofErr w:type="spellEnd"/>
            <w:r w:rsidRPr="0086760B">
              <w:rPr>
                <w:rFonts w:ascii="Times New Roman" w:hAnsi="Times New Roman" w:cs="Times New Roman"/>
                <w:sz w:val="20"/>
                <w:szCs w:val="20"/>
              </w:rPr>
              <w:t xml:space="preserve"> et al, 2017</w:t>
            </w:r>
          </w:p>
        </w:tc>
        <w:tc>
          <w:tcPr>
            <w:tcW w:w="1102" w:type="dxa"/>
            <w:noWrap/>
            <w:hideMark/>
          </w:tcPr>
          <w:p w14:paraId="4245035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6C9DAC4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77E79FF8" w14:textId="13316A3D"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0BF0EE8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34FA4C4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014D77A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13F4AB3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6000E04A" w14:textId="77777777" w:rsidTr="00047A7D">
        <w:trPr>
          <w:trHeight w:val="310"/>
        </w:trPr>
        <w:tc>
          <w:tcPr>
            <w:tcW w:w="1309" w:type="dxa"/>
            <w:hideMark/>
          </w:tcPr>
          <w:p w14:paraId="7C5885B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Mahajan et al, 2017</w:t>
            </w:r>
          </w:p>
        </w:tc>
        <w:tc>
          <w:tcPr>
            <w:tcW w:w="1102" w:type="dxa"/>
            <w:noWrap/>
            <w:hideMark/>
          </w:tcPr>
          <w:p w14:paraId="6B0F763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4B3625D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7755B20B" w14:textId="57176554"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2D9C382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5D22CFD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1B8D24C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10C7E74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697C93" w:rsidRPr="00E46576" w14:paraId="314D1B28" w14:textId="77777777" w:rsidTr="00977A5F">
        <w:trPr>
          <w:trHeight w:val="580"/>
        </w:trPr>
        <w:tc>
          <w:tcPr>
            <w:tcW w:w="1309" w:type="dxa"/>
            <w:shd w:val="clear" w:color="auto" w:fill="808080" w:themeFill="background1" w:themeFillShade="80"/>
            <w:hideMark/>
          </w:tcPr>
          <w:p w14:paraId="418A78ED"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lastRenderedPageBreak/>
              <w:t>Study</w:t>
            </w:r>
          </w:p>
        </w:tc>
        <w:tc>
          <w:tcPr>
            <w:tcW w:w="1102" w:type="dxa"/>
            <w:shd w:val="clear" w:color="auto" w:fill="808080" w:themeFill="background1" w:themeFillShade="80"/>
            <w:hideMark/>
          </w:tcPr>
          <w:p w14:paraId="784DF6C2" w14:textId="77777777" w:rsidR="00697C93" w:rsidRPr="00E46576" w:rsidRDefault="00697C93" w:rsidP="00977A5F">
            <w:pPr>
              <w:rPr>
                <w:rFonts w:ascii="Times New Roman" w:hAnsi="Times New Roman" w:cs="Times New Roman"/>
                <w:b/>
                <w:color w:val="FFFFFF" w:themeColor="background1"/>
                <w:sz w:val="20"/>
                <w:szCs w:val="20"/>
              </w:rPr>
            </w:pPr>
            <w:proofErr w:type="spellStart"/>
            <w:r w:rsidRPr="00E46576">
              <w:rPr>
                <w:rFonts w:ascii="Times New Roman" w:hAnsi="Times New Roman" w:cs="Times New Roman"/>
                <w:b/>
                <w:color w:val="FFFFFF" w:themeColor="background1"/>
                <w:sz w:val="20"/>
                <w:szCs w:val="20"/>
              </w:rPr>
              <w:t>Demogr-aphic</w:t>
            </w:r>
            <w:proofErr w:type="spellEnd"/>
          </w:p>
        </w:tc>
        <w:tc>
          <w:tcPr>
            <w:tcW w:w="1999" w:type="dxa"/>
            <w:shd w:val="clear" w:color="auto" w:fill="808080" w:themeFill="background1" w:themeFillShade="80"/>
            <w:hideMark/>
          </w:tcPr>
          <w:p w14:paraId="6200686F"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Social Determinants</w:t>
            </w:r>
          </w:p>
        </w:tc>
        <w:tc>
          <w:tcPr>
            <w:tcW w:w="1319" w:type="dxa"/>
            <w:shd w:val="clear" w:color="auto" w:fill="808080" w:themeFill="background1" w:themeFillShade="80"/>
            <w:hideMark/>
          </w:tcPr>
          <w:p w14:paraId="44B3632F"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Primary Diagnosis or comorbidity index</w:t>
            </w:r>
          </w:p>
        </w:tc>
        <w:tc>
          <w:tcPr>
            <w:tcW w:w="1111" w:type="dxa"/>
            <w:shd w:val="clear" w:color="auto" w:fill="808080" w:themeFill="background1" w:themeFillShade="80"/>
            <w:hideMark/>
          </w:tcPr>
          <w:p w14:paraId="30F0DB64"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Illness Severity</w:t>
            </w:r>
          </w:p>
        </w:tc>
        <w:tc>
          <w:tcPr>
            <w:tcW w:w="990" w:type="dxa"/>
            <w:shd w:val="clear" w:color="auto" w:fill="808080" w:themeFill="background1" w:themeFillShade="80"/>
            <w:hideMark/>
          </w:tcPr>
          <w:p w14:paraId="231D5296"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Mental Health Comorbidities</w:t>
            </w:r>
          </w:p>
        </w:tc>
        <w:tc>
          <w:tcPr>
            <w:tcW w:w="1530" w:type="dxa"/>
            <w:shd w:val="clear" w:color="auto" w:fill="808080" w:themeFill="background1" w:themeFillShade="80"/>
            <w:hideMark/>
          </w:tcPr>
          <w:p w14:paraId="36F6145E"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Overall Health Status and Functional Status</w:t>
            </w:r>
          </w:p>
        </w:tc>
        <w:tc>
          <w:tcPr>
            <w:tcW w:w="1890" w:type="dxa"/>
            <w:shd w:val="clear" w:color="auto" w:fill="808080" w:themeFill="background1" w:themeFillShade="80"/>
            <w:hideMark/>
          </w:tcPr>
          <w:p w14:paraId="197825C1"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Pre-Index Utilization</w:t>
            </w:r>
          </w:p>
        </w:tc>
      </w:tr>
      <w:tr w:rsidR="00697C93" w:rsidRPr="00E46576" w14:paraId="60D276E6" w14:textId="77777777" w:rsidTr="00977A5F">
        <w:trPr>
          <w:trHeight w:val="1670"/>
        </w:trPr>
        <w:tc>
          <w:tcPr>
            <w:tcW w:w="1309" w:type="dxa"/>
            <w:shd w:val="clear" w:color="auto" w:fill="BFBFBF" w:themeFill="background1" w:themeFillShade="BF"/>
            <w:hideMark/>
          </w:tcPr>
          <w:p w14:paraId="7617904A"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Domains</w:t>
            </w:r>
          </w:p>
        </w:tc>
        <w:tc>
          <w:tcPr>
            <w:tcW w:w="1102" w:type="dxa"/>
            <w:shd w:val="clear" w:color="auto" w:fill="BFBFBF" w:themeFill="background1" w:themeFillShade="BF"/>
            <w:hideMark/>
          </w:tcPr>
          <w:p w14:paraId="01076105" w14:textId="77777777" w:rsidR="00697C93" w:rsidRPr="00E46576" w:rsidRDefault="00697C93" w:rsidP="00977A5F">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w:t>
            </w:r>
            <w:r w:rsidRPr="00E46576">
              <w:rPr>
                <w:rFonts w:ascii="Times New Roman" w:hAnsi="Times New Roman" w:cs="Times New Roman"/>
                <w:b/>
                <w:color w:val="FFFFFF" w:themeColor="background1"/>
                <w:sz w:val="20"/>
                <w:szCs w:val="20"/>
              </w:rPr>
              <w:t>ge, gender, race, living area</w:t>
            </w:r>
          </w:p>
        </w:tc>
        <w:tc>
          <w:tcPr>
            <w:tcW w:w="1999" w:type="dxa"/>
            <w:shd w:val="clear" w:color="auto" w:fill="BFBFBF" w:themeFill="background1" w:themeFillShade="BF"/>
            <w:hideMark/>
          </w:tcPr>
          <w:p w14:paraId="1321B34B"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Income/Insurance/Employment, education, marital, caregiver, access to care, discharge location</w:t>
            </w:r>
          </w:p>
        </w:tc>
        <w:tc>
          <w:tcPr>
            <w:tcW w:w="1319" w:type="dxa"/>
            <w:shd w:val="clear" w:color="auto" w:fill="BFBFBF" w:themeFill="background1" w:themeFillShade="BF"/>
            <w:hideMark/>
          </w:tcPr>
          <w:p w14:paraId="0EE7F9C0" w14:textId="77777777" w:rsidR="00697C93" w:rsidRPr="00E46576" w:rsidRDefault="00697C93" w:rsidP="00977A5F">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S</w:t>
            </w:r>
            <w:r w:rsidRPr="00E46576">
              <w:rPr>
                <w:rFonts w:ascii="Times New Roman" w:hAnsi="Times New Roman" w:cs="Times New Roman"/>
                <w:b/>
                <w:color w:val="FFFFFF" w:themeColor="background1"/>
                <w:sz w:val="20"/>
                <w:szCs w:val="20"/>
              </w:rPr>
              <w:t>pecific medical diagnoses or comorbidity index</w:t>
            </w:r>
          </w:p>
        </w:tc>
        <w:tc>
          <w:tcPr>
            <w:tcW w:w="1111" w:type="dxa"/>
            <w:shd w:val="clear" w:color="auto" w:fill="BFBFBF" w:themeFill="background1" w:themeFillShade="BF"/>
            <w:hideMark/>
          </w:tcPr>
          <w:p w14:paraId="7464EDE3" w14:textId="77777777" w:rsidR="00697C93" w:rsidRPr="00E46576" w:rsidRDefault="00697C93" w:rsidP="00977A5F">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S</w:t>
            </w:r>
            <w:r w:rsidRPr="00E46576">
              <w:rPr>
                <w:rFonts w:ascii="Times New Roman" w:hAnsi="Times New Roman" w:cs="Times New Roman"/>
                <w:b/>
                <w:color w:val="FFFFFF" w:themeColor="background1"/>
                <w:sz w:val="20"/>
                <w:szCs w:val="20"/>
              </w:rPr>
              <w:t>everity index, lab findings, others</w:t>
            </w:r>
          </w:p>
        </w:tc>
        <w:tc>
          <w:tcPr>
            <w:tcW w:w="990" w:type="dxa"/>
            <w:shd w:val="clear" w:color="auto" w:fill="BFBFBF" w:themeFill="background1" w:themeFillShade="BF"/>
            <w:hideMark/>
          </w:tcPr>
          <w:p w14:paraId="5F070953"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Mental Illness,</w:t>
            </w:r>
          </w:p>
          <w:p w14:paraId="2BFD8DF2"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Substance/Alcohol Use</w:t>
            </w:r>
          </w:p>
        </w:tc>
        <w:tc>
          <w:tcPr>
            <w:tcW w:w="1530" w:type="dxa"/>
            <w:shd w:val="clear" w:color="auto" w:fill="BFBFBF" w:themeFill="background1" w:themeFillShade="BF"/>
            <w:hideMark/>
          </w:tcPr>
          <w:p w14:paraId="393B39C2"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ADL dependent, and mobility, Self-reported Health, QoL, Cognitive impairment,</w:t>
            </w:r>
          </w:p>
          <w:p w14:paraId="30238DD6"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Visual, or hearing impairment</w:t>
            </w:r>
          </w:p>
        </w:tc>
        <w:tc>
          <w:tcPr>
            <w:tcW w:w="1890" w:type="dxa"/>
            <w:shd w:val="clear" w:color="auto" w:fill="BFBFBF" w:themeFill="background1" w:themeFillShade="BF"/>
            <w:hideMark/>
          </w:tcPr>
          <w:p w14:paraId="5F0513B9"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ER Visits, Hospitalizations, Length of Stay, Clinical Visits/Missed Clinic Visits</w:t>
            </w:r>
          </w:p>
        </w:tc>
      </w:tr>
      <w:tr w:rsidR="008E5254" w:rsidRPr="0086760B" w14:paraId="659F02CA" w14:textId="77777777" w:rsidTr="00047A7D">
        <w:trPr>
          <w:trHeight w:val="310"/>
        </w:trPr>
        <w:tc>
          <w:tcPr>
            <w:tcW w:w="1309" w:type="dxa"/>
            <w:hideMark/>
          </w:tcPr>
          <w:p w14:paraId="1CA971F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Nakamura et al, 2019</w:t>
            </w:r>
          </w:p>
        </w:tc>
        <w:tc>
          <w:tcPr>
            <w:tcW w:w="1102" w:type="dxa"/>
            <w:noWrap/>
            <w:hideMark/>
          </w:tcPr>
          <w:p w14:paraId="2B86E17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70842A9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1962713F" w14:textId="3DB91CC8"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709F2C9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257D96B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5E0C7F0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20728D2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6451BBD5" w14:textId="77777777" w:rsidTr="00047A7D">
        <w:trPr>
          <w:trHeight w:val="320"/>
        </w:trPr>
        <w:tc>
          <w:tcPr>
            <w:tcW w:w="1309" w:type="dxa"/>
            <w:hideMark/>
          </w:tcPr>
          <w:p w14:paraId="203ADA7F"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Ehwerhemuepha</w:t>
            </w:r>
            <w:proofErr w:type="spellEnd"/>
            <w:r w:rsidRPr="0086760B">
              <w:rPr>
                <w:rFonts w:ascii="Times New Roman" w:hAnsi="Times New Roman" w:cs="Times New Roman"/>
                <w:sz w:val="20"/>
                <w:szCs w:val="20"/>
              </w:rPr>
              <w:t xml:space="preserve"> et al, 2020</w:t>
            </w:r>
          </w:p>
        </w:tc>
        <w:tc>
          <w:tcPr>
            <w:tcW w:w="1102" w:type="dxa"/>
            <w:noWrap/>
            <w:hideMark/>
          </w:tcPr>
          <w:p w14:paraId="0CDD0F2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179C37C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5F145529" w14:textId="567BBB39"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2A13E28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57E55C2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150E517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615711C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1ACF102D" w14:textId="77777777" w:rsidTr="00047A7D">
        <w:trPr>
          <w:trHeight w:val="320"/>
        </w:trPr>
        <w:tc>
          <w:tcPr>
            <w:tcW w:w="1309" w:type="dxa"/>
            <w:hideMark/>
          </w:tcPr>
          <w:p w14:paraId="2E9FD19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Tong et al, 2016</w:t>
            </w:r>
          </w:p>
        </w:tc>
        <w:tc>
          <w:tcPr>
            <w:tcW w:w="1102" w:type="dxa"/>
            <w:noWrap/>
            <w:hideMark/>
          </w:tcPr>
          <w:p w14:paraId="4438675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42E089F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3B1A502E" w14:textId="68550C8E"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7B82C10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6235602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34B75E6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79ADC79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51AB11AF" w14:textId="77777777" w:rsidTr="00047A7D">
        <w:trPr>
          <w:trHeight w:val="310"/>
        </w:trPr>
        <w:tc>
          <w:tcPr>
            <w:tcW w:w="1309" w:type="dxa"/>
            <w:hideMark/>
          </w:tcPr>
          <w:p w14:paraId="14AC4ED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McKinley et al, 2018</w:t>
            </w:r>
          </w:p>
        </w:tc>
        <w:tc>
          <w:tcPr>
            <w:tcW w:w="1102" w:type="dxa"/>
            <w:noWrap/>
            <w:hideMark/>
          </w:tcPr>
          <w:p w14:paraId="315A36D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6CF5FB8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33BEE001" w14:textId="3521B5B0"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3CA4535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071D12C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0167548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7421D9B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49B5B9AD" w14:textId="77777777" w:rsidTr="00047A7D">
        <w:trPr>
          <w:trHeight w:val="310"/>
        </w:trPr>
        <w:tc>
          <w:tcPr>
            <w:tcW w:w="1309" w:type="dxa"/>
            <w:hideMark/>
          </w:tcPr>
          <w:p w14:paraId="2AD24CD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Kulkarni et al, 2016</w:t>
            </w:r>
          </w:p>
        </w:tc>
        <w:tc>
          <w:tcPr>
            <w:tcW w:w="1102" w:type="dxa"/>
            <w:noWrap/>
            <w:hideMark/>
          </w:tcPr>
          <w:p w14:paraId="60DB1EB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51360BF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21754F55" w14:textId="6C18C294"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2C71327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0DAAD19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6D380C3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1A3A4D5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5F706BF8" w14:textId="77777777" w:rsidTr="00047A7D">
        <w:trPr>
          <w:trHeight w:val="310"/>
        </w:trPr>
        <w:tc>
          <w:tcPr>
            <w:tcW w:w="1309" w:type="dxa"/>
            <w:hideMark/>
          </w:tcPr>
          <w:p w14:paraId="5BA10F1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Goyal et al, 2019</w:t>
            </w:r>
          </w:p>
        </w:tc>
        <w:tc>
          <w:tcPr>
            <w:tcW w:w="1102" w:type="dxa"/>
            <w:noWrap/>
            <w:hideMark/>
          </w:tcPr>
          <w:p w14:paraId="4CCCDF1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6A983BB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6D38CA8D" w14:textId="14998389"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36BF7DF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6B4FE7D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737EC42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6138E9D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r>
      <w:tr w:rsidR="008E5254" w:rsidRPr="0086760B" w14:paraId="759ED595" w14:textId="77777777" w:rsidTr="00047A7D">
        <w:trPr>
          <w:trHeight w:val="380"/>
        </w:trPr>
        <w:tc>
          <w:tcPr>
            <w:tcW w:w="1309" w:type="dxa"/>
            <w:hideMark/>
          </w:tcPr>
          <w:p w14:paraId="76EAFB2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Garcia-Acre et al, 2018</w:t>
            </w:r>
          </w:p>
        </w:tc>
        <w:tc>
          <w:tcPr>
            <w:tcW w:w="1102" w:type="dxa"/>
            <w:noWrap/>
            <w:hideMark/>
          </w:tcPr>
          <w:p w14:paraId="2FB132B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3BF3C84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125773A3" w14:textId="25E71884"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3FFBE2E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3D3C4B4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4D1FAAD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52E9FD1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4FA72950" w14:textId="77777777" w:rsidTr="00047A7D">
        <w:trPr>
          <w:trHeight w:val="350"/>
        </w:trPr>
        <w:tc>
          <w:tcPr>
            <w:tcW w:w="1309" w:type="dxa"/>
            <w:hideMark/>
          </w:tcPr>
          <w:p w14:paraId="6974B5D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Mortazavi et al, 2016</w:t>
            </w:r>
          </w:p>
        </w:tc>
        <w:tc>
          <w:tcPr>
            <w:tcW w:w="1102" w:type="dxa"/>
            <w:noWrap/>
            <w:hideMark/>
          </w:tcPr>
          <w:p w14:paraId="3D716EC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43B4529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77D13375" w14:textId="11471E43"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2FB0101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1065C3C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2B14947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890" w:type="dxa"/>
            <w:noWrap/>
            <w:hideMark/>
          </w:tcPr>
          <w:p w14:paraId="4F8F832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591A2155" w14:textId="77777777" w:rsidTr="00047A7D">
        <w:trPr>
          <w:trHeight w:val="310"/>
        </w:trPr>
        <w:tc>
          <w:tcPr>
            <w:tcW w:w="1309" w:type="dxa"/>
            <w:hideMark/>
          </w:tcPr>
          <w:p w14:paraId="5AE8BA1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Frizzell et al, 2017</w:t>
            </w:r>
          </w:p>
        </w:tc>
        <w:tc>
          <w:tcPr>
            <w:tcW w:w="1102" w:type="dxa"/>
            <w:noWrap/>
            <w:hideMark/>
          </w:tcPr>
          <w:p w14:paraId="2D3861B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6708B2D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53C2DA3F" w14:textId="48CC5FD4"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753B766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053B481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4E4A0E3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0A1169F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36B048E2" w14:textId="77777777" w:rsidTr="00047A7D">
        <w:trPr>
          <w:trHeight w:val="310"/>
        </w:trPr>
        <w:tc>
          <w:tcPr>
            <w:tcW w:w="1309" w:type="dxa"/>
            <w:hideMark/>
          </w:tcPr>
          <w:p w14:paraId="5A7DB17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Eckert et al, 2018</w:t>
            </w:r>
          </w:p>
        </w:tc>
        <w:tc>
          <w:tcPr>
            <w:tcW w:w="1102" w:type="dxa"/>
            <w:noWrap/>
            <w:hideMark/>
          </w:tcPr>
          <w:p w14:paraId="230DF82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69F696E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34093EB1" w14:textId="04067088"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61B6ED6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41BE983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47E1F28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42223DF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14981AB5" w14:textId="77777777" w:rsidTr="00047A7D">
        <w:trPr>
          <w:trHeight w:val="310"/>
        </w:trPr>
        <w:tc>
          <w:tcPr>
            <w:tcW w:w="1309" w:type="dxa"/>
            <w:hideMark/>
          </w:tcPr>
          <w:p w14:paraId="23E8CE4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Lodhi et al, 2017</w:t>
            </w:r>
          </w:p>
        </w:tc>
        <w:tc>
          <w:tcPr>
            <w:tcW w:w="1102" w:type="dxa"/>
            <w:noWrap/>
            <w:hideMark/>
          </w:tcPr>
          <w:p w14:paraId="353D90B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15E6AFE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4DF6F374" w14:textId="562B8354"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15E68E5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48F0953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5098925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0832815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142B30BC" w14:textId="77777777" w:rsidTr="00047A7D">
        <w:trPr>
          <w:trHeight w:val="310"/>
        </w:trPr>
        <w:tc>
          <w:tcPr>
            <w:tcW w:w="1309" w:type="dxa"/>
            <w:hideMark/>
          </w:tcPr>
          <w:p w14:paraId="2A454528"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Jamei</w:t>
            </w:r>
            <w:proofErr w:type="spellEnd"/>
            <w:r w:rsidRPr="0086760B">
              <w:rPr>
                <w:rFonts w:ascii="Times New Roman" w:hAnsi="Times New Roman" w:cs="Times New Roman"/>
                <w:sz w:val="20"/>
                <w:szCs w:val="20"/>
              </w:rPr>
              <w:t xml:space="preserve"> et al, 2017</w:t>
            </w:r>
          </w:p>
        </w:tc>
        <w:tc>
          <w:tcPr>
            <w:tcW w:w="1102" w:type="dxa"/>
            <w:noWrap/>
            <w:hideMark/>
          </w:tcPr>
          <w:p w14:paraId="3E7ADA3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0A130D5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17F25D8D" w14:textId="3FFE328A"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47FBB97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1F081DB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1568FAD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776C635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18A75922" w14:textId="77777777" w:rsidTr="00047A7D">
        <w:trPr>
          <w:trHeight w:val="340"/>
        </w:trPr>
        <w:tc>
          <w:tcPr>
            <w:tcW w:w="1309" w:type="dxa"/>
            <w:hideMark/>
          </w:tcPr>
          <w:p w14:paraId="57F95E28"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Welchowski</w:t>
            </w:r>
            <w:proofErr w:type="spellEnd"/>
            <w:r w:rsidRPr="0086760B">
              <w:rPr>
                <w:rFonts w:ascii="Times New Roman" w:hAnsi="Times New Roman" w:cs="Times New Roman"/>
                <w:sz w:val="20"/>
                <w:szCs w:val="20"/>
              </w:rPr>
              <w:t xml:space="preserve"> et al, 2016</w:t>
            </w:r>
          </w:p>
        </w:tc>
        <w:tc>
          <w:tcPr>
            <w:tcW w:w="1102" w:type="dxa"/>
            <w:noWrap/>
            <w:hideMark/>
          </w:tcPr>
          <w:p w14:paraId="149E17C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1002C85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55CCA166" w14:textId="28176D10"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2658A03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3106655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5D6AD03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65C383E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5D8E9915" w14:textId="77777777" w:rsidTr="00047A7D">
        <w:trPr>
          <w:trHeight w:val="310"/>
        </w:trPr>
        <w:tc>
          <w:tcPr>
            <w:tcW w:w="1309" w:type="dxa"/>
            <w:hideMark/>
          </w:tcPr>
          <w:p w14:paraId="671333A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Wang et al. 2018</w:t>
            </w:r>
          </w:p>
        </w:tc>
        <w:tc>
          <w:tcPr>
            <w:tcW w:w="1102" w:type="dxa"/>
            <w:noWrap/>
            <w:hideMark/>
          </w:tcPr>
          <w:p w14:paraId="66B0B63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244BA9E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05C122A4" w14:textId="47B440B5"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5D5A916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7688A2C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72D9E3B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2C01D67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37EC8D95" w14:textId="77777777" w:rsidTr="00047A7D">
        <w:trPr>
          <w:trHeight w:val="310"/>
        </w:trPr>
        <w:tc>
          <w:tcPr>
            <w:tcW w:w="1309" w:type="dxa"/>
            <w:hideMark/>
          </w:tcPr>
          <w:p w14:paraId="4293976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Hopkins et al, 2019</w:t>
            </w:r>
          </w:p>
        </w:tc>
        <w:tc>
          <w:tcPr>
            <w:tcW w:w="1102" w:type="dxa"/>
            <w:noWrap/>
            <w:hideMark/>
          </w:tcPr>
          <w:p w14:paraId="3323AC3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7A92D8D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6E9519D9" w14:textId="0856C308"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690D9C2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4A2B996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05A897C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2FD2755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0F58D440" w14:textId="77777777" w:rsidTr="00047A7D">
        <w:trPr>
          <w:trHeight w:val="310"/>
        </w:trPr>
        <w:tc>
          <w:tcPr>
            <w:tcW w:w="1309" w:type="dxa"/>
            <w:hideMark/>
          </w:tcPr>
          <w:p w14:paraId="09005417"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Golas</w:t>
            </w:r>
            <w:proofErr w:type="spellEnd"/>
            <w:r w:rsidRPr="0086760B">
              <w:rPr>
                <w:rFonts w:ascii="Times New Roman" w:hAnsi="Times New Roman" w:cs="Times New Roman"/>
                <w:sz w:val="20"/>
                <w:szCs w:val="20"/>
              </w:rPr>
              <w:t xml:space="preserve"> et al, 2018 </w:t>
            </w:r>
          </w:p>
        </w:tc>
        <w:tc>
          <w:tcPr>
            <w:tcW w:w="1102" w:type="dxa"/>
            <w:noWrap/>
            <w:hideMark/>
          </w:tcPr>
          <w:p w14:paraId="6CA6AA5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50E2412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12EA0B6D" w14:textId="162E6C9B"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37C5060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1C85F61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530" w:type="dxa"/>
            <w:noWrap/>
            <w:hideMark/>
          </w:tcPr>
          <w:p w14:paraId="5A3DBFB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0DF1C68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7926E44E" w14:textId="77777777" w:rsidTr="00047A7D">
        <w:trPr>
          <w:trHeight w:val="310"/>
        </w:trPr>
        <w:tc>
          <w:tcPr>
            <w:tcW w:w="1309" w:type="dxa"/>
            <w:hideMark/>
          </w:tcPr>
          <w:p w14:paraId="5DD3541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Reddy et al, 2018</w:t>
            </w:r>
          </w:p>
        </w:tc>
        <w:tc>
          <w:tcPr>
            <w:tcW w:w="1102" w:type="dxa"/>
            <w:noWrap/>
            <w:hideMark/>
          </w:tcPr>
          <w:p w14:paraId="0F4EFDE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6470770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4993A3D5" w14:textId="1021DADE"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4000FD1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00FB407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41E4E38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04F9AB2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7DA6E51F" w14:textId="77777777" w:rsidTr="00047A7D">
        <w:trPr>
          <w:trHeight w:val="310"/>
        </w:trPr>
        <w:tc>
          <w:tcPr>
            <w:tcW w:w="1309" w:type="dxa"/>
            <w:hideMark/>
          </w:tcPr>
          <w:p w14:paraId="641183F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Xiao et al, 2018</w:t>
            </w:r>
          </w:p>
        </w:tc>
        <w:tc>
          <w:tcPr>
            <w:tcW w:w="1102" w:type="dxa"/>
            <w:noWrap/>
            <w:hideMark/>
          </w:tcPr>
          <w:p w14:paraId="0EFF74E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79350FF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03B28A91" w14:textId="1DBE8C6B"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737A9EA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4226A0C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5EF1C54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7C2A4BB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63DC0002" w14:textId="77777777" w:rsidTr="00047A7D">
        <w:trPr>
          <w:trHeight w:val="310"/>
        </w:trPr>
        <w:tc>
          <w:tcPr>
            <w:tcW w:w="1309" w:type="dxa"/>
            <w:hideMark/>
          </w:tcPr>
          <w:p w14:paraId="06B0C10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Lin et al, 2019</w:t>
            </w:r>
          </w:p>
        </w:tc>
        <w:tc>
          <w:tcPr>
            <w:tcW w:w="1102" w:type="dxa"/>
            <w:noWrap/>
            <w:hideMark/>
          </w:tcPr>
          <w:p w14:paraId="45EA49F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48245E7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364833D3" w14:textId="362ACBD4"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0AF8FB8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0CD5FD4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0863409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62B20E5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17D5D5B8" w14:textId="77777777" w:rsidTr="00047A7D">
        <w:trPr>
          <w:trHeight w:val="310"/>
        </w:trPr>
        <w:tc>
          <w:tcPr>
            <w:tcW w:w="1309" w:type="dxa"/>
            <w:hideMark/>
          </w:tcPr>
          <w:p w14:paraId="09F92A9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Allam et al, 2019</w:t>
            </w:r>
          </w:p>
        </w:tc>
        <w:tc>
          <w:tcPr>
            <w:tcW w:w="1102" w:type="dxa"/>
            <w:noWrap/>
            <w:hideMark/>
          </w:tcPr>
          <w:p w14:paraId="36E4935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79F637D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319" w:type="dxa"/>
            <w:noWrap/>
            <w:hideMark/>
          </w:tcPr>
          <w:p w14:paraId="75C82F61" w14:textId="2FA29CF9"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1BCE902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990" w:type="dxa"/>
            <w:noWrap/>
            <w:hideMark/>
          </w:tcPr>
          <w:p w14:paraId="5E7D020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7CC2D86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59F49A7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8E5254" w:rsidRPr="0086760B" w14:paraId="622227CA" w14:textId="77777777" w:rsidTr="00047A7D">
        <w:trPr>
          <w:trHeight w:val="310"/>
        </w:trPr>
        <w:tc>
          <w:tcPr>
            <w:tcW w:w="1309" w:type="dxa"/>
            <w:hideMark/>
          </w:tcPr>
          <w:p w14:paraId="0174A03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Min et al. 2019</w:t>
            </w:r>
          </w:p>
        </w:tc>
        <w:tc>
          <w:tcPr>
            <w:tcW w:w="1102" w:type="dxa"/>
            <w:noWrap/>
            <w:hideMark/>
          </w:tcPr>
          <w:p w14:paraId="7232B2B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1E002AA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0770D87B" w14:textId="427220CE"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0F2DA6A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655FF2F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2CF8EFC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6514984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697C93" w:rsidRPr="00E46576" w14:paraId="2634C80D" w14:textId="77777777" w:rsidTr="00977A5F">
        <w:trPr>
          <w:trHeight w:val="580"/>
        </w:trPr>
        <w:tc>
          <w:tcPr>
            <w:tcW w:w="1309" w:type="dxa"/>
            <w:shd w:val="clear" w:color="auto" w:fill="808080" w:themeFill="background1" w:themeFillShade="80"/>
            <w:hideMark/>
          </w:tcPr>
          <w:p w14:paraId="0ED68CF6"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lastRenderedPageBreak/>
              <w:t>Study</w:t>
            </w:r>
          </w:p>
        </w:tc>
        <w:tc>
          <w:tcPr>
            <w:tcW w:w="1102" w:type="dxa"/>
            <w:shd w:val="clear" w:color="auto" w:fill="808080" w:themeFill="background1" w:themeFillShade="80"/>
            <w:hideMark/>
          </w:tcPr>
          <w:p w14:paraId="57EA6FD7" w14:textId="77777777" w:rsidR="00697C93" w:rsidRPr="00E46576" w:rsidRDefault="00697C93" w:rsidP="00977A5F">
            <w:pPr>
              <w:rPr>
                <w:rFonts w:ascii="Times New Roman" w:hAnsi="Times New Roman" w:cs="Times New Roman"/>
                <w:b/>
                <w:color w:val="FFFFFF" w:themeColor="background1"/>
                <w:sz w:val="20"/>
                <w:szCs w:val="20"/>
              </w:rPr>
            </w:pPr>
            <w:proofErr w:type="spellStart"/>
            <w:r w:rsidRPr="00E46576">
              <w:rPr>
                <w:rFonts w:ascii="Times New Roman" w:hAnsi="Times New Roman" w:cs="Times New Roman"/>
                <w:b/>
                <w:color w:val="FFFFFF" w:themeColor="background1"/>
                <w:sz w:val="20"/>
                <w:szCs w:val="20"/>
              </w:rPr>
              <w:t>Demogr-aphic</w:t>
            </w:r>
            <w:proofErr w:type="spellEnd"/>
          </w:p>
        </w:tc>
        <w:tc>
          <w:tcPr>
            <w:tcW w:w="1999" w:type="dxa"/>
            <w:shd w:val="clear" w:color="auto" w:fill="808080" w:themeFill="background1" w:themeFillShade="80"/>
            <w:hideMark/>
          </w:tcPr>
          <w:p w14:paraId="57D166F7"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Social Determinants</w:t>
            </w:r>
          </w:p>
        </w:tc>
        <w:tc>
          <w:tcPr>
            <w:tcW w:w="1319" w:type="dxa"/>
            <w:shd w:val="clear" w:color="auto" w:fill="808080" w:themeFill="background1" w:themeFillShade="80"/>
            <w:hideMark/>
          </w:tcPr>
          <w:p w14:paraId="17680619"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Primary Diagnosis or comorbidity index</w:t>
            </w:r>
          </w:p>
        </w:tc>
        <w:tc>
          <w:tcPr>
            <w:tcW w:w="1111" w:type="dxa"/>
            <w:shd w:val="clear" w:color="auto" w:fill="808080" w:themeFill="background1" w:themeFillShade="80"/>
            <w:hideMark/>
          </w:tcPr>
          <w:p w14:paraId="0CBEA3EF"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Illness Severity</w:t>
            </w:r>
          </w:p>
        </w:tc>
        <w:tc>
          <w:tcPr>
            <w:tcW w:w="990" w:type="dxa"/>
            <w:shd w:val="clear" w:color="auto" w:fill="808080" w:themeFill="background1" w:themeFillShade="80"/>
            <w:hideMark/>
          </w:tcPr>
          <w:p w14:paraId="08A3B9CE"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Mental Health Comorbidities</w:t>
            </w:r>
          </w:p>
        </w:tc>
        <w:tc>
          <w:tcPr>
            <w:tcW w:w="1530" w:type="dxa"/>
            <w:shd w:val="clear" w:color="auto" w:fill="808080" w:themeFill="background1" w:themeFillShade="80"/>
            <w:hideMark/>
          </w:tcPr>
          <w:p w14:paraId="0C1BCD3C"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Overall Health Status and Functional Status</w:t>
            </w:r>
          </w:p>
        </w:tc>
        <w:tc>
          <w:tcPr>
            <w:tcW w:w="1890" w:type="dxa"/>
            <w:shd w:val="clear" w:color="auto" w:fill="808080" w:themeFill="background1" w:themeFillShade="80"/>
            <w:hideMark/>
          </w:tcPr>
          <w:p w14:paraId="219D2F85"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Pre-Index Utilization</w:t>
            </w:r>
          </w:p>
        </w:tc>
      </w:tr>
      <w:tr w:rsidR="00697C93" w:rsidRPr="00E46576" w14:paraId="7B8B00BA" w14:textId="77777777" w:rsidTr="00977A5F">
        <w:trPr>
          <w:trHeight w:val="1670"/>
        </w:trPr>
        <w:tc>
          <w:tcPr>
            <w:tcW w:w="1309" w:type="dxa"/>
            <w:shd w:val="clear" w:color="auto" w:fill="BFBFBF" w:themeFill="background1" w:themeFillShade="BF"/>
            <w:hideMark/>
          </w:tcPr>
          <w:p w14:paraId="51EB602E"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Domains</w:t>
            </w:r>
          </w:p>
        </w:tc>
        <w:tc>
          <w:tcPr>
            <w:tcW w:w="1102" w:type="dxa"/>
            <w:shd w:val="clear" w:color="auto" w:fill="BFBFBF" w:themeFill="background1" w:themeFillShade="BF"/>
            <w:hideMark/>
          </w:tcPr>
          <w:p w14:paraId="4DD5AD29" w14:textId="77777777" w:rsidR="00697C93" w:rsidRPr="00E46576" w:rsidRDefault="00697C93" w:rsidP="00977A5F">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w:t>
            </w:r>
            <w:r w:rsidRPr="00E46576">
              <w:rPr>
                <w:rFonts w:ascii="Times New Roman" w:hAnsi="Times New Roman" w:cs="Times New Roman"/>
                <w:b/>
                <w:color w:val="FFFFFF" w:themeColor="background1"/>
                <w:sz w:val="20"/>
                <w:szCs w:val="20"/>
              </w:rPr>
              <w:t>ge, gender, race, living area</w:t>
            </w:r>
          </w:p>
        </w:tc>
        <w:tc>
          <w:tcPr>
            <w:tcW w:w="1999" w:type="dxa"/>
            <w:shd w:val="clear" w:color="auto" w:fill="BFBFBF" w:themeFill="background1" w:themeFillShade="BF"/>
            <w:hideMark/>
          </w:tcPr>
          <w:p w14:paraId="1960DFAE"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Income/Insurance/Employment, education, marital, caregiver, access to care, discharge location</w:t>
            </w:r>
          </w:p>
        </w:tc>
        <w:tc>
          <w:tcPr>
            <w:tcW w:w="1319" w:type="dxa"/>
            <w:shd w:val="clear" w:color="auto" w:fill="BFBFBF" w:themeFill="background1" w:themeFillShade="BF"/>
            <w:hideMark/>
          </w:tcPr>
          <w:p w14:paraId="3471CB43" w14:textId="77777777" w:rsidR="00697C93" w:rsidRPr="00E46576" w:rsidRDefault="00697C93" w:rsidP="00977A5F">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S</w:t>
            </w:r>
            <w:r w:rsidRPr="00E46576">
              <w:rPr>
                <w:rFonts w:ascii="Times New Roman" w:hAnsi="Times New Roman" w:cs="Times New Roman"/>
                <w:b/>
                <w:color w:val="FFFFFF" w:themeColor="background1"/>
                <w:sz w:val="20"/>
                <w:szCs w:val="20"/>
              </w:rPr>
              <w:t>pecific medical diagnoses or comorbidity index</w:t>
            </w:r>
          </w:p>
        </w:tc>
        <w:tc>
          <w:tcPr>
            <w:tcW w:w="1111" w:type="dxa"/>
            <w:shd w:val="clear" w:color="auto" w:fill="BFBFBF" w:themeFill="background1" w:themeFillShade="BF"/>
            <w:hideMark/>
          </w:tcPr>
          <w:p w14:paraId="0C8F93E6" w14:textId="77777777" w:rsidR="00697C93" w:rsidRPr="00E46576" w:rsidRDefault="00697C93" w:rsidP="00977A5F">
            <w:pP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S</w:t>
            </w:r>
            <w:r w:rsidRPr="00E46576">
              <w:rPr>
                <w:rFonts w:ascii="Times New Roman" w:hAnsi="Times New Roman" w:cs="Times New Roman"/>
                <w:b/>
                <w:color w:val="FFFFFF" w:themeColor="background1"/>
                <w:sz w:val="20"/>
                <w:szCs w:val="20"/>
              </w:rPr>
              <w:t>everity index, lab findings, others</w:t>
            </w:r>
          </w:p>
        </w:tc>
        <w:tc>
          <w:tcPr>
            <w:tcW w:w="990" w:type="dxa"/>
            <w:shd w:val="clear" w:color="auto" w:fill="BFBFBF" w:themeFill="background1" w:themeFillShade="BF"/>
            <w:hideMark/>
          </w:tcPr>
          <w:p w14:paraId="7B2987C3"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Mental Illness,</w:t>
            </w:r>
          </w:p>
          <w:p w14:paraId="034A404D"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Substance/Alcohol Use</w:t>
            </w:r>
          </w:p>
        </w:tc>
        <w:tc>
          <w:tcPr>
            <w:tcW w:w="1530" w:type="dxa"/>
            <w:shd w:val="clear" w:color="auto" w:fill="BFBFBF" w:themeFill="background1" w:themeFillShade="BF"/>
            <w:hideMark/>
          </w:tcPr>
          <w:p w14:paraId="52917235"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ADL dependent, and mobility, Self-reported Health, QoL, Cognitive impairment,</w:t>
            </w:r>
          </w:p>
          <w:p w14:paraId="30D749DA"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Visual, or hearing impairment</w:t>
            </w:r>
          </w:p>
        </w:tc>
        <w:tc>
          <w:tcPr>
            <w:tcW w:w="1890" w:type="dxa"/>
            <w:shd w:val="clear" w:color="auto" w:fill="BFBFBF" w:themeFill="background1" w:themeFillShade="BF"/>
            <w:hideMark/>
          </w:tcPr>
          <w:p w14:paraId="4E38FE92" w14:textId="77777777" w:rsidR="00697C93" w:rsidRPr="00E46576" w:rsidRDefault="00697C93" w:rsidP="00977A5F">
            <w:pPr>
              <w:rPr>
                <w:rFonts w:ascii="Times New Roman" w:hAnsi="Times New Roman" w:cs="Times New Roman"/>
                <w:b/>
                <w:color w:val="FFFFFF" w:themeColor="background1"/>
                <w:sz w:val="20"/>
                <w:szCs w:val="20"/>
              </w:rPr>
            </w:pPr>
            <w:r w:rsidRPr="00E46576">
              <w:rPr>
                <w:rFonts w:ascii="Times New Roman" w:hAnsi="Times New Roman" w:cs="Times New Roman"/>
                <w:b/>
                <w:color w:val="FFFFFF" w:themeColor="background1"/>
                <w:sz w:val="20"/>
                <w:szCs w:val="20"/>
              </w:rPr>
              <w:t>ER Visits, Hospitalizations, Length of Stay, Clinical Visits/Missed Clinic Visits</w:t>
            </w:r>
          </w:p>
        </w:tc>
      </w:tr>
      <w:tr w:rsidR="008E5254" w:rsidRPr="0086760B" w14:paraId="261034D4" w14:textId="77777777" w:rsidTr="00047A7D">
        <w:trPr>
          <w:trHeight w:val="310"/>
        </w:trPr>
        <w:tc>
          <w:tcPr>
            <w:tcW w:w="1309" w:type="dxa"/>
            <w:hideMark/>
          </w:tcPr>
          <w:p w14:paraId="535D6E56"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Rajkomar</w:t>
            </w:r>
            <w:proofErr w:type="spellEnd"/>
            <w:r w:rsidRPr="0086760B">
              <w:rPr>
                <w:rFonts w:ascii="Times New Roman" w:hAnsi="Times New Roman" w:cs="Times New Roman"/>
                <w:sz w:val="20"/>
                <w:szCs w:val="20"/>
              </w:rPr>
              <w:t xml:space="preserve"> et al, 2018</w:t>
            </w:r>
          </w:p>
        </w:tc>
        <w:tc>
          <w:tcPr>
            <w:tcW w:w="1102" w:type="dxa"/>
            <w:noWrap/>
            <w:hideMark/>
          </w:tcPr>
          <w:p w14:paraId="425EC00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999" w:type="dxa"/>
            <w:noWrap/>
            <w:hideMark/>
          </w:tcPr>
          <w:p w14:paraId="47FA47E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319" w:type="dxa"/>
            <w:noWrap/>
            <w:hideMark/>
          </w:tcPr>
          <w:p w14:paraId="67A63872" w14:textId="436E83B6" w:rsidR="00A709FA" w:rsidRPr="0086760B" w:rsidRDefault="003128D3">
            <w:pPr>
              <w:rPr>
                <w:rFonts w:ascii="Times New Roman" w:hAnsi="Times New Roman" w:cs="Times New Roman"/>
                <w:sz w:val="20"/>
                <w:szCs w:val="20"/>
              </w:rPr>
            </w:pPr>
            <w:r w:rsidRPr="0086760B">
              <w:rPr>
                <w:rFonts w:ascii="Times New Roman" w:hAnsi="Times New Roman" w:cs="Times New Roman"/>
                <w:sz w:val="20"/>
                <w:szCs w:val="20"/>
              </w:rPr>
              <w:t>Y</w:t>
            </w:r>
          </w:p>
        </w:tc>
        <w:tc>
          <w:tcPr>
            <w:tcW w:w="1111" w:type="dxa"/>
            <w:noWrap/>
            <w:hideMark/>
          </w:tcPr>
          <w:p w14:paraId="6ED0561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990" w:type="dxa"/>
            <w:noWrap/>
            <w:hideMark/>
          </w:tcPr>
          <w:p w14:paraId="498380A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530" w:type="dxa"/>
            <w:noWrap/>
            <w:hideMark/>
          </w:tcPr>
          <w:p w14:paraId="54EC624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890" w:type="dxa"/>
            <w:noWrap/>
            <w:hideMark/>
          </w:tcPr>
          <w:p w14:paraId="0B82700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r>
      <w:tr w:rsidR="00A709FA" w:rsidRPr="0086760B" w14:paraId="3AE06C2D" w14:textId="77777777" w:rsidTr="00047A7D">
        <w:trPr>
          <w:trHeight w:val="450"/>
        </w:trPr>
        <w:tc>
          <w:tcPr>
            <w:tcW w:w="11250" w:type="dxa"/>
            <w:gridSpan w:val="8"/>
            <w:hideMark/>
          </w:tcPr>
          <w:p w14:paraId="56C767A8" w14:textId="09BC5273" w:rsidR="00A709FA" w:rsidRPr="0086760B" w:rsidRDefault="008E5254">
            <w:pPr>
              <w:rPr>
                <w:rFonts w:ascii="Times New Roman" w:hAnsi="Times New Roman" w:cs="Times New Roman"/>
                <w:sz w:val="20"/>
                <w:szCs w:val="20"/>
              </w:rPr>
            </w:pPr>
            <w:r w:rsidRPr="0086760B">
              <w:rPr>
                <w:rFonts w:ascii="Times New Roman" w:hAnsi="Times New Roman" w:cs="Times New Roman"/>
                <w:sz w:val="20"/>
                <w:szCs w:val="20"/>
              </w:rPr>
              <w:t>Abbreviations</w:t>
            </w:r>
            <w:r w:rsidR="00A709FA" w:rsidRPr="0086760B">
              <w:rPr>
                <w:rFonts w:ascii="Times New Roman" w:hAnsi="Times New Roman" w:cs="Times New Roman"/>
                <w:sz w:val="20"/>
                <w:szCs w:val="20"/>
              </w:rPr>
              <w:t>: y=Yes; n=No</w:t>
            </w:r>
          </w:p>
        </w:tc>
      </w:tr>
    </w:tbl>
    <w:p w14:paraId="2CE474DB" w14:textId="5DBD9841" w:rsidR="00A709FA" w:rsidRPr="0086760B" w:rsidRDefault="00A709FA">
      <w:pPr>
        <w:rPr>
          <w:rFonts w:ascii="Times New Roman" w:hAnsi="Times New Roman" w:cs="Times New Roman"/>
          <w:sz w:val="20"/>
          <w:szCs w:val="20"/>
        </w:rPr>
      </w:pPr>
    </w:p>
    <w:p w14:paraId="4D86F032" w14:textId="4CB98E4C" w:rsidR="00F33B3A" w:rsidRPr="0086760B" w:rsidRDefault="00F33B3A">
      <w:pPr>
        <w:rPr>
          <w:rFonts w:ascii="Times New Roman" w:hAnsi="Times New Roman" w:cs="Times New Roman"/>
          <w:sz w:val="20"/>
          <w:szCs w:val="20"/>
        </w:rPr>
      </w:pPr>
    </w:p>
    <w:p w14:paraId="0594D52D" w14:textId="39C2D17A" w:rsidR="00F33B3A" w:rsidRPr="0086760B" w:rsidRDefault="00F33B3A">
      <w:pPr>
        <w:rPr>
          <w:rFonts w:ascii="Times New Roman" w:hAnsi="Times New Roman" w:cs="Times New Roman"/>
          <w:sz w:val="20"/>
          <w:szCs w:val="20"/>
        </w:rPr>
      </w:pPr>
    </w:p>
    <w:p w14:paraId="01EAFCA8" w14:textId="2EEB6983" w:rsidR="00F33B3A" w:rsidRPr="0086760B" w:rsidRDefault="00F33B3A">
      <w:pPr>
        <w:rPr>
          <w:rFonts w:ascii="Times New Roman" w:hAnsi="Times New Roman" w:cs="Times New Roman"/>
          <w:sz w:val="20"/>
          <w:szCs w:val="20"/>
        </w:rPr>
      </w:pPr>
    </w:p>
    <w:p w14:paraId="183B8E14" w14:textId="3FC64452" w:rsidR="00F33B3A" w:rsidRPr="0086760B" w:rsidRDefault="00F33B3A">
      <w:pPr>
        <w:rPr>
          <w:rFonts w:ascii="Times New Roman" w:hAnsi="Times New Roman" w:cs="Times New Roman"/>
          <w:sz w:val="20"/>
          <w:szCs w:val="20"/>
        </w:rPr>
      </w:pPr>
    </w:p>
    <w:p w14:paraId="3437DA54" w14:textId="7F358814" w:rsidR="00F33B3A" w:rsidRDefault="00F33B3A">
      <w:pPr>
        <w:rPr>
          <w:rFonts w:ascii="Times New Roman" w:hAnsi="Times New Roman" w:cs="Times New Roman"/>
          <w:sz w:val="20"/>
          <w:szCs w:val="20"/>
        </w:rPr>
      </w:pPr>
    </w:p>
    <w:p w14:paraId="43B25AF4" w14:textId="3CFB9B45" w:rsidR="00697C93" w:rsidRDefault="00697C93">
      <w:pPr>
        <w:rPr>
          <w:rFonts w:ascii="Times New Roman" w:hAnsi="Times New Roman" w:cs="Times New Roman"/>
          <w:sz w:val="20"/>
          <w:szCs w:val="20"/>
        </w:rPr>
      </w:pPr>
    </w:p>
    <w:p w14:paraId="1B807259" w14:textId="28DFE12E" w:rsidR="00697C93" w:rsidRDefault="00697C93">
      <w:pPr>
        <w:rPr>
          <w:rFonts w:ascii="Times New Roman" w:hAnsi="Times New Roman" w:cs="Times New Roman"/>
          <w:sz w:val="20"/>
          <w:szCs w:val="20"/>
        </w:rPr>
      </w:pPr>
    </w:p>
    <w:p w14:paraId="2FCE75DB" w14:textId="185F2C7D" w:rsidR="00697C93" w:rsidRDefault="00697C93">
      <w:pPr>
        <w:rPr>
          <w:rFonts w:ascii="Times New Roman" w:hAnsi="Times New Roman" w:cs="Times New Roman"/>
          <w:sz w:val="20"/>
          <w:szCs w:val="20"/>
        </w:rPr>
      </w:pPr>
    </w:p>
    <w:p w14:paraId="163A6FC2" w14:textId="489C1FD8" w:rsidR="00697C93" w:rsidRDefault="00697C93">
      <w:pPr>
        <w:rPr>
          <w:rFonts w:ascii="Times New Roman" w:hAnsi="Times New Roman" w:cs="Times New Roman"/>
          <w:sz w:val="20"/>
          <w:szCs w:val="20"/>
        </w:rPr>
      </w:pPr>
    </w:p>
    <w:p w14:paraId="287E6AD3" w14:textId="163626FD" w:rsidR="00697C93" w:rsidRDefault="00697C93">
      <w:pPr>
        <w:rPr>
          <w:rFonts w:ascii="Times New Roman" w:hAnsi="Times New Roman" w:cs="Times New Roman"/>
          <w:sz w:val="20"/>
          <w:szCs w:val="20"/>
        </w:rPr>
      </w:pPr>
    </w:p>
    <w:p w14:paraId="3682688A" w14:textId="2655A806" w:rsidR="00697C93" w:rsidRDefault="00697C93">
      <w:pPr>
        <w:rPr>
          <w:rFonts w:ascii="Times New Roman" w:hAnsi="Times New Roman" w:cs="Times New Roman"/>
          <w:sz w:val="20"/>
          <w:szCs w:val="20"/>
        </w:rPr>
      </w:pPr>
    </w:p>
    <w:p w14:paraId="3F1BA494" w14:textId="7077DABE" w:rsidR="00697C93" w:rsidRDefault="00697C93">
      <w:pPr>
        <w:rPr>
          <w:rFonts w:ascii="Times New Roman" w:hAnsi="Times New Roman" w:cs="Times New Roman"/>
          <w:sz w:val="20"/>
          <w:szCs w:val="20"/>
        </w:rPr>
      </w:pPr>
    </w:p>
    <w:p w14:paraId="410F9605" w14:textId="39A4E57D" w:rsidR="00697C93" w:rsidRDefault="00697C93">
      <w:pPr>
        <w:rPr>
          <w:rFonts w:ascii="Times New Roman" w:hAnsi="Times New Roman" w:cs="Times New Roman"/>
          <w:sz w:val="20"/>
          <w:szCs w:val="20"/>
        </w:rPr>
      </w:pPr>
    </w:p>
    <w:p w14:paraId="0604B77F" w14:textId="7DD156B5" w:rsidR="00697C93" w:rsidRDefault="00697C93">
      <w:pPr>
        <w:rPr>
          <w:rFonts w:ascii="Times New Roman" w:hAnsi="Times New Roman" w:cs="Times New Roman"/>
          <w:sz w:val="20"/>
          <w:szCs w:val="20"/>
        </w:rPr>
      </w:pPr>
    </w:p>
    <w:p w14:paraId="62F8465A" w14:textId="2DDC561A" w:rsidR="00697C93" w:rsidRDefault="00697C93">
      <w:pPr>
        <w:rPr>
          <w:rFonts w:ascii="Times New Roman" w:hAnsi="Times New Roman" w:cs="Times New Roman"/>
          <w:sz w:val="20"/>
          <w:szCs w:val="20"/>
        </w:rPr>
      </w:pPr>
    </w:p>
    <w:p w14:paraId="78DFEA40" w14:textId="12F04AD4" w:rsidR="00697C93" w:rsidRDefault="00697C93">
      <w:pPr>
        <w:rPr>
          <w:rFonts w:ascii="Times New Roman" w:hAnsi="Times New Roman" w:cs="Times New Roman"/>
          <w:sz w:val="20"/>
          <w:szCs w:val="20"/>
        </w:rPr>
      </w:pPr>
    </w:p>
    <w:p w14:paraId="27736283" w14:textId="5B000488" w:rsidR="00697C93" w:rsidRDefault="00697C93">
      <w:pPr>
        <w:rPr>
          <w:rFonts w:ascii="Times New Roman" w:hAnsi="Times New Roman" w:cs="Times New Roman"/>
          <w:sz w:val="20"/>
          <w:szCs w:val="20"/>
        </w:rPr>
      </w:pPr>
    </w:p>
    <w:p w14:paraId="2ABACA99" w14:textId="3BD112EA" w:rsidR="00697C93" w:rsidRDefault="00697C93">
      <w:pPr>
        <w:rPr>
          <w:rFonts w:ascii="Times New Roman" w:hAnsi="Times New Roman" w:cs="Times New Roman"/>
          <w:sz w:val="20"/>
          <w:szCs w:val="20"/>
        </w:rPr>
      </w:pPr>
    </w:p>
    <w:p w14:paraId="5ECF7B4A" w14:textId="0A007701" w:rsidR="00697C93" w:rsidRDefault="00697C93">
      <w:pPr>
        <w:rPr>
          <w:rFonts w:ascii="Times New Roman" w:hAnsi="Times New Roman" w:cs="Times New Roman"/>
          <w:sz w:val="20"/>
          <w:szCs w:val="20"/>
        </w:rPr>
      </w:pPr>
    </w:p>
    <w:p w14:paraId="4EE21164" w14:textId="67C86F89" w:rsidR="00697C93" w:rsidRDefault="00697C93">
      <w:pPr>
        <w:rPr>
          <w:rFonts w:ascii="Times New Roman" w:hAnsi="Times New Roman" w:cs="Times New Roman"/>
          <w:sz w:val="20"/>
          <w:szCs w:val="20"/>
        </w:rPr>
      </w:pPr>
    </w:p>
    <w:p w14:paraId="0F6BD43B" w14:textId="60592FD3" w:rsidR="00697C93" w:rsidRDefault="00697C93">
      <w:pPr>
        <w:rPr>
          <w:rFonts w:ascii="Times New Roman" w:hAnsi="Times New Roman" w:cs="Times New Roman"/>
          <w:sz w:val="20"/>
          <w:szCs w:val="20"/>
        </w:rPr>
      </w:pPr>
    </w:p>
    <w:p w14:paraId="588CA916" w14:textId="77777777" w:rsidR="00697C93" w:rsidRPr="0086760B" w:rsidRDefault="00697C93">
      <w:pPr>
        <w:rPr>
          <w:rFonts w:ascii="Times New Roman" w:hAnsi="Times New Roman" w:cs="Times New Roman"/>
          <w:sz w:val="20"/>
          <w:szCs w:val="20"/>
        </w:rPr>
      </w:pPr>
    </w:p>
    <w:p w14:paraId="422BB913" w14:textId="1A971BD5" w:rsidR="00A709FA" w:rsidRPr="0086760B" w:rsidRDefault="00A709FA">
      <w:pPr>
        <w:rPr>
          <w:rFonts w:ascii="Times New Roman" w:hAnsi="Times New Roman" w:cs="Times New Roman"/>
          <w:b/>
          <w:bCs/>
          <w:sz w:val="20"/>
          <w:szCs w:val="20"/>
        </w:rPr>
      </w:pPr>
      <w:r w:rsidRPr="0086760B">
        <w:rPr>
          <w:rFonts w:ascii="Times New Roman" w:hAnsi="Times New Roman" w:cs="Times New Roman"/>
          <w:b/>
          <w:bCs/>
          <w:sz w:val="20"/>
          <w:szCs w:val="20"/>
        </w:rPr>
        <w:lastRenderedPageBreak/>
        <w:t xml:space="preserve">Table </w:t>
      </w:r>
      <w:r w:rsidR="003E0F1A" w:rsidRPr="0086760B">
        <w:rPr>
          <w:rFonts w:ascii="Times New Roman" w:hAnsi="Times New Roman" w:cs="Times New Roman"/>
          <w:b/>
          <w:bCs/>
          <w:sz w:val="20"/>
          <w:szCs w:val="20"/>
        </w:rPr>
        <w:t>S</w:t>
      </w:r>
      <w:r w:rsidRPr="0086760B">
        <w:rPr>
          <w:rFonts w:ascii="Times New Roman" w:hAnsi="Times New Roman" w:cs="Times New Roman"/>
          <w:b/>
          <w:bCs/>
          <w:sz w:val="20"/>
          <w:szCs w:val="20"/>
        </w:rPr>
        <w:t xml:space="preserve">4. Summary </w:t>
      </w:r>
      <w:r w:rsidR="003128D3" w:rsidRPr="0086760B">
        <w:rPr>
          <w:rFonts w:ascii="Times New Roman" w:hAnsi="Times New Roman" w:cs="Times New Roman"/>
          <w:b/>
          <w:bCs/>
          <w:sz w:val="20"/>
          <w:szCs w:val="20"/>
        </w:rPr>
        <w:t>of Other Performances Measures</w:t>
      </w:r>
      <w:r w:rsidRPr="0086760B">
        <w:rPr>
          <w:rFonts w:ascii="Times New Roman" w:hAnsi="Times New Roman" w:cs="Times New Roman"/>
          <w:b/>
          <w:bCs/>
          <w:sz w:val="20"/>
          <w:szCs w:val="20"/>
        </w:rPr>
        <w:t xml:space="preserve"> </w:t>
      </w:r>
      <w:r w:rsidR="003128D3" w:rsidRPr="0086760B">
        <w:rPr>
          <w:rFonts w:ascii="Times New Roman" w:hAnsi="Times New Roman" w:cs="Times New Roman"/>
          <w:b/>
          <w:bCs/>
          <w:sz w:val="20"/>
          <w:szCs w:val="20"/>
        </w:rPr>
        <w:t>of ML</w:t>
      </w:r>
      <w:r w:rsidR="00BA7414" w:rsidRPr="0086760B">
        <w:rPr>
          <w:rFonts w:ascii="Times New Roman" w:hAnsi="Times New Roman" w:cs="Times New Roman"/>
          <w:b/>
          <w:bCs/>
          <w:sz w:val="20"/>
          <w:szCs w:val="20"/>
        </w:rPr>
        <w:t xml:space="preserve"> Models </w:t>
      </w:r>
      <w:r w:rsidRPr="0086760B">
        <w:rPr>
          <w:rFonts w:ascii="Times New Roman" w:hAnsi="Times New Roman" w:cs="Times New Roman"/>
          <w:b/>
          <w:bCs/>
          <w:sz w:val="20"/>
          <w:szCs w:val="20"/>
        </w:rPr>
        <w:t>(N=43 studies)</w:t>
      </w:r>
    </w:p>
    <w:tbl>
      <w:tblPr>
        <w:tblStyle w:val="TableGrid"/>
        <w:tblW w:w="0" w:type="auto"/>
        <w:tblLook w:val="04A0" w:firstRow="1" w:lastRow="0" w:firstColumn="1" w:lastColumn="0" w:noHBand="0" w:noVBand="1"/>
      </w:tblPr>
      <w:tblGrid>
        <w:gridCol w:w="1975"/>
        <w:gridCol w:w="1585"/>
        <w:gridCol w:w="1105"/>
        <w:gridCol w:w="1105"/>
        <w:gridCol w:w="1205"/>
        <w:gridCol w:w="1272"/>
        <w:gridCol w:w="1694"/>
      </w:tblGrid>
      <w:tr w:rsidR="004D2486" w:rsidRPr="0086760B" w14:paraId="0D4D0F80" w14:textId="77777777" w:rsidTr="00697C93">
        <w:trPr>
          <w:trHeight w:val="620"/>
        </w:trPr>
        <w:tc>
          <w:tcPr>
            <w:tcW w:w="1975" w:type="dxa"/>
            <w:shd w:val="clear" w:color="auto" w:fill="808080" w:themeFill="background1" w:themeFillShade="80"/>
            <w:hideMark/>
          </w:tcPr>
          <w:p w14:paraId="3C9ADC19" w14:textId="77777777" w:rsidR="00A709FA" w:rsidRPr="00697C93" w:rsidRDefault="00A709FA">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Study</w:t>
            </w:r>
          </w:p>
        </w:tc>
        <w:tc>
          <w:tcPr>
            <w:tcW w:w="1585" w:type="dxa"/>
            <w:shd w:val="clear" w:color="auto" w:fill="808080" w:themeFill="background1" w:themeFillShade="80"/>
            <w:hideMark/>
          </w:tcPr>
          <w:p w14:paraId="1BFA8AD8" w14:textId="0FE93A05" w:rsidR="00A709FA" w:rsidRPr="00697C93" w:rsidRDefault="00B235BA">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A</w:t>
            </w:r>
            <w:r w:rsidR="00A709FA" w:rsidRPr="00697C93">
              <w:rPr>
                <w:rFonts w:ascii="Times New Roman" w:hAnsi="Times New Roman" w:cs="Times New Roman"/>
                <w:b/>
                <w:color w:val="FFFFFF" w:themeColor="background1"/>
                <w:sz w:val="20"/>
                <w:szCs w:val="20"/>
              </w:rPr>
              <w:t>ccuracy</w:t>
            </w:r>
          </w:p>
        </w:tc>
        <w:tc>
          <w:tcPr>
            <w:tcW w:w="1105" w:type="dxa"/>
            <w:shd w:val="clear" w:color="auto" w:fill="808080" w:themeFill="background1" w:themeFillShade="80"/>
            <w:hideMark/>
          </w:tcPr>
          <w:p w14:paraId="75AD3930" w14:textId="01639867" w:rsidR="00A709FA" w:rsidRPr="00697C93" w:rsidRDefault="00B235BA">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S</w:t>
            </w:r>
            <w:r w:rsidR="00A709FA" w:rsidRPr="00697C93">
              <w:rPr>
                <w:rFonts w:ascii="Times New Roman" w:hAnsi="Times New Roman" w:cs="Times New Roman"/>
                <w:b/>
                <w:color w:val="FFFFFF" w:themeColor="background1"/>
                <w:sz w:val="20"/>
                <w:szCs w:val="20"/>
              </w:rPr>
              <w:t>ensitivity</w:t>
            </w:r>
          </w:p>
        </w:tc>
        <w:tc>
          <w:tcPr>
            <w:tcW w:w="1105" w:type="dxa"/>
            <w:shd w:val="clear" w:color="auto" w:fill="808080" w:themeFill="background1" w:themeFillShade="80"/>
            <w:hideMark/>
          </w:tcPr>
          <w:p w14:paraId="1177D389" w14:textId="64DA5EF0" w:rsidR="00A709FA" w:rsidRPr="00697C93" w:rsidRDefault="00B235BA">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S</w:t>
            </w:r>
            <w:r w:rsidR="00A709FA" w:rsidRPr="00697C93">
              <w:rPr>
                <w:rFonts w:ascii="Times New Roman" w:hAnsi="Times New Roman" w:cs="Times New Roman"/>
                <w:b/>
                <w:color w:val="FFFFFF" w:themeColor="background1"/>
                <w:sz w:val="20"/>
                <w:szCs w:val="20"/>
              </w:rPr>
              <w:t>pecificity</w:t>
            </w:r>
          </w:p>
        </w:tc>
        <w:tc>
          <w:tcPr>
            <w:tcW w:w="1205" w:type="dxa"/>
            <w:shd w:val="clear" w:color="auto" w:fill="808080" w:themeFill="background1" w:themeFillShade="80"/>
            <w:hideMark/>
          </w:tcPr>
          <w:p w14:paraId="3CFAF43B" w14:textId="28790DE2" w:rsidR="00A709FA" w:rsidRPr="00697C93" w:rsidRDefault="00B235BA">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C</w:t>
            </w:r>
            <w:r w:rsidR="00A709FA" w:rsidRPr="00697C93">
              <w:rPr>
                <w:rFonts w:ascii="Times New Roman" w:hAnsi="Times New Roman" w:cs="Times New Roman"/>
                <w:b/>
                <w:color w:val="FFFFFF" w:themeColor="background1"/>
                <w:sz w:val="20"/>
                <w:szCs w:val="20"/>
              </w:rPr>
              <w:t>alibration</w:t>
            </w:r>
          </w:p>
        </w:tc>
        <w:tc>
          <w:tcPr>
            <w:tcW w:w="1272" w:type="dxa"/>
            <w:shd w:val="clear" w:color="auto" w:fill="808080" w:themeFill="background1" w:themeFillShade="80"/>
            <w:hideMark/>
          </w:tcPr>
          <w:p w14:paraId="02783D86" w14:textId="47165D3C" w:rsidR="00A709FA" w:rsidRPr="00697C93" w:rsidRDefault="004D2486">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Methods to address imbalance data</w:t>
            </w:r>
          </w:p>
        </w:tc>
        <w:tc>
          <w:tcPr>
            <w:tcW w:w="1694" w:type="dxa"/>
            <w:shd w:val="clear" w:color="auto" w:fill="808080" w:themeFill="background1" w:themeFillShade="80"/>
            <w:hideMark/>
          </w:tcPr>
          <w:p w14:paraId="59DCF919" w14:textId="4003A13C" w:rsidR="00A709FA" w:rsidRPr="00697C93" w:rsidRDefault="00D522E5">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 xml:space="preserve">Other Measures: </w:t>
            </w:r>
            <w:r w:rsidR="004D2486" w:rsidRPr="00697C93">
              <w:rPr>
                <w:rFonts w:ascii="Times New Roman" w:hAnsi="Times New Roman" w:cs="Times New Roman"/>
                <w:b/>
                <w:color w:val="FFFFFF" w:themeColor="background1"/>
                <w:sz w:val="20"/>
                <w:szCs w:val="20"/>
              </w:rPr>
              <w:t>Precision</w:t>
            </w:r>
            <w:r w:rsidRPr="00697C93">
              <w:rPr>
                <w:rFonts w:ascii="Times New Roman" w:hAnsi="Times New Roman" w:cs="Times New Roman"/>
                <w:b/>
                <w:color w:val="FFFFFF" w:themeColor="background1"/>
                <w:sz w:val="20"/>
                <w:szCs w:val="20"/>
              </w:rPr>
              <w:t xml:space="preserve">, </w:t>
            </w:r>
            <w:r w:rsidR="004D2486" w:rsidRPr="00697C93">
              <w:rPr>
                <w:rFonts w:ascii="Times New Roman" w:hAnsi="Times New Roman" w:cs="Times New Roman"/>
                <w:b/>
                <w:color w:val="FFFFFF" w:themeColor="background1"/>
                <w:sz w:val="20"/>
                <w:szCs w:val="20"/>
              </w:rPr>
              <w:t>Recall</w:t>
            </w:r>
            <w:r w:rsidRPr="00697C93">
              <w:rPr>
                <w:rFonts w:ascii="Times New Roman" w:hAnsi="Times New Roman" w:cs="Times New Roman"/>
                <w:b/>
                <w:color w:val="FFFFFF" w:themeColor="background1"/>
                <w:sz w:val="20"/>
                <w:szCs w:val="20"/>
              </w:rPr>
              <w:t>, or F1 Score</w:t>
            </w:r>
          </w:p>
        </w:tc>
      </w:tr>
      <w:tr w:rsidR="004D2486" w:rsidRPr="0086760B" w14:paraId="3DB6DEFE" w14:textId="77777777" w:rsidTr="00697C93">
        <w:trPr>
          <w:trHeight w:val="310"/>
        </w:trPr>
        <w:tc>
          <w:tcPr>
            <w:tcW w:w="1975" w:type="dxa"/>
            <w:hideMark/>
          </w:tcPr>
          <w:p w14:paraId="60585CB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Kang et al, 2016</w:t>
            </w:r>
          </w:p>
        </w:tc>
        <w:tc>
          <w:tcPr>
            <w:tcW w:w="1585" w:type="dxa"/>
            <w:noWrap/>
            <w:hideMark/>
          </w:tcPr>
          <w:p w14:paraId="38E8DF2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58C671E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500C795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0998EBC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4A9B23D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3CB9C492" w14:textId="05C4116F"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35EF8ACA" w14:textId="77777777" w:rsidTr="00697C93">
        <w:trPr>
          <w:trHeight w:val="310"/>
        </w:trPr>
        <w:tc>
          <w:tcPr>
            <w:tcW w:w="1975" w:type="dxa"/>
            <w:hideMark/>
          </w:tcPr>
          <w:p w14:paraId="2B959AD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Brom et al, 2019</w:t>
            </w:r>
          </w:p>
        </w:tc>
        <w:tc>
          <w:tcPr>
            <w:tcW w:w="1585" w:type="dxa"/>
            <w:noWrap/>
            <w:hideMark/>
          </w:tcPr>
          <w:p w14:paraId="256187B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29A0430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0437812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6062EF2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4E7D0B7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2E2E012B" w14:textId="3580A343"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3B39CEB2" w14:textId="77777777" w:rsidTr="00697C93">
        <w:trPr>
          <w:trHeight w:val="310"/>
        </w:trPr>
        <w:tc>
          <w:tcPr>
            <w:tcW w:w="1975" w:type="dxa"/>
            <w:hideMark/>
          </w:tcPr>
          <w:p w14:paraId="41AC3BC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Yeo et al, 2016</w:t>
            </w:r>
          </w:p>
        </w:tc>
        <w:tc>
          <w:tcPr>
            <w:tcW w:w="1585" w:type="dxa"/>
            <w:noWrap/>
            <w:hideMark/>
          </w:tcPr>
          <w:p w14:paraId="077D22D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66ADA59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2EB72AE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43F6134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524F1E9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4055EB89" w14:textId="3353610B"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26554887" w14:textId="77777777" w:rsidTr="00697C93">
        <w:trPr>
          <w:trHeight w:val="310"/>
        </w:trPr>
        <w:tc>
          <w:tcPr>
            <w:tcW w:w="1975" w:type="dxa"/>
            <w:hideMark/>
          </w:tcPr>
          <w:p w14:paraId="33BB5A08"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Edgcomb</w:t>
            </w:r>
            <w:proofErr w:type="spellEnd"/>
            <w:r w:rsidRPr="0086760B">
              <w:rPr>
                <w:rFonts w:ascii="Times New Roman" w:hAnsi="Times New Roman" w:cs="Times New Roman"/>
                <w:sz w:val="20"/>
                <w:szCs w:val="20"/>
              </w:rPr>
              <w:t xml:space="preserve"> et al, 2019</w:t>
            </w:r>
          </w:p>
        </w:tc>
        <w:tc>
          <w:tcPr>
            <w:tcW w:w="1585" w:type="dxa"/>
            <w:noWrap/>
            <w:hideMark/>
          </w:tcPr>
          <w:p w14:paraId="3579B6C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1966C4C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16977B6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4C66F7D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253EB48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1A01BBE" w14:textId="1037170E"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3B94AEC7" w14:textId="77777777" w:rsidTr="00697C93">
        <w:trPr>
          <w:trHeight w:val="310"/>
        </w:trPr>
        <w:tc>
          <w:tcPr>
            <w:tcW w:w="1975" w:type="dxa"/>
            <w:hideMark/>
          </w:tcPr>
          <w:p w14:paraId="30CC2A4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Fisher et al, 2015</w:t>
            </w:r>
          </w:p>
        </w:tc>
        <w:tc>
          <w:tcPr>
            <w:tcW w:w="1585" w:type="dxa"/>
            <w:noWrap/>
            <w:hideMark/>
          </w:tcPr>
          <w:p w14:paraId="237F9BD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718A9F6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6E1349B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75004DB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72" w:type="dxa"/>
            <w:noWrap/>
            <w:hideMark/>
          </w:tcPr>
          <w:p w14:paraId="27B1798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5E8F53F4" w14:textId="30E400AE"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6FE005BA" w14:textId="77777777" w:rsidTr="00697C93">
        <w:trPr>
          <w:trHeight w:val="310"/>
        </w:trPr>
        <w:tc>
          <w:tcPr>
            <w:tcW w:w="1975" w:type="dxa"/>
            <w:hideMark/>
          </w:tcPr>
          <w:p w14:paraId="5201DAC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Jones et al,2019</w:t>
            </w:r>
          </w:p>
        </w:tc>
        <w:tc>
          <w:tcPr>
            <w:tcW w:w="1585" w:type="dxa"/>
            <w:noWrap/>
            <w:hideMark/>
          </w:tcPr>
          <w:p w14:paraId="2C3350B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47ABAA4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1FB0826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5187284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72" w:type="dxa"/>
            <w:noWrap/>
            <w:hideMark/>
          </w:tcPr>
          <w:p w14:paraId="4921A9A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2B762E6E" w14:textId="67EFFAB1"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3E410312" w14:textId="77777777" w:rsidTr="00697C93">
        <w:trPr>
          <w:trHeight w:val="310"/>
        </w:trPr>
        <w:tc>
          <w:tcPr>
            <w:tcW w:w="1975" w:type="dxa"/>
            <w:hideMark/>
          </w:tcPr>
          <w:p w14:paraId="0048B3A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Hogan et al, 2019</w:t>
            </w:r>
          </w:p>
        </w:tc>
        <w:tc>
          <w:tcPr>
            <w:tcW w:w="1585" w:type="dxa"/>
            <w:noWrap/>
            <w:hideMark/>
          </w:tcPr>
          <w:p w14:paraId="001FA8C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599A1E0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087FBF7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27E0010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5794657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305BD6D" w14:textId="2D71781E"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40DC25D4" w14:textId="77777777" w:rsidTr="00697C93">
        <w:trPr>
          <w:trHeight w:val="310"/>
        </w:trPr>
        <w:tc>
          <w:tcPr>
            <w:tcW w:w="1975" w:type="dxa"/>
            <w:hideMark/>
          </w:tcPr>
          <w:p w14:paraId="5F1FA8C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Zack et al, 2019</w:t>
            </w:r>
          </w:p>
        </w:tc>
        <w:tc>
          <w:tcPr>
            <w:tcW w:w="1585" w:type="dxa"/>
            <w:noWrap/>
            <w:hideMark/>
          </w:tcPr>
          <w:p w14:paraId="5C9A889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2F77392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0BD8C31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15C14A7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3352431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5E3D7D6" w14:textId="20F34A21"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505E5BDE" w14:textId="77777777" w:rsidTr="00697C93">
        <w:trPr>
          <w:trHeight w:val="310"/>
        </w:trPr>
        <w:tc>
          <w:tcPr>
            <w:tcW w:w="1975" w:type="dxa"/>
            <w:hideMark/>
          </w:tcPr>
          <w:p w14:paraId="58A3FDD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Mahajan et al, 2016</w:t>
            </w:r>
          </w:p>
        </w:tc>
        <w:tc>
          <w:tcPr>
            <w:tcW w:w="1585" w:type="dxa"/>
            <w:noWrap/>
            <w:hideMark/>
          </w:tcPr>
          <w:p w14:paraId="264F354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47BB691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7BBA723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3ABC74E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6ADEBD4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E103F6E" w14:textId="7EC497FA"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67032169" w14:textId="77777777" w:rsidTr="00697C93">
        <w:trPr>
          <w:trHeight w:val="310"/>
        </w:trPr>
        <w:tc>
          <w:tcPr>
            <w:tcW w:w="1975" w:type="dxa"/>
            <w:hideMark/>
          </w:tcPr>
          <w:p w14:paraId="4EF725B2"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Xue</w:t>
            </w:r>
            <w:proofErr w:type="spellEnd"/>
            <w:r w:rsidRPr="0086760B">
              <w:rPr>
                <w:rFonts w:ascii="Times New Roman" w:hAnsi="Times New Roman" w:cs="Times New Roman"/>
                <w:sz w:val="20"/>
                <w:szCs w:val="20"/>
              </w:rPr>
              <w:t xml:space="preserve"> et al, 2019</w:t>
            </w:r>
          </w:p>
        </w:tc>
        <w:tc>
          <w:tcPr>
            <w:tcW w:w="1585" w:type="dxa"/>
            <w:noWrap/>
            <w:hideMark/>
          </w:tcPr>
          <w:p w14:paraId="7A6DF38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6724886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7F91320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00391E3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2A4A195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7BB4997" w14:textId="668F068F"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0E5A5DE7" w14:textId="77777777" w:rsidTr="00697C93">
        <w:trPr>
          <w:trHeight w:val="310"/>
        </w:trPr>
        <w:tc>
          <w:tcPr>
            <w:tcW w:w="1975" w:type="dxa"/>
            <w:hideMark/>
          </w:tcPr>
          <w:p w14:paraId="7E25A73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Mahajan et al, 2018</w:t>
            </w:r>
          </w:p>
        </w:tc>
        <w:tc>
          <w:tcPr>
            <w:tcW w:w="1585" w:type="dxa"/>
            <w:noWrap/>
            <w:hideMark/>
          </w:tcPr>
          <w:p w14:paraId="058CBC4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0320AF3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17EE914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3647D81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7D38C00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052C44DC" w14:textId="1D80CFA5"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5292DF9E" w14:textId="77777777" w:rsidTr="00697C93">
        <w:trPr>
          <w:trHeight w:val="310"/>
        </w:trPr>
        <w:tc>
          <w:tcPr>
            <w:tcW w:w="1975" w:type="dxa"/>
            <w:hideMark/>
          </w:tcPr>
          <w:p w14:paraId="3BD12050"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Kalagara</w:t>
            </w:r>
            <w:proofErr w:type="spellEnd"/>
            <w:r w:rsidRPr="0086760B">
              <w:rPr>
                <w:rFonts w:ascii="Times New Roman" w:hAnsi="Times New Roman" w:cs="Times New Roman"/>
                <w:sz w:val="20"/>
                <w:szCs w:val="20"/>
              </w:rPr>
              <w:t xml:space="preserve"> et al, 2019</w:t>
            </w:r>
          </w:p>
        </w:tc>
        <w:tc>
          <w:tcPr>
            <w:tcW w:w="1585" w:type="dxa"/>
            <w:noWrap/>
            <w:hideMark/>
          </w:tcPr>
          <w:p w14:paraId="60D17C2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5F94848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5FAD679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1A6BF44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3A88361E" w14:textId="318638F8" w:rsidR="00A709FA" w:rsidRPr="0086760B" w:rsidRDefault="004D2486">
            <w:pPr>
              <w:rPr>
                <w:rFonts w:ascii="Times New Roman" w:hAnsi="Times New Roman" w:cs="Times New Roman"/>
                <w:sz w:val="20"/>
                <w:szCs w:val="20"/>
              </w:rPr>
            </w:pPr>
            <w:r w:rsidRPr="0086760B">
              <w:rPr>
                <w:rFonts w:ascii="Times New Roman" w:hAnsi="Times New Roman" w:cs="Times New Roman"/>
                <w:sz w:val="20"/>
                <w:szCs w:val="20"/>
              </w:rPr>
              <w:t>Y: SMOTE</w:t>
            </w:r>
          </w:p>
        </w:tc>
        <w:tc>
          <w:tcPr>
            <w:tcW w:w="1694" w:type="dxa"/>
            <w:noWrap/>
          </w:tcPr>
          <w:p w14:paraId="1690F850" w14:textId="559A0CB4"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734DCCF1" w14:textId="77777777" w:rsidTr="00697C93">
        <w:trPr>
          <w:trHeight w:val="310"/>
        </w:trPr>
        <w:tc>
          <w:tcPr>
            <w:tcW w:w="1975" w:type="dxa"/>
            <w:hideMark/>
          </w:tcPr>
          <w:p w14:paraId="67997FF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Merrill et al, 2018</w:t>
            </w:r>
          </w:p>
        </w:tc>
        <w:tc>
          <w:tcPr>
            <w:tcW w:w="1585" w:type="dxa"/>
            <w:noWrap/>
            <w:hideMark/>
          </w:tcPr>
          <w:p w14:paraId="06CF498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594574B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589CAB0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0D5973F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3BC1ED4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19B9430B" w14:textId="716DBBA7"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2D2E22BF" w14:textId="77777777" w:rsidTr="00697C93">
        <w:trPr>
          <w:trHeight w:val="310"/>
        </w:trPr>
        <w:tc>
          <w:tcPr>
            <w:tcW w:w="1975" w:type="dxa"/>
            <w:hideMark/>
          </w:tcPr>
          <w:p w14:paraId="0ABC327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Rojas et al, 2017</w:t>
            </w:r>
          </w:p>
        </w:tc>
        <w:tc>
          <w:tcPr>
            <w:tcW w:w="1585" w:type="dxa"/>
            <w:noWrap/>
            <w:hideMark/>
          </w:tcPr>
          <w:p w14:paraId="70E99F7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4D9802C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5BAE94A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5388E19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45445146" w14:textId="664D5DDA" w:rsidR="00A709FA" w:rsidRPr="0086760B" w:rsidRDefault="008939F7">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68EED354" w14:textId="12D1EB0B"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5687C4ED" w14:textId="77777777" w:rsidTr="00697C93">
        <w:trPr>
          <w:trHeight w:val="310"/>
        </w:trPr>
        <w:tc>
          <w:tcPr>
            <w:tcW w:w="1975" w:type="dxa"/>
            <w:hideMark/>
          </w:tcPr>
          <w:p w14:paraId="5DF7BC1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Chandra et al, 2019</w:t>
            </w:r>
          </w:p>
        </w:tc>
        <w:tc>
          <w:tcPr>
            <w:tcW w:w="1585" w:type="dxa"/>
            <w:noWrap/>
            <w:hideMark/>
          </w:tcPr>
          <w:p w14:paraId="03F6F1B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33A3673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1EBADD1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01C0220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42E6579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19BBD930" w14:textId="0FD607F4"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53F614DE" w14:textId="77777777" w:rsidTr="00697C93">
        <w:trPr>
          <w:trHeight w:val="310"/>
        </w:trPr>
        <w:tc>
          <w:tcPr>
            <w:tcW w:w="1975" w:type="dxa"/>
            <w:hideMark/>
          </w:tcPr>
          <w:p w14:paraId="319AA4AC"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Pakbin</w:t>
            </w:r>
            <w:proofErr w:type="spellEnd"/>
            <w:r w:rsidRPr="0086760B">
              <w:rPr>
                <w:rFonts w:ascii="Times New Roman" w:hAnsi="Times New Roman" w:cs="Times New Roman"/>
                <w:sz w:val="20"/>
                <w:szCs w:val="20"/>
              </w:rPr>
              <w:t xml:space="preserve"> et al, 2018</w:t>
            </w:r>
          </w:p>
        </w:tc>
        <w:tc>
          <w:tcPr>
            <w:tcW w:w="1585" w:type="dxa"/>
            <w:noWrap/>
            <w:hideMark/>
          </w:tcPr>
          <w:p w14:paraId="14AC158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28C2BAF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518BE7F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7F4F55E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72" w:type="dxa"/>
            <w:noWrap/>
            <w:hideMark/>
          </w:tcPr>
          <w:p w14:paraId="219EA6C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5E71EF4C" w14:textId="741B2FB1"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22A8BB3A" w14:textId="77777777" w:rsidTr="00697C93">
        <w:trPr>
          <w:trHeight w:val="310"/>
        </w:trPr>
        <w:tc>
          <w:tcPr>
            <w:tcW w:w="1975" w:type="dxa"/>
            <w:hideMark/>
          </w:tcPr>
          <w:p w14:paraId="228B75D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Salem et al, 2018</w:t>
            </w:r>
          </w:p>
        </w:tc>
        <w:tc>
          <w:tcPr>
            <w:tcW w:w="1585" w:type="dxa"/>
            <w:noWrap/>
            <w:hideMark/>
          </w:tcPr>
          <w:p w14:paraId="5B33C5B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6C34E1C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43C7A45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5CF90F1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59C51C5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9DCB215" w14:textId="0BF43E15"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10770E39" w14:textId="77777777" w:rsidTr="00697C93">
        <w:trPr>
          <w:trHeight w:val="310"/>
        </w:trPr>
        <w:tc>
          <w:tcPr>
            <w:tcW w:w="1975" w:type="dxa"/>
            <w:hideMark/>
          </w:tcPr>
          <w:p w14:paraId="3E23739E"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Rumshisky</w:t>
            </w:r>
            <w:proofErr w:type="spellEnd"/>
            <w:r w:rsidRPr="0086760B">
              <w:rPr>
                <w:rFonts w:ascii="Times New Roman" w:hAnsi="Times New Roman" w:cs="Times New Roman"/>
                <w:sz w:val="20"/>
                <w:szCs w:val="20"/>
              </w:rPr>
              <w:t xml:space="preserve"> et al, 2016</w:t>
            </w:r>
          </w:p>
        </w:tc>
        <w:tc>
          <w:tcPr>
            <w:tcW w:w="1585" w:type="dxa"/>
            <w:noWrap/>
            <w:hideMark/>
          </w:tcPr>
          <w:p w14:paraId="71173C2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236C8B0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161D543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7E33C9C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23D1637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32E1834E" w14:textId="27DDB15C"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3B631F48" w14:textId="77777777" w:rsidTr="00697C93">
        <w:trPr>
          <w:trHeight w:val="310"/>
        </w:trPr>
        <w:tc>
          <w:tcPr>
            <w:tcW w:w="1975" w:type="dxa"/>
            <w:hideMark/>
          </w:tcPr>
          <w:p w14:paraId="42694DBD"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Turgeman</w:t>
            </w:r>
            <w:proofErr w:type="spellEnd"/>
            <w:r w:rsidRPr="0086760B">
              <w:rPr>
                <w:rFonts w:ascii="Times New Roman" w:hAnsi="Times New Roman" w:cs="Times New Roman"/>
                <w:sz w:val="20"/>
                <w:szCs w:val="20"/>
              </w:rPr>
              <w:t xml:space="preserve"> et al, 2016</w:t>
            </w:r>
          </w:p>
        </w:tc>
        <w:tc>
          <w:tcPr>
            <w:tcW w:w="1585" w:type="dxa"/>
            <w:noWrap/>
            <w:hideMark/>
          </w:tcPr>
          <w:p w14:paraId="5CD82BD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6C17C62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671AA71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0488987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074EAE4F" w14:textId="78A211E5" w:rsidR="00A709FA" w:rsidRPr="0086760B" w:rsidRDefault="008939F7">
            <w:pPr>
              <w:rPr>
                <w:rFonts w:ascii="Times New Roman" w:hAnsi="Times New Roman" w:cs="Times New Roman"/>
                <w:sz w:val="20"/>
                <w:szCs w:val="20"/>
              </w:rPr>
            </w:pPr>
            <w:r w:rsidRPr="0086760B">
              <w:rPr>
                <w:rFonts w:ascii="Times New Roman" w:hAnsi="Times New Roman" w:cs="Times New Roman"/>
                <w:sz w:val="20"/>
                <w:szCs w:val="20"/>
              </w:rPr>
              <w:t xml:space="preserve">Y: </w:t>
            </w:r>
            <w:r w:rsidR="008A6C6B" w:rsidRPr="0086760B">
              <w:rPr>
                <w:rFonts w:ascii="Times New Roman" w:hAnsi="Times New Roman" w:cs="Times New Roman"/>
                <w:sz w:val="20"/>
                <w:szCs w:val="20"/>
              </w:rPr>
              <w:t xml:space="preserve">Modification to the </w:t>
            </w:r>
            <w:proofErr w:type="spellStart"/>
            <w:r w:rsidR="008A6C6B" w:rsidRPr="0086760B">
              <w:rPr>
                <w:rFonts w:ascii="Times New Roman" w:hAnsi="Times New Roman" w:cs="Times New Roman"/>
                <w:sz w:val="20"/>
                <w:szCs w:val="20"/>
              </w:rPr>
              <w:t>Classifers</w:t>
            </w:r>
            <w:proofErr w:type="spellEnd"/>
            <w:r w:rsidR="008A6C6B" w:rsidRPr="0086760B">
              <w:rPr>
                <w:rFonts w:ascii="Times New Roman" w:hAnsi="Times New Roman" w:cs="Times New Roman"/>
                <w:sz w:val="20"/>
                <w:szCs w:val="20"/>
              </w:rPr>
              <w:t xml:space="preserve"> Using </w:t>
            </w:r>
            <w:r w:rsidRPr="0086760B">
              <w:rPr>
                <w:rFonts w:ascii="Times New Roman" w:hAnsi="Times New Roman" w:cs="Times New Roman"/>
                <w:sz w:val="20"/>
                <w:szCs w:val="20"/>
              </w:rPr>
              <w:t xml:space="preserve">New </w:t>
            </w:r>
            <w:r w:rsidR="00F034AF" w:rsidRPr="0086760B">
              <w:rPr>
                <w:rFonts w:ascii="Times New Roman" w:hAnsi="Times New Roman" w:cs="Times New Roman"/>
                <w:sz w:val="20"/>
                <w:szCs w:val="20"/>
              </w:rPr>
              <w:t>O</w:t>
            </w:r>
            <w:r w:rsidRPr="0086760B">
              <w:rPr>
                <w:rFonts w:ascii="Times New Roman" w:hAnsi="Times New Roman" w:cs="Times New Roman"/>
                <w:sz w:val="20"/>
                <w:szCs w:val="20"/>
              </w:rPr>
              <w:t xml:space="preserve">ptimization </w:t>
            </w:r>
            <w:r w:rsidR="00F034AF" w:rsidRPr="0086760B">
              <w:rPr>
                <w:rFonts w:ascii="Times New Roman" w:hAnsi="Times New Roman" w:cs="Times New Roman"/>
                <w:sz w:val="20"/>
                <w:szCs w:val="20"/>
              </w:rPr>
              <w:t>M</w:t>
            </w:r>
            <w:r w:rsidRPr="0086760B">
              <w:rPr>
                <w:rFonts w:ascii="Times New Roman" w:hAnsi="Times New Roman" w:cs="Times New Roman"/>
                <w:sz w:val="20"/>
                <w:szCs w:val="20"/>
              </w:rPr>
              <w:t xml:space="preserve">ethods </w:t>
            </w:r>
            <w:r w:rsidR="00F034AF" w:rsidRPr="0086760B">
              <w:rPr>
                <w:rFonts w:ascii="Times New Roman" w:hAnsi="Times New Roman" w:cs="Times New Roman"/>
                <w:sz w:val="20"/>
                <w:szCs w:val="20"/>
              </w:rPr>
              <w:t>for Boosting</w:t>
            </w:r>
          </w:p>
        </w:tc>
        <w:tc>
          <w:tcPr>
            <w:tcW w:w="1694" w:type="dxa"/>
            <w:noWrap/>
          </w:tcPr>
          <w:p w14:paraId="7081B755" w14:textId="63FAAE39" w:rsidR="00A709FA" w:rsidRPr="0086760B" w:rsidRDefault="00952F07">
            <w:pPr>
              <w:rPr>
                <w:rFonts w:ascii="Times New Roman" w:hAnsi="Times New Roman" w:cs="Times New Roman"/>
                <w:sz w:val="20"/>
                <w:szCs w:val="20"/>
              </w:rPr>
            </w:pPr>
            <w:r w:rsidRPr="0086760B">
              <w:rPr>
                <w:rFonts w:ascii="Times New Roman" w:hAnsi="Times New Roman" w:cs="Times New Roman"/>
                <w:sz w:val="20"/>
                <w:szCs w:val="20"/>
              </w:rPr>
              <w:t>Y</w:t>
            </w:r>
            <w:r w:rsidR="00D522E5" w:rsidRPr="0086760B">
              <w:rPr>
                <w:rFonts w:ascii="Times New Roman" w:hAnsi="Times New Roman" w:cs="Times New Roman"/>
                <w:sz w:val="20"/>
                <w:szCs w:val="20"/>
              </w:rPr>
              <w:t>: Only Precision</w:t>
            </w:r>
          </w:p>
        </w:tc>
      </w:tr>
      <w:tr w:rsidR="004D2486" w:rsidRPr="0086760B" w14:paraId="77390C70" w14:textId="77777777" w:rsidTr="00697C93">
        <w:trPr>
          <w:trHeight w:val="310"/>
        </w:trPr>
        <w:tc>
          <w:tcPr>
            <w:tcW w:w="1975" w:type="dxa"/>
            <w:hideMark/>
          </w:tcPr>
          <w:p w14:paraId="64B3DA1B"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Povalej</w:t>
            </w:r>
            <w:proofErr w:type="spellEnd"/>
            <w:r w:rsidRPr="0086760B">
              <w:rPr>
                <w:rFonts w:ascii="Times New Roman" w:hAnsi="Times New Roman" w:cs="Times New Roman"/>
                <w:sz w:val="20"/>
                <w:szCs w:val="20"/>
              </w:rPr>
              <w:t xml:space="preserve"> et al, 2017</w:t>
            </w:r>
          </w:p>
        </w:tc>
        <w:tc>
          <w:tcPr>
            <w:tcW w:w="1585" w:type="dxa"/>
            <w:noWrap/>
            <w:hideMark/>
          </w:tcPr>
          <w:p w14:paraId="62C32C8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749108E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7B0F13B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0C73CA6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51291F3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31A08C74" w14:textId="043171E9"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288F646A" w14:textId="77777777" w:rsidTr="00697C93">
        <w:trPr>
          <w:trHeight w:val="310"/>
        </w:trPr>
        <w:tc>
          <w:tcPr>
            <w:tcW w:w="1975" w:type="dxa"/>
            <w:hideMark/>
          </w:tcPr>
          <w:p w14:paraId="629F1DC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Mahajan et al, 2017</w:t>
            </w:r>
          </w:p>
        </w:tc>
        <w:tc>
          <w:tcPr>
            <w:tcW w:w="1585" w:type="dxa"/>
            <w:noWrap/>
            <w:hideMark/>
          </w:tcPr>
          <w:p w14:paraId="0D45FCC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50FF8C4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76B550C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24E93CC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22CDB7F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491793D6" w14:textId="5BC90EAF"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4508EFE3" w14:textId="77777777" w:rsidTr="00697C93">
        <w:trPr>
          <w:trHeight w:val="310"/>
        </w:trPr>
        <w:tc>
          <w:tcPr>
            <w:tcW w:w="1975" w:type="dxa"/>
            <w:hideMark/>
          </w:tcPr>
          <w:p w14:paraId="200C110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Nakamura et al, 2019</w:t>
            </w:r>
          </w:p>
        </w:tc>
        <w:tc>
          <w:tcPr>
            <w:tcW w:w="1585" w:type="dxa"/>
            <w:noWrap/>
            <w:hideMark/>
          </w:tcPr>
          <w:p w14:paraId="09F5D6D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373FD0C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2638E72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700908A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259ECD8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5840B267" w14:textId="316E8768"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0FFF517C" w14:textId="77777777" w:rsidTr="00697C93">
        <w:trPr>
          <w:trHeight w:val="620"/>
        </w:trPr>
        <w:tc>
          <w:tcPr>
            <w:tcW w:w="1975" w:type="dxa"/>
            <w:hideMark/>
          </w:tcPr>
          <w:p w14:paraId="02E7A279"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Ehwerhemuepha</w:t>
            </w:r>
            <w:proofErr w:type="spellEnd"/>
            <w:r w:rsidRPr="0086760B">
              <w:rPr>
                <w:rFonts w:ascii="Times New Roman" w:hAnsi="Times New Roman" w:cs="Times New Roman"/>
                <w:sz w:val="20"/>
                <w:szCs w:val="20"/>
              </w:rPr>
              <w:t xml:space="preserve"> et al, 2020</w:t>
            </w:r>
          </w:p>
        </w:tc>
        <w:tc>
          <w:tcPr>
            <w:tcW w:w="1585" w:type="dxa"/>
            <w:noWrap/>
            <w:hideMark/>
          </w:tcPr>
          <w:p w14:paraId="0B50A89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306172C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257CB0F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3B9DFAA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36A52DE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9DF8BB3" w14:textId="5CB88F4D"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048996E2" w14:textId="77777777" w:rsidTr="00697C93">
        <w:trPr>
          <w:trHeight w:val="310"/>
        </w:trPr>
        <w:tc>
          <w:tcPr>
            <w:tcW w:w="1975" w:type="dxa"/>
            <w:hideMark/>
          </w:tcPr>
          <w:p w14:paraId="50E5B47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Tong et al, 2016</w:t>
            </w:r>
          </w:p>
        </w:tc>
        <w:tc>
          <w:tcPr>
            <w:tcW w:w="1585" w:type="dxa"/>
            <w:noWrap/>
            <w:hideMark/>
          </w:tcPr>
          <w:p w14:paraId="1749692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7654369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17C0146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3EDAA41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64D5811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6DC6F3F3" w14:textId="3F34D2FC"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3E871203" w14:textId="77777777" w:rsidTr="00697C93">
        <w:trPr>
          <w:trHeight w:val="310"/>
        </w:trPr>
        <w:tc>
          <w:tcPr>
            <w:tcW w:w="1975" w:type="dxa"/>
            <w:hideMark/>
          </w:tcPr>
          <w:p w14:paraId="2D6E1B4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McKinley et al, 2018</w:t>
            </w:r>
          </w:p>
        </w:tc>
        <w:tc>
          <w:tcPr>
            <w:tcW w:w="1585" w:type="dxa"/>
            <w:noWrap/>
            <w:hideMark/>
          </w:tcPr>
          <w:p w14:paraId="7418DE4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7913930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7EFC093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25F9B00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76E3204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02597FC3" w14:textId="1C2C939C"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659C1EE9" w14:textId="77777777" w:rsidTr="00697C93">
        <w:trPr>
          <w:trHeight w:val="310"/>
        </w:trPr>
        <w:tc>
          <w:tcPr>
            <w:tcW w:w="1975" w:type="dxa"/>
            <w:hideMark/>
          </w:tcPr>
          <w:p w14:paraId="5ECAE37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Kulkarni et al, 2016</w:t>
            </w:r>
          </w:p>
        </w:tc>
        <w:tc>
          <w:tcPr>
            <w:tcW w:w="1585" w:type="dxa"/>
            <w:noWrap/>
            <w:hideMark/>
          </w:tcPr>
          <w:p w14:paraId="28845B8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78B88FC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5B70AC8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0C98360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465D62B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07A1CF58" w14:textId="14C17BF9"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5DDBE242" w14:textId="77777777" w:rsidTr="00697C93">
        <w:trPr>
          <w:trHeight w:val="310"/>
        </w:trPr>
        <w:tc>
          <w:tcPr>
            <w:tcW w:w="1975" w:type="dxa"/>
            <w:hideMark/>
          </w:tcPr>
          <w:p w14:paraId="315AB67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Goyal et al, 2019</w:t>
            </w:r>
          </w:p>
        </w:tc>
        <w:tc>
          <w:tcPr>
            <w:tcW w:w="1585" w:type="dxa"/>
            <w:noWrap/>
            <w:hideMark/>
          </w:tcPr>
          <w:p w14:paraId="0017140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106822B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0609907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37F80AA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41BC8B4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937699F" w14:textId="165E9D12"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36FE9A8B" w14:textId="77777777" w:rsidTr="00697C93">
        <w:trPr>
          <w:trHeight w:val="310"/>
        </w:trPr>
        <w:tc>
          <w:tcPr>
            <w:tcW w:w="1975" w:type="dxa"/>
            <w:hideMark/>
          </w:tcPr>
          <w:p w14:paraId="5783F49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Garcia-Acre et al, 2018</w:t>
            </w:r>
          </w:p>
        </w:tc>
        <w:tc>
          <w:tcPr>
            <w:tcW w:w="1585" w:type="dxa"/>
            <w:noWrap/>
            <w:hideMark/>
          </w:tcPr>
          <w:p w14:paraId="7C4B0CE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663C22F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2C17089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0AB284E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7DA10374" w14:textId="5A422D5B" w:rsidR="00A709FA" w:rsidRPr="0086760B" w:rsidRDefault="004D2486">
            <w:pPr>
              <w:rPr>
                <w:rFonts w:ascii="Times New Roman" w:hAnsi="Times New Roman" w:cs="Times New Roman"/>
                <w:sz w:val="20"/>
                <w:szCs w:val="20"/>
              </w:rPr>
            </w:pPr>
            <w:r w:rsidRPr="0086760B">
              <w:rPr>
                <w:rFonts w:ascii="Times New Roman" w:hAnsi="Times New Roman" w:cs="Times New Roman"/>
                <w:sz w:val="20"/>
                <w:szCs w:val="20"/>
              </w:rPr>
              <w:t>Y: SMOTE</w:t>
            </w:r>
          </w:p>
        </w:tc>
        <w:tc>
          <w:tcPr>
            <w:tcW w:w="1694" w:type="dxa"/>
            <w:noWrap/>
          </w:tcPr>
          <w:p w14:paraId="250E772C" w14:textId="5721A9EE"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2C644A3C" w14:textId="77777777" w:rsidTr="00697C93">
        <w:trPr>
          <w:trHeight w:val="310"/>
        </w:trPr>
        <w:tc>
          <w:tcPr>
            <w:tcW w:w="1975" w:type="dxa"/>
            <w:hideMark/>
          </w:tcPr>
          <w:p w14:paraId="607B8BE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Mortazavi et al, 2016</w:t>
            </w:r>
          </w:p>
        </w:tc>
        <w:tc>
          <w:tcPr>
            <w:tcW w:w="1585" w:type="dxa"/>
            <w:noWrap/>
            <w:hideMark/>
          </w:tcPr>
          <w:p w14:paraId="7EB2183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1158024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785B05E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56FF232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14F5335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1DBE6639" w14:textId="2D470DE8"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2D50DF1D" w14:textId="77777777" w:rsidTr="00697C93">
        <w:trPr>
          <w:trHeight w:val="310"/>
        </w:trPr>
        <w:tc>
          <w:tcPr>
            <w:tcW w:w="1975" w:type="dxa"/>
            <w:hideMark/>
          </w:tcPr>
          <w:p w14:paraId="1E80BC1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Frizzell et al, 2017</w:t>
            </w:r>
          </w:p>
        </w:tc>
        <w:tc>
          <w:tcPr>
            <w:tcW w:w="1585" w:type="dxa"/>
            <w:noWrap/>
            <w:hideMark/>
          </w:tcPr>
          <w:p w14:paraId="4BBD4F9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38A44B3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11E78A7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7AB834F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72" w:type="dxa"/>
            <w:noWrap/>
            <w:hideMark/>
          </w:tcPr>
          <w:p w14:paraId="07D424D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0955E55" w14:textId="3BECBD03"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35B9D2EF" w14:textId="77777777" w:rsidTr="00697C93">
        <w:trPr>
          <w:trHeight w:val="310"/>
        </w:trPr>
        <w:tc>
          <w:tcPr>
            <w:tcW w:w="1975" w:type="dxa"/>
            <w:hideMark/>
          </w:tcPr>
          <w:p w14:paraId="128C154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Eckert et al, 2018</w:t>
            </w:r>
          </w:p>
        </w:tc>
        <w:tc>
          <w:tcPr>
            <w:tcW w:w="1585" w:type="dxa"/>
            <w:noWrap/>
            <w:hideMark/>
          </w:tcPr>
          <w:p w14:paraId="231A2CE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3E394C0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37272FB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755D702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1CA402E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5B10FCA9" w14:textId="32817B51" w:rsidR="00A709FA" w:rsidRPr="0086760B" w:rsidRDefault="008C4391">
            <w:pPr>
              <w:rPr>
                <w:rFonts w:ascii="Times New Roman" w:hAnsi="Times New Roman" w:cs="Times New Roman"/>
                <w:sz w:val="20"/>
                <w:szCs w:val="20"/>
              </w:rPr>
            </w:pPr>
            <w:r w:rsidRPr="0086760B">
              <w:rPr>
                <w:rFonts w:ascii="Times New Roman" w:hAnsi="Times New Roman" w:cs="Times New Roman"/>
                <w:sz w:val="20"/>
                <w:szCs w:val="20"/>
              </w:rPr>
              <w:t>Y</w:t>
            </w:r>
            <w:r w:rsidR="00D522E5" w:rsidRPr="0086760B">
              <w:rPr>
                <w:rFonts w:ascii="Times New Roman" w:hAnsi="Times New Roman" w:cs="Times New Roman"/>
                <w:sz w:val="20"/>
                <w:szCs w:val="20"/>
              </w:rPr>
              <w:t>: Precision and Recall</w:t>
            </w:r>
          </w:p>
        </w:tc>
      </w:tr>
      <w:tr w:rsidR="00697C93" w:rsidRPr="00697C93" w14:paraId="53FFB975" w14:textId="77777777" w:rsidTr="00697C93">
        <w:trPr>
          <w:trHeight w:val="620"/>
        </w:trPr>
        <w:tc>
          <w:tcPr>
            <w:tcW w:w="1975" w:type="dxa"/>
            <w:shd w:val="clear" w:color="auto" w:fill="808080" w:themeFill="background1" w:themeFillShade="80"/>
            <w:hideMark/>
          </w:tcPr>
          <w:p w14:paraId="4E749250" w14:textId="77777777" w:rsidR="00697C93" w:rsidRPr="00697C93" w:rsidRDefault="00697C93" w:rsidP="00977A5F">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lastRenderedPageBreak/>
              <w:t>Study</w:t>
            </w:r>
          </w:p>
        </w:tc>
        <w:tc>
          <w:tcPr>
            <w:tcW w:w="1585" w:type="dxa"/>
            <w:shd w:val="clear" w:color="auto" w:fill="808080" w:themeFill="background1" w:themeFillShade="80"/>
            <w:hideMark/>
          </w:tcPr>
          <w:p w14:paraId="691DE5FF" w14:textId="77777777" w:rsidR="00697C93" w:rsidRPr="00697C93" w:rsidRDefault="00697C93" w:rsidP="00977A5F">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Accuracy</w:t>
            </w:r>
          </w:p>
        </w:tc>
        <w:tc>
          <w:tcPr>
            <w:tcW w:w="1105" w:type="dxa"/>
            <w:shd w:val="clear" w:color="auto" w:fill="808080" w:themeFill="background1" w:themeFillShade="80"/>
            <w:hideMark/>
          </w:tcPr>
          <w:p w14:paraId="3B0D46CC" w14:textId="77777777" w:rsidR="00697C93" w:rsidRPr="00697C93" w:rsidRDefault="00697C93" w:rsidP="00977A5F">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Sensitivity</w:t>
            </w:r>
          </w:p>
        </w:tc>
        <w:tc>
          <w:tcPr>
            <w:tcW w:w="1105" w:type="dxa"/>
            <w:shd w:val="clear" w:color="auto" w:fill="808080" w:themeFill="background1" w:themeFillShade="80"/>
            <w:hideMark/>
          </w:tcPr>
          <w:p w14:paraId="0761CDD0" w14:textId="77777777" w:rsidR="00697C93" w:rsidRPr="00697C93" w:rsidRDefault="00697C93" w:rsidP="00977A5F">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Specificity</w:t>
            </w:r>
          </w:p>
        </w:tc>
        <w:tc>
          <w:tcPr>
            <w:tcW w:w="1205" w:type="dxa"/>
            <w:shd w:val="clear" w:color="auto" w:fill="808080" w:themeFill="background1" w:themeFillShade="80"/>
            <w:hideMark/>
          </w:tcPr>
          <w:p w14:paraId="4E2165E6" w14:textId="77777777" w:rsidR="00697C93" w:rsidRPr="00697C93" w:rsidRDefault="00697C93" w:rsidP="00977A5F">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Calibration</w:t>
            </w:r>
          </w:p>
        </w:tc>
        <w:tc>
          <w:tcPr>
            <w:tcW w:w="1272" w:type="dxa"/>
            <w:shd w:val="clear" w:color="auto" w:fill="808080" w:themeFill="background1" w:themeFillShade="80"/>
            <w:hideMark/>
          </w:tcPr>
          <w:p w14:paraId="724F1160" w14:textId="77777777" w:rsidR="00697C93" w:rsidRPr="00697C93" w:rsidRDefault="00697C93" w:rsidP="00977A5F">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Methods to address imbalance data</w:t>
            </w:r>
          </w:p>
        </w:tc>
        <w:tc>
          <w:tcPr>
            <w:tcW w:w="1694" w:type="dxa"/>
            <w:shd w:val="clear" w:color="auto" w:fill="808080" w:themeFill="background1" w:themeFillShade="80"/>
            <w:hideMark/>
          </w:tcPr>
          <w:p w14:paraId="5E5A947F" w14:textId="77777777" w:rsidR="00697C93" w:rsidRPr="00697C93" w:rsidRDefault="00697C93" w:rsidP="00977A5F">
            <w:pPr>
              <w:rPr>
                <w:rFonts w:ascii="Times New Roman" w:hAnsi="Times New Roman" w:cs="Times New Roman"/>
                <w:b/>
                <w:color w:val="FFFFFF" w:themeColor="background1"/>
                <w:sz w:val="20"/>
                <w:szCs w:val="20"/>
              </w:rPr>
            </w:pPr>
            <w:r w:rsidRPr="00697C93">
              <w:rPr>
                <w:rFonts w:ascii="Times New Roman" w:hAnsi="Times New Roman" w:cs="Times New Roman"/>
                <w:b/>
                <w:color w:val="FFFFFF" w:themeColor="background1"/>
                <w:sz w:val="20"/>
                <w:szCs w:val="20"/>
              </w:rPr>
              <w:t>Other Measures: Precision, Recall, or F1 Score</w:t>
            </w:r>
          </w:p>
        </w:tc>
      </w:tr>
      <w:tr w:rsidR="004D2486" w:rsidRPr="0086760B" w14:paraId="28BD31B5" w14:textId="77777777" w:rsidTr="00697C93">
        <w:trPr>
          <w:trHeight w:val="310"/>
        </w:trPr>
        <w:tc>
          <w:tcPr>
            <w:tcW w:w="1975" w:type="dxa"/>
            <w:hideMark/>
          </w:tcPr>
          <w:p w14:paraId="34DDF81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Lodhi et al, 2017</w:t>
            </w:r>
          </w:p>
        </w:tc>
        <w:tc>
          <w:tcPr>
            <w:tcW w:w="1585" w:type="dxa"/>
            <w:noWrap/>
            <w:hideMark/>
          </w:tcPr>
          <w:p w14:paraId="4284297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63382F5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7D7C3C3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2220267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4670542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5E5973D2" w14:textId="1562A239" w:rsidR="00A709FA" w:rsidRPr="0086760B" w:rsidRDefault="008C4391">
            <w:pPr>
              <w:rPr>
                <w:rFonts w:ascii="Times New Roman" w:hAnsi="Times New Roman" w:cs="Times New Roman"/>
                <w:sz w:val="20"/>
                <w:szCs w:val="20"/>
              </w:rPr>
            </w:pPr>
            <w:r w:rsidRPr="0086760B">
              <w:rPr>
                <w:rFonts w:ascii="Times New Roman" w:hAnsi="Times New Roman" w:cs="Times New Roman"/>
                <w:sz w:val="20"/>
                <w:szCs w:val="20"/>
              </w:rPr>
              <w:t>Y</w:t>
            </w:r>
            <w:r w:rsidR="00D522E5" w:rsidRPr="0086760B">
              <w:rPr>
                <w:rFonts w:ascii="Times New Roman" w:hAnsi="Times New Roman" w:cs="Times New Roman"/>
                <w:sz w:val="20"/>
                <w:szCs w:val="20"/>
              </w:rPr>
              <w:t>: Precision and Recall</w:t>
            </w:r>
          </w:p>
        </w:tc>
      </w:tr>
      <w:tr w:rsidR="004D2486" w:rsidRPr="0086760B" w14:paraId="55111AC5" w14:textId="77777777" w:rsidTr="00697C93">
        <w:trPr>
          <w:trHeight w:val="310"/>
        </w:trPr>
        <w:tc>
          <w:tcPr>
            <w:tcW w:w="1975" w:type="dxa"/>
            <w:hideMark/>
          </w:tcPr>
          <w:p w14:paraId="7D28AE3D"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Jamei</w:t>
            </w:r>
            <w:proofErr w:type="spellEnd"/>
            <w:r w:rsidRPr="0086760B">
              <w:rPr>
                <w:rFonts w:ascii="Times New Roman" w:hAnsi="Times New Roman" w:cs="Times New Roman"/>
                <w:sz w:val="20"/>
                <w:szCs w:val="20"/>
              </w:rPr>
              <w:t xml:space="preserve"> et al, 2017</w:t>
            </w:r>
          </w:p>
        </w:tc>
        <w:tc>
          <w:tcPr>
            <w:tcW w:w="1585" w:type="dxa"/>
            <w:noWrap/>
            <w:hideMark/>
          </w:tcPr>
          <w:p w14:paraId="1CB150E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597A43D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4288EA8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199A97C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5ABCCF5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186AD243" w14:textId="03F614E4" w:rsidR="00A709FA" w:rsidRPr="0086760B" w:rsidRDefault="008C4391">
            <w:pPr>
              <w:rPr>
                <w:rFonts w:ascii="Times New Roman" w:hAnsi="Times New Roman" w:cs="Times New Roman"/>
                <w:sz w:val="20"/>
                <w:szCs w:val="20"/>
              </w:rPr>
            </w:pPr>
            <w:r w:rsidRPr="0086760B">
              <w:rPr>
                <w:rFonts w:ascii="Times New Roman" w:hAnsi="Times New Roman" w:cs="Times New Roman"/>
                <w:sz w:val="20"/>
                <w:szCs w:val="20"/>
              </w:rPr>
              <w:t>Y</w:t>
            </w:r>
            <w:r w:rsidR="00D522E5" w:rsidRPr="0086760B">
              <w:rPr>
                <w:rFonts w:ascii="Times New Roman" w:hAnsi="Times New Roman" w:cs="Times New Roman"/>
                <w:sz w:val="20"/>
                <w:szCs w:val="20"/>
              </w:rPr>
              <w:t>: Precision and Recall</w:t>
            </w:r>
          </w:p>
        </w:tc>
      </w:tr>
      <w:tr w:rsidR="004D2486" w:rsidRPr="0086760B" w14:paraId="55178B9B" w14:textId="77777777" w:rsidTr="00697C93">
        <w:trPr>
          <w:trHeight w:val="310"/>
        </w:trPr>
        <w:tc>
          <w:tcPr>
            <w:tcW w:w="1975" w:type="dxa"/>
            <w:hideMark/>
          </w:tcPr>
          <w:p w14:paraId="0C3CEDE2"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Welchowski</w:t>
            </w:r>
            <w:proofErr w:type="spellEnd"/>
            <w:r w:rsidRPr="0086760B">
              <w:rPr>
                <w:rFonts w:ascii="Times New Roman" w:hAnsi="Times New Roman" w:cs="Times New Roman"/>
                <w:sz w:val="20"/>
                <w:szCs w:val="20"/>
              </w:rPr>
              <w:t xml:space="preserve"> et al, 2016</w:t>
            </w:r>
          </w:p>
        </w:tc>
        <w:tc>
          <w:tcPr>
            <w:tcW w:w="1585" w:type="dxa"/>
            <w:noWrap/>
            <w:hideMark/>
          </w:tcPr>
          <w:p w14:paraId="187EA35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4D4BEDF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74F59FA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0DFBCCD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0FED82D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25C015F8" w14:textId="6D37F389"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75650558" w14:textId="77777777" w:rsidTr="00697C93">
        <w:trPr>
          <w:trHeight w:val="310"/>
        </w:trPr>
        <w:tc>
          <w:tcPr>
            <w:tcW w:w="1975" w:type="dxa"/>
            <w:hideMark/>
          </w:tcPr>
          <w:p w14:paraId="0353A23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Wang et al. 2018</w:t>
            </w:r>
          </w:p>
        </w:tc>
        <w:tc>
          <w:tcPr>
            <w:tcW w:w="1585" w:type="dxa"/>
            <w:noWrap/>
            <w:hideMark/>
          </w:tcPr>
          <w:p w14:paraId="3A82B07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42B947B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5901DB1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373F4C30"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125A9BD1" w14:textId="1D7A0598" w:rsidR="00A709FA" w:rsidRPr="0086760B" w:rsidRDefault="00F034AF">
            <w:pPr>
              <w:rPr>
                <w:rFonts w:ascii="Times New Roman" w:hAnsi="Times New Roman" w:cs="Times New Roman"/>
                <w:sz w:val="20"/>
                <w:szCs w:val="20"/>
              </w:rPr>
            </w:pPr>
            <w:r w:rsidRPr="0086760B">
              <w:rPr>
                <w:rFonts w:ascii="Times New Roman" w:hAnsi="Times New Roman" w:cs="Times New Roman"/>
                <w:sz w:val="20"/>
                <w:szCs w:val="20"/>
              </w:rPr>
              <w:t>Y:Cost-sensitive prediction formulation</w:t>
            </w:r>
          </w:p>
        </w:tc>
        <w:tc>
          <w:tcPr>
            <w:tcW w:w="1694" w:type="dxa"/>
            <w:noWrap/>
          </w:tcPr>
          <w:p w14:paraId="39185441" w14:textId="060AEC19" w:rsidR="00A709FA" w:rsidRPr="0086760B" w:rsidRDefault="008C4391">
            <w:pPr>
              <w:rPr>
                <w:rFonts w:ascii="Times New Roman" w:hAnsi="Times New Roman" w:cs="Times New Roman"/>
                <w:sz w:val="20"/>
                <w:szCs w:val="20"/>
              </w:rPr>
            </w:pPr>
            <w:r w:rsidRPr="0086760B">
              <w:rPr>
                <w:rFonts w:ascii="Times New Roman" w:hAnsi="Times New Roman" w:cs="Times New Roman"/>
                <w:sz w:val="20"/>
                <w:szCs w:val="20"/>
              </w:rPr>
              <w:t>Y</w:t>
            </w:r>
            <w:r w:rsidR="00D522E5" w:rsidRPr="0086760B">
              <w:rPr>
                <w:rFonts w:ascii="Times New Roman" w:hAnsi="Times New Roman" w:cs="Times New Roman"/>
                <w:sz w:val="20"/>
                <w:szCs w:val="20"/>
              </w:rPr>
              <w:t>: F1 Score</w:t>
            </w:r>
          </w:p>
        </w:tc>
      </w:tr>
      <w:tr w:rsidR="004D2486" w:rsidRPr="0086760B" w14:paraId="1129BA0C" w14:textId="77777777" w:rsidTr="00697C93">
        <w:trPr>
          <w:trHeight w:val="310"/>
        </w:trPr>
        <w:tc>
          <w:tcPr>
            <w:tcW w:w="1975" w:type="dxa"/>
            <w:hideMark/>
          </w:tcPr>
          <w:p w14:paraId="3F8B08F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Hopkins et al, 2019</w:t>
            </w:r>
          </w:p>
        </w:tc>
        <w:tc>
          <w:tcPr>
            <w:tcW w:w="1585" w:type="dxa"/>
            <w:noWrap/>
            <w:hideMark/>
          </w:tcPr>
          <w:p w14:paraId="53E3B948"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6247D8E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7959A06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7E6CC632"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2DFC606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460A3896" w14:textId="73863C6B"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019D22F7" w14:textId="77777777" w:rsidTr="00697C93">
        <w:trPr>
          <w:trHeight w:val="310"/>
        </w:trPr>
        <w:tc>
          <w:tcPr>
            <w:tcW w:w="1975" w:type="dxa"/>
            <w:hideMark/>
          </w:tcPr>
          <w:p w14:paraId="08D312E3"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Golas</w:t>
            </w:r>
            <w:proofErr w:type="spellEnd"/>
            <w:r w:rsidRPr="0086760B">
              <w:rPr>
                <w:rFonts w:ascii="Times New Roman" w:hAnsi="Times New Roman" w:cs="Times New Roman"/>
                <w:sz w:val="20"/>
                <w:szCs w:val="20"/>
              </w:rPr>
              <w:t xml:space="preserve"> et al, 2018 </w:t>
            </w:r>
          </w:p>
        </w:tc>
        <w:tc>
          <w:tcPr>
            <w:tcW w:w="1585" w:type="dxa"/>
            <w:noWrap/>
            <w:hideMark/>
          </w:tcPr>
          <w:p w14:paraId="24884E9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1C3C565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51CA279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535EBF9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74E848C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0E3E284F" w14:textId="2D3495BC" w:rsidR="00A709FA" w:rsidRPr="0086760B" w:rsidRDefault="008C4391">
            <w:pPr>
              <w:rPr>
                <w:rFonts w:ascii="Times New Roman" w:hAnsi="Times New Roman" w:cs="Times New Roman"/>
                <w:sz w:val="20"/>
                <w:szCs w:val="20"/>
              </w:rPr>
            </w:pPr>
            <w:r w:rsidRPr="0086760B">
              <w:rPr>
                <w:rFonts w:ascii="Times New Roman" w:hAnsi="Times New Roman" w:cs="Times New Roman"/>
                <w:sz w:val="20"/>
                <w:szCs w:val="20"/>
              </w:rPr>
              <w:t>Y</w:t>
            </w:r>
            <w:r w:rsidR="00D522E5" w:rsidRPr="0086760B">
              <w:rPr>
                <w:rFonts w:ascii="Times New Roman" w:hAnsi="Times New Roman" w:cs="Times New Roman"/>
                <w:sz w:val="20"/>
                <w:szCs w:val="20"/>
              </w:rPr>
              <w:t>: Precision, Recall and F1 Score</w:t>
            </w:r>
          </w:p>
        </w:tc>
      </w:tr>
      <w:tr w:rsidR="004D2486" w:rsidRPr="0086760B" w14:paraId="15F71A92" w14:textId="77777777" w:rsidTr="00697C93">
        <w:trPr>
          <w:trHeight w:val="310"/>
        </w:trPr>
        <w:tc>
          <w:tcPr>
            <w:tcW w:w="1975" w:type="dxa"/>
            <w:hideMark/>
          </w:tcPr>
          <w:p w14:paraId="0452FD0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Reddy et al, 2018</w:t>
            </w:r>
          </w:p>
        </w:tc>
        <w:tc>
          <w:tcPr>
            <w:tcW w:w="1585" w:type="dxa"/>
            <w:noWrap/>
            <w:hideMark/>
          </w:tcPr>
          <w:p w14:paraId="7EC2B2B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0E4EF76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0675C146"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6E845D4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66FAD470" w14:textId="2585FB7A" w:rsidR="00A709FA" w:rsidRPr="0086760B" w:rsidRDefault="00F034AF">
            <w:pPr>
              <w:rPr>
                <w:rFonts w:ascii="Times New Roman" w:hAnsi="Times New Roman" w:cs="Times New Roman"/>
                <w:sz w:val="20"/>
                <w:szCs w:val="20"/>
              </w:rPr>
            </w:pPr>
            <w:r w:rsidRPr="0086760B">
              <w:rPr>
                <w:rFonts w:ascii="Times New Roman" w:hAnsi="Times New Roman" w:cs="Times New Roman"/>
                <w:sz w:val="20"/>
                <w:szCs w:val="20"/>
              </w:rPr>
              <w:t>Y</w:t>
            </w:r>
            <w:r w:rsidR="004D2486" w:rsidRPr="0086760B">
              <w:rPr>
                <w:rFonts w:ascii="Times New Roman" w:hAnsi="Times New Roman" w:cs="Times New Roman"/>
                <w:sz w:val="20"/>
                <w:szCs w:val="20"/>
              </w:rPr>
              <w:t>: SMOTE</w:t>
            </w:r>
          </w:p>
        </w:tc>
        <w:tc>
          <w:tcPr>
            <w:tcW w:w="1694" w:type="dxa"/>
            <w:noWrap/>
          </w:tcPr>
          <w:p w14:paraId="3FB4CBB1" w14:textId="76F6CCB1"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221CF866" w14:textId="77777777" w:rsidTr="00697C93">
        <w:trPr>
          <w:trHeight w:val="310"/>
        </w:trPr>
        <w:tc>
          <w:tcPr>
            <w:tcW w:w="1975" w:type="dxa"/>
            <w:hideMark/>
          </w:tcPr>
          <w:p w14:paraId="43C321A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Xiao et al, 2018</w:t>
            </w:r>
          </w:p>
        </w:tc>
        <w:tc>
          <w:tcPr>
            <w:tcW w:w="1585" w:type="dxa"/>
            <w:noWrap/>
            <w:hideMark/>
          </w:tcPr>
          <w:p w14:paraId="2FEE58C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65D1DAE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3EC8E59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3C1C480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2404895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5D15A30C" w14:textId="2C8B5AF8"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62E26284" w14:textId="77777777" w:rsidTr="00697C93">
        <w:trPr>
          <w:trHeight w:val="310"/>
        </w:trPr>
        <w:tc>
          <w:tcPr>
            <w:tcW w:w="1975" w:type="dxa"/>
            <w:hideMark/>
          </w:tcPr>
          <w:p w14:paraId="4C72304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Lin et al, 2019</w:t>
            </w:r>
          </w:p>
        </w:tc>
        <w:tc>
          <w:tcPr>
            <w:tcW w:w="1585" w:type="dxa"/>
            <w:noWrap/>
            <w:hideMark/>
          </w:tcPr>
          <w:p w14:paraId="53B2073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6FCC1F3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105" w:type="dxa"/>
            <w:noWrap/>
            <w:hideMark/>
          </w:tcPr>
          <w:p w14:paraId="04D5CD4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y</w:t>
            </w:r>
          </w:p>
        </w:tc>
        <w:tc>
          <w:tcPr>
            <w:tcW w:w="1205" w:type="dxa"/>
            <w:noWrap/>
            <w:hideMark/>
          </w:tcPr>
          <w:p w14:paraId="1931106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0A4F4A0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1ED81676" w14:textId="2C087563" w:rsidR="00A709FA" w:rsidRPr="0086760B" w:rsidRDefault="008C4391">
            <w:pPr>
              <w:rPr>
                <w:rFonts w:ascii="Times New Roman" w:hAnsi="Times New Roman" w:cs="Times New Roman"/>
                <w:sz w:val="20"/>
                <w:szCs w:val="20"/>
              </w:rPr>
            </w:pPr>
            <w:r w:rsidRPr="0086760B">
              <w:rPr>
                <w:rFonts w:ascii="Times New Roman" w:hAnsi="Times New Roman" w:cs="Times New Roman"/>
                <w:sz w:val="20"/>
                <w:szCs w:val="20"/>
              </w:rPr>
              <w:t>Y</w:t>
            </w:r>
            <w:r w:rsidR="00D522E5" w:rsidRPr="0086760B">
              <w:rPr>
                <w:rFonts w:ascii="Times New Roman" w:hAnsi="Times New Roman" w:cs="Times New Roman"/>
                <w:sz w:val="20"/>
                <w:szCs w:val="20"/>
              </w:rPr>
              <w:t xml:space="preserve">: Only Recall </w:t>
            </w:r>
          </w:p>
        </w:tc>
      </w:tr>
      <w:tr w:rsidR="004D2486" w:rsidRPr="0086760B" w14:paraId="08D1A3E9" w14:textId="77777777" w:rsidTr="00697C93">
        <w:trPr>
          <w:trHeight w:val="310"/>
        </w:trPr>
        <w:tc>
          <w:tcPr>
            <w:tcW w:w="1975" w:type="dxa"/>
            <w:hideMark/>
          </w:tcPr>
          <w:p w14:paraId="21EA3DE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Allam et al, 2019</w:t>
            </w:r>
          </w:p>
        </w:tc>
        <w:tc>
          <w:tcPr>
            <w:tcW w:w="1585" w:type="dxa"/>
            <w:noWrap/>
            <w:hideMark/>
          </w:tcPr>
          <w:p w14:paraId="325528CC"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080AF33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2720C43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2F155AC3"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6147B551" w14:textId="0F60172E" w:rsidR="00A709FA" w:rsidRPr="0086760B" w:rsidRDefault="004D2486">
            <w:pPr>
              <w:rPr>
                <w:rFonts w:ascii="Times New Roman" w:hAnsi="Times New Roman" w:cs="Times New Roman"/>
                <w:sz w:val="20"/>
                <w:szCs w:val="20"/>
              </w:rPr>
            </w:pPr>
            <w:r w:rsidRPr="0086760B">
              <w:rPr>
                <w:rFonts w:ascii="Times New Roman" w:hAnsi="Times New Roman" w:cs="Times New Roman"/>
                <w:sz w:val="20"/>
                <w:szCs w:val="20"/>
              </w:rPr>
              <w:t xml:space="preserve">Y: </w:t>
            </w:r>
            <w:r w:rsidR="008939F7" w:rsidRPr="0086760B">
              <w:rPr>
                <w:rFonts w:ascii="Times New Roman" w:hAnsi="Times New Roman" w:cs="Times New Roman"/>
                <w:sz w:val="20"/>
                <w:szCs w:val="20"/>
              </w:rPr>
              <w:t>I</w:t>
            </w:r>
            <w:r w:rsidRPr="0086760B">
              <w:rPr>
                <w:rFonts w:ascii="Times New Roman" w:hAnsi="Times New Roman" w:cs="Times New Roman"/>
                <w:sz w:val="20"/>
                <w:szCs w:val="20"/>
              </w:rPr>
              <w:t>nverse weighting to training datasets</w:t>
            </w:r>
          </w:p>
        </w:tc>
        <w:tc>
          <w:tcPr>
            <w:tcW w:w="1694" w:type="dxa"/>
            <w:noWrap/>
          </w:tcPr>
          <w:p w14:paraId="1703D366" w14:textId="01A85C33"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38C25FC2" w14:textId="77777777" w:rsidTr="00697C93">
        <w:trPr>
          <w:trHeight w:val="310"/>
        </w:trPr>
        <w:tc>
          <w:tcPr>
            <w:tcW w:w="1975" w:type="dxa"/>
            <w:hideMark/>
          </w:tcPr>
          <w:p w14:paraId="6D89C96E"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Min et al. 2019</w:t>
            </w:r>
          </w:p>
        </w:tc>
        <w:tc>
          <w:tcPr>
            <w:tcW w:w="1585" w:type="dxa"/>
            <w:noWrap/>
            <w:hideMark/>
          </w:tcPr>
          <w:p w14:paraId="5A016C1B"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039D3E6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42707D5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70845C39"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20D2E1B5"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55299EEA" w14:textId="6C675D51"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4D2486" w:rsidRPr="0086760B" w14:paraId="671E56AA" w14:textId="77777777" w:rsidTr="00697C93">
        <w:trPr>
          <w:trHeight w:val="310"/>
        </w:trPr>
        <w:tc>
          <w:tcPr>
            <w:tcW w:w="1975" w:type="dxa"/>
            <w:hideMark/>
          </w:tcPr>
          <w:p w14:paraId="13E06CC5" w14:textId="77777777" w:rsidR="00A709FA" w:rsidRPr="0086760B" w:rsidRDefault="00A709FA">
            <w:pPr>
              <w:rPr>
                <w:rFonts w:ascii="Times New Roman" w:hAnsi="Times New Roman" w:cs="Times New Roman"/>
                <w:sz w:val="20"/>
                <w:szCs w:val="20"/>
              </w:rPr>
            </w:pPr>
            <w:proofErr w:type="spellStart"/>
            <w:r w:rsidRPr="0086760B">
              <w:rPr>
                <w:rFonts w:ascii="Times New Roman" w:hAnsi="Times New Roman" w:cs="Times New Roman"/>
                <w:sz w:val="20"/>
                <w:szCs w:val="20"/>
              </w:rPr>
              <w:t>Rajkomar</w:t>
            </w:r>
            <w:proofErr w:type="spellEnd"/>
            <w:r w:rsidRPr="0086760B">
              <w:rPr>
                <w:rFonts w:ascii="Times New Roman" w:hAnsi="Times New Roman" w:cs="Times New Roman"/>
                <w:sz w:val="20"/>
                <w:szCs w:val="20"/>
              </w:rPr>
              <w:t xml:space="preserve"> et al, 2018</w:t>
            </w:r>
          </w:p>
        </w:tc>
        <w:tc>
          <w:tcPr>
            <w:tcW w:w="1585" w:type="dxa"/>
            <w:noWrap/>
            <w:hideMark/>
          </w:tcPr>
          <w:p w14:paraId="23B98C7F"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204FB031"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105" w:type="dxa"/>
            <w:noWrap/>
            <w:hideMark/>
          </w:tcPr>
          <w:p w14:paraId="2C27094A"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05" w:type="dxa"/>
            <w:noWrap/>
            <w:hideMark/>
          </w:tcPr>
          <w:p w14:paraId="709C2C47"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272" w:type="dxa"/>
            <w:noWrap/>
            <w:hideMark/>
          </w:tcPr>
          <w:p w14:paraId="325B9C2D"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n</w:t>
            </w:r>
          </w:p>
        </w:tc>
        <w:tc>
          <w:tcPr>
            <w:tcW w:w="1694" w:type="dxa"/>
            <w:noWrap/>
          </w:tcPr>
          <w:p w14:paraId="7F8331E7" w14:textId="0A7446FD" w:rsidR="00A709FA" w:rsidRPr="0086760B" w:rsidRDefault="00B235BA">
            <w:pPr>
              <w:rPr>
                <w:rFonts w:ascii="Times New Roman" w:hAnsi="Times New Roman" w:cs="Times New Roman"/>
                <w:sz w:val="20"/>
                <w:szCs w:val="20"/>
              </w:rPr>
            </w:pPr>
            <w:r w:rsidRPr="0086760B">
              <w:rPr>
                <w:rFonts w:ascii="Times New Roman" w:hAnsi="Times New Roman" w:cs="Times New Roman"/>
                <w:sz w:val="20"/>
                <w:szCs w:val="20"/>
              </w:rPr>
              <w:t>N</w:t>
            </w:r>
          </w:p>
        </w:tc>
      </w:tr>
      <w:tr w:rsidR="00A709FA" w:rsidRPr="0086760B" w14:paraId="2FDC5ECE" w14:textId="77777777" w:rsidTr="00697C93">
        <w:trPr>
          <w:trHeight w:val="310"/>
        </w:trPr>
        <w:tc>
          <w:tcPr>
            <w:tcW w:w="9941" w:type="dxa"/>
            <w:gridSpan w:val="7"/>
            <w:noWrap/>
            <w:hideMark/>
          </w:tcPr>
          <w:p w14:paraId="11EF9964" w14:textId="77777777" w:rsidR="00A709FA" w:rsidRPr="0086760B" w:rsidRDefault="00A709FA">
            <w:pPr>
              <w:rPr>
                <w:rFonts w:ascii="Times New Roman" w:hAnsi="Times New Roman" w:cs="Times New Roman"/>
                <w:sz w:val="20"/>
                <w:szCs w:val="20"/>
              </w:rPr>
            </w:pPr>
            <w:r w:rsidRPr="0086760B">
              <w:rPr>
                <w:rFonts w:ascii="Times New Roman" w:hAnsi="Times New Roman" w:cs="Times New Roman"/>
                <w:sz w:val="20"/>
                <w:szCs w:val="20"/>
              </w:rPr>
              <w:t>Abbreviations: n=No; y=Yes</w:t>
            </w:r>
          </w:p>
        </w:tc>
      </w:tr>
    </w:tbl>
    <w:p w14:paraId="6EAB6F5E" w14:textId="41DC5B57" w:rsidR="006335DE" w:rsidRPr="0086760B" w:rsidRDefault="006335DE">
      <w:pPr>
        <w:rPr>
          <w:rFonts w:ascii="Times New Roman" w:hAnsi="Times New Roman" w:cs="Times New Roman"/>
          <w:b/>
          <w:bCs/>
          <w:sz w:val="20"/>
          <w:szCs w:val="20"/>
        </w:rPr>
      </w:pPr>
    </w:p>
    <w:p w14:paraId="3DA8EB8D" w14:textId="14615CFD" w:rsidR="006335DE" w:rsidRPr="0086760B" w:rsidRDefault="006335DE">
      <w:pPr>
        <w:rPr>
          <w:rFonts w:ascii="Times New Roman" w:hAnsi="Times New Roman" w:cs="Times New Roman"/>
          <w:b/>
          <w:bCs/>
          <w:sz w:val="20"/>
          <w:szCs w:val="20"/>
        </w:rPr>
      </w:pPr>
    </w:p>
    <w:p w14:paraId="76390470" w14:textId="046C352D" w:rsidR="006335DE" w:rsidRPr="0086760B" w:rsidRDefault="006335DE">
      <w:pPr>
        <w:rPr>
          <w:rFonts w:ascii="Times New Roman" w:hAnsi="Times New Roman" w:cs="Times New Roman"/>
          <w:b/>
          <w:bCs/>
          <w:sz w:val="20"/>
          <w:szCs w:val="20"/>
        </w:rPr>
      </w:pPr>
    </w:p>
    <w:p w14:paraId="4640B5D2" w14:textId="3B8C1527" w:rsidR="006335DE" w:rsidRPr="0086760B" w:rsidRDefault="006335DE">
      <w:pPr>
        <w:rPr>
          <w:rFonts w:ascii="Times New Roman" w:hAnsi="Times New Roman" w:cs="Times New Roman"/>
          <w:b/>
          <w:bCs/>
          <w:sz w:val="20"/>
          <w:szCs w:val="20"/>
        </w:rPr>
      </w:pPr>
    </w:p>
    <w:p w14:paraId="0814472C" w14:textId="0CFB19D6" w:rsidR="006335DE" w:rsidRPr="0086760B" w:rsidRDefault="006335DE">
      <w:pPr>
        <w:rPr>
          <w:rFonts w:ascii="Times New Roman" w:hAnsi="Times New Roman" w:cs="Times New Roman"/>
          <w:b/>
          <w:bCs/>
          <w:sz w:val="20"/>
          <w:szCs w:val="20"/>
        </w:rPr>
      </w:pPr>
    </w:p>
    <w:p w14:paraId="181AD8B9" w14:textId="58F8EA9A" w:rsidR="006335DE" w:rsidRPr="0086760B" w:rsidRDefault="006335DE">
      <w:pPr>
        <w:rPr>
          <w:rFonts w:ascii="Times New Roman" w:hAnsi="Times New Roman" w:cs="Times New Roman"/>
          <w:b/>
          <w:bCs/>
          <w:sz w:val="20"/>
          <w:szCs w:val="20"/>
        </w:rPr>
      </w:pPr>
    </w:p>
    <w:p w14:paraId="604CF507" w14:textId="0360FAA5" w:rsidR="006335DE" w:rsidRPr="0086760B" w:rsidRDefault="006335DE">
      <w:pPr>
        <w:rPr>
          <w:rFonts w:ascii="Times New Roman" w:hAnsi="Times New Roman" w:cs="Times New Roman"/>
          <w:b/>
          <w:bCs/>
          <w:sz w:val="20"/>
          <w:szCs w:val="20"/>
        </w:rPr>
      </w:pPr>
    </w:p>
    <w:p w14:paraId="3A7C2B0A" w14:textId="488BE0B8" w:rsidR="006335DE" w:rsidRPr="0086760B" w:rsidRDefault="006335DE">
      <w:pPr>
        <w:rPr>
          <w:rFonts w:ascii="Times New Roman" w:hAnsi="Times New Roman" w:cs="Times New Roman"/>
          <w:b/>
          <w:bCs/>
          <w:sz w:val="20"/>
          <w:szCs w:val="20"/>
        </w:rPr>
      </w:pPr>
    </w:p>
    <w:p w14:paraId="3938D4A0" w14:textId="5441D989" w:rsidR="006335DE" w:rsidRPr="0086760B" w:rsidRDefault="006335DE">
      <w:pPr>
        <w:rPr>
          <w:rFonts w:ascii="Times New Roman" w:hAnsi="Times New Roman" w:cs="Times New Roman"/>
          <w:b/>
          <w:bCs/>
          <w:sz w:val="20"/>
          <w:szCs w:val="20"/>
        </w:rPr>
      </w:pPr>
    </w:p>
    <w:p w14:paraId="7D434DAF" w14:textId="1A082884" w:rsidR="006335DE" w:rsidRPr="0086760B" w:rsidRDefault="006335DE">
      <w:pPr>
        <w:rPr>
          <w:rFonts w:ascii="Times New Roman" w:hAnsi="Times New Roman" w:cs="Times New Roman"/>
          <w:b/>
          <w:bCs/>
          <w:sz w:val="20"/>
          <w:szCs w:val="20"/>
        </w:rPr>
      </w:pPr>
    </w:p>
    <w:p w14:paraId="4606FFD5" w14:textId="15916AD8" w:rsidR="006335DE" w:rsidRPr="0086760B" w:rsidRDefault="006335DE">
      <w:pPr>
        <w:rPr>
          <w:rFonts w:ascii="Times New Roman" w:hAnsi="Times New Roman" w:cs="Times New Roman"/>
          <w:b/>
          <w:bCs/>
          <w:sz w:val="20"/>
          <w:szCs w:val="20"/>
        </w:rPr>
      </w:pPr>
    </w:p>
    <w:p w14:paraId="06BC997E" w14:textId="0C593305" w:rsidR="006335DE" w:rsidRPr="0086760B" w:rsidRDefault="006335DE">
      <w:pPr>
        <w:rPr>
          <w:rFonts w:ascii="Times New Roman" w:hAnsi="Times New Roman" w:cs="Times New Roman"/>
          <w:b/>
          <w:bCs/>
          <w:sz w:val="20"/>
          <w:szCs w:val="20"/>
        </w:rPr>
      </w:pPr>
    </w:p>
    <w:p w14:paraId="5506FBCA" w14:textId="07F65E56" w:rsidR="006335DE" w:rsidRPr="0086760B" w:rsidRDefault="006335DE">
      <w:pPr>
        <w:rPr>
          <w:rFonts w:ascii="Times New Roman" w:hAnsi="Times New Roman" w:cs="Times New Roman"/>
          <w:b/>
          <w:bCs/>
          <w:sz w:val="20"/>
          <w:szCs w:val="20"/>
        </w:rPr>
      </w:pPr>
    </w:p>
    <w:p w14:paraId="118DB694" w14:textId="04A1FB20" w:rsidR="006335DE" w:rsidRPr="0086760B" w:rsidRDefault="006335DE">
      <w:pPr>
        <w:rPr>
          <w:rFonts w:ascii="Times New Roman" w:hAnsi="Times New Roman" w:cs="Times New Roman"/>
          <w:b/>
          <w:bCs/>
          <w:sz w:val="20"/>
          <w:szCs w:val="20"/>
        </w:rPr>
      </w:pPr>
    </w:p>
    <w:p w14:paraId="552BA64F" w14:textId="0697FA92" w:rsidR="006335DE" w:rsidRPr="0086760B" w:rsidRDefault="006335DE">
      <w:pPr>
        <w:rPr>
          <w:rFonts w:ascii="Times New Roman" w:hAnsi="Times New Roman" w:cs="Times New Roman"/>
          <w:b/>
          <w:bCs/>
          <w:sz w:val="20"/>
          <w:szCs w:val="20"/>
        </w:rPr>
      </w:pPr>
    </w:p>
    <w:p w14:paraId="0F746CAA" w14:textId="00795D06" w:rsidR="006335DE" w:rsidRPr="0086760B" w:rsidRDefault="006335DE">
      <w:pPr>
        <w:rPr>
          <w:rFonts w:ascii="Times New Roman" w:hAnsi="Times New Roman" w:cs="Times New Roman"/>
          <w:b/>
          <w:bCs/>
          <w:sz w:val="20"/>
          <w:szCs w:val="20"/>
        </w:rPr>
      </w:pPr>
    </w:p>
    <w:p w14:paraId="32287CC8" w14:textId="5C991C38" w:rsidR="00A709FA" w:rsidRPr="0086760B" w:rsidRDefault="00A709FA">
      <w:pPr>
        <w:rPr>
          <w:rFonts w:ascii="Times New Roman" w:hAnsi="Times New Roman" w:cs="Times New Roman"/>
          <w:b/>
          <w:bCs/>
          <w:sz w:val="20"/>
          <w:szCs w:val="20"/>
        </w:rPr>
      </w:pPr>
      <w:r w:rsidRPr="0086760B">
        <w:rPr>
          <w:rFonts w:ascii="Times New Roman" w:hAnsi="Times New Roman" w:cs="Times New Roman"/>
          <w:b/>
          <w:bCs/>
          <w:sz w:val="20"/>
          <w:szCs w:val="20"/>
        </w:rPr>
        <w:lastRenderedPageBreak/>
        <w:t xml:space="preserve">Table </w:t>
      </w:r>
      <w:r w:rsidR="003E0F1A" w:rsidRPr="0086760B">
        <w:rPr>
          <w:rFonts w:ascii="Times New Roman" w:hAnsi="Times New Roman" w:cs="Times New Roman"/>
          <w:b/>
          <w:bCs/>
          <w:sz w:val="20"/>
          <w:szCs w:val="20"/>
        </w:rPr>
        <w:t>S</w:t>
      </w:r>
      <w:r w:rsidRPr="0086760B">
        <w:rPr>
          <w:rFonts w:ascii="Times New Roman" w:hAnsi="Times New Roman" w:cs="Times New Roman"/>
          <w:b/>
          <w:bCs/>
          <w:sz w:val="20"/>
          <w:szCs w:val="20"/>
        </w:rPr>
        <w:t xml:space="preserve">5. </w:t>
      </w:r>
      <w:r w:rsidR="00BA7414" w:rsidRPr="0086760B">
        <w:rPr>
          <w:rFonts w:ascii="Times New Roman" w:hAnsi="Times New Roman" w:cs="Times New Roman"/>
          <w:b/>
          <w:bCs/>
          <w:sz w:val="20"/>
          <w:szCs w:val="20"/>
        </w:rPr>
        <w:t xml:space="preserve">Risk of </w:t>
      </w:r>
      <w:r w:rsidR="00732141" w:rsidRPr="0086760B">
        <w:rPr>
          <w:rFonts w:ascii="Times New Roman" w:hAnsi="Times New Roman" w:cs="Times New Roman"/>
          <w:b/>
          <w:bCs/>
          <w:sz w:val="20"/>
          <w:szCs w:val="20"/>
        </w:rPr>
        <w:t>Bias A</w:t>
      </w:r>
      <w:r w:rsidRPr="0086760B">
        <w:rPr>
          <w:rFonts w:ascii="Times New Roman" w:hAnsi="Times New Roman" w:cs="Times New Roman"/>
          <w:b/>
          <w:bCs/>
          <w:sz w:val="20"/>
          <w:szCs w:val="20"/>
        </w:rPr>
        <w:t>ssessment (N=43 studies)</w:t>
      </w:r>
    </w:p>
    <w:tbl>
      <w:tblPr>
        <w:tblW w:w="11711" w:type="dxa"/>
        <w:tblLook w:val="04A0" w:firstRow="1" w:lastRow="0" w:firstColumn="1" w:lastColumn="0" w:noHBand="0" w:noVBand="1"/>
      </w:tblPr>
      <w:tblGrid>
        <w:gridCol w:w="1560"/>
        <w:gridCol w:w="1376"/>
        <w:gridCol w:w="1470"/>
        <w:gridCol w:w="1537"/>
        <w:gridCol w:w="1601"/>
        <w:gridCol w:w="1650"/>
        <w:gridCol w:w="1289"/>
        <w:gridCol w:w="1228"/>
      </w:tblGrid>
      <w:tr w:rsidR="00066E16" w:rsidRPr="0086760B" w14:paraId="711ED2ED" w14:textId="77777777" w:rsidTr="00845FE1">
        <w:trPr>
          <w:trHeight w:val="640"/>
        </w:trPr>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58CD70A"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Study</w:t>
            </w:r>
          </w:p>
        </w:tc>
        <w:tc>
          <w:tcPr>
            <w:tcW w:w="1376" w:type="dxa"/>
            <w:tcBorders>
              <w:top w:val="single" w:sz="4" w:space="0" w:color="auto"/>
              <w:left w:val="nil"/>
              <w:bottom w:val="single" w:sz="4" w:space="0" w:color="auto"/>
              <w:right w:val="single" w:sz="4" w:space="0" w:color="auto"/>
            </w:tcBorders>
            <w:shd w:val="clear" w:color="auto" w:fill="808080" w:themeFill="background1" w:themeFillShade="80"/>
            <w:hideMark/>
          </w:tcPr>
          <w:p w14:paraId="07224233" w14:textId="2130F024"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 xml:space="preserve">Study </w:t>
            </w:r>
            <w:r w:rsidR="009A1690">
              <w:rPr>
                <w:rFonts w:ascii="Times New Roman" w:eastAsia="Times New Roman" w:hAnsi="Times New Roman" w:cs="Times New Roman"/>
                <w:b/>
                <w:color w:val="FFFFFF" w:themeColor="background1"/>
                <w:sz w:val="20"/>
                <w:szCs w:val="20"/>
              </w:rPr>
              <w:t>P</w:t>
            </w:r>
            <w:r w:rsidRPr="00845FE1">
              <w:rPr>
                <w:rFonts w:ascii="Times New Roman" w:eastAsia="Times New Roman" w:hAnsi="Times New Roman" w:cs="Times New Roman"/>
                <w:b/>
                <w:color w:val="FFFFFF" w:themeColor="background1"/>
                <w:sz w:val="20"/>
                <w:szCs w:val="20"/>
              </w:rPr>
              <w:t>opulation*</w:t>
            </w:r>
          </w:p>
        </w:tc>
        <w:tc>
          <w:tcPr>
            <w:tcW w:w="1470" w:type="dxa"/>
            <w:tcBorders>
              <w:top w:val="single" w:sz="4" w:space="0" w:color="auto"/>
              <w:left w:val="nil"/>
              <w:bottom w:val="single" w:sz="4" w:space="0" w:color="auto"/>
              <w:right w:val="single" w:sz="4" w:space="0" w:color="auto"/>
            </w:tcBorders>
            <w:shd w:val="clear" w:color="auto" w:fill="808080" w:themeFill="background1" w:themeFillShade="80"/>
            <w:hideMark/>
          </w:tcPr>
          <w:p w14:paraId="48524E68"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Study Attrition†</w:t>
            </w:r>
          </w:p>
        </w:tc>
        <w:tc>
          <w:tcPr>
            <w:tcW w:w="1537" w:type="dxa"/>
            <w:tcBorders>
              <w:top w:val="single" w:sz="4" w:space="0" w:color="auto"/>
              <w:left w:val="nil"/>
              <w:bottom w:val="single" w:sz="4" w:space="0" w:color="auto"/>
              <w:right w:val="single" w:sz="4" w:space="0" w:color="auto"/>
            </w:tcBorders>
            <w:shd w:val="clear" w:color="auto" w:fill="808080" w:themeFill="background1" w:themeFillShade="80"/>
            <w:hideMark/>
          </w:tcPr>
          <w:p w14:paraId="1896C83F"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 xml:space="preserve">Prognostic Measure‡ </w:t>
            </w:r>
          </w:p>
        </w:tc>
        <w:tc>
          <w:tcPr>
            <w:tcW w:w="1601" w:type="dxa"/>
            <w:tcBorders>
              <w:top w:val="single" w:sz="4" w:space="0" w:color="auto"/>
              <w:left w:val="nil"/>
              <w:bottom w:val="single" w:sz="4" w:space="0" w:color="auto"/>
              <w:right w:val="single" w:sz="4" w:space="0" w:color="auto"/>
            </w:tcBorders>
            <w:shd w:val="clear" w:color="auto" w:fill="808080" w:themeFill="background1" w:themeFillShade="80"/>
            <w:hideMark/>
          </w:tcPr>
          <w:p w14:paraId="6B8CD1E8"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Outcome Measurement§</w:t>
            </w:r>
          </w:p>
        </w:tc>
        <w:tc>
          <w:tcPr>
            <w:tcW w:w="1650" w:type="dxa"/>
            <w:tcBorders>
              <w:top w:val="single" w:sz="4" w:space="0" w:color="auto"/>
              <w:left w:val="nil"/>
              <w:bottom w:val="single" w:sz="4" w:space="0" w:color="auto"/>
              <w:right w:val="single" w:sz="4" w:space="0" w:color="auto"/>
            </w:tcBorders>
            <w:shd w:val="clear" w:color="auto" w:fill="808080" w:themeFill="background1" w:themeFillShade="80"/>
            <w:hideMark/>
          </w:tcPr>
          <w:p w14:paraId="145D93E4"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 xml:space="preserve">Study </w:t>
            </w:r>
            <w:proofErr w:type="spellStart"/>
            <w:r w:rsidRPr="00845FE1">
              <w:rPr>
                <w:rFonts w:ascii="Times New Roman" w:eastAsia="Times New Roman" w:hAnsi="Times New Roman" w:cs="Times New Roman"/>
                <w:b/>
                <w:color w:val="FFFFFF" w:themeColor="background1"/>
                <w:sz w:val="20"/>
                <w:szCs w:val="20"/>
              </w:rPr>
              <w:t>Confoundingǂ</w:t>
            </w:r>
            <w:proofErr w:type="spellEnd"/>
          </w:p>
        </w:tc>
        <w:tc>
          <w:tcPr>
            <w:tcW w:w="1289" w:type="dxa"/>
            <w:tcBorders>
              <w:top w:val="single" w:sz="4" w:space="0" w:color="auto"/>
              <w:left w:val="nil"/>
              <w:bottom w:val="single" w:sz="4" w:space="0" w:color="auto"/>
              <w:right w:val="single" w:sz="4" w:space="0" w:color="auto"/>
            </w:tcBorders>
            <w:shd w:val="clear" w:color="auto" w:fill="808080" w:themeFill="background1" w:themeFillShade="80"/>
            <w:hideMark/>
          </w:tcPr>
          <w:p w14:paraId="64FF46CD" w14:textId="63D82A9E"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 xml:space="preserve">Statistical </w:t>
            </w:r>
            <w:r w:rsidR="009A1690">
              <w:rPr>
                <w:rFonts w:ascii="Times New Roman" w:eastAsia="Times New Roman" w:hAnsi="Times New Roman" w:cs="Times New Roman"/>
                <w:b/>
                <w:color w:val="FFFFFF" w:themeColor="background1"/>
                <w:sz w:val="20"/>
                <w:szCs w:val="20"/>
              </w:rPr>
              <w:t>A</w:t>
            </w:r>
            <w:r w:rsidRPr="00845FE1">
              <w:rPr>
                <w:rFonts w:ascii="Times New Roman" w:eastAsia="Times New Roman" w:hAnsi="Times New Roman" w:cs="Times New Roman"/>
                <w:b/>
                <w:color w:val="FFFFFF" w:themeColor="background1"/>
                <w:sz w:val="20"/>
                <w:szCs w:val="20"/>
              </w:rPr>
              <w:t xml:space="preserve">nalysis and </w:t>
            </w:r>
            <w:r w:rsidR="009A1690">
              <w:rPr>
                <w:rFonts w:ascii="Times New Roman" w:eastAsia="Times New Roman" w:hAnsi="Times New Roman" w:cs="Times New Roman"/>
                <w:b/>
                <w:color w:val="FFFFFF" w:themeColor="background1"/>
                <w:sz w:val="20"/>
                <w:szCs w:val="20"/>
              </w:rPr>
              <w:t>R</w:t>
            </w:r>
            <w:r w:rsidRPr="00845FE1">
              <w:rPr>
                <w:rFonts w:ascii="Times New Roman" w:eastAsia="Times New Roman" w:hAnsi="Times New Roman" w:cs="Times New Roman"/>
                <w:b/>
                <w:color w:val="FFFFFF" w:themeColor="background1"/>
                <w:sz w:val="20"/>
                <w:szCs w:val="20"/>
              </w:rPr>
              <w:t>eporting•</w:t>
            </w:r>
          </w:p>
        </w:tc>
        <w:tc>
          <w:tcPr>
            <w:tcW w:w="1228" w:type="dxa"/>
            <w:tcBorders>
              <w:top w:val="single" w:sz="4" w:space="0" w:color="auto"/>
              <w:left w:val="nil"/>
              <w:bottom w:val="single" w:sz="4" w:space="0" w:color="auto"/>
              <w:right w:val="single" w:sz="4" w:space="0" w:color="auto"/>
            </w:tcBorders>
            <w:shd w:val="clear" w:color="auto" w:fill="808080" w:themeFill="background1" w:themeFillShade="80"/>
            <w:hideMark/>
          </w:tcPr>
          <w:p w14:paraId="72E20340" w14:textId="76E7C9AF" w:rsidR="00737BA7" w:rsidRDefault="00A7488A"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 xml:space="preserve">Quality </w:t>
            </w:r>
          </w:p>
          <w:p w14:paraId="304C106C" w14:textId="35313A0F" w:rsidR="00066E16" w:rsidRPr="00845FE1" w:rsidRDefault="00737BA7" w:rsidP="00066E16">
            <w:pPr>
              <w:spacing w:after="0" w:line="240" w:lineRule="auto"/>
              <w:rPr>
                <w:rFonts w:ascii="Times New Roman" w:eastAsia="Times New Roman" w:hAnsi="Times New Roman" w:cs="Times New Roman"/>
                <w:b/>
                <w:color w:val="FFFFFF" w:themeColor="background1"/>
                <w:sz w:val="20"/>
                <w:szCs w:val="20"/>
              </w:rPr>
            </w:pPr>
            <w:r>
              <w:rPr>
                <w:rFonts w:ascii="Times New Roman" w:eastAsia="Times New Roman" w:hAnsi="Times New Roman" w:cs="Times New Roman"/>
                <w:b/>
                <w:color w:val="FFFFFF" w:themeColor="background1"/>
                <w:sz w:val="20"/>
                <w:szCs w:val="20"/>
              </w:rPr>
              <w:t>Assessment</w:t>
            </w:r>
          </w:p>
        </w:tc>
      </w:tr>
      <w:tr w:rsidR="00066E16" w:rsidRPr="0086760B" w14:paraId="1ACE0BAD" w14:textId="77777777" w:rsidTr="00845FE1">
        <w:trPr>
          <w:trHeight w:val="2270"/>
        </w:trPr>
        <w:tc>
          <w:tcPr>
            <w:tcW w:w="1560" w:type="dxa"/>
            <w:tcBorders>
              <w:top w:val="nil"/>
              <w:left w:val="single" w:sz="4" w:space="0" w:color="auto"/>
              <w:bottom w:val="single" w:sz="4" w:space="0" w:color="auto"/>
              <w:right w:val="single" w:sz="4" w:space="0" w:color="auto"/>
            </w:tcBorders>
            <w:shd w:val="clear" w:color="auto" w:fill="A6A6A6" w:themeFill="background1" w:themeFillShade="A6"/>
            <w:hideMark/>
          </w:tcPr>
          <w:p w14:paraId="468ECA2E"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proofErr w:type="spellStart"/>
            <w:r w:rsidRPr="00845FE1">
              <w:rPr>
                <w:rFonts w:ascii="Times New Roman" w:eastAsia="Times New Roman" w:hAnsi="Times New Roman" w:cs="Times New Roman"/>
                <w:b/>
                <w:color w:val="FFFFFF" w:themeColor="background1"/>
                <w:sz w:val="20"/>
                <w:szCs w:val="20"/>
              </w:rPr>
              <w:t>Orignal</w:t>
            </w:r>
            <w:proofErr w:type="spellEnd"/>
            <w:r w:rsidRPr="00845FE1">
              <w:rPr>
                <w:rFonts w:ascii="Times New Roman" w:eastAsia="Times New Roman" w:hAnsi="Times New Roman" w:cs="Times New Roman"/>
                <w:b/>
                <w:color w:val="FFFFFF" w:themeColor="background1"/>
                <w:sz w:val="20"/>
                <w:szCs w:val="20"/>
              </w:rPr>
              <w:t xml:space="preserve"> Quips</w:t>
            </w:r>
          </w:p>
        </w:tc>
        <w:tc>
          <w:tcPr>
            <w:tcW w:w="1376" w:type="dxa"/>
            <w:tcBorders>
              <w:top w:val="nil"/>
              <w:left w:val="nil"/>
              <w:bottom w:val="single" w:sz="4" w:space="0" w:color="auto"/>
              <w:right w:val="single" w:sz="4" w:space="0" w:color="auto"/>
            </w:tcBorders>
            <w:shd w:val="clear" w:color="auto" w:fill="A6A6A6" w:themeFill="background1" w:themeFillShade="A6"/>
            <w:hideMark/>
          </w:tcPr>
          <w:p w14:paraId="6EEF18C1"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The study sample adequately represents the population of interest</w:t>
            </w:r>
          </w:p>
        </w:tc>
        <w:tc>
          <w:tcPr>
            <w:tcW w:w="1470" w:type="dxa"/>
            <w:tcBorders>
              <w:top w:val="nil"/>
              <w:left w:val="nil"/>
              <w:bottom w:val="single" w:sz="4" w:space="0" w:color="auto"/>
              <w:right w:val="single" w:sz="4" w:space="0" w:color="auto"/>
            </w:tcBorders>
            <w:shd w:val="clear" w:color="auto" w:fill="A6A6A6" w:themeFill="background1" w:themeFillShade="A6"/>
            <w:hideMark/>
          </w:tcPr>
          <w:p w14:paraId="6595A058"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The study data available(</w:t>
            </w:r>
            <w:proofErr w:type="spellStart"/>
            <w:r w:rsidRPr="00845FE1">
              <w:rPr>
                <w:rFonts w:ascii="Times New Roman" w:eastAsia="Times New Roman" w:hAnsi="Times New Roman" w:cs="Times New Roman"/>
                <w:b/>
                <w:color w:val="FFFFFF" w:themeColor="background1"/>
                <w:sz w:val="20"/>
                <w:szCs w:val="20"/>
              </w:rPr>
              <w:t>i.e</w:t>
            </w:r>
            <w:proofErr w:type="spellEnd"/>
            <w:r w:rsidRPr="00845FE1">
              <w:rPr>
                <w:rFonts w:ascii="Times New Roman" w:eastAsia="Times New Roman" w:hAnsi="Times New Roman" w:cs="Times New Roman"/>
                <w:b/>
                <w:color w:val="FFFFFF" w:themeColor="background1"/>
                <w:sz w:val="20"/>
                <w:szCs w:val="20"/>
              </w:rPr>
              <w:t>, participants not lost to follow up) adequately represent the study sample</w:t>
            </w:r>
          </w:p>
        </w:tc>
        <w:tc>
          <w:tcPr>
            <w:tcW w:w="1537" w:type="dxa"/>
            <w:tcBorders>
              <w:top w:val="nil"/>
              <w:left w:val="nil"/>
              <w:bottom w:val="single" w:sz="4" w:space="0" w:color="auto"/>
              <w:right w:val="single" w:sz="4" w:space="0" w:color="auto"/>
            </w:tcBorders>
            <w:shd w:val="clear" w:color="auto" w:fill="A6A6A6" w:themeFill="background1" w:themeFillShade="A6"/>
            <w:hideMark/>
          </w:tcPr>
          <w:p w14:paraId="3835301A"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The PF is measured in a similar way for all participants</w:t>
            </w:r>
          </w:p>
        </w:tc>
        <w:tc>
          <w:tcPr>
            <w:tcW w:w="1601" w:type="dxa"/>
            <w:tcBorders>
              <w:top w:val="nil"/>
              <w:left w:val="nil"/>
              <w:bottom w:val="single" w:sz="4" w:space="0" w:color="auto"/>
              <w:right w:val="single" w:sz="4" w:space="0" w:color="auto"/>
            </w:tcBorders>
            <w:shd w:val="clear" w:color="auto" w:fill="A6A6A6" w:themeFill="background1" w:themeFillShade="A6"/>
            <w:hideMark/>
          </w:tcPr>
          <w:p w14:paraId="6B833101"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The outcome of interest is measured in a similar way for all participants</w:t>
            </w:r>
          </w:p>
        </w:tc>
        <w:tc>
          <w:tcPr>
            <w:tcW w:w="1650" w:type="dxa"/>
            <w:tcBorders>
              <w:top w:val="nil"/>
              <w:left w:val="nil"/>
              <w:bottom w:val="single" w:sz="4" w:space="0" w:color="auto"/>
              <w:right w:val="single" w:sz="4" w:space="0" w:color="auto"/>
            </w:tcBorders>
            <w:shd w:val="clear" w:color="auto" w:fill="A6A6A6" w:themeFill="background1" w:themeFillShade="A6"/>
            <w:hideMark/>
          </w:tcPr>
          <w:p w14:paraId="22FBF238"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Important potential confounding factors are appropriately accounted for</w:t>
            </w:r>
          </w:p>
        </w:tc>
        <w:tc>
          <w:tcPr>
            <w:tcW w:w="1289" w:type="dxa"/>
            <w:tcBorders>
              <w:top w:val="nil"/>
              <w:left w:val="nil"/>
              <w:bottom w:val="single" w:sz="4" w:space="0" w:color="auto"/>
              <w:right w:val="single" w:sz="4" w:space="0" w:color="auto"/>
            </w:tcBorders>
            <w:shd w:val="clear" w:color="auto" w:fill="A6A6A6" w:themeFill="background1" w:themeFillShade="A6"/>
            <w:hideMark/>
          </w:tcPr>
          <w:p w14:paraId="368815C0"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The statistical analysis is appropriate, and all primary outcomes are reported</w:t>
            </w:r>
          </w:p>
        </w:tc>
        <w:tc>
          <w:tcPr>
            <w:tcW w:w="1228" w:type="dxa"/>
            <w:tcBorders>
              <w:top w:val="nil"/>
              <w:left w:val="nil"/>
              <w:bottom w:val="single" w:sz="4" w:space="0" w:color="auto"/>
              <w:right w:val="single" w:sz="4" w:space="0" w:color="auto"/>
            </w:tcBorders>
            <w:shd w:val="clear" w:color="auto" w:fill="A6A6A6" w:themeFill="background1" w:themeFillShade="A6"/>
            <w:hideMark/>
          </w:tcPr>
          <w:p w14:paraId="1DB74490"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 </w:t>
            </w:r>
          </w:p>
        </w:tc>
      </w:tr>
      <w:tr w:rsidR="00066E16" w:rsidRPr="0086760B" w14:paraId="627A4B40" w14:textId="77777777" w:rsidTr="00845FE1">
        <w:trPr>
          <w:trHeight w:val="5858"/>
        </w:trPr>
        <w:tc>
          <w:tcPr>
            <w:tcW w:w="1560" w:type="dxa"/>
            <w:tcBorders>
              <w:top w:val="nil"/>
              <w:left w:val="single" w:sz="4" w:space="0" w:color="auto"/>
              <w:bottom w:val="single" w:sz="4" w:space="0" w:color="auto"/>
              <w:right w:val="single" w:sz="4" w:space="0" w:color="auto"/>
            </w:tcBorders>
            <w:shd w:val="clear" w:color="auto" w:fill="BFBFBF" w:themeFill="background1" w:themeFillShade="BF"/>
            <w:hideMark/>
          </w:tcPr>
          <w:p w14:paraId="6DA2AAA3"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Tailor to our study</w:t>
            </w:r>
          </w:p>
        </w:tc>
        <w:tc>
          <w:tcPr>
            <w:tcW w:w="1376" w:type="dxa"/>
            <w:tcBorders>
              <w:top w:val="nil"/>
              <w:left w:val="nil"/>
              <w:bottom w:val="single" w:sz="4" w:space="0" w:color="auto"/>
              <w:right w:val="single" w:sz="4" w:space="0" w:color="auto"/>
            </w:tcBorders>
            <w:shd w:val="clear" w:color="auto" w:fill="BFBFBF" w:themeFill="background1" w:themeFillShade="BF"/>
            <w:hideMark/>
          </w:tcPr>
          <w:p w14:paraId="1479114D"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Is there an adequate description of study population</w:t>
            </w:r>
          </w:p>
        </w:tc>
        <w:tc>
          <w:tcPr>
            <w:tcW w:w="1470" w:type="dxa"/>
            <w:tcBorders>
              <w:top w:val="nil"/>
              <w:left w:val="nil"/>
              <w:bottom w:val="single" w:sz="4" w:space="0" w:color="auto"/>
              <w:right w:val="single" w:sz="4" w:space="0" w:color="auto"/>
            </w:tcBorders>
            <w:shd w:val="clear" w:color="auto" w:fill="BFBFBF" w:themeFill="background1" w:themeFillShade="BF"/>
            <w:hideMark/>
          </w:tcPr>
          <w:p w14:paraId="0399619C" w14:textId="3C8D121D" w:rsidR="00066E16" w:rsidRPr="00845FE1" w:rsidRDefault="008D55B2" w:rsidP="00066E16">
            <w:pPr>
              <w:spacing w:after="0" w:line="240" w:lineRule="auto"/>
              <w:rPr>
                <w:rFonts w:ascii="Times New Roman" w:eastAsia="Times New Roman" w:hAnsi="Times New Roman" w:cs="Times New Roman"/>
                <w:b/>
                <w:color w:val="FFFFFF" w:themeColor="background1"/>
                <w:sz w:val="20"/>
                <w:szCs w:val="20"/>
              </w:rPr>
            </w:pPr>
            <w:r>
              <w:rPr>
                <w:rFonts w:ascii="Times New Roman" w:eastAsia="Times New Roman" w:hAnsi="Times New Roman" w:cs="Times New Roman"/>
                <w:b/>
                <w:color w:val="FFFFFF" w:themeColor="background1"/>
                <w:sz w:val="20"/>
                <w:szCs w:val="20"/>
              </w:rPr>
              <w:t>D</w:t>
            </w:r>
            <w:r w:rsidR="00066E16" w:rsidRPr="00845FE1">
              <w:rPr>
                <w:rFonts w:ascii="Times New Roman" w:eastAsia="Times New Roman" w:hAnsi="Times New Roman" w:cs="Times New Roman"/>
                <w:b/>
                <w:color w:val="FFFFFF" w:themeColor="background1"/>
                <w:sz w:val="20"/>
                <w:szCs w:val="20"/>
              </w:rPr>
              <w:t xml:space="preserve">id the study provide an adequate description of follow-up information, e.g. describing about any method for handling loss-to-follow-up or deaths? </w:t>
            </w:r>
          </w:p>
        </w:tc>
        <w:tc>
          <w:tcPr>
            <w:tcW w:w="1537" w:type="dxa"/>
            <w:tcBorders>
              <w:top w:val="nil"/>
              <w:left w:val="nil"/>
              <w:bottom w:val="single" w:sz="4" w:space="0" w:color="auto"/>
              <w:right w:val="single" w:sz="4" w:space="0" w:color="auto"/>
            </w:tcBorders>
            <w:shd w:val="clear" w:color="auto" w:fill="BFBFBF" w:themeFill="background1" w:themeFillShade="BF"/>
            <w:hideMark/>
          </w:tcPr>
          <w:p w14:paraId="2E425EB6" w14:textId="0AFCB303" w:rsidR="00066E16" w:rsidRPr="00845FE1" w:rsidRDefault="008D55B2" w:rsidP="00066E16">
            <w:pPr>
              <w:spacing w:after="0" w:line="240" w:lineRule="auto"/>
              <w:rPr>
                <w:rFonts w:ascii="Times New Roman" w:eastAsia="Times New Roman" w:hAnsi="Times New Roman" w:cs="Times New Roman"/>
                <w:b/>
                <w:color w:val="FFFFFF" w:themeColor="background1"/>
                <w:sz w:val="20"/>
                <w:szCs w:val="20"/>
              </w:rPr>
            </w:pPr>
            <w:r>
              <w:rPr>
                <w:rFonts w:ascii="Times New Roman" w:eastAsia="Times New Roman" w:hAnsi="Times New Roman" w:cs="Times New Roman"/>
                <w:b/>
                <w:color w:val="FFFFFF" w:themeColor="background1"/>
                <w:sz w:val="20"/>
                <w:szCs w:val="20"/>
              </w:rPr>
              <w:t>D</w:t>
            </w:r>
            <w:r w:rsidR="00066E16" w:rsidRPr="00845FE1">
              <w:rPr>
                <w:rFonts w:ascii="Times New Roman" w:eastAsia="Times New Roman" w:hAnsi="Times New Roman" w:cs="Times New Roman"/>
                <w:b/>
                <w:color w:val="FFFFFF" w:themeColor="background1"/>
                <w:sz w:val="20"/>
                <w:szCs w:val="20"/>
              </w:rPr>
              <w:t>id the study provide an adequate description of measurement of prognostic factors, e.g. describing about any imputation method for handling missing data?</w:t>
            </w:r>
          </w:p>
        </w:tc>
        <w:tc>
          <w:tcPr>
            <w:tcW w:w="1601" w:type="dxa"/>
            <w:tcBorders>
              <w:top w:val="nil"/>
              <w:left w:val="nil"/>
              <w:bottom w:val="single" w:sz="4" w:space="0" w:color="auto"/>
              <w:right w:val="single" w:sz="4" w:space="0" w:color="auto"/>
            </w:tcBorders>
            <w:shd w:val="clear" w:color="auto" w:fill="BFBFBF" w:themeFill="background1" w:themeFillShade="BF"/>
            <w:hideMark/>
          </w:tcPr>
          <w:p w14:paraId="43383912" w14:textId="1B6C30B7" w:rsidR="00066E16" w:rsidRPr="00845FE1" w:rsidRDefault="008D55B2" w:rsidP="00066E16">
            <w:pPr>
              <w:spacing w:after="0" w:line="240" w:lineRule="auto"/>
              <w:rPr>
                <w:rFonts w:ascii="Times New Roman" w:eastAsia="Times New Roman" w:hAnsi="Times New Roman" w:cs="Times New Roman"/>
                <w:b/>
                <w:color w:val="FFFFFF" w:themeColor="background1"/>
                <w:sz w:val="20"/>
                <w:szCs w:val="20"/>
              </w:rPr>
            </w:pPr>
            <w:r>
              <w:rPr>
                <w:rFonts w:ascii="Times New Roman" w:eastAsia="Times New Roman" w:hAnsi="Times New Roman" w:cs="Times New Roman"/>
                <w:b/>
                <w:color w:val="FFFFFF" w:themeColor="background1"/>
                <w:sz w:val="20"/>
                <w:szCs w:val="20"/>
              </w:rPr>
              <w:t>I</w:t>
            </w:r>
            <w:r w:rsidR="00066E16" w:rsidRPr="00845FE1">
              <w:rPr>
                <w:rFonts w:ascii="Times New Roman" w:eastAsia="Times New Roman" w:hAnsi="Times New Roman" w:cs="Times New Roman"/>
                <w:b/>
                <w:color w:val="FFFFFF" w:themeColor="background1"/>
                <w:sz w:val="20"/>
                <w:szCs w:val="20"/>
              </w:rPr>
              <w:t xml:space="preserve">s there a clear definition of the readmission outcome? </w:t>
            </w:r>
          </w:p>
        </w:tc>
        <w:tc>
          <w:tcPr>
            <w:tcW w:w="1650" w:type="dxa"/>
            <w:tcBorders>
              <w:top w:val="nil"/>
              <w:left w:val="nil"/>
              <w:bottom w:val="single" w:sz="4" w:space="0" w:color="auto"/>
              <w:right w:val="single" w:sz="4" w:space="0" w:color="auto"/>
            </w:tcBorders>
            <w:shd w:val="clear" w:color="auto" w:fill="BFBFBF" w:themeFill="background1" w:themeFillShade="BF"/>
            <w:hideMark/>
          </w:tcPr>
          <w:p w14:paraId="5EF22FEB" w14:textId="20959FEB" w:rsidR="00066E16" w:rsidRPr="00845FE1" w:rsidRDefault="008D55B2" w:rsidP="00066E16">
            <w:pPr>
              <w:spacing w:after="0" w:line="240" w:lineRule="auto"/>
              <w:rPr>
                <w:rFonts w:ascii="Times New Roman" w:eastAsia="Times New Roman" w:hAnsi="Times New Roman" w:cs="Times New Roman"/>
                <w:b/>
                <w:color w:val="FFFFFF" w:themeColor="background1"/>
                <w:sz w:val="20"/>
                <w:szCs w:val="20"/>
              </w:rPr>
            </w:pPr>
            <w:r>
              <w:rPr>
                <w:rFonts w:ascii="Times New Roman" w:eastAsia="Times New Roman" w:hAnsi="Times New Roman" w:cs="Times New Roman"/>
                <w:b/>
                <w:color w:val="FFFFFF" w:themeColor="background1"/>
                <w:sz w:val="20"/>
                <w:szCs w:val="20"/>
              </w:rPr>
              <w:t>D</w:t>
            </w:r>
            <w:r w:rsidR="00066E16" w:rsidRPr="00845FE1">
              <w:rPr>
                <w:rFonts w:ascii="Times New Roman" w:eastAsia="Times New Roman" w:hAnsi="Times New Roman" w:cs="Times New Roman"/>
                <w:b/>
                <w:color w:val="FFFFFF" w:themeColor="background1"/>
                <w:sz w:val="20"/>
                <w:szCs w:val="20"/>
              </w:rPr>
              <w:t>id the study accounted for potential confounding factors from more than three of following domains, such as demographic factors, social determinants of health (</w:t>
            </w:r>
            <w:proofErr w:type="spellStart"/>
            <w:r w:rsidR="00066E16" w:rsidRPr="00845FE1">
              <w:rPr>
                <w:rFonts w:ascii="Times New Roman" w:eastAsia="Times New Roman" w:hAnsi="Times New Roman" w:cs="Times New Roman"/>
                <w:b/>
                <w:color w:val="FFFFFF" w:themeColor="background1"/>
                <w:sz w:val="20"/>
                <w:szCs w:val="20"/>
              </w:rPr>
              <w:t>SDoH</w:t>
            </w:r>
            <w:proofErr w:type="spellEnd"/>
            <w:r w:rsidR="00066E16" w:rsidRPr="00845FE1">
              <w:rPr>
                <w:rFonts w:ascii="Times New Roman" w:eastAsia="Times New Roman" w:hAnsi="Times New Roman" w:cs="Times New Roman"/>
                <w:b/>
                <w:color w:val="FFFFFF" w:themeColor="background1"/>
                <w:sz w:val="20"/>
                <w:szCs w:val="20"/>
              </w:rPr>
              <w:t>), primary diagnosis or comorbidity index, illness severity, mental health comorbidities, overall health and functional status, prior use of medical services hospitalizations?</w:t>
            </w:r>
          </w:p>
        </w:tc>
        <w:tc>
          <w:tcPr>
            <w:tcW w:w="1289" w:type="dxa"/>
            <w:tcBorders>
              <w:top w:val="nil"/>
              <w:left w:val="nil"/>
              <w:bottom w:val="single" w:sz="4" w:space="0" w:color="auto"/>
              <w:right w:val="single" w:sz="4" w:space="0" w:color="auto"/>
            </w:tcBorders>
            <w:shd w:val="clear" w:color="auto" w:fill="BFBFBF" w:themeFill="background1" w:themeFillShade="BF"/>
            <w:hideMark/>
          </w:tcPr>
          <w:p w14:paraId="0C25360C" w14:textId="2724C022" w:rsidR="00066E16" w:rsidRPr="00845FE1" w:rsidRDefault="008D55B2" w:rsidP="00066E16">
            <w:pPr>
              <w:spacing w:after="0" w:line="240" w:lineRule="auto"/>
              <w:rPr>
                <w:rFonts w:ascii="Times New Roman" w:eastAsia="Times New Roman" w:hAnsi="Times New Roman" w:cs="Times New Roman"/>
                <w:b/>
                <w:color w:val="FFFFFF" w:themeColor="background1"/>
                <w:sz w:val="20"/>
                <w:szCs w:val="20"/>
              </w:rPr>
            </w:pPr>
            <w:r>
              <w:rPr>
                <w:rFonts w:ascii="Times New Roman" w:eastAsia="Times New Roman" w:hAnsi="Times New Roman" w:cs="Times New Roman"/>
                <w:b/>
                <w:color w:val="FFFFFF" w:themeColor="background1"/>
                <w:sz w:val="20"/>
                <w:szCs w:val="20"/>
              </w:rPr>
              <w:t>D</w:t>
            </w:r>
            <w:r w:rsidR="00066E16" w:rsidRPr="00845FE1">
              <w:rPr>
                <w:rFonts w:ascii="Times New Roman" w:eastAsia="Times New Roman" w:hAnsi="Times New Roman" w:cs="Times New Roman"/>
                <w:b/>
                <w:color w:val="FFFFFF" w:themeColor="background1"/>
                <w:sz w:val="20"/>
                <w:szCs w:val="20"/>
              </w:rPr>
              <w:t>id the study conduct any model validation procedure?</w:t>
            </w:r>
          </w:p>
        </w:tc>
        <w:tc>
          <w:tcPr>
            <w:tcW w:w="1228" w:type="dxa"/>
            <w:tcBorders>
              <w:top w:val="nil"/>
              <w:left w:val="nil"/>
              <w:bottom w:val="single" w:sz="4" w:space="0" w:color="auto"/>
              <w:right w:val="single" w:sz="4" w:space="0" w:color="auto"/>
            </w:tcBorders>
            <w:shd w:val="clear" w:color="auto" w:fill="BFBFBF" w:themeFill="background1" w:themeFillShade="BF"/>
            <w:hideMark/>
          </w:tcPr>
          <w:p w14:paraId="0A971E83" w14:textId="77777777" w:rsidR="00066E16" w:rsidRPr="00845FE1" w:rsidRDefault="00066E16" w:rsidP="00066E16">
            <w:pPr>
              <w:spacing w:after="0" w:line="240" w:lineRule="auto"/>
              <w:rPr>
                <w:rFonts w:ascii="Times New Roman" w:eastAsia="Times New Roman" w:hAnsi="Times New Roman" w:cs="Times New Roman"/>
                <w:b/>
                <w:color w:val="FFFFFF" w:themeColor="background1"/>
                <w:sz w:val="20"/>
                <w:szCs w:val="20"/>
              </w:rPr>
            </w:pPr>
            <w:r w:rsidRPr="00845FE1">
              <w:rPr>
                <w:rFonts w:ascii="Times New Roman" w:eastAsia="Times New Roman" w:hAnsi="Times New Roman" w:cs="Times New Roman"/>
                <w:b/>
                <w:color w:val="FFFFFF" w:themeColor="background1"/>
                <w:sz w:val="20"/>
                <w:szCs w:val="20"/>
              </w:rPr>
              <w:t> </w:t>
            </w:r>
          </w:p>
        </w:tc>
      </w:tr>
      <w:tr w:rsidR="00066E16" w:rsidRPr="0086760B" w14:paraId="37CECAAB" w14:textId="77777777" w:rsidTr="008D55B2">
        <w:trPr>
          <w:trHeight w:val="1000"/>
        </w:trPr>
        <w:tc>
          <w:tcPr>
            <w:tcW w:w="1560" w:type="dxa"/>
            <w:tcBorders>
              <w:top w:val="nil"/>
              <w:left w:val="single" w:sz="4" w:space="0" w:color="auto"/>
              <w:bottom w:val="single" w:sz="4" w:space="0" w:color="auto"/>
              <w:right w:val="single" w:sz="4" w:space="0" w:color="auto"/>
            </w:tcBorders>
            <w:shd w:val="clear" w:color="auto" w:fill="auto"/>
            <w:hideMark/>
          </w:tcPr>
          <w:p w14:paraId="08A5B0E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Kang et al, 2016</w:t>
            </w:r>
          </w:p>
        </w:tc>
        <w:tc>
          <w:tcPr>
            <w:tcW w:w="1376" w:type="dxa"/>
            <w:tcBorders>
              <w:top w:val="nil"/>
              <w:left w:val="nil"/>
              <w:bottom w:val="single" w:sz="4" w:space="0" w:color="auto"/>
              <w:right w:val="single" w:sz="4" w:space="0" w:color="auto"/>
            </w:tcBorders>
            <w:shd w:val="clear" w:color="auto" w:fill="auto"/>
            <w:noWrap/>
            <w:hideMark/>
          </w:tcPr>
          <w:p w14:paraId="5780D29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041C56B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4E38164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58BB938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2F17BE45"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Parly</w:t>
            </w:r>
            <w:proofErr w:type="spellEnd"/>
            <w:r w:rsidRPr="0086760B">
              <w:rPr>
                <w:rFonts w:ascii="Times New Roman" w:eastAsia="Times New Roman" w:hAnsi="Times New Roman" w:cs="Times New Roman"/>
                <w:sz w:val="20"/>
                <w:szCs w:val="20"/>
              </w:rPr>
              <w:t>, did not include pre-index utilization (such as length of stay)</w:t>
            </w:r>
          </w:p>
        </w:tc>
        <w:tc>
          <w:tcPr>
            <w:tcW w:w="1289" w:type="dxa"/>
            <w:tcBorders>
              <w:top w:val="nil"/>
              <w:left w:val="nil"/>
              <w:bottom w:val="single" w:sz="4" w:space="0" w:color="auto"/>
              <w:right w:val="single" w:sz="4" w:space="0" w:color="auto"/>
            </w:tcBorders>
            <w:shd w:val="clear" w:color="auto" w:fill="auto"/>
            <w:hideMark/>
          </w:tcPr>
          <w:p w14:paraId="3CEB2C3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250B2673" w14:textId="47EB8FF3" w:rsidR="00066E16" w:rsidRPr="0086760B" w:rsidRDefault="008D55B2"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w:t>
            </w:r>
            <w:r w:rsidR="00066E16" w:rsidRPr="0086760B">
              <w:rPr>
                <w:rFonts w:ascii="Times New Roman" w:eastAsia="Times New Roman" w:hAnsi="Times New Roman" w:cs="Times New Roman"/>
                <w:sz w:val="20"/>
                <w:szCs w:val="20"/>
              </w:rPr>
              <w:t>oderate</w:t>
            </w:r>
          </w:p>
        </w:tc>
      </w:tr>
      <w:tr w:rsidR="00066E16" w:rsidRPr="0086760B" w14:paraId="4CAA4E83"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1341C12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Brom et al, 2019</w:t>
            </w:r>
          </w:p>
        </w:tc>
        <w:tc>
          <w:tcPr>
            <w:tcW w:w="1376" w:type="dxa"/>
            <w:tcBorders>
              <w:top w:val="nil"/>
              <w:left w:val="nil"/>
              <w:bottom w:val="single" w:sz="4" w:space="0" w:color="auto"/>
              <w:right w:val="single" w:sz="4" w:space="0" w:color="auto"/>
            </w:tcBorders>
            <w:shd w:val="clear" w:color="auto" w:fill="auto"/>
            <w:noWrap/>
            <w:hideMark/>
          </w:tcPr>
          <w:p w14:paraId="5C9B2C5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4800CA2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61588ED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1D6BAE7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470FAF3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3FC2ABF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2A4C501E" w14:textId="32FE2E93"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67E12291"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3C92D99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Yeo et al, 2016</w:t>
            </w:r>
          </w:p>
        </w:tc>
        <w:tc>
          <w:tcPr>
            <w:tcW w:w="1376" w:type="dxa"/>
            <w:tcBorders>
              <w:top w:val="nil"/>
              <w:left w:val="nil"/>
              <w:bottom w:val="single" w:sz="4" w:space="0" w:color="auto"/>
              <w:right w:val="single" w:sz="4" w:space="0" w:color="auto"/>
            </w:tcBorders>
            <w:shd w:val="clear" w:color="auto" w:fill="auto"/>
            <w:noWrap/>
            <w:hideMark/>
          </w:tcPr>
          <w:p w14:paraId="68B28C8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36FD73C7" w14:textId="77777777" w:rsidR="00066E16"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p w14:paraId="24C64853" w14:textId="2A4BBF7A" w:rsidR="008D55B2" w:rsidRPr="0086760B" w:rsidRDefault="008D55B2" w:rsidP="00066E16">
            <w:pPr>
              <w:spacing w:after="0" w:line="240" w:lineRule="auto"/>
              <w:rPr>
                <w:rFonts w:ascii="Times New Roman" w:eastAsia="Times New Roman" w:hAnsi="Times New Roman" w:cs="Times New Roman"/>
                <w:sz w:val="20"/>
                <w:szCs w:val="20"/>
              </w:rPr>
            </w:pPr>
          </w:p>
        </w:tc>
        <w:tc>
          <w:tcPr>
            <w:tcW w:w="1537" w:type="dxa"/>
            <w:tcBorders>
              <w:top w:val="nil"/>
              <w:left w:val="nil"/>
              <w:bottom w:val="single" w:sz="4" w:space="0" w:color="auto"/>
              <w:right w:val="single" w:sz="4" w:space="0" w:color="auto"/>
            </w:tcBorders>
            <w:shd w:val="clear" w:color="auto" w:fill="auto"/>
            <w:noWrap/>
            <w:hideMark/>
          </w:tcPr>
          <w:p w14:paraId="65D168D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2DB03EB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5D631CA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3E4EACD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no, did not provide any validation methods</w:t>
            </w:r>
          </w:p>
        </w:tc>
        <w:tc>
          <w:tcPr>
            <w:tcW w:w="1228" w:type="dxa"/>
            <w:tcBorders>
              <w:top w:val="nil"/>
              <w:left w:val="nil"/>
              <w:bottom w:val="single" w:sz="4" w:space="0" w:color="auto"/>
              <w:right w:val="single" w:sz="4" w:space="0" w:color="auto"/>
            </w:tcBorders>
            <w:shd w:val="clear" w:color="auto" w:fill="auto"/>
            <w:noWrap/>
            <w:hideMark/>
          </w:tcPr>
          <w:p w14:paraId="6B48EE0C" w14:textId="5C4D9A50" w:rsidR="00066E16" w:rsidRPr="0086760B" w:rsidRDefault="008D55B2"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w:t>
            </w:r>
            <w:r w:rsidR="00066E16" w:rsidRPr="0086760B">
              <w:rPr>
                <w:rFonts w:ascii="Times New Roman" w:eastAsia="Times New Roman" w:hAnsi="Times New Roman" w:cs="Times New Roman"/>
                <w:sz w:val="20"/>
                <w:szCs w:val="20"/>
              </w:rPr>
              <w:t>oderate</w:t>
            </w:r>
          </w:p>
        </w:tc>
      </w:tr>
      <w:tr w:rsidR="008D55B2" w:rsidRPr="00977A5F" w14:paraId="126BEBC0" w14:textId="77777777" w:rsidTr="008D55B2">
        <w:trPr>
          <w:trHeight w:val="640"/>
        </w:trPr>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770D3A58"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lastRenderedPageBreak/>
              <w:t>Study</w:t>
            </w:r>
          </w:p>
        </w:tc>
        <w:tc>
          <w:tcPr>
            <w:tcW w:w="1376" w:type="dxa"/>
            <w:tcBorders>
              <w:top w:val="single" w:sz="4" w:space="0" w:color="auto"/>
              <w:left w:val="nil"/>
              <w:bottom w:val="single" w:sz="4" w:space="0" w:color="auto"/>
              <w:right w:val="single" w:sz="4" w:space="0" w:color="auto"/>
            </w:tcBorders>
            <w:shd w:val="clear" w:color="auto" w:fill="808080" w:themeFill="background1" w:themeFillShade="80"/>
            <w:hideMark/>
          </w:tcPr>
          <w:p w14:paraId="51842E64" w14:textId="2825D1E5"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r w:rsidR="00C44610">
              <w:rPr>
                <w:rFonts w:ascii="Times New Roman" w:eastAsia="Times New Roman" w:hAnsi="Times New Roman" w:cs="Times New Roman"/>
                <w:b/>
                <w:color w:val="FFFFFF" w:themeColor="background1"/>
                <w:sz w:val="20"/>
                <w:szCs w:val="20"/>
              </w:rPr>
              <w:t>P</w:t>
            </w:r>
            <w:r w:rsidRPr="00977A5F">
              <w:rPr>
                <w:rFonts w:ascii="Times New Roman" w:eastAsia="Times New Roman" w:hAnsi="Times New Roman" w:cs="Times New Roman"/>
                <w:b/>
                <w:color w:val="FFFFFF" w:themeColor="background1"/>
                <w:sz w:val="20"/>
                <w:szCs w:val="20"/>
              </w:rPr>
              <w:t>opulation*</w:t>
            </w:r>
          </w:p>
        </w:tc>
        <w:tc>
          <w:tcPr>
            <w:tcW w:w="1470" w:type="dxa"/>
            <w:tcBorders>
              <w:top w:val="single" w:sz="4" w:space="0" w:color="auto"/>
              <w:left w:val="nil"/>
              <w:bottom w:val="single" w:sz="4" w:space="0" w:color="auto"/>
              <w:right w:val="single" w:sz="4" w:space="0" w:color="auto"/>
            </w:tcBorders>
            <w:shd w:val="clear" w:color="auto" w:fill="808080" w:themeFill="background1" w:themeFillShade="80"/>
            <w:hideMark/>
          </w:tcPr>
          <w:p w14:paraId="56F485DF"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Study Attrition†</w:t>
            </w:r>
          </w:p>
        </w:tc>
        <w:tc>
          <w:tcPr>
            <w:tcW w:w="1537" w:type="dxa"/>
            <w:tcBorders>
              <w:top w:val="single" w:sz="4" w:space="0" w:color="auto"/>
              <w:left w:val="nil"/>
              <w:bottom w:val="single" w:sz="4" w:space="0" w:color="auto"/>
              <w:right w:val="single" w:sz="4" w:space="0" w:color="auto"/>
            </w:tcBorders>
            <w:shd w:val="clear" w:color="auto" w:fill="808080" w:themeFill="background1" w:themeFillShade="80"/>
            <w:hideMark/>
          </w:tcPr>
          <w:p w14:paraId="7DC0AA27"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Prognostic Measure‡ </w:t>
            </w:r>
          </w:p>
        </w:tc>
        <w:tc>
          <w:tcPr>
            <w:tcW w:w="1601" w:type="dxa"/>
            <w:tcBorders>
              <w:top w:val="single" w:sz="4" w:space="0" w:color="auto"/>
              <w:left w:val="nil"/>
              <w:bottom w:val="single" w:sz="4" w:space="0" w:color="auto"/>
              <w:right w:val="single" w:sz="4" w:space="0" w:color="auto"/>
            </w:tcBorders>
            <w:shd w:val="clear" w:color="auto" w:fill="808080" w:themeFill="background1" w:themeFillShade="80"/>
            <w:hideMark/>
          </w:tcPr>
          <w:p w14:paraId="634C9AD1"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Outcome Measurement§</w:t>
            </w:r>
          </w:p>
        </w:tc>
        <w:tc>
          <w:tcPr>
            <w:tcW w:w="1650" w:type="dxa"/>
            <w:tcBorders>
              <w:top w:val="single" w:sz="4" w:space="0" w:color="auto"/>
              <w:left w:val="nil"/>
              <w:bottom w:val="single" w:sz="4" w:space="0" w:color="auto"/>
              <w:right w:val="single" w:sz="4" w:space="0" w:color="auto"/>
            </w:tcBorders>
            <w:shd w:val="clear" w:color="auto" w:fill="808080" w:themeFill="background1" w:themeFillShade="80"/>
            <w:hideMark/>
          </w:tcPr>
          <w:p w14:paraId="0CDC3F7C"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proofErr w:type="spellStart"/>
            <w:r w:rsidRPr="00977A5F">
              <w:rPr>
                <w:rFonts w:ascii="Times New Roman" w:eastAsia="Times New Roman" w:hAnsi="Times New Roman" w:cs="Times New Roman"/>
                <w:b/>
                <w:color w:val="FFFFFF" w:themeColor="background1"/>
                <w:sz w:val="20"/>
                <w:szCs w:val="20"/>
              </w:rPr>
              <w:t>Confoundingǂ</w:t>
            </w:r>
            <w:proofErr w:type="spellEnd"/>
          </w:p>
        </w:tc>
        <w:tc>
          <w:tcPr>
            <w:tcW w:w="1289" w:type="dxa"/>
            <w:tcBorders>
              <w:top w:val="single" w:sz="4" w:space="0" w:color="auto"/>
              <w:left w:val="nil"/>
              <w:bottom w:val="single" w:sz="4" w:space="0" w:color="auto"/>
              <w:right w:val="single" w:sz="4" w:space="0" w:color="auto"/>
            </w:tcBorders>
            <w:shd w:val="clear" w:color="auto" w:fill="808080" w:themeFill="background1" w:themeFillShade="80"/>
            <w:hideMark/>
          </w:tcPr>
          <w:p w14:paraId="787C3FAD" w14:textId="592C7820"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Statistical </w:t>
            </w:r>
            <w:r w:rsidR="00C44610">
              <w:rPr>
                <w:rFonts w:ascii="Times New Roman" w:eastAsia="Times New Roman" w:hAnsi="Times New Roman" w:cs="Times New Roman"/>
                <w:b/>
                <w:color w:val="FFFFFF" w:themeColor="background1"/>
                <w:sz w:val="20"/>
                <w:szCs w:val="20"/>
              </w:rPr>
              <w:t>A</w:t>
            </w:r>
            <w:r w:rsidRPr="00977A5F">
              <w:rPr>
                <w:rFonts w:ascii="Times New Roman" w:eastAsia="Times New Roman" w:hAnsi="Times New Roman" w:cs="Times New Roman"/>
                <w:b/>
                <w:color w:val="FFFFFF" w:themeColor="background1"/>
                <w:sz w:val="20"/>
                <w:szCs w:val="20"/>
              </w:rPr>
              <w:t xml:space="preserve">nalysis and </w:t>
            </w:r>
            <w:r w:rsidR="00C44610">
              <w:rPr>
                <w:rFonts w:ascii="Times New Roman" w:eastAsia="Times New Roman" w:hAnsi="Times New Roman" w:cs="Times New Roman"/>
                <w:b/>
                <w:color w:val="FFFFFF" w:themeColor="background1"/>
                <w:sz w:val="20"/>
                <w:szCs w:val="20"/>
              </w:rPr>
              <w:t>Re</w:t>
            </w:r>
            <w:r w:rsidRPr="00977A5F">
              <w:rPr>
                <w:rFonts w:ascii="Times New Roman" w:eastAsia="Times New Roman" w:hAnsi="Times New Roman" w:cs="Times New Roman"/>
                <w:b/>
                <w:color w:val="FFFFFF" w:themeColor="background1"/>
                <w:sz w:val="20"/>
                <w:szCs w:val="20"/>
              </w:rPr>
              <w:t>porting•</w:t>
            </w:r>
          </w:p>
        </w:tc>
        <w:tc>
          <w:tcPr>
            <w:tcW w:w="1228" w:type="dxa"/>
            <w:tcBorders>
              <w:top w:val="single" w:sz="4" w:space="0" w:color="auto"/>
              <w:left w:val="nil"/>
              <w:bottom w:val="single" w:sz="4" w:space="0" w:color="auto"/>
              <w:right w:val="single" w:sz="4" w:space="0" w:color="auto"/>
            </w:tcBorders>
            <w:shd w:val="clear" w:color="auto" w:fill="808080" w:themeFill="background1" w:themeFillShade="80"/>
            <w:hideMark/>
          </w:tcPr>
          <w:p w14:paraId="09102F17" w14:textId="77777777" w:rsidR="00C22D17"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Quality </w:t>
            </w:r>
          </w:p>
          <w:p w14:paraId="51A3C290" w14:textId="1A093872" w:rsidR="008D55B2" w:rsidRPr="00977A5F" w:rsidRDefault="00C22D17" w:rsidP="00977A5F">
            <w:pPr>
              <w:spacing w:after="0" w:line="240" w:lineRule="auto"/>
              <w:rPr>
                <w:rFonts w:ascii="Times New Roman" w:eastAsia="Times New Roman" w:hAnsi="Times New Roman" w:cs="Times New Roman"/>
                <w:b/>
                <w:color w:val="FFFFFF" w:themeColor="background1"/>
                <w:sz w:val="20"/>
                <w:szCs w:val="20"/>
              </w:rPr>
            </w:pPr>
            <w:r>
              <w:rPr>
                <w:rFonts w:ascii="Times New Roman" w:eastAsia="Times New Roman" w:hAnsi="Times New Roman" w:cs="Times New Roman"/>
                <w:b/>
                <w:color w:val="FFFFFF" w:themeColor="background1"/>
                <w:sz w:val="20"/>
                <w:szCs w:val="20"/>
              </w:rPr>
              <w:t>Assessment</w:t>
            </w:r>
          </w:p>
        </w:tc>
      </w:tr>
      <w:tr w:rsidR="00066E16" w:rsidRPr="0086760B" w14:paraId="30EB1234" w14:textId="77777777" w:rsidTr="008D55B2">
        <w:trPr>
          <w:trHeight w:val="940"/>
        </w:trPr>
        <w:tc>
          <w:tcPr>
            <w:tcW w:w="1560" w:type="dxa"/>
            <w:tcBorders>
              <w:top w:val="nil"/>
              <w:left w:val="single" w:sz="4" w:space="0" w:color="auto"/>
              <w:bottom w:val="single" w:sz="4" w:space="0" w:color="auto"/>
              <w:right w:val="single" w:sz="4" w:space="0" w:color="auto"/>
            </w:tcBorders>
            <w:shd w:val="clear" w:color="auto" w:fill="auto"/>
            <w:hideMark/>
          </w:tcPr>
          <w:p w14:paraId="42F7F735"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Edgcomb</w:t>
            </w:r>
            <w:proofErr w:type="spellEnd"/>
            <w:r w:rsidRPr="0086760B">
              <w:rPr>
                <w:rFonts w:ascii="Times New Roman" w:eastAsia="Times New Roman" w:hAnsi="Times New Roman" w:cs="Times New Roman"/>
                <w:sz w:val="20"/>
                <w:szCs w:val="20"/>
              </w:rPr>
              <w:t xml:space="preserve"> et al, 2019</w:t>
            </w:r>
          </w:p>
        </w:tc>
        <w:tc>
          <w:tcPr>
            <w:tcW w:w="1376" w:type="dxa"/>
            <w:tcBorders>
              <w:top w:val="nil"/>
              <w:left w:val="nil"/>
              <w:bottom w:val="single" w:sz="4" w:space="0" w:color="auto"/>
              <w:right w:val="single" w:sz="4" w:space="0" w:color="auto"/>
            </w:tcBorders>
            <w:shd w:val="clear" w:color="auto" w:fill="auto"/>
            <w:noWrap/>
            <w:hideMark/>
          </w:tcPr>
          <w:p w14:paraId="3DD380A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75FA41D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1CBC5BB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0116BB4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601B065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07CFA50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43FBE0C7" w14:textId="6EC73891"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509EAD9B" w14:textId="77777777" w:rsidTr="008D55B2">
        <w:trPr>
          <w:trHeight w:val="1010"/>
        </w:trPr>
        <w:tc>
          <w:tcPr>
            <w:tcW w:w="1560" w:type="dxa"/>
            <w:tcBorders>
              <w:top w:val="nil"/>
              <w:left w:val="single" w:sz="4" w:space="0" w:color="auto"/>
              <w:bottom w:val="single" w:sz="4" w:space="0" w:color="auto"/>
              <w:right w:val="single" w:sz="4" w:space="0" w:color="auto"/>
            </w:tcBorders>
            <w:shd w:val="clear" w:color="auto" w:fill="auto"/>
            <w:hideMark/>
          </w:tcPr>
          <w:p w14:paraId="45261B8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Fisher et al, 2015</w:t>
            </w:r>
          </w:p>
        </w:tc>
        <w:tc>
          <w:tcPr>
            <w:tcW w:w="1376" w:type="dxa"/>
            <w:tcBorders>
              <w:top w:val="nil"/>
              <w:left w:val="nil"/>
              <w:bottom w:val="single" w:sz="4" w:space="0" w:color="auto"/>
              <w:right w:val="single" w:sz="4" w:space="0" w:color="auto"/>
            </w:tcBorders>
            <w:shd w:val="clear" w:color="auto" w:fill="auto"/>
            <w:noWrap/>
            <w:hideMark/>
          </w:tcPr>
          <w:p w14:paraId="61FBAEB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0F6A68B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003F095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0D5653E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43DDA41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28EC6F5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no, did not provide any validation methods</w:t>
            </w:r>
          </w:p>
        </w:tc>
        <w:tc>
          <w:tcPr>
            <w:tcW w:w="1228" w:type="dxa"/>
            <w:tcBorders>
              <w:top w:val="nil"/>
              <w:left w:val="nil"/>
              <w:bottom w:val="single" w:sz="4" w:space="0" w:color="auto"/>
              <w:right w:val="single" w:sz="4" w:space="0" w:color="auto"/>
            </w:tcBorders>
            <w:shd w:val="clear" w:color="auto" w:fill="auto"/>
            <w:noWrap/>
            <w:hideMark/>
          </w:tcPr>
          <w:p w14:paraId="11785698" w14:textId="6BD1F3A1"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2070BD63"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7276E97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Jones et al,2019</w:t>
            </w:r>
          </w:p>
        </w:tc>
        <w:tc>
          <w:tcPr>
            <w:tcW w:w="1376" w:type="dxa"/>
            <w:tcBorders>
              <w:top w:val="nil"/>
              <w:left w:val="nil"/>
              <w:bottom w:val="single" w:sz="4" w:space="0" w:color="auto"/>
              <w:right w:val="single" w:sz="4" w:space="0" w:color="auto"/>
            </w:tcBorders>
            <w:shd w:val="clear" w:color="auto" w:fill="auto"/>
            <w:noWrap/>
            <w:hideMark/>
          </w:tcPr>
          <w:p w14:paraId="56E7C2D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1429892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187F134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5E13658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292AEAF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6E8520C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no, did not provide any validation methods</w:t>
            </w:r>
          </w:p>
        </w:tc>
        <w:tc>
          <w:tcPr>
            <w:tcW w:w="1228" w:type="dxa"/>
            <w:tcBorders>
              <w:top w:val="nil"/>
              <w:left w:val="nil"/>
              <w:bottom w:val="single" w:sz="4" w:space="0" w:color="auto"/>
              <w:right w:val="single" w:sz="4" w:space="0" w:color="auto"/>
            </w:tcBorders>
            <w:shd w:val="clear" w:color="auto" w:fill="auto"/>
            <w:noWrap/>
            <w:hideMark/>
          </w:tcPr>
          <w:p w14:paraId="04468534" w14:textId="707C697C"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3FCDB37A" w14:textId="77777777" w:rsidTr="008D55B2">
        <w:trPr>
          <w:trHeight w:val="1730"/>
        </w:trPr>
        <w:tc>
          <w:tcPr>
            <w:tcW w:w="1560" w:type="dxa"/>
            <w:tcBorders>
              <w:top w:val="nil"/>
              <w:left w:val="single" w:sz="4" w:space="0" w:color="auto"/>
              <w:bottom w:val="single" w:sz="4" w:space="0" w:color="auto"/>
              <w:right w:val="single" w:sz="4" w:space="0" w:color="auto"/>
            </w:tcBorders>
            <w:shd w:val="clear" w:color="auto" w:fill="auto"/>
            <w:hideMark/>
          </w:tcPr>
          <w:p w14:paraId="201E39D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Hogan et al, 2019</w:t>
            </w:r>
          </w:p>
        </w:tc>
        <w:tc>
          <w:tcPr>
            <w:tcW w:w="1376" w:type="dxa"/>
            <w:tcBorders>
              <w:top w:val="nil"/>
              <w:left w:val="nil"/>
              <w:bottom w:val="single" w:sz="4" w:space="0" w:color="auto"/>
              <w:right w:val="single" w:sz="4" w:space="0" w:color="auto"/>
            </w:tcBorders>
            <w:shd w:val="clear" w:color="auto" w:fill="auto"/>
            <w:noWrap/>
            <w:hideMark/>
          </w:tcPr>
          <w:p w14:paraId="429E7DE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555187C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33D283E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2E1A3D7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3FB5835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317D149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268B0F11" w14:textId="6FE7BFF1"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4CE5CD85" w14:textId="77777777" w:rsidTr="008D55B2">
        <w:trPr>
          <w:trHeight w:val="850"/>
        </w:trPr>
        <w:tc>
          <w:tcPr>
            <w:tcW w:w="1560" w:type="dxa"/>
            <w:tcBorders>
              <w:top w:val="nil"/>
              <w:left w:val="single" w:sz="4" w:space="0" w:color="auto"/>
              <w:bottom w:val="single" w:sz="4" w:space="0" w:color="auto"/>
              <w:right w:val="single" w:sz="4" w:space="0" w:color="auto"/>
            </w:tcBorders>
            <w:shd w:val="clear" w:color="auto" w:fill="auto"/>
            <w:hideMark/>
          </w:tcPr>
          <w:p w14:paraId="516B20E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Zack et al, 2019</w:t>
            </w:r>
          </w:p>
        </w:tc>
        <w:tc>
          <w:tcPr>
            <w:tcW w:w="1376" w:type="dxa"/>
            <w:tcBorders>
              <w:top w:val="nil"/>
              <w:left w:val="nil"/>
              <w:bottom w:val="single" w:sz="4" w:space="0" w:color="auto"/>
              <w:right w:val="single" w:sz="4" w:space="0" w:color="auto"/>
            </w:tcBorders>
            <w:shd w:val="clear" w:color="auto" w:fill="auto"/>
            <w:noWrap/>
            <w:hideMark/>
          </w:tcPr>
          <w:p w14:paraId="15DAA9C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00B0A31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136D9B1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6EE3DD9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36B877C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5DD7087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1D6BD562" w14:textId="28BB712B"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3CC59658" w14:textId="77777777" w:rsidTr="008D55B2">
        <w:trPr>
          <w:trHeight w:val="1390"/>
        </w:trPr>
        <w:tc>
          <w:tcPr>
            <w:tcW w:w="1560" w:type="dxa"/>
            <w:tcBorders>
              <w:top w:val="nil"/>
              <w:left w:val="single" w:sz="4" w:space="0" w:color="auto"/>
              <w:bottom w:val="single" w:sz="4" w:space="0" w:color="auto"/>
              <w:right w:val="single" w:sz="4" w:space="0" w:color="auto"/>
            </w:tcBorders>
            <w:shd w:val="clear" w:color="auto" w:fill="auto"/>
            <w:hideMark/>
          </w:tcPr>
          <w:p w14:paraId="270A34A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Mahajan et al, 2016</w:t>
            </w:r>
          </w:p>
        </w:tc>
        <w:tc>
          <w:tcPr>
            <w:tcW w:w="1376" w:type="dxa"/>
            <w:tcBorders>
              <w:top w:val="nil"/>
              <w:left w:val="nil"/>
              <w:bottom w:val="single" w:sz="4" w:space="0" w:color="auto"/>
              <w:right w:val="single" w:sz="4" w:space="0" w:color="auto"/>
            </w:tcBorders>
            <w:shd w:val="clear" w:color="auto" w:fill="auto"/>
            <w:hideMark/>
          </w:tcPr>
          <w:p w14:paraId="4D9262C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 did not describe the study period</w:t>
            </w:r>
          </w:p>
        </w:tc>
        <w:tc>
          <w:tcPr>
            <w:tcW w:w="1470" w:type="dxa"/>
            <w:tcBorders>
              <w:top w:val="nil"/>
              <w:left w:val="nil"/>
              <w:bottom w:val="single" w:sz="4" w:space="0" w:color="auto"/>
              <w:right w:val="single" w:sz="4" w:space="0" w:color="auto"/>
            </w:tcBorders>
            <w:shd w:val="clear" w:color="auto" w:fill="auto"/>
            <w:hideMark/>
          </w:tcPr>
          <w:p w14:paraId="03E5298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09776F8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45FE19B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402E01A9"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Parly</w:t>
            </w:r>
            <w:proofErr w:type="spellEnd"/>
            <w:r w:rsidRPr="0086760B">
              <w:rPr>
                <w:rFonts w:ascii="Times New Roman" w:eastAsia="Times New Roman" w:hAnsi="Times New Roman" w:cs="Times New Roman"/>
                <w:sz w:val="20"/>
                <w:szCs w:val="20"/>
              </w:rPr>
              <w:t>, did not include pre-index utilization (such as length of stay)</w:t>
            </w:r>
          </w:p>
        </w:tc>
        <w:tc>
          <w:tcPr>
            <w:tcW w:w="1289" w:type="dxa"/>
            <w:tcBorders>
              <w:top w:val="nil"/>
              <w:left w:val="nil"/>
              <w:bottom w:val="single" w:sz="4" w:space="0" w:color="auto"/>
              <w:right w:val="single" w:sz="4" w:space="0" w:color="auto"/>
            </w:tcBorders>
            <w:shd w:val="clear" w:color="auto" w:fill="auto"/>
            <w:hideMark/>
          </w:tcPr>
          <w:p w14:paraId="40028B5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no, did not provide any validation methods</w:t>
            </w:r>
          </w:p>
        </w:tc>
        <w:tc>
          <w:tcPr>
            <w:tcW w:w="1228" w:type="dxa"/>
            <w:tcBorders>
              <w:top w:val="nil"/>
              <w:left w:val="nil"/>
              <w:bottom w:val="single" w:sz="4" w:space="0" w:color="auto"/>
              <w:right w:val="single" w:sz="4" w:space="0" w:color="auto"/>
            </w:tcBorders>
            <w:shd w:val="clear" w:color="auto" w:fill="auto"/>
            <w:noWrap/>
            <w:hideMark/>
          </w:tcPr>
          <w:p w14:paraId="3CA90F88" w14:textId="39F158C3"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r w:rsidRPr="0086760B">
              <w:rPr>
                <w:rFonts w:ascii="Times New Roman" w:eastAsia="Times New Roman" w:hAnsi="Times New Roman" w:cs="Times New Roman"/>
                <w:sz w:val="20"/>
                <w:szCs w:val="20"/>
              </w:rPr>
              <w:t xml:space="preserve"> </w:t>
            </w:r>
          </w:p>
        </w:tc>
      </w:tr>
      <w:tr w:rsidR="00066E16" w:rsidRPr="0086760B" w14:paraId="176E196E"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032581D1"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Xue</w:t>
            </w:r>
            <w:proofErr w:type="spellEnd"/>
            <w:r w:rsidRPr="0086760B">
              <w:rPr>
                <w:rFonts w:ascii="Times New Roman" w:eastAsia="Times New Roman" w:hAnsi="Times New Roman" w:cs="Times New Roman"/>
                <w:sz w:val="20"/>
                <w:szCs w:val="20"/>
              </w:rPr>
              <w:t xml:space="preserve"> et al, 2019</w:t>
            </w:r>
          </w:p>
        </w:tc>
        <w:tc>
          <w:tcPr>
            <w:tcW w:w="1376" w:type="dxa"/>
            <w:tcBorders>
              <w:top w:val="nil"/>
              <w:left w:val="nil"/>
              <w:bottom w:val="single" w:sz="4" w:space="0" w:color="auto"/>
              <w:right w:val="single" w:sz="4" w:space="0" w:color="auto"/>
            </w:tcBorders>
            <w:shd w:val="clear" w:color="auto" w:fill="auto"/>
            <w:noWrap/>
            <w:hideMark/>
          </w:tcPr>
          <w:p w14:paraId="50F1EC3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6BFFEA2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53C6A16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062BA28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5307A76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67AF073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72CE8366" w14:textId="7AE6F805" w:rsidR="00066E16" w:rsidRPr="00A7488A" w:rsidRDefault="00A7488A" w:rsidP="00845FE1">
            <w:pPr>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72D5E96B"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75D2590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Mahajan et al, 2018</w:t>
            </w:r>
          </w:p>
        </w:tc>
        <w:tc>
          <w:tcPr>
            <w:tcW w:w="1376" w:type="dxa"/>
            <w:tcBorders>
              <w:top w:val="nil"/>
              <w:left w:val="nil"/>
              <w:bottom w:val="single" w:sz="4" w:space="0" w:color="auto"/>
              <w:right w:val="single" w:sz="4" w:space="0" w:color="auto"/>
            </w:tcBorders>
            <w:shd w:val="clear" w:color="auto" w:fill="auto"/>
            <w:noWrap/>
            <w:hideMark/>
          </w:tcPr>
          <w:p w14:paraId="21AECAC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49A6B8D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1C0D196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3D95028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188DC02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1111F90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798B5F5A" w14:textId="09C5C717"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4FC7CC14" w14:textId="77777777" w:rsidTr="008D55B2">
        <w:trPr>
          <w:trHeight w:val="860"/>
        </w:trPr>
        <w:tc>
          <w:tcPr>
            <w:tcW w:w="1560" w:type="dxa"/>
            <w:tcBorders>
              <w:top w:val="nil"/>
              <w:left w:val="single" w:sz="4" w:space="0" w:color="auto"/>
              <w:bottom w:val="single" w:sz="4" w:space="0" w:color="auto"/>
              <w:right w:val="single" w:sz="4" w:space="0" w:color="auto"/>
            </w:tcBorders>
            <w:shd w:val="clear" w:color="auto" w:fill="auto"/>
            <w:hideMark/>
          </w:tcPr>
          <w:p w14:paraId="1368931A"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Kalagara</w:t>
            </w:r>
            <w:proofErr w:type="spellEnd"/>
            <w:r w:rsidRPr="0086760B">
              <w:rPr>
                <w:rFonts w:ascii="Times New Roman" w:eastAsia="Times New Roman" w:hAnsi="Times New Roman" w:cs="Times New Roman"/>
                <w:sz w:val="20"/>
                <w:szCs w:val="20"/>
              </w:rPr>
              <w:t xml:space="preserve"> et al, 2019</w:t>
            </w:r>
          </w:p>
        </w:tc>
        <w:tc>
          <w:tcPr>
            <w:tcW w:w="1376" w:type="dxa"/>
            <w:tcBorders>
              <w:top w:val="nil"/>
              <w:left w:val="nil"/>
              <w:bottom w:val="single" w:sz="4" w:space="0" w:color="auto"/>
              <w:right w:val="single" w:sz="4" w:space="0" w:color="auto"/>
            </w:tcBorders>
            <w:shd w:val="clear" w:color="auto" w:fill="auto"/>
            <w:noWrap/>
            <w:hideMark/>
          </w:tcPr>
          <w:p w14:paraId="2DE00F3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62F23EEC" w14:textId="77777777" w:rsidR="00066E16"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p w14:paraId="5FB279BC" w14:textId="77777777" w:rsidR="008D55B2" w:rsidRDefault="008D55B2" w:rsidP="00066E16">
            <w:pPr>
              <w:spacing w:after="0" w:line="240" w:lineRule="auto"/>
              <w:rPr>
                <w:rFonts w:ascii="Times New Roman" w:eastAsia="Times New Roman" w:hAnsi="Times New Roman" w:cs="Times New Roman"/>
                <w:sz w:val="20"/>
                <w:szCs w:val="20"/>
              </w:rPr>
            </w:pPr>
          </w:p>
          <w:p w14:paraId="065B0512" w14:textId="77777777" w:rsidR="008D55B2" w:rsidRDefault="008D55B2" w:rsidP="00066E16">
            <w:pPr>
              <w:spacing w:after="0" w:line="240" w:lineRule="auto"/>
              <w:rPr>
                <w:rFonts w:ascii="Times New Roman" w:eastAsia="Times New Roman" w:hAnsi="Times New Roman" w:cs="Times New Roman"/>
                <w:sz w:val="20"/>
                <w:szCs w:val="20"/>
              </w:rPr>
            </w:pPr>
          </w:p>
          <w:p w14:paraId="45D831A2" w14:textId="77777777" w:rsidR="008D55B2" w:rsidRDefault="008D55B2" w:rsidP="00066E16">
            <w:pPr>
              <w:spacing w:after="0" w:line="240" w:lineRule="auto"/>
              <w:rPr>
                <w:rFonts w:ascii="Times New Roman" w:eastAsia="Times New Roman" w:hAnsi="Times New Roman" w:cs="Times New Roman"/>
                <w:sz w:val="20"/>
                <w:szCs w:val="20"/>
              </w:rPr>
            </w:pPr>
          </w:p>
          <w:p w14:paraId="3F52EB74" w14:textId="77777777" w:rsidR="008D55B2" w:rsidRDefault="008D55B2" w:rsidP="00066E16">
            <w:pPr>
              <w:spacing w:after="0" w:line="240" w:lineRule="auto"/>
              <w:rPr>
                <w:rFonts w:ascii="Times New Roman" w:eastAsia="Times New Roman" w:hAnsi="Times New Roman" w:cs="Times New Roman"/>
                <w:sz w:val="20"/>
                <w:szCs w:val="20"/>
              </w:rPr>
            </w:pPr>
          </w:p>
          <w:p w14:paraId="6EB53AE9" w14:textId="77777777" w:rsidR="008D55B2" w:rsidRDefault="008D55B2" w:rsidP="00066E16">
            <w:pPr>
              <w:spacing w:after="0" w:line="240" w:lineRule="auto"/>
              <w:rPr>
                <w:rFonts w:ascii="Times New Roman" w:eastAsia="Times New Roman" w:hAnsi="Times New Roman" w:cs="Times New Roman"/>
                <w:sz w:val="20"/>
                <w:szCs w:val="20"/>
              </w:rPr>
            </w:pPr>
          </w:p>
          <w:p w14:paraId="4D115602" w14:textId="77777777" w:rsidR="008D55B2" w:rsidRDefault="008D55B2" w:rsidP="00066E16">
            <w:pPr>
              <w:spacing w:after="0" w:line="240" w:lineRule="auto"/>
              <w:rPr>
                <w:rFonts w:ascii="Times New Roman" w:eastAsia="Times New Roman" w:hAnsi="Times New Roman" w:cs="Times New Roman"/>
                <w:sz w:val="20"/>
                <w:szCs w:val="20"/>
              </w:rPr>
            </w:pPr>
          </w:p>
          <w:p w14:paraId="07B43807" w14:textId="47C78A4C" w:rsidR="008D55B2" w:rsidRPr="0086760B" w:rsidRDefault="008D55B2" w:rsidP="00066E16">
            <w:pPr>
              <w:spacing w:after="0" w:line="240" w:lineRule="auto"/>
              <w:rPr>
                <w:rFonts w:ascii="Times New Roman" w:eastAsia="Times New Roman" w:hAnsi="Times New Roman" w:cs="Times New Roman"/>
                <w:sz w:val="20"/>
                <w:szCs w:val="20"/>
              </w:rPr>
            </w:pPr>
          </w:p>
        </w:tc>
        <w:tc>
          <w:tcPr>
            <w:tcW w:w="1537" w:type="dxa"/>
            <w:tcBorders>
              <w:top w:val="nil"/>
              <w:left w:val="nil"/>
              <w:bottom w:val="single" w:sz="4" w:space="0" w:color="auto"/>
              <w:right w:val="single" w:sz="4" w:space="0" w:color="auto"/>
            </w:tcBorders>
            <w:shd w:val="clear" w:color="auto" w:fill="auto"/>
            <w:noWrap/>
            <w:hideMark/>
          </w:tcPr>
          <w:p w14:paraId="27D61AD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5BD1849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0FD7D1A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6592836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40C7E5CD" w14:textId="037366CB"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8D55B2" w:rsidRPr="00977A5F" w14:paraId="50964781" w14:textId="77777777" w:rsidTr="008D55B2">
        <w:trPr>
          <w:trHeight w:val="640"/>
        </w:trPr>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D84BB06"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Study</w:t>
            </w:r>
          </w:p>
        </w:tc>
        <w:tc>
          <w:tcPr>
            <w:tcW w:w="1376" w:type="dxa"/>
            <w:tcBorders>
              <w:top w:val="single" w:sz="4" w:space="0" w:color="auto"/>
              <w:left w:val="nil"/>
              <w:bottom w:val="single" w:sz="4" w:space="0" w:color="auto"/>
              <w:right w:val="single" w:sz="4" w:space="0" w:color="auto"/>
            </w:tcBorders>
            <w:shd w:val="clear" w:color="auto" w:fill="808080" w:themeFill="background1" w:themeFillShade="80"/>
            <w:hideMark/>
          </w:tcPr>
          <w:p w14:paraId="38079FBC" w14:textId="7D3B3E61"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r w:rsidR="00C44610">
              <w:rPr>
                <w:rFonts w:ascii="Times New Roman" w:eastAsia="Times New Roman" w:hAnsi="Times New Roman" w:cs="Times New Roman"/>
                <w:b/>
                <w:color w:val="FFFFFF" w:themeColor="background1"/>
                <w:sz w:val="20"/>
                <w:szCs w:val="20"/>
              </w:rPr>
              <w:t>P</w:t>
            </w:r>
            <w:r w:rsidRPr="00977A5F">
              <w:rPr>
                <w:rFonts w:ascii="Times New Roman" w:eastAsia="Times New Roman" w:hAnsi="Times New Roman" w:cs="Times New Roman"/>
                <w:b/>
                <w:color w:val="FFFFFF" w:themeColor="background1"/>
                <w:sz w:val="20"/>
                <w:szCs w:val="20"/>
              </w:rPr>
              <w:t>opulation*</w:t>
            </w:r>
          </w:p>
        </w:tc>
        <w:tc>
          <w:tcPr>
            <w:tcW w:w="1470" w:type="dxa"/>
            <w:tcBorders>
              <w:top w:val="single" w:sz="4" w:space="0" w:color="auto"/>
              <w:left w:val="nil"/>
              <w:bottom w:val="single" w:sz="4" w:space="0" w:color="auto"/>
              <w:right w:val="single" w:sz="4" w:space="0" w:color="auto"/>
            </w:tcBorders>
            <w:shd w:val="clear" w:color="auto" w:fill="808080" w:themeFill="background1" w:themeFillShade="80"/>
            <w:hideMark/>
          </w:tcPr>
          <w:p w14:paraId="1787BEE0"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Study Attrition†</w:t>
            </w:r>
          </w:p>
        </w:tc>
        <w:tc>
          <w:tcPr>
            <w:tcW w:w="1537" w:type="dxa"/>
            <w:tcBorders>
              <w:top w:val="single" w:sz="4" w:space="0" w:color="auto"/>
              <w:left w:val="nil"/>
              <w:bottom w:val="single" w:sz="4" w:space="0" w:color="auto"/>
              <w:right w:val="single" w:sz="4" w:space="0" w:color="auto"/>
            </w:tcBorders>
            <w:shd w:val="clear" w:color="auto" w:fill="808080" w:themeFill="background1" w:themeFillShade="80"/>
            <w:hideMark/>
          </w:tcPr>
          <w:p w14:paraId="4DB2471B"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Prognostic Measure‡ </w:t>
            </w:r>
          </w:p>
        </w:tc>
        <w:tc>
          <w:tcPr>
            <w:tcW w:w="1601" w:type="dxa"/>
            <w:tcBorders>
              <w:top w:val="single" w:sz="4" w:space="0" w:color="auto"/>
              <w:left w:val="nil"/>
              <w:bottom w:val="single" w:sz="4" w:space="0" w:color="auto"/>
              <w:right w:val="single" w:sz="4" w:space="0" w:color="auto"/>
            </w:tcBorders>
            <w:shd w:val="clear" w:color="auto" w:fill="808080" w:themeFill="background1" w:themeFillShade="80"/>
            <w:hideMark/>
          </w:tcPr>
          <w:p w14:paraId="4B5EA555"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Outcome Measurement§</w:t>
            </w:r>
          </w:p>
        </w:tc>
        <w:tc>
          <w:tcPr>
            <w:tcW w:w="1650" w:type="dxa"/>
            <w:tcBorders>
              <w:top w:val="single" w:sz="4" w:space="0" w:color="auto"/>
              <w:left w:val="nil"/>
              <w:bottom w:val="single" w:sz="4" w:space="0" w:color="auto"/>
              <w:right w:val="single" w:sz="4" w:space="0" w:color="auto"/>
            </w:tcBorders>
            <w:shd w:val="clear" w:color="auto" w:fill="808080" w:themeFill="background1" w:themeFillShade="80"/>
            <w:hideMark/>
          </w:tcPr>
          <w:p w14:paraId="08F99582"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proofErr w:type="spellStart"/>
            <w:r w:rsidRPr="00977A5F">
              <w:rPr>
                <w:rFonts w:ascii="Times New Roman" w:eastAsia="Times New Roman" w:hAnsi="Times New Roman" w:cs="Times New Roman"/>
                <w:b/>
                <w:color w:val="FFFFFF" w:themeColor="background1"/>
                <w:sz w:val="20"/>
                <w:szCs w:val="20"/>
              </w:rPr>
              <w:t>Confoundingǂ</w:t>
            </w:r>
            <w:proofErr w:type="spellEnd"/>
          </w:p>
        </w:tc>
        <w:tc>
          <w:tcPr>
            <w:tcW w:w="1289" w:type="dxa"/>
            <w:tcBorders>
              <w:top w:val="single" w:sz="4" w:space="0" w:color="auto"/>
              <w:left w:val="nil"/>
              <w:bottom w:val="single" w:sz="4" w:space="0" w:color="auto"/>
              <w:right w:val="single" w:sz="4" w:space="0" w:color="auto"/>
            </w:tcBorders>
            <w:shd w:val="clear" w:color="auto" w:fill="808080" w:themeFill="background1" w:themeFillShade="80"/>
            <w:hideMark/>
          </w:tcPr>
          <w:p w14:paraId="69E957B8" w14:textId="5931DCAA"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Statistical </w:t>
            </w:r>
            <w:r w:rsidR="00C44610">
              <w:rPr>
                <w:rFonts w:ascii="Times New Roman" w:eastAsia="Times New Roman" w:hAnsi="Times New Roman" w:cs="Times New Roman"/>
                <w:b/>
                <w:color w:val="FFFFFF" w:themeColor="background1"/>
                <w:sz w:val="20"/>
                <w:szCs w:val="20"/>
              </w:rPr>
              <w:t>A</w:t>
            </w:r>
            <w:r w:rsidRPr="00977A5F">
              <w:rPr>
                <w:rFonts w:ascii="Times New Roman" w:eastAsia="Times New Roman" w:hAnsi="Times New Roman" w:cs="Times New Roman"/>
                <w:b/>
                <w:color w:val="FFFFFF" w:themeColor="background1"/>
                <w:sz w:val="20"/>
                <w:szCs w:val="20"/>
              </w:rPr>
              <w:t xml:space="preserve">nalysis </w:t>
            </w:r>
            <w:r w:rsidRPr="00977A5F">
              <w:rPr>
                <w:rFonts w:ascii="Times New Roman" w:eastAsia="Times New Roman" w:hAnsi="Times New Roman" w:cs="Times New Roman"/>
                <w:b/>
                <w:color w:val="FFFFFF" w:themeColor="background1"/>
                <w:sz w:val="20"/>
                <w:szCs w:val="20"/>
              </w:rPr>
              <w:lastRenderedPageBreak/>
              <w:t xml:space="preserve">and </w:t>
            </w:r>
            <w:r w:rsidR="00C44610">
              <w:rPr>
                <w:rFonts w:ascii="Times New Roman" w:eastAsia="Times New Roman" w:hAnsi="Times New Roman" w:cs="Times New Roman"/>
                <w:b/>
                <w:color w:val="FFFFFF" w:themeColor="background1"/>
                <w:sz w:val="20"/>
                <w:szCs w:val="20"/>
              </w:rPr>
              <w:t>R</w:t>
            </w:r>
            <w:r w:rsidRPr="00977A5F">
              <w:rPr>
                <w:rFonts w:ascii="Times New Roman" w:eastAsia="Times New Roman" w:hAnsi="Times New Roman" w:cs="Times New Roman"/>
                <w:b/>
                <w:color w:val="FFFFFF" w:themeColor="background1"/>
                <w:sz w:val="20"/>
                <w:szCs w:val="20"/>
              </w:rPr>
              <w:t>eporting•</w:t>
            </w:r>
          </w:p>
        </w:tc>
        <w:tc>
          <w:tcPr>
            <w:tcW w:w="1228" w:type="dxa"/>
            <w:tcBorders>
              <w:top w:val="single" w:sz="4" w:space="0" w:color="auto"/>
              <w:left w:val="nil"/>
              <w:bottom w:val="single" w:sz="4" w:space="0" w:color="auto"/>
              <w:right w:val="single" w:sz="4" w:space="0" w:color="auto"/>
            </w:tcBorders>
            <w:shd w:val="clear" w:color="auto" w:fill="808080" w:themeFill="background1" w:themeFillShade="80"/>
            <w:hideMark/>
          </w:tcPr>
          <w:p w14:paraId="5EA2A88B" w14:textId="77777777" w:rsidR="00C22D17"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lastRenderedPageBreak/>
              <w:t xml:space="preserve">Quality </w:t>
            </w:r>
          </w:p>
          <w:p w14:paraId="37D7103A" w14:textId="68EB4404" w:rsidR="008D55B2" w:rsidRPr="00977A5F" w:rsidRDefault="00C22D17" w:rsidP="00977A5F">
            <w:pPr>
              <w:spacing w:after="0" w:line="240" w:lineRule="auto"/>
              <w:rPr>
                <w:rFonts w:ascii="Times New Roman" w:eastAsia="Times New Roman" w:hAnsi="Times New Roman" w:cs="Times New Roman"/>
                <w:b/>
                <w:color w:val="FFFFFF" w:themeColor="background1"/>
                <w:sz w:val="20"/>
                <w:szCs w:val="20"/>
              </w:rPr>
            </w:pPr>
            <w:r>
              <w:rPr>
                <w:rFonts w:ascii="Times New Roman" w:eastAsia="Times New Roman" w:hAnsi="Times New Roman" w:cs="Times New Roman"/>
                <w:b/>
                <w:color w:val="FFFFFF" w:themeColor="background1"/>
                <w:sz w:val="20"/>
                <w:szCs w:val="20"/>
              </w:rPr>
              <w:t>Assessment</w:t>
            </w:r>
          </w:p>
        </w:tc>
      </w:tr>
      <w:tr w:rsidR="00066E16" w:rsidRPr="0086760B" w14:paraId="5284A65C" w14:textId="77777777" w:rsidTr="008D55B2">
        <w:trPr>
          <w:trHeight w:val="3120"/>
        </w:trPr>
        <w:tc>
          <w:tcPr>
            <w:tcW w:w="1560" w:type="dxa"/>
            <w:tcBorders>
              <w:top w:val="nil"/>
              <w:left w:val="single" w:sz="4" w:space="0" w:color="auto"/>
              <w:bottom w:val="single" w:sz="4" w:space="0" w:color="auto"/>
              <w:right w:val="single" w:sz="4" w:space="0" w:color="auto"/>
            </w:tcBorders>
            <w:shd w:val="clear" w:color="auto" w:fill="auto"/>
            <w:hideMark/>
          </w:tcPr>
          <w:p w14:paraId="3EECF69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Merrill et al, 2018</w:t>
            </w:r>
          </w:p>
        </w:tc>
        <w:tc>
          <w:tcPr>
            <w:tcW w:w="1376" w:type="dxa"/>
            <w:tcBorders>
              <w:top w:val="nil"/>
              <w:left w:val="nil"/>
              <w:bottom w:val="single" w:sz="4" w:space="0" w:color="auto"/>
              <w:right w:val="single" w:sz="4" w:space="0" w:color="auto"/>
            </w:tcBorders>
            <w:shd w:val="clear" w:color="auto" w:fill="auto"/>
            <w:noWrap/>
            <w:hideMark/>
          </w:tcPr>
          <w:p w14:paraId="23BD5BE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327B33E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hideMark/>
          </w:tcPr>
          <w:p w14:paraId="3B82612F"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parly</w:t>
            </w:r>
            <w:proofErr w:type="spellEnd"/>
            <w:r w:rsidRPr="0086760B">
              <w:rPr>
                <w:rFonts w:ascii="Times New Roman" w:eastAsia="Times New Roman" w:hAnsi="Times New Roman" w:cs="Times New Roman"/>
                <w:sz w:val="20"/>
                <w:szCs w:val="20"/>
              </w:rPr>
              <w:t>, though it provided a description of PF, but it did not provide methods of PF measurement, and it did not provide handling continuous variables, and did not mention about imputations</w:t>
            </w:r>
          </w:p>
        </w:tc>
        <w:tc>
          <w:tcPr>
            <w:tcW w:w="1601" w:type="dxa"/>
            <w:tcBorders>
              <w:top w:val="nil"/>
              <w:left w:val="nil"/>
              <w:bottom w:val="single" w:sz="4" w:space="0" w:color="auto"/>
              <w:right w:val="single" w:sz="4" w:space="0" w:color="auto"/>
            </w:tcBorders>
            <w:shd w:val="clear" w:color="auto" w:fill="auto"/>
            <w:noWrap/>
            <w:hideMark/>
          </w:tcPr>
          <w:p w14:paraId="13D71A2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3E11ED2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50C2EAF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60BD2015" w14:textId="249D3AA0"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46B4EE15" w14:textId="77777777" w:rsidTr="008D55B2">
        <w:trPr>
          <w:trHeight w:val="1650"/>
        </w:trPr>
        <w:tc>
          <w:tcPr>
            <w:tcW w:w="1560" w:type="dxa"/>
            <w:tcBorders>
              <w:top w:val="nil"/>
              <w:left w:val="single" w:sz="4" w:space="0" w:color="auto"/>
              <w:bottom w:val="single" w:sz="4" w:space="0" w:color="auto"/>
              <w:right w:val="single" w:sz="4" w:space="0" w:color="auto"/>
            </w:tcBorders>
            <w:shd w:val="clear" w:color="auto" w:fill="auto"/>
            <w:hideMark/>
          </w:tcPr>
          <w:p w14:paraId="45EF045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Rojas et al, 2017</w:t>
            </w:r>
          </w:p>
        </w:tc>
        <w:tc>
          <w:tcPr>
            <w:tcW w:w="1376" w:type="dxa"/>
            <w:tcBorders>
              <w:top w:val="nil"/>
              <w:left w:val="nil"/>
              <w:bottom w:val="single" w:sz="4" w:space="0" w:color="auto"/>
              <w:right w:val="single" w:sz="4" w:space="0" w:color="auto"/>
            </w:tcBorders>
            <w:shd w:val="clear" w:color="auto" w:fill="auto"/>
            <w:noWrap/>
            <w:hideMark/>
          </w:tcPr>
          <w:p w14:paraId="7D87680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4EAEEB9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27912D9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078FC27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3125292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79A96F2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741AE44A" w14:textId="3EDED88D"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6B974A23"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261E779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Chandra et al, 2019</w:t>
            </w:r>
          </w:p>
        </w:tc>
        <w:tc>
          <w:tcPr>
            <w:tcW w:w="1376" w:type="dxa"/>
            <w:tcBorders>
              <w:top w:val="nil"/>
              <w:left w:val="nil"/>
              <w:bottom w:val="single" w:sz="4" w:space="0" w:color="auto"/>
              <w:right w:val="single" w:sz="4" w:space="0" w:color="auto"/>
            </w:tcBorders>
            <w:shd w:val="clear" w:color="auto" w:fill="auto"/>
            <w:noWrap/>
            <w:hideMark/>
          </w:tcPr>
          <w:p w14:paraId="79DDCAA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4CB3F50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2ECC0CB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650FEBD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2ED8905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4527557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11079978" w14:textId="06267D8E"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2746A0E6" w14:textId="77777777" w:rsidTr="008D55B2">
        <w:trPr>
          <w:trHeight w:val="910"/>
        </w:trPr>
        <w:tc>
          <w:tcPr>
            <w:tcW w:w="1560" w:type="dxa"/>
            <w:tcBorders>
              <w:top w:val="nil"/>
              <w:left w:val="single" w:sz="4" w:space="0" w:color="auto"/>
              <w:bottom w:val="single" w:sz="4" w:space="0" w:color="auto"/>
              <w:right w:val="single" w:sz="4" w:space="0" w:color="auto"/>
            </w:tcBorders>
            <w:shd w:val="clear" w:color="auto" w:fill="auto"/>
            <w:hideMark/>
          </w:tcPr>
          <w:p w14:paraId="26040DBD"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Pakbin</w:t>
            </w:r>
            <w:proofErr w:type="spellEnd"/>
            <w:r w:rsidRPr="0086760B">
              <w:rPr>
                <w:rFonts w:ascii="Times New Roman" w:eastAsia="Times New Roman" w:hAnsi="Times New Roman" w:cs="Times New Roman"/>
                <w:sz w:val="20"/>
                <w:szCs w:val="20"/>
              </w:rPr>
              <w:t xml:space="preserve"> et al, 2018</w:t>
            </w:r>
          </w:p>
        </w:tc>
        <w:tc>
          <w:tcPr>
            <w:tcW w:w="1376" w:type="dxa"/>
            <w:tcBorders>
              <w:top w:val="nil"/>
              <w:left w:val="nil"/>
              <w:bottom w:val="single" w:sz="4" w:space="0" w:color="auto"/>
              <w:right w:val="single" w:sz="4" w:space="0" w:color="auto"/>
            </w:tcBorders>
            <w:shd w:val="clear" w:color="auto" w:fill="auto"/>
            <w:noWrap/>
            <w:hideMark/>
          </w:tcPr>
          <w:p w14:paraId="048FCA3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1B4DE04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15A0AE2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5046AD4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4272F1E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4EB64A8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42573986" w14:textId="0DAB6C62"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2D1D46FB"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5B975B8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Salem et al, 2018</w:t>
            </w:r>
          </w:p>
        </w:tc>
        <w:tc>
          <w:tcPr>
            <w:tcW w:w="1376" w:type="dxa"/>
            <w:tcBorders>
              <w:top w:val="nil"/>
              <w:left w:val="nil"/>
              <w:bottom w:val="single" w:sz="4" w:space="0" w:color="auto"/>
              <w:right w:val="single" w:sz="4" w:space="0" w:color="auto"/>
            </w:tcBorders>
            <w:shd w:val="clear" w:color="auto" w:fill="auto"/>
            <w:noWrap/>
            <w:hideMark/>
          </w:tcPr>
          <w:p w14:paraId="589EA72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597E5E1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5FECDF5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hideMark/>
          </w:tcPr>
          <w:p w14:paraId="1D41DD6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partly-though it mentioned about 30-day  readmission, however, it did not contain description of definition of readmission outcome</w:t>
            </w:r>
          </w:p>
        </w:tc>
        <w:tc>
          <w:tcPr>
            <w:tcW w:w="1650" w:type="dxa"/>
            <w:tcBorders>
              <w:top w:val="nil"/>
              <w:left w:val="nil"/>
              <w:bottom w:val="single" w:sz="4" w:space="0" w:color="auto"/>
              <w:right w:val="single" w:sz="4" w:space="0" w:color="auto"/>
            </w:tcBorders>
            <w:shd w:val="clear" w:color="auto" w:fill="auto"/>
            <w:hideMark/>
          </w:tcPr>
          <w:p w14:paraId="02D7CAD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2B8CFE0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5AF96825" w14:textId="04699D22"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r w:rsidRPr="0086760B">
              <w:rPr>
                <w:rFonts w:ascii="Times New Roman" w:eastAsia="Times New Roman" w:hAnsi="Times New Roman" w:cs="Times New Roman"/>
                <w:sz w:val="20"/>
                <w:szCs w:val="20"/>
              </w:rPr>
              <w:t xml:space="preserve"> </w:t>
            </w:r>
          </w:p>
        </w:tc>
      </w:tr>
      <w:tr w:rsidR="00066E16" w:rsidRPr="0086760B" w14:paraId="03D727E7" w14:textId="77777777" w:rsidTr="008D55B2">
        <w:trPr>
          <w:trHeight w:val="1040"/>
        </w:trPr>
        <w:tc>
          <w:tcPr>
            <w:tcW w:w="1560" w:type="dxa"/>
            <w:tcBorders>
              <w:top w:val="nil"/>
              <w:left w:val="single" w:sz="4" w:space="0" w:color="auto"/>
              <w:bottom w:val="single" w:sz="4" w:space="0" w:color="auto"/>
              <w:right w:val="single" w:sz="4" w:space="0" w:color="auto"/>
            </w:tcBorders>
            <w:shd w:val="clear" w:color="auto" w:fill="auto"/>
            <w:hideMark/>
          </w:tcPr>
          <w:p w14:paraId="5738E878"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Rumshisky</w:t>
            </w:r>
            <w:proofErr w:type="spellEnd"/>
            <w:r w:rsidRPr="0086760B">
              <w:rPr>
                <w:rFonts w:ascii="Times New Roman" w:eastAsia="Times New Roman" w:hAnsi="Times New Roman" w:cs="Times New Roman"/>
                <w:sz w:val="20"/>
                <w:szCs w:val="20"/>
              </w:rPr>
              <w:t xml:space="preserve"> et al, 2016</w:t>
            </w:r>
          </w:p>
        </w:tc>
        <w:tc>
          <w:tcPr>
            <w:tcW w:w="1376" w:type="dxa"/>
            <w:tcBorders>
              <w:top w:val="nil"/>
              <w:left w:val="nil"/>
              <w:bottom w:val="single" w:sz="4" w:space="0" w:color="auto"/>
              <w:right w:val="single" w:sz="4" w:space="0" w:color="auto"/>
            </w:tcBorders>
            <w:shd w:val="clear" w:color="auto" w:fill="auto"/>
            <w:noWrap/>
            <w:hideMark/>
          </w:tcPr>
          <w:p w14:paraId="3D3B22E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20B6D38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20DECE0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hideMark/>
          </w:tcPr>
          <w:p w14:paraId="1E93659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partly-though it mentioned about 30-day  readmission, however, it did not contain description of definition of readmission outcome</w:t>
            </w:r>
          </w:p>
        </w:tc>
        <w:tc>
          <w:tcPr>
            <w:tcW w:w="1650" w:type="dxa"/>
            <w:tcBorders>
              <w:top w:val="nil"/>
              <w:left w:val="nil"/>
              <w:bottom w:val="single" w:sz="4" w:space="0" w:color="auto"/>
              <w:right w:val="single" w:sz="4" w:space="0" w:color="auto"/>
            </w:tcBorders>
            <w:shd w:val="clear" w:color="auto" w:fill="auto"/>
            <w:hideMark/>
          </w:tcPr>
          <w:p w14:paraId="17AC694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4C4ECCF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0618E35D" w14:textId="62BDD74C"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459D50FA"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70227679"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Turgeman</w:t>
            </w:r>
            <w:proofErr w:type="spellEnd"/>
            <w:r w:rsidRPr="0086760B">
              <w:rPr>
                <w:rFonts w:ascii="Times New Roman" w:eastAsia="Times New Roman" w:hAnsi="Times New Roman" w:cs="Times New Roman"/>
                <w:sz w:val="20"/>
                <w:szCs w:val="20"/>
              </w:rPr>
              <w:t xml:space="preserve"> et al, 2016</w:t>
            </w:r>
          </w:p>
        </w:tc>
        <w:tc>
          <w:tcPr>
            <w:tcW w:w="1376" w:type="dxa"/>
            <w:tcBorders>
              <w:top w:val="nil"/>
              <w:left w:val="nil"/>
              <w:bottom w:val="single" w:sz="4" w:space="0" w:color="auto"/>
              <w:right w:val="single" w:sz="4" w:space="0" w:color="auto"/>
            </w:tcBorders>
            <w:shd w:val="clear" w:color="auto" w:fill="auto"/>
            <w:noWrap/>
            <w:hideMark/>
          </w:tcPr>
          <w:p w14:paraId="7527EA9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175F1BE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36BDB18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hideMark/>
          </w:tcPr>
          <w:p w14:paraId="264F53C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 xml:space="preserve">no, did not provide timing of readmission outcome and did not provide the </w:t>
            </w:r>
            <w:r w:rsidRPr="0086760B">
              <w:rPr>
                <w:rFonts w:ascii="Times New Roman" w:eastAsia="Times New Roman" w:hAnsi="Times New Roman" w:cs="Times New Roman"/>
                <w:sz w:val="20"/>
                <w:szCs w:val="20"/>
              </w:rPr>
              <w:lastRenderedPageBreak/>
              <w:t>definition of readmission outcome</w:t>
            </w:r>
          </w:p>
        </w:tc>
        <w:tc>
          <w:tcPr>
            <w:tcW w:w="1650" w:type="dxa"/>
            <w:tcBorders>
              <w:top w:val="nil"/>
              <w:left w:val="nil"/>
              <w:bottom w:val="single" w:sz="4" w:space="0" w:color="auto"/>
              <w:right w:val="single" w:sz="4" w:space="0" w:color="auto"/>
            </w:tcBorders>
            <w:shd w:val="clear" w:color="auto" w:fill="auto"/>
            <w:hideMark/>
          </w:tcPr>
          <w:p w14:paraId="4C4D5EF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lastRenderedPageBreak/>
              <w:t>Yes</w:t>
            </w:r>
          </w:p>
        </w:tc>
        <w:tc>
          <w:tcPr>
            <w:tcW w:w="1289" w:type="dxa"/>
            <w:tcBorders>
              <w:top w:val="nil"/>
              <w:left w:val="nil"/>
              <w:bottom w:val="single" w:sz="4" w:space="0" w:color="auto"/>
              <w:right w:val="single" w:sz="4" w:space="0" w:color="auto"/>
            </w:tcBorders>
            <w:shd w:val="clear" w:color="auto" w:fill="auto"/>
            <w:hideMark/>
          </w:tcPr>
          <w:p w14:paraId="4F42197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35D84A0B" w14:textId="27F9766C"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8D55B2" w:rsidRPr="00977A5F" w14:paraId="61F1615D" w14:textId="77777777" w:rsidTr="008D55B2">
        <w:trPr>
          <w:trHeight w:val="640"/>
        </w:trPr>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61676C4"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Study</w:t>
            </w:r>
          </w:p>
        </w:tc>
        <w:tc>
          <w:tcPr>
            <w:tcW w:w="1376" w:type="dxa"/>
            <w:tcBorders>
              <w:top w:val="single" w:sz="4" w:space="0" w:color="auto"/>
              <w:left w:val="nil"/>
              <w:bottom w:val="single" w:sz="4" w:space="0" w:color="auto"/>
              <w:right w:val="single" w:sz="4" w:space="0" w:color="auto"/>
            </w:tcBorders>
            <w:shd w:val="clear" w:color="auto" w:fill="808080" w:themeFill="background1" w:themeFillShade="80"/>
            <w:hideMark/>
          </w:tcPr>
          <w:p w14:paraId="26D6E358" w14:textId="2840D1B8"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r w:rsidR="00C44610">
              <w:rPr>
                <w:rFonts w:ascii="Times New Roman" w:eastAsia="Times New Roman" w:hAnsi="Times New Roman" w:cs="Times New Roman"/>
                <w:b/>
                <w:color w:val="FFFFFF" w:themeColor="background1"/>
                <w:sz w:val="20"/>
                <w:szCs w:val="20"/>
              </w:rPr>
              <w:t>P</w:t>
            </w:r>
            <w:r w:rsidRPr="00977A5F">
              <w:rPr>
                <w:rFonts w:ascii="Times New Roman" w:eastAsia="Times New Roman" w:hAnsi="Times New Roman" w:cs="Times New Roman"/>
                <w:b/>
                <w:color w:val="FFFFFF" w:themeColor="background1"/>
                <w:sz w:val="20"/>
                <w:szCs w:val="20"/>
              </w:rPr>
              <w:t>opulation*</w:t>
            </w:r>
          </w:p>
        </w:tc>
        <w:tc>
          <w:tcPr>
            <w:tcW w:w="1470" w:type="dxa"/>
            <w:tcBorders>
              <w:top w:val="single" w:sz="4" w:space="0" w:color="auto"/>
              <w:left w:val="nil"/>
              <w:bottom w:val="single" w:sz="4" w:space="0" w:color="auto"/>
              <w:right w:val="single" w:sz="4" w:space="0" w:color="auto"/>
            </w:tcBorders>
            <w:shd w:val="clear" w:color="auto" w:fill="808080" w:themeFill="background1" w:themeFillShade="80"/>
            <w:hideMark/>
          </w:tcPr>
          <w:p w14:paraId="1CDC6BE8"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Study Attrition†</w:t>
            </w:r>
          </w:p>
        </w:tc>
        <w:tc>
          <w:tcPr>
            <w:tcW w:w="1537" w:type="dxa"/>
            <w:tcBorders>
              <w:top w:val="single" w:sz="4" w:space="0" w:color="auto"/>
              <w:left w:val="nil"/>
              <w:bottom w:val="single" w:sz="4" w:space="0" w:color="auto"/>
              <w:right w:val="single" w:sz="4" w:space="0" w:color="auto"/>
            </w:tcBorders>
            <w:shd w:val="clear" w:color="auto" w:fill="808080" w:themeFill="background1" w:themeFillShade="80"/>
            <w:hideMark/>
          </w:tcPr>
          <w:p w14:paraId="4F245AF4"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Prognostic Measure‡ </w:t>
            </w:r>
          </w:p>
        </w:tc>
        <w:tc>
          <w:tcPr>
            <w:tcW w:w="1601" w:type="dxa"/>
            <w:tcBorders>
              <w:top w:val="single" w:sz="4" w:space="0" w:color="auto"/>
              <w:left w:val="nil"/>
              <w:bottom w:val="single" w:sz="4" w:space="0" w:color="auto"/>
              <w:right w:val="single" w:sz="4" w:space="0" w:color="auto"/>
            </w:tcBorders>
            <w:shd w:val="clear" w:color="auto" w:fill="808080" w:themeFill="background1" w:themeFillShade="80"/>
            <w:hideMark/>
          </w:tcPr>
          <w:p w14:paraId="40C21AE8"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Outcome Measurement§</w:t>
            </w:r>
          </w:p>
        </w:tc>
        <w:tc>
          <w:tcPr>
            <w:tcW w:w="1650" w:type="dxa"/>
            <w:tcBorders>
              <w:top w:val="single" w:sz="4" w:space="0" w:color="auto"/>
              <w:left w:val="nil"/>
              <w:bottom w:val="single" w:sz="4" w:space="0" w:color="auto"/>
              <w:right w:val="single" w:sz="4" w:space="0" w:color="auto"/>
            </w:tcBorders>
            <w:shd w:val="clear" w:color="auto" w:fill="808080" w:themeFill="background1" w:themeFillShade="80"/>
            <w:hideMark/>
          </w:tcPr>
          <w:p w14:paraId="718F0F12"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proofErr w:type="spellStart"/>
            <w:r w:rsidRPr="00977A5F">
              <w:rPr>
                <w:rFonts w:ascii="Times New Roman" w:eastAsia="Times New Roman" w:hAnsi="Times New Roman" w:cs="Times New Roman"/>
                <w:b/>
                <w:color w:val="FFFFFF" w:themeColor="background1"/>
                <w:sz w:val="20"/>
                <w:szCs w:val="20"/>
              </w:rPr>
              <w:t>Confoundingǂ</w:t>
            </w:r>
            <w:proofErr w:type="spellEnd"/>
          </w:p>
        </w:tc>
        <w:tc>
          <w:tcPr>
            <w:tcW w:w="1289" w:type="dxa"/>
            <w:tcBorders>
              <w:top w:val="single" w:sz="4" w:space="0" w:color="auto"/>
              <w:left w:val="nil"/>
              <w:bottom w:val="single" w:sz="4" w:space="0" w:color="auto"/>
              <w:right w:val="single" w:sz="4" w:space="0" w:color="auto"/>
            </w:tcBorders>
            <w:shd w:val="clear" w:color="auto" w:fill="808080" w:themeFill="background1" w:themeFillShade="80"/>
            <w:hideMark/>
          </w:tcPr>
          <w:p w14:paraId="184208BF" w14:textId="5D2C1EF4"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Statistical </w:t>
            </w:r>
            <w:r w:rsidR="00C44610">
              <w:rPr>
                <w:rFonts w:ascii="Times New Roman" w:eastAsia="Times New Roman" w:hAnsi="Times New Roman" w:cs="Times New Roman"/>
                <w:b/>
                <w:color w:val="FFFFFF" w:themeColor="background1"/>
                <w:sz w:val="20"/>
                <w:szCs w:val="20"/>
              </w:rPr>
              <w:t>A</w:t>
            </w:r>
            <w:r w:rsidRPr="00977A5F">
              <w:rPr>
                <w:rFonts w:ascii="Times New Roman" w:eastAsia="Times New Roman" w:hAnsi="Times New Roman" w:cs="Times New Roman"/>
                <w:b/>
                <w:color w:val="FFFFFF" w:themeColor="background1"/>
                <w:sz w:val="20"/>
                <w:szCs w:val="20"/>
              </w:rPr>
              <w:t xml:space="preserve">nalysis and </w:t>
            </w:r>
            <w:r w:rsidR="00C44610">
              <w:rPr>
                <w:rFonts w:ascii="Times New Roman" w:eastAsia="Times New Roman" w:hAnsi="Times New Roman" w:cs="Times New Roman"/>
                <w:b/>
                <w:color w:val="FFFFFF" w:themeColor="background1"/>
                <w:sz w:val="20"/>
                <w:szCs w:val="20"/>
              </w:rPr>
              <w:t>R</w:t>
            </w:r>
            <w:r w:rsidRPr="00977A5F">
              <w:rPr>
                <w:rFonts w:ascii="Times New Roman" w:eastAsia="Times New Roman" w:hAnsi="Times New Roman" w:cs="Times New Roman"/>
                <w:b/>
                <w:color w:val="FFFFFF" w:themeColor="background1"/>
                <w:sz w:val="20"/>
                <w:szCs w:val="20"/>
              </w:rPr>
              <w:t>eporting•</w:t>
            </w:r>
          </w:p>
        </w:tc>
        <w:tc>
          <w:tcPr>
            <w:tcW w:w="1228" w:type="dxa"/>
            <w:tcBorders>
              <w:top w:val="single" w:sz="4" w:space="0" w:color="auto"/>
              <w:left w:val="nil"/>
              <w:bottom w:val="single" w:sz="4" w:space="0" w:color="auto"/>
              <w:right w:val="single" w:sz="4" w:space="0" w:color="auto"/>
            </w:tcBorders>
            <w:shd w:val="clear" w:color="auto" w:fill="808080" w:themeFill="background1" w:themeFillShade="80"/>
            <w:hideMark/>
          </w:tcPr>
          <w:p w14:paraId="66D3D465" w14:textId="77777777" w:rsidR="00C22D17"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Quality </w:t>
            </w:r>
          </w:p>
          <w:p w14:paraId="38564DBF" w14:textId="00AC4D30"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A</w:t>
            </w:r>
            <w:r w:rsidR="00C22D17">
              <w:rPr>
                <w:rFonts w:ascii="Times New Roman" w:eastAsia="Times New Roman" w:hAnsi="Times New Roman" w:cs="Times New Roman"/>
                <w:b/>
                <w:color w:val="FFFFFF" w:themeColor="background1"/>
                <w:sz w:val="20"/>
                <w:szCs w:val="20"/>
              </w:rPr>
              <w:t>ssessment</w:t>
            </w:r>
          </w:p>
        </w:tc>
      </w:tr>
      <w:tr w:rsidR="00066E16" w:rsidRPr="0086760B" w14:paraId="239B6D59" w14:textId="77777777" w:rsidTr="008D55B2">
        <w:trPr>
          <w:trHeight w:val="1550"/>
        </w:trPr>
        <w:tc>
          <w:tcPr>
            <w:tcW w:w="1560" w:type="dxa"/>
            <w:tcBorders>
              <w:top w:val="nil"/>
              <w:left w:val="single" w:sz="4" w:space="0" w:color="auto"/>
              <w:bottom w:val="single" w:sz="4" w:space="0" w:color="auto"/>
              <w:right w:val="single" w:sz="4" w:space="0" w:color="auto"/>
            </w:tcBorders>
            <w:shd w:val="clear" w:color="auto" w:fill="auto"/>
            <w:hideMark/>
          </w:tcPr>
          <w:p w14:paraId="3F385D83"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Povalej</w:t>
            </w:r>
            <w:proofErr w:type="spellEnd"/>
            <w:r w:rsidRPr="0086760B">
              <w:rPr>
                <w:rFonts w:ascii="Times New Roman" w:eastAsia="Times New Roman" w:hAnsi="Times New Roman" w:cs="Times New Roman"/>
                <w:sz w:val="20"/>
                <w:szCs w:val="20"/>
              </w:rPr>
              <w:t xml:space="preserve"> et al, 2017</w:t>
            </w:r>
          </w:p>
        </w:tc>
        <w:tc>
          <w:tcPr>
            <w:tcW w:w="1376" w:type="dxa"/>
            <w:tcBorders>
              <w:top w:val="nil"/>
              <w:left w:val="nil"/>
              <w:bottom w:val="single" w:sz="4" w:space="0" w:color="auto"/>
              <w:right w:val="single" w:sz="4" w:space="0" w:color="auto"/>
            </w:tcBorders>
            <w:shd w:val="clear" w:color="auto" w:fill="auto"/>
            <w:noWrap/>
            <w:hideMark/>
          </w:tcPr>
          <w:p w14:paraId="70684A7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6BFED72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2A90FE7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177EC21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74E9DD2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4AD5FC5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0E3F0B26" w14:textId="6D19D60B"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5484B15B"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1CBEC02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Mahajan et al, 2017</w:t>
            </w:r>
          </w:p>
        </w:tc>
        <w:tc>
          <w:tcPr>
            <w:tcW w:w="1376" w:type="dxa"/>
            <w:tcBorders>
              <w:top w:val="nil"/>
              <w:left w:val="nil"/>
              <w:bottom w:val="single" w:sz="4" w:space="0" w:color="auto"/>
              <w:right w:val="single" w:sz="4" w:space="0" w:color="auto"/>
            </w:tcBorders>
            <w:shd w:val="clear" w:color="auto" w:fill="auto"/>
            <w:noWrap/>
            <w:hideMark/>
          </w:tcPr>
          <w:p w14:paraId="5CDF7E2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04F8598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468FF12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1B224B5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0DB125F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600A5B0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0852333F" w14:textId="13355943"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4A321BCE"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0194D61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Nakamura et al, 2019</w:t>
            </w:r>
          </w:p>
        </w:tc>
        <w:tc>
          <w:tcPr>
            <w:tcW w:w="1376" w:type="dxa"/>
            <w:tcBorders>
              <w:top w:val="nil"/>
              <w:left w:val="nil"/>
              <w:bottom w:val="single" w:sz="4" w:space="0" w:color="auto"/>
              <w:right w:val="single" w:sz="4" w:space="0" w:color="auto"/>
            </w:tcBorders>
            <w:shd w:val="clear" w:color="auto" w:fill="auto"/>
            <w:noWrap/>
            <w:hideMark/>
          </w:tcPr>
          <w:p w14:paraId="45E6D92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44254CA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65F9F99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41E99AD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39E5A9F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3AB5E7E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no, did not provide any validation methods</w:t>
            </w:r>
          </w:p>
        </w:tc>
        <w:tc>
          <w:tcPr>
            <w:tcW w:w="1228" w:type="dxa"/>
            <w:tcBorders>
              <w:top w:val="nil"/>
              <w:left w:val="nil"/>
              <w:bottom w:val="single" w:sz="4" w:space="0" w:color="auto"/>
              <w:right w:val="single" w:sz="4" w:space="0" w:color="auto"/>
            </w:tcBorders>
            <w:shd w:val="clear" w:color="auto" w:fill="auto"/>
            <w:noWrap/>
            <w:hideMark/>
          </w:tcPr>
          <w:p w14:paraId="6F8E8931" w14:textId="00AE28B3"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3363B4AA"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7F61832D"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Ehwerhemuepha</w:t>
            </w:r>
            <w:proofErr w:type="spellEnd"/>
            <w:r w:rsidRPr="0086760B">
              <w:rPr>
                <w:rFonts w:ascii="Times New Roman" w:eastAsia="Times New Roman" w:hAnsi="Times New Roman" w:cs="Times New Roman"/>
                <w:sz w:val="20"/>
                <w:szCs w:val="20"/>
              </w:rPr>
              <w:t xml:space="preserve"> et al, 2020</w:t>
            </w:r>
          </w:p>
        </w:tc>
        <w:tc>
          <w:tcPr>
            <w:tcW w:w="1376" w:type="dxa"/>
            <w:tcBorders>
              <w:top w:val="nil"/>
              <w:left w:val="nil"/>
              <w:bottom w:val="single" w:sz="4" w:space="0" w:color="auto"/>
              <w:right w:val="single" w:sz="4" w:space="0" w:color="auto"/>
            </w:tcBorders>
            <w:shd w:val="clear" w:color="auto" w:fill="auto"/>
            <w:noWrap/>
            <w:hideMark/>
          </w:tcPr>
          <w:p w14:paraId="5AF2514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1D24FB6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2ECDFD8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2F85079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1D808E3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67DB7D9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6A6EB006" w14:textId="345C07D6"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56868455"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1316B97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Tong et al, 2016</w:t>
            </w:r>
          </w:p>
        </w:tc>
        <w:tc>
          <w:tcPr>
            <w:tcW w:w="1376" w:type="dxa"/>
            <w:tcBorders>
              <w:top w:val="nil"/>
              <w:left w:val="nil"/>
              <w:bottom w:val="single" w:sz="4" w:space="0" w:color="auto"/>
              <w:right w:val="single" w:sz="4" w:space="0" w:color="auto"/>
            </w:tcBorders>
            <w:shd w:val="clear" w:color="auto" w:fill="auto"/>
            <w:noWrap/>
            <w:hideMark/>
          </w:tcPr>
          <w:p w14:paraId="69D6170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553E004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469D2EA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1713C9D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6D32D24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51BB0A0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0F7D5730" w14:textId="49A5680C"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6BE41C38" w14:textId="77777777" w:rsidTr="008D55B2">
        <w:trPr>
          <w:trHeight w:val="1560"/>
        </w:trPr>
        <w:tc>
          <w:tcPr>
            <w:tcW w:w="1560" w:type="dxa"/>
            <w:tcBorders>
              <w:top w:val="nil"/>
              <w:left w:val="single" w:sz="4" w:space="0" w:color="auto"/>
              <w:bottom w:val="single" w:sz="4" w:space="0" w:color="auto"/>
              <w:right w:val="single" w:sz="4" w:space="0" w:color="auto"/>
            </w:tcBorders>
            <w:shd w:val="clear" w:color="auto" w:fill="auto"/>
            <w:hideMark/>
          </w:tcPr>
          <w:p w14:paraId="018F9E0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McKinley et al, 2018</w:t>
            </w:r>
          </w:p>
        </w:tc>
        <w:tc>
          <w:tcPr>
            <w:tcW w:w="1376" w:type="dxa"/>
            <w:tcBorders>
              <w:top w:val="nil"/>
              <w:left w:val="nil"/>
              <w:bottom w:val="single" w:sz="4" w:space="0" w:color="auto"/>
              <w:right w:val="single" w:sz="4" w:space="0" w:color="auto"/>
            </w:tcBorders>
            <w:shd w:val="clear" w:color="auto" w:fill="auto"/>
            <w:noWrap/>
            <w:hideMark/>
          </w:tcPr>
          <w:p w14:paraId="7DAF252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4331072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4AEB911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4A2B301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75E00C4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2F434B7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43B40301" w14:textId="69956864"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7216B9EA" w14:textId="77777777" w:rsidTr="008D55B2">
        <w:trPr>
          <w:trHeight w:val="1360"/>
        </w:trPr>
        <w:tc>
          <w:tcPr>
            <w:tcW w:w="1560" w:type="dxa"/>
            <w:tcBorders>
              <w:top w:val="nil"/>
              <w:left w:val="single" w:sz="4" w:space="0" w:color="auto"/>
              <w:bottom w:val="single" w:sz="4" w:space="0" w:color="auto"/>
              <w:right w:val="single" w:sz="4" w:space="0" w:color="auto"/>
            </w:tcBorders>
            <w:shd w:val="clear" w:color="auto" w:fill="auto"/>
            <w:hideMark/>
          </w:tcPr>
          <w:p w14:paraId="291B8EE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Kulkarni et al, 2016</w:t>
            </w:r>
          </w:p>
        </w:tc>
        <w:tc>
          <w:tcPr>
            <w:tcW w:w="1376" w:type="dxa"/>
            <w:tcBorders>
              <w:top w:val="nil"/>
              <w:left w:val="nil"/>
              <w:bottom w:val="single" w:sz="4" w:space="0" w:color="auto"/>
              <w:right w:val="single" w:sz="4" w:space="0" w:color="auto"/>
            </w:tcBorders>
            <w:shd w:val="clear" w:color="auto" w:fill="auto"/>
            <w:hideMark/>
          </w:tcPr>
          <w:p w14:paraId="2145DF7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 described patients admitted to private health system, but did not mention about the study period.</w:t>
            </w:r>
          </w:p>
        </w:tc>
        <w:tc>
          <w:tcPr>
            <w:tcW w:w="1470" w:type="dxa"/>
            <w:tcBorders>
              <w:top w:val="nil"/>
              <w:left w:val="nil"/>
              <w:bottom w:val="single" w:sz="4" w:space="0" w:color="auto"/>
              <w:right w:val="single" w:sz="4" w:space="0" w:color="auto"/>
            </w:tcBorders>
            <w:shd w:val="clear" w:color="auto" w:fill="auto"/>
            <w:hideMark/>
          </w:tcPr>
          <w:p w14:paraId="109A2D1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05BFF3C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hideMark/>
          </w:tcPr>
          <w:p w14:paraId="2FF7731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partly-though it mentioned about 30-day  readmission, however, it did not contain description of definition of readmission outcome</w:t>
            </w:r>
          </w:p>
        </w:tc>
        <w:tc>
          <w:tcPr>
            <w:tcW w:w="1650" w:type="dxa"/>
            <w:tcBorders>
              <w:top w:val="nil"/>
              <w:left w:val="nil"/>
              <w:bottom w:val="single" w:sz="4" w:space="0" w:color="auto"/>
              <w:right w:val="single" w:sz="4" w:space="0" w:color="auto"/>
            </w:tcBorders>
            <w:shd w:val="clear" w:color="auto" w:fill="auto"/>
            <w:hideMark/>
          </w:tcPr>
          <w:p w14:paraId="4306AE0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724FA56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748A20BC" w14:textId="23D2A630"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r w:rsidRPr="0086760B">
              <w:rPr>
                <w:rFonts w:ascii="Times New Roman" w:eastAsia="Times New Roman" w:hAnsi="Times New Roman" w:cs="Times New Roman"/>
                <w:sz w:val="20"/>
                <w:szCs w:val="20"/>
              </w:rPr>
              <w:t xml:space="preserve"> </w:t>
            </w:r>
          </w:p>
        </w:tc>
      </w:tr>
      <w:tr w:rsidR="00066E16" w:rsidRPr="0086760B" w14:paraId="0025AF0F" w14:textId="77777777" w:rsidTr="008D55B2">
        <w:trPr>
          <w:trHeight w:val="1000"/>
        </w:trPr>
        <w:tc>
          <w:tcPr>
            <w:tcW w:w="1560" w:type="dxa"/>
            <w:tcBorders>
              <w:top w:val="nil"/>
              <w:left w:val="single" w:sz="4" w:space="0" w:color="auto"/>
              <w:bottom w:val="single" w:sz="4" w:space="0" w:color="auto"/>
              <w:right w:val="single" w:sz="4" w:space="0" w:color="auto"/>
            </w:tcBorders>
            <w:shd w:val="clear" w:color="auto" w:fill="auto"/>
            <w:hideMark/>
          </w:tcPr>
          <w:p w14:paraId="6CE73C5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Goyal et al, 2019</w:t>
            </w:r>
          </w:p>
        </w:tc>
        <w:tc>
          <w:tcPr>
            <w:tcW w:w="1376" w:type="dxa"/>
            <w:tcBorders>
              <w:top w:val="nil"/>
              <w:left w:val="nil"/>
              <w:bottom w:val="single" w:sz="4" w:space="0" w:color="auto"/>
              <w:right w:val="single" w:sz="4" w:space="0" w:color="auto"/>
            </w:tcBorders>
            <w:shd w:val="clear" w:color="auto" w:fill="auto"/>
            <w:noWrap/>
            <w:hideMark/>
          </w:tcPr>
          <w:p w14:paraId="7E01E86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2A3ED1A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46FDB9B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0ECAE80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1934AED0"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Parly</w:t>
            </w:r>
            <w:proofErr w:type="spellEnd"/>
            <w:r w:rsidRPr="0086760B">
              <w:rPr>
                <w:rFonts w:ascii="Times New Roman" w:eastAsia="Times New Roman" w:hAnsi="Times New Roman" w:cs="Times New Roman"/>
                <w:sz w:val="20"/>
                <w:szCs w:val="20"/>
              </w:rPr>
              <w:t>, did not include pre-index utilization (such as length of stay)</w:t>
            </w:r>
          </w:p>
        </w:tc>
        <w:tc>
          <w:tcPr>
            <w:tcW w:w="1289" w:type="dxa"/>
            <w:tcBorders>
              <w:top w:val="nil"/>
              <w:left w:val="nil"/>
              <w:bottom w:val="single" w:sz="4" w:space="0" w:color="auto"/>
              <w:right w:val="single" w:sz="4" w:space="0" w:color="auto"/>
            </w:tcBorders>
            <w:shd w:val="clear" w:color="auto" w:fill="auto"/>
            <w:hideMark/>
          </w:tcPr>
          <w:p w14:paraId="1523199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7E9A4A6A" w14:textId="633E3B74"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69A4F068" w14:textId="77777777" w:rsidTr="008D55B2">
        <w:trPr>
          <w:trHeight w:val="920"/>
        </w:trPr>
        <w:tc>
          <w:tcPr>
            <w:tcW w:w="1560" w:type="dxa"/>
            <w:tcBorders>
              <w:top w:val="nil"/>
              <w:left w:val="single" w:sz="4" w:space="0" w:color="auto"/>
              <w:bottom w:val="single" w:sz="4" w:space="0" w:color="auto"/>
              <w:right w:val="single" w:sz="4" w:space="0" w:color="auto"/>
            </w:tcBorders>
            <w:shd w:val="clear" w:color="auto" w:fill="auto"/>
            <w:hideMark/>
          </w:tcPr>
          <w:p w14:paraId="40B9915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Garcia-Acre et al, 2018</w:t>
            </w:r>
          </w:p>
        </w:tc>
        <w:tc>
          <w:tcPr>
            <w:tcW w:w="1376" w:type="dxa"/>
            <w:tcBorders>
              <w:top w:val="nil"/>
              <w:left w:val="nil"/>
              <w:bottom w:val="single" w:sz="4" w:space="0" w:color="auto"/>
              <w:right w:val="single" w:sz="4" w:space="0" w:color="auto"/>
            </w:tcBorders>
            <w:shd w:val="clear" w:color="auto" w:fill="auto"/>
            <w:noWrap/>
            <w:hideMark/>
          </w:tcPr>
          <w:p w14:paraId="2A08931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26009AB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003C873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2D1C4B4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3180DE2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37D6591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35250E5E" w14:textId="657BBDEF"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4014735B" w14:textId="77777777" w:rsidTr="008D55B2">
        <w:trPr>
          <w:trHeight w:val="860"/>
        </w:trPr>
        <w:tc>
          <w:tcPr>
            <w:tcW w:w="1560" w:type="dxa"/>
            <w:tcBorders>
              <w:top w:val="nil"/>
              <w:left w:val="single" w:sz="4" w:space="0" w:color="auto"/>
              <w:bottom w:val="single" w:sz="4" w:space="0" w:color="auto"/>
              <w:right w:val="single" w:sz="4" w:space="0" w:color="auto"/>
            </w:tcBorders>
            <w:shd w:val="clear" w:color="auto" w:fill="auto"/>
            <w:hideMark/>
          </w:tcPr>
          <w:p w14:paraId="77A7B1D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Mortazavi et al, 2016</w:t>
            </w:r>
          </w:p>
        </w:tc>
        <w:tc>
          <w:tcPr>
            <w:tcW w:w="1376" w:type="dxa"/>
            <w:tcBorders>
              <w:top w:val="nil"/>
              <w:left w:val="nil"/>
              <w:bottom w:val="single" w:sz="4" w:space="0" w:color="auto"/>
              <w:right w:val="single" w:sz="4" w:space="0" w:color="auto"/>
            </w:tcBorders>
            <w:shd w:val="clear" w:color="auto" w:fill="auto"/>
            <w:hideMark/>
          </w:tcPr>
          <w:p w14:paraId="775DE901"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Parly</w:t>
            </w:r>
            <w:proofErr w:type="spellEnd"/>
            <w:r w:rsidRPr="0086760B">
              <w:rPr>
                <w:rFonts w:ascii="Times New Roman" w:eastAsia="Times New Roman" w:hAnsi="Times New Roman" w:cs="Times New Roman"/>
                <w:sz w:val="20"/>
                <w:szCs w:val="20"/>
              </w:rPr>
              <w:t xml:space="preserve">, described the main diagnosis of patients, but did not </w:t>
            </w:r>
            <w:r w:rsidRPr="0086760B">
              <w:rPr>
                <w:rFonts w:ascii="Times New Roman" w:eastAsia="Times New Roman" w:hAnsi="Times New Roman" w:cs="Times New Roman"/>
                <w:sz w:val="20"/>
                <w:szCs w:val="20"/>
              </w:rPr>
              <w:lastRenderedPageBreak/>
              <w:t>describe the population settings (single, multiple, state or national level?), and did not mention about study period.</w:t>
            </w:r>
          </w:p>
        </w:tc>
        <w:tc>
          <w:tcPr>
            <w:tcW w:w="1470" w:type="dxa"/>
            <w:tcBorders>
              <w:top w:val="nil"/>
              <w:left w:val="nil"/>
              <w:bottom w:val="single" w:sz="4" w:space="0" w:color="auto"/>
              <w:right w:val="single" w:sz="4" w:space="0" w:color="auto"/>
            </w:tcBorders>
            <w:shd w:val="clear" w:color="auto" w:fill="auto"/>
            <w:noWrap/>
            <w:hideMark/>
          </w:tcPr>
          <w:p w14:paraId="68C0C73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lastRenderedPageBreak/>
              <w:t>yes</w:t>
            </w:r>
          </w:p>
        </w:tc>
        <w:tc>
          <w:tcPr>
            <w:tcW w:w="1537" w:type="dxa"/>
            <w:tcBorders>
              <w:top w:val="nil"/>
              <w:left w:val="nil"/>
              <w:bottom w:val="single" w:sz="4" w:space="0" w:color="auto"/>
              <w:right w:val="single" w:sz="4" w:space="0" w:color="auto"/>
            </w:tcBorders>
            <w:shd w:val="clear" w:color="auto" w:fill="auto"/>
            <w:noWrap/>
            <w:hideMark/>
          </w:tcPr>
          <w:p w14:paraId="46A792E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25BC50F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4479BB9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0D1D5BE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3A5A950A" w14:textId="57327023"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8D55B2" w:rsidRPr="00977A5F" w14:paraId="46FE5779" w14:textId="77777777" w:rsidTr="008D55B2">
        <w:trPr>
          <w:trHeight w:val="640"/>
        </w:trPr>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675E3F52"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Study</w:t>
            </w:r>
          </w:p>
        </w:tc>
        <w:tc>
          <w:tcPr>
            <w:tcW w:w="1376" w:type="dxa"/>
            <w:tcBorders>
              <w:top w:val="single" w:sz="4" w:space="0" w:color="auto"/>
              <w:left w:val="nil"/>
              <w:bottom w:val="single" w:sz="4" w:space="0" w:color="auto"/>
              <w:right w:val="single" w:sz="4" w:space="0" w:color="auto"/>
            </w:tcBorders>
            <w:shd w:val="clear" w:color="auto" w:fill="808080" w:themeFill="background1" w:themeFillShade="80"/>
            <w:hideMark/>
          </w:tcPr>
          <w:p w14:paraId="25B01983" w14:textId="4504C149"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r w:rsidR="00C44610">
              <w:rPr>
                <w:rFonts w:ascii="Times New Roman" w:eastAsia="Times New Roman" w:hAnsi="Times New Roman" w:cs="Times New Roman"/>
                <w:b/>
                <w:color w:val="FFFFFF" w:themeColor="background1"/>
                <w:sz w:val="20"/>
                <w:szCs w:val="20"/>
              </w:rPr>
              <w:t>P</w:t>
            </w:r>
            <w:r w:rsidRPr="00977A5F">
              <w:rPr>
                <w:rFonts w:ascii="Times New Roman" w:eastAsia="Times New Roman" w:hAnsi="Times New Roman" w:cs="Times New Roman"/>
                <w:b/>
                <w:color w:val="FFFFFF" w:themeColor="background1"/>
                <w:sz w:val="20"/>
                <w:szCs w:val="20"/>
              </w:rPr>
              <w:t>opulation*</w:t>
            </w:r>
          </w:p>
        </w:tc>
        <w:tc>
          <w:tcPr>
            <w:tcW w:w="1470" w:type="dxa"/>
            <w:tcBorders>
              <w:top w:val="single" w:sz="4" w:space="0" w:color="auto"/>
              <w:left w:val="nil"/>
              <w:bottom w:val="single" w:sz="4" w:space="0" w:color="auto"/>
              <w:right w:val="single" w:sz="4" w:space="0" w:color="auto"/>
            </w:tcBorders>
            <w:shd w:val="clear" w:color="auto" w:fill="808080" w:themeFill="background1" w:themeFillShade="80"/>
            <w:hideMark/>
          </w:tcPr>
          <w:p w14:paraId="6FCF7F91"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Study Attrition†</w:t>
            </w:r>
          </w:p>
        </w:tc>
        <w:tc>
          <w:tcPr>
            <w:tcW w:w="1537" w:type="dxa"/>
            <w:tcBorders>
              <w:top w:val="single" w:sz="4" w:space="0" w:color="auto"/>
              <w:left w:val="nil"/>
              <w:bottom w:val="single" w:sz="4" w:space="0" w:color="auto"/>
              <w:right w:val="single" w:sz="4" w:space="0" w:color="auto"/>
            </w:tcBorders>
            <w:shd w:val="clear" w:color="auto" w:fill="808080" w:themeFill="background1" w:themeFillShade="80"/>
            <w:hideMark/>
          </w:tcPr>
          <w:p w14:paraId="065DDABC"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Prognostic Measure‡ </w:t>
            </w:r>
          </w:p>
        </w:tc>
        <w:tc>
          <w:tcPr>
            <w:tcW w:w="1601" w:type="dxa"/>
            <w:tcBorders>
              <w:top w:val="single" w:sz="4" w:space="0" w:color="auto"/>
              <w:left w:val="nil"/>
              <w:bottom w:val="single" w:sz="4" w:space="0" w:color="auto"/>
              <w:right w:val="single" w:sz="4" w:space="0" w:color="auto"/>
            </w:tcBorders>
            <w:shd w:val="clear" w:color="auto" w:fill="808080" w:themeFill="background1" w:themeFillShade="80"/>
            <w:hideMark/>
          </w:tcPr>
          <w:p w14:paraId="599D17EA"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Outcome Measurement§</w:t>
            </w:r>
          </w:p>
        </w:tc>
        <w:tc>
          <w:tcPr>
            <w:tcW w:w="1650" w:type="dxa"/>
            <w:tcBorders>
              <w:top w:val="single" w:sz="4" w:space="0" w:color="auto"/>
              <w:left w:val="nil"/>
              <w:bottom w:val="single" w:sz="4" w:space="0" w:color="auto"/>
              <w:right w:val="single" w:sz="4" w:space="0" w:color="auto"/>
            </w:tcBorders>
            <w:shd w:val="clear" w:color="auto" w:fill="808080" w:themeFill="background1" w:themeFillShade="80"/>
            <w:hideMark/>
          </w:tcPr>
          <w:p w14:paraId="7AAB5FFE"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proofErr w:type="spellStart"/>
            <w:r w:rsidRPr="00977A5F">
              <w:rPr>
                <w:rFonts w:ascii="Times New Roman" w:eastAsia="Times New Roman" w:hAnsi="Times New Roman" w:cs="Times New Roman"/>
                <w:b/>
                <w:color w:val="FFFFFF" w:themeColor="background1"/>
                <w:sz w:val="20"/>
                <w:szCs w:val="20"/>
              </w:rPr>
              <w:t>Confoundingǂ</w:t>
            </w:r>
            <w:proofErr w:type="spellEnd"/>
          </w:p>
        </w:tc>
        <w:tc>
          <w:tcPr>
            <w:tcW w:w="1289" w:type="dxa"/>
            <w:tcBorders>
              <w:top w:val="single" w:sz="4" w:space="0" w:color="auto"/>
              <w:left w:val="nil"/>
              <w:bottom w:val="single" w:sz="4" w:space="0" w:color="auto"/>
              <w:right w:val="single" w:sz="4" w:space="0" w:color="auto"/>
            </w:tcBorders>
            <w:shd w:val="clear" w:color="auto" w:fill="808080" w:themeFill="background1" w:themeFillShade="80"/>
            <w:hideMark/>
          </w:tcPr>
          <w:p w14:paraId="1B8E9A5F" w14:textId="2DEABAF9"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Statistical </w:t>
            </w:r>
            <w:r w:rsidR="00C44610">
              <w:rPr>
                <w:rFonts w:ascii="Times New Roman" w:eastAsia="Times New Roman" w:hAnsi="Times New Roman" w:cs="Times New Roman"/>
                <w:b/>
                <w:color w:val="FFFFFF" w:themeColor="background1"/>
                <w:sz w:val="20"/>
                <w:szCs w:val="20"/>
              </w:rPr>
              <w:t>A</w:t>
            </w:r>
            <w:r w:rsidRPr="00977A5F">
              <w:rPr>
                <w:rFonts w:ascii="Times New Roman" w:eastAsia="Times New Roman" w:hAnsi="Times New Roman" w:cs="Times New Roman"/>
                <w:b/>
                <w:color w:val="FFFFFF" w:themeColor="background1"/>
                <w:sz w:val="20"/>
                <w:szCs w:val="20"/>
              </w:rPr>
              <w:t xml:space="preserve">nalysis and </w:t>
            </w:r>
            <w:r w:rsidR="00C44610">
              <w:rPr>
                <w:rFonts w:ascii="Times New Roman" w:eastAsia="Times New Roman" w:hAnsi="Times New Roman" w:cs="Times New Roman"/>
                <w:b/>
                <w:color w:val="FFFFFF" w:themeColor="background1"/>
                <w:sz w:val="20"/>
                <w:szCs w:val="20"/>
              </w:rPr>
              <w:t>R</w:t>
            </w:r>
            <w:r w:rsidRPr="00977A5F">
              <w:rPr>
                <w:rFonts w:ascii="Times New Roman" w:eastAsia="Times New Roman" w:hAnsi="Times New Roman" w:cs="Times New Roman"/>
                <w:b/>
                <w:color w:val="FFFFFF" w:themeColor="background1"/>
                <w:sz w:val="20"/>
                <w:szCs w:val="20"/>
              </w:rPr>
              <w:t>eporting•</w:t>
            </w:r>
          </w:p>
        </w:tc>
        <w:tc>
          <w:tcPr>
            <w:tcW w:w="1228" w:type="dxa"/>
            <w:tcBorders>
              <w:top w:val="single" w:sz="4" w:space="0" w:color="auto"/>
              <w:left w:val="nil"/>
              <w:bottom w:val="single" w:sz="4" w:space="0" w:color="auto"/>
              <w:right w:val="single" w:sz="4" w:space="0" w:color="auto"/>
            </w:tcBorders>
            <w:shd w:val="clear" w:color="auto" w:fill="808080" w:themeFill="background1" w:themeFillShade="80"/>
            <w:hideMark/>
          </w:tcPr>
          <w:p w14:paraId="7DC1DBD1" w14:textId="77777777" w:rsidR="00C22D17"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Quality </w:t>
            </w:r>
          </w:p>
          <w:p w14:paraId="48C4F52B" w14:textId="2113B2B5" w:rsidR="008D55B2" w:rsidRPr="00977A5F" w:rsidRDefault="00C22D17" w:rsidP="00977A5F">
            <w:pPr>
              <w:spacing w:after="0" w:line="240" w:lineRule="auto"/>
              <w:rPr>
                <w:rFonts w:ascii="Times New Roman" w:eastAsia="Times New Roman" w:hAnsi="Times New Roman" w:cs="Times New Roman"/>
                <w:b/>
                <w:color w:val="FFFFFF" w:themeColor="background1"/>
                <w:sz w:val="20"/>
                <w:szCs w:val="20"/>
              </w:rPr>
            </w:pPr>
            <w:r>
              <w:rPr>
                <w:rFonts w:ascii="Times New Roman" w:eastAsia="Times New Roman" w:hAnsi="Times New Roman" w:cs="Times New Roman"/>
                <w:b/>
                <w:color w:val="FFFFFF" w:themeColor="background1"/>
                <w:sz w:val="20"/>
                <w:szCs w:val="20"/>
              </w:rPr>
              <w:t>Assessment</w:t>
            </w:r>
          </w:p>
        </w:tc>
      </w:tr>
      <w:tr w:rsidR="00066E16" w:rsidRPr="0086760B" w14:paraId="64A62782"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6B9A31E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Frizzell et al, 2017</w:t>
            </w:r>
          </w:p>
        </w:tc>
        <w:tc>
          <w:tcPr>
            <w:tcW w:w="1376" w:type="dxa"/>
            <w:tcBorders>
              <w:top w:val="nil"/>
              <w:left w:val="nil"/>
              <w:bottom w:val="single" w:sz="4" w:space="0" w:color="auto"/>
              <w:right w:val="single" w:sz="4" w:space="0" w:color="auto"/>
            </w:tcBorders>
            <w:shd w:val="clear" w:color="auto" w:fill="auto"/>
            <w:noWrap/>
            <w:hideMark/>
          </w:tcPr>
          <w:p w14:paraId="1579BF4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7AAB64D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1C48CE2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301A32D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781D5F8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19E6E72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4A3EC205" w14:textId="0BBB91D7"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385A9DE3"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5546A36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Eckert et al, 2018</w:t>
            </w:r>
          </w:p>
        </w:tc>
        <w:tc>
          <w:tcPr>
            <w:tcW w:w="1376" w:type="dxa"/>
            <w:tcBorders>
              <w:top w:val="nil"/>
              <w:left w:val="nil"/>
              <w:bottom w:val="single" w:sz="4" w:space="0" w:color="auto"/>
              <w:right w:val="single" w:sz="4" w:space="0" w:color="auto"/>
            </w:tcBorders>
            <w:shd w:val="clear" w:color="auto" w:fill="auto"/>
            <w:noWrap/>
            <w:hideMark/>
          </w:tcPr>
          <w:p w14:paraId="11F8A0C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0A3DE39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0351E3A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7796C9B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6EC65C9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4ADAB9E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441A19BF" w14:textId="35D68E8B"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6F38265B" w14:textId="77777777" w:rsidTr="008D55B2">
        <w:trPr>
          <w:trHeight w:val="1230"/>
        </w:trPr>
        <w:tc>
          <w:tcPr>
            <w:tcW w:w="1560" w:type="dxa"/>
            <w:tcBorders>
              <w:top w:val="nil"/>
              <w:left w:val="single" w:sz="4" w:space="0" w:color="auto"/>
              <w:bottom w:val="single" w:sz="4" w:space="0" w:color="auto"/>
              <w:right w:val="single" w:sz="4" w:space="0" w:color="auto"/>
            </w:tcBorders>
            <w:shd w:val="clear" w:color="auto" w:fill="auto"/>
            <w:hideMark/>
          </w:tcPr>
          <w:p w14:paraId="0767DDB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Lodhi et al, 2017</w:t>
            </w:r>
          </w:p>
        </w:tc>
        <w:tc>
          <w:tcPr>
            <w:tcW w:w="1376" w:type="dxa"/>
            <w:tcBorders>
              <w:top w:val="nil"/>
              <w:left w:val="nil"/>
              <w:bottom w:val="single" w:sz="4" w:space="0" w:color="auto"/>
              <w:right w:val="single" w:sz="4" w:space="0" w:color="auto"/>
            </w:tcBorders>
            <w:shd w:val="clear" w:color="auto" w:fill="auto"/>
            <w:noWrap/>
            <w:hideMark/>
          </w:tcPr>
          <w:p w14:paraId="36B17D9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522ACD1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partly-did not mention about handling of loss to follow due to death.</w:t>
            </w:r>
          </w:p>
        </w:tc>
        <w:tc>
          <w:tcPr>
            <w:tcW w:w="1537" w:type="dxa"/>
            <w:tcBorders>
              <w:top w:val="nil"/>
              <w:left w:val="nil"/>
              <w:bottom w:val="single" w:sz="4" w:space="0" w:color="auto"/>
              <w:right w:val="single" w:sz="4" w:space="0" w:color="auto"/>
            </w:tcBorders>
            <w:shd w:val="clear" w:color="auto" w:fill="auto"/>
            <w:noWrap/>
            <w:hideMark/>
          </w:tcPr>
          <w:p w14:paraId="4F0B962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hideMark/>
          </w:tcPr>
          <w:p w14:paraId="0A8CD82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no, did not provide timing of readmission outcome and did not provide the definition of readmission outcome</w:t>
            </w:r>
          </w:p>
        </w:tc>
        <w:tc>
          <w:tcPr>
            <w:tcW w:w="1650" w:type="dxa"/>
            <w:tcBorders>
              <w:top w:val="nil"/>
              <w:left w:val="nil"/>
              <w:bottom w:val="single" w:sz="4" w:space="0" w:color="auto"/>
              <w:right w:val="single" w:sz="4" w:space="0" w:color="auto"/>
            </w:tcBorders>
            <w:shd w:val="clear" w:color="auto" w:fill="auto"/>
            <w:hideMark/>
          </w:tcPr>
          <w:p w14:paraId="584CEC31"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Parly</w:t>
            </w:r>
            <w:proofErr w:type="spellEnd"/>
            <w:r w:rsidRPr="0086760B">
              <w:rPr>
                <w:rFonts w:ascii="Times New Roman" w:eastAsia="Times New Roman" w:hAnsi="Times New Roman" w:cs="Times New Roman"/>
                <w:sz w:val="20"/>
                <w:szCs w:val="20"/>
              </w:rPr>
              <w:t>, did not describe well about the predictor variables and did not include the number of candidate variables included for analysis</w:t>
            </w:r>
          </w:p>
        </w:tc>
        <w:tc>
          <w:tcPr>
            <w:tcW w:w="1289" w:type="dxa"/>
            <w:tcBorders>
              <w:top w:val="nil"/>
              <w:left w:val="nil"/>
              <w:bottom w:val="single" w:sz="4" w:space="0" w:color="auto"/>
              <w:right w:val="single" w:sz="4" w:space="0" w:color="auto"/>
            </w:tcBorders>
            <w:shd w:val="clear" w:color="auto" w:fill="auto"/>
            <w:hideMark/>
          </w:tcPr>
          <w:p w14:paraId="1A0DEB1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2300C2A6" w14:textId="03272F22"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w:t>
            </w:r>
            <w:r w:rsidRPr="0086760B">
              <w:rPr>
                <w:rFonts w:ascii="Times New Roman" w:eastAsia="Times New Roman" w:hAnsi="Times New Roman" w:cs="Times New Roman"/>
                <w:sz w:val="20"/>
                <w:szCs w:val="20"/>
              </w:rPr>
              <w:t xml:space="preserve"> </w:t>
            </w:r>
          </w:p>
        </w:tc>
      </w:tr>
      <w:tr w:rsidR="00066E16" w:rsidRPr="0086760B" w14:paraId="30478F28"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582458E8"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Jamei</w:t>
            </w:r>
            <w:proofErr w:type="spellEnd"/>
            <w:r w:rsidRPr="0086760B">
              <w:rPr>
                <w:rFonts w:ascii="Times New Roman" w:eastAsia="Times New Roman" w:hAnsi="Times New Roman" w:cs="Times New Roman"/>
                <w:sz w:val="20"/>
                <w:szCs w:val="20"/>
              </w:rPr>
              <w:t xml:space="preserve"> et al, 2017</w:t>
            </w:r>
          </w:p>
        </w:tc>
        <w:tc>
          <w:tcPr>
            <w:tcW w:w="1376" w:type="dxa"/>
            <w:tcBorders>
              <w:top w:val="nil"/>
              <w:left w:val="nil"/>
              <w:bottom w:val="single" w:sz="4" w:space="0" w:color="auto"/>
              <w:right w:val="single" w:sz="4" w:space="0" w:color="auto"/>
            </w:tcBorders>
            <w:shd w:val="clear" w:color="auto" w:fill="auto"/>
            <w:noWrap/>
            <w:hideMark/>
          </w:tcPr>
          <w:p w14:paraId="0573B33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42AE42C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3243CBC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6DEDF0E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5C3EC22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6EAC1B7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5BA6FD12" w14:textId="1147ED84"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0AFA00A9"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444BAF6C"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Welchowski</w:t>
            </w:r>
            <w:proofErr w:type="spellEnd"/>
            <w:r w:rsidRPr="0086760B">
              <w:rPr>
                <w:rFonts w:ascii="Times New Roman" w:eastAsia="Times New Roman" w:hAnsi="Times New Roman" w:cs="Times New Roman"/>
                <w:sz w:val="20"/>
                <w:szCs w:val="20"/>
              </w:rPr>
              <w:t xml:space="preserve"> et al, 2016</w:t>
            </w:r>
          </w:p>
        </w:tc>
        <w:tc>
          <w:tcPr>
            <w:tcW w:w="1376" w:type="dxa"/>
            <w:tcBorders>
              <w:top w:val="nil"/>
              <w:left w:val="nil"/>
              <w:bottom w:val="single" w:sz="4" w:space="0" w:color="auto"/>
              <w:right w:val="single" w:sz="4" w:space="0" w:color="auto"/>
            </w:tcBorders>
            <w:shd w:val="clear" w:color="auto" w:fill="auto"/>
            <w:noWrap/>
            <w:hideMark/>
          </w:tcPr>
          <w:p w14:paraId="26959D6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54C5143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27A690D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3C0EC39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1D7383D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73961AE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609338E1" w14:textId="0F6FA358"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32824EAA"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33F7FC9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Wang et al. 2018</w:t>
            </w:r>
          </w:p>
        </w:tc>
        <w:tc>
          <w:tcPr>
            <w:tcW w:w="1376" w:type="dxa"/>
            <w:tcBorders>
              <w:top w:val="nil"/>
              <w:left w:val="nil"/>
              <w:bottom w:val="single" w:sz="4" w:space="0" w:color="auto"/>
              <w:right w:val="single" w:sz="4" w:space="0" w:color="auto"/>
            </w:tcBorders>
            <w:shd w:val="clear" w:color="auto" w:fill="auto"/>
            <w:noWrap/>
            <w:hideMark/>
          </w:tcPr>
          <w:p w14:paraId="4BA29C6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3856E9F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7959AA2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7FE2623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2ADE476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2C66CEA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7F13B7E2" w14:textId="48DA2EE6"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2015BA0E" w14:textId="77777777" w:rsidTr="008D55B2">
        <w:trPr>
          <w:trHeight w:val="1010"/>
        </w:trPr>
        <w:tc>
          <w:tcPr>
            <w:tcW w:w="1560" w:type="dxa"/>
            <w:tcBorders>
              <w:top w:val="nil"/>
              <w:left w:val="single" w:sz="4" w:space="0" w:color="auto"/>
              <w:bottom w:val="single" w:sz="4" w:space="0" w:color="auto"/>
              <w:right w:val="single" w:sz="4" w:space="0" w:color="auto"/>
            </w:tcBorders>
            <w:shd w:val="clear" w:color="auto" w:fill="auto"/>
            <w:hideMark/>
          </w:tcPr>
          <w:p w14:paraId="4C10A97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Hopkins et al, 2019</w:t>
            </w:r>
          </w:p>
        </w:tc>
        <w:tc>
          <w:tcPr>
            <w:tcW w:w="1376" w:type="dxa"/>
            <w:tcBorders>
              <w:top w:val="nil"/>
              <w:left w:val="nil"/>
              <w:bottom w:val="single" w:sz="4" w:space="0" w:color="auto"/>
              <w:right w:val="single" w:sz="4" w:space="0" w:color="auto"/>
            </w:tcBorders>
            <w:shd w:val="clear" w:color="auto" w:fill="auto"/>
            <w:noWrap/>
            <w:hideMark/>
          </w:tcPr>
          <w:p w14:paraId="3641648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hideMark/>
          </w:tcPr>
          <w:p w14:paraId="05B9D73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party-did not mention % of patients have the readmission related information during 30 days follow up.</w:t>
            </w:r>
          </w:p>
        </w:tc>
        <w:tc>
          <w:tcPr>
            <w:tcW w:w="1537" w:type="dxa"/>
            <w:tcBorders>
              <w:top w:val="nil"/>
              <w:left w:val="nil"/>
              <w:bottom w:val="single" w:sz="4" w:space="0" w:color="auto"/>
              <w:right w:val="single" w:sz="4" w:space="0" w:color="auto"/>
            </w:tcBorders>
            <w:shd w:val="clear" w:color="auto" w:fill="auto"/>
            <w:noWrap/>
            <w:hideMark/>
          </w:tcPr>
          <w:p w14:paraId="4582732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3889A4D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1386CDD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359367E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7304F41C" w14:textId="754615C7"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5404DB97" w14:textId="77777777" w:rsidTr="008D55B2">
        <w:trPr>
          <w:trHeight w:val="950"/>
        </w:trPr>
        <w:tc>
          <w:tcPr>
            <w:tcW w:w="1560" w:type="dxa"/>
            <w:tcBorders>
              <w:top w:val="nil"/>
              <w:left w:val="single" w:sz="4" w:space="0" w:color="auto"/>
              <w:bottom w:val="single" w:sz="4" w:space="0" w:color="auto"/>
              <w:right w:val="single" w:sz="4" w:space="0" w:color="auto"/>
            </w:tcBorders>
            <w:shd w:val="clear" w:color="auto" w:fill="auto"/>
            <w:hideMark/>
          </w:tcPr>
          <w:p w14:paraId="7C8F6381"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Golas</w:t>
            </w:r>
            <w:proofErr w:type="spellEnd"/>
            <w:r w:rsidRPr="0086760B">
              <w:rPr>
                <w:rFonts w:ascii="Times New Roman" w:eastAsia="Times New Roman" w:hAnsi="Times New Roman" w:cs="Times New Roman"/>
                <w:sz w:val="20"/>
                <w:szCs w:val="20"/>
              </w:rPr>
              <w:t xml:space="preserve"> et al, 2018 </w:t>
            </w:r>
          </w:p>
        </w:tc>
        <w:tc>
          <w:tcPr>
            <w:tcW w:w="1376" w:type="dxa"/>
            <w:tcBorders>
              <w:top w:val="nil"/>
              <w:left w:val="nil"/>
              <w:bottom w:val="single" w:sz="4" w:space="0" w:color="auto"/>
              <w:right w:val="single" w:sz="4" w:space="0" w:color="auto"/>
            </w:tcBorders>
            <w:shd w:val="clear" w:color="auto" w:fill="auto"/>
            <w:noWrap/>
            <w:hideMark/>
          </w:tcPr>
          <w:p w14:paraId="23E9437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46CD68B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513741C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4FE3F89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77C5802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6ED1CE8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01EBF439" w14:textId="1CBE6689"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0EE55D26"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6A6A734E" w14:textId="77777777" w:rsidR="00066E16"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Reddy et al, 2018</w:t>
            </w:r>
          </w:p>
          <w:p w14:paraId="7A97513B" w14:textId="77777777" w:rsidR="008D55B2" w:rsidRDefault="008D55B2" w:rsidP="00066E16">
            <w:pPr>
              <w:spacing w:after="0" w:line="240" w:lineRule="auto"/>
              <w:rPr>
                <w:rFonts w:ascii="Times New Roman" w:eastAsia="Times New Roman" w:hAnsi="Times New Roman" w:cs="Times New Roman"/>
                <w:sz w:val="20"/>
                <w:szCs w:val="20"/>
              </w:rPr>
            </w:pPr>
          </w:p>
          <w:p w14:paraId="59690221" w14:textId="70940BD8" w:rsidR="008D55B2" w:rsidRPr="0086760B" w:rsidRDefault="008D55B2" w:rsidP="00066E16">
            <w:pPr>
              <w:spacing w:after="0" w:line="240" w:lineRule="auto"/>
              <w:rPr>
                <w:rFonts w:ascii="Times New Roman" w:eastAsia="Times New Roman" w:hAnsi="Times New Roman" w:cs="Times New Roman"/>
                <w:sz w:val="20"/>
                <w:szCs w:val="20"/>
              </w:rPr>
            </w:pPr>
          </w:p>
        </w:tc>
        <w:tc>
          <w:tcPr>
            <w:tcW w:w="1376" w:type="dxa"/>
            <w:tcBorders>
              <w:top w:val="nil"/>
              <w:left w:val="nil"/>
              <w:bottom w:val="single" w:sz="4" w:space="0" w:color="auto"/>
              <w:right w:val="single" w:sz="4" w:space="0" w:color="auto"/>
            </w:tcBorders>
            <w:shd w:val="clear" w:color="auto" w:fill="auto"/>
            <w:noWrap/>
            <w:hideMark/>
          </w:tcPr>
          <w:p w14:paraId="2C83876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4CEE44F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6BD8D40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784B0CF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723E879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63E4E74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5F886707" w14:textId="4F705755"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8D55B2" w:rsidRPr="00977A5F" w14:paraId="2780ADFA" w14:textId="77777777" w:rsidTr="008D55B2">
        <w:trPr>
          <w:trHeight w:val="640"/>
        </w:trPr>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7D9DE0D1"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lastRenderedPageBreak/>
              <w:t>Study</w:t>
            </w:r>
          </w:p>
        </w:tc>
        <w:tc>
          <w:tcPr>
            <w:tcW w:w="1376" w:type="dxa"/>
            <w:tcBorders>
              <w:top w:val="single" w:sz="4" w:space="0" w:color="auto"/>
              <w:left w:val="nil"/>
              <w:bottom w:val="single" w:sz="4" w:space="0" w:color="auto"/>
              <w:right w:val="single" w:sz="4" w:space="0" w:color="auto"/>
            </w:tcBorders>
            <w:shd w:val="clear" w:color="auto" w:fill="808080" w:themeFill="background1" w:themeFillShade="80"/>
            <w:hideMark/>
          </w:tcPr>
          <w:p w14:paraId="2CC6AADD" w14:textId="23D32F3F"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r w:rsidR="00C44610">
              <w:rPr>
                <w:rFonts w:ascii="Times New Roman" w:eastAsia="Times New Roman" w:hAnsi="Times New Roman" w:cs="Times New Roman"/>
                <w:b/>
                <w:color w:val="FFFFFF" w:themeColor="background1"/>
                <w:sz w:val="20"/>
                <w:szCs w:val="20"/>
              </w:rPr>
              <w:t>P</w:t>
            </w:r>
            <w:r w:rsidRPr="00977A5F">
              <w:rPr>
                <w:rFonts w:ascii="Times New Roman" w:eastAsia="Times New Roman" w:hAnsi="Times New Roman" w:cs="Times New Roman"/>
                <w:b/>
                <w:color w:val="FFFFFF" w:themeColor="background1"/>
                <w:sz w:val="20"/>
                <w:szCs w:val="20"/>
              </w:rPr>
              <w:t>opulation*</w:t>
            </w:r>
          </w:p>
        </w:tc>
        <w:tc>
          <w:tcPr>
            <w:tcW w:w="1470" w:type="dxa"/>
            <w:tcBorders>
              <w:top w:val="single" w:sz="4" w:space="0" w:color="auto"/>
              <w:left w:val="nil"/>
              <w:bottom w:val="single" w:sz="4" w:space="0" w:color="auto"/>
              <w:right w:val="single" w:sz="4" w:space="0" w:color="auto"/>
            </w:tcBorders>
            <w:shd w:val="clear" w:color="auto" w:fill="808080" w:themeFill="background1" w:themeFillShade="80"/>
            <w:hideMark/>
          </w:tcPr>
          <w:p w14:paraId="5C959A5A"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Study Attrition†</w:t>
            </w:r>
          </w:p>
        </w:tc>
        <w:tc>
          <w:tcPr>
            <w:tcW w:w="1537" w:type="dxa"/>
            <w:tcBorders>
              <w:top w:val="single" w:sz="4" w:space="0" w:color="auto"/>
              <w:left w:val="nil"/>
              <w:bottom w:val="single" w:sz="4" w:space="0" w:color="auto"/>
              <w:right w:val="single" w:sz="4" w:space="0" w:color="auto"/>
            </w:tcBorders>
            <w:shd w:val="clear" w:color="auto" w:fill="808080" w:themeFill="background1" w:themeFillShade="80"/>
            <w:hideMark/>
          </w:tcPr>
          <w:p w14:paraId="724F6621"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Prognostic Measure‡ </w:t>
            </w:r>
          </w:p>
        </w:tc>
        <w:tc>
          <w:tcPr>
            <w:tcW w:w="1601" w:type="dxa"/>
            <w:tcBorders>
              <w:top w:val="single" w:sz="4" w:space="0" w:color="auto"/>
              <w:left w:val="nil"/>
              <w:bottom w:val="single" w:sz="4" w:space="0" w:color="auto"/>
              <w:right w:val="single" w:sz="4" w:space="0" w:color="auto"/>
            </w:tcBorders>
            <w:shd w:val="clear" w:color="auto" w:fill="808080" w:themeFill="background1" w:themeFillShade="80"/>
            <w:hideMark/>
          </w:tcPr>
          <w:p w14:paraId="6B0DEE5B"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Outcome Measurement§</w:t>
            </w:r>
          </w:p>
        </w:tc>
        <w:tc>
          <w:tcPr>
            <w:tcW w:w="1650" w:type="dxa"/>
            <w:tcBorders>
              <w:top w:val="single" w:sz="4" w:space="0" w:color="auto"/>
              <w:left w:val="nil"/>
              <w:bottom w:val="single" w:sz="4" w:space="0" w:color="auto"/>
              <w:right w:val="single" w:sz="4" w:space="0" w:color="auto"/>
            </w:tcBorders>
            <w:shd w:val="clear" w:color="auto" w:fill="808080" w:themeFill="background1" w:themeFillShade="80"/>
            <w:hideMark/>
          </w:tcPr>
          <w:p w14:paraId="107E0855" w14:textId="77777777"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Study </w:t>
            </w:r>
            <w:proofErr w:type="spellStart"/>
            <w:r w:rsidRPr="00977A5F">
              <w:rPr>
                <w:rFonts w:ascii="Times New Roman" w:eastAsia="Times New Roman" w:hAnsi="Times New Roman" w:cs="Times New Roman"/>
                <w:b/>
                <w:color w:val="FFFFFF" w:themeColor="background1"/>
                <w:sz w:val="20"/>
                <w:szCs w:val="20"/>
              </w:rPr>
              <w:t>Confoundingǂ</w:t>
            </w:r>
            <w:proofErr w:type="spellEnd"/>
          </w:p>
        </w:tc>
        <w:tc>
          <w:tcPr>
            <w:tcW w:w="1289" w:type="dxa"/>
            <w:tcBorders>
              <w:top w:val="single" w:sz="4" w:space="0" w:color="auto"/>
              <w:left w:val="nil"/>
              <w:bottom w:val="single" w:sz="4" w:space="0" w:color="auto"/>
              <w:right w:val="single" w:sz="4" w:space="0" w:color="auto"/>
            </w:tcBorders>
            <w:shd w:val="clear" w:color="auto" w:fill="808080" w:themeFill="background1" w:themeFillShade="80"/>
            <w:hideMark/>
          </w:tcPr>
          <w:p w14:paraId="4E124E50" w14:textId="5B8FC7F3" w:rsidR="008D55B2" w:rsidRPr="00977A5F"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Statistical </w:t>
            </w:r>
            <w:r w:rsidR="00C44610">
              <w:rPr>
                <w:rFonts w:ascii="Times New Roman" w:eastAsia="Times New Roman" w:hAnsi="Times New Roman" w:cs="Times New Roman"/>
                <w:b/>
                <w:color w:val="FFFFFF" w:themeColor="background1"/>
                <w:sz w:val="20"/>
                <w:szCs w:val="20"/>
              </w:rPr>
              <w:t>A</w:t>
            </w:r>
            <w:r w:rsidRPr="00977A5F">
              <w:rPr>
                <w:rFonts w:ascii="Times New Roman" w:eastAsia="Times New Roman" w:hAnsi="Times New Roman" w:cs="Times New Roman"/>
                <w:b/>
                <w:color w:val="FFFFFF" w:themeColor="background1"/>
                <w:sz w:val="20"/>
                <w:szCs w:val="20"/>
              </w:rPr>
              <w:t xml:space="preserve">nalysis and </w:t>
            </w:r>
            <w:r w:rsidR="00C44610">
              <w:rPr>
                <w:rFonts w:ascii="Times New Roman" w:eastAsia="Times New Roman" w:hAnsi="Times New Roman" w:cs="Times New Roman"/>
                <w:b/>
                <w:color w:val="FFFFFF" w:themeColor="background1"/>
                <w:sz w:val="20"/>
                <w:szCs w:val="20"/>
              </w:rPr>
              <w:t>Re</w:t>
            </w:r>
            <w:r w:rsidRPr="00977A5F">
              <w:rPr>
                <w:rFonts w:ascii="Times New Roman" w:eastAsia="Times New Roman" w:hAnsi="Times New Roman" w:cs="Times New Roman"/>
                <w:b/>
                <w:color w:val="FFFFFF" w:themeColor="background1"/>
                <w:sz w:val="20"/>
                <w:szCs w:val="20"/>
              </w:rPr>
              <w:t>porting•</w:t>
            </w:r>
          </w:p>
        </w:tc>
        <w:tc>
          <w:tcPr>
            <w:tcW w:w="1228" w:type="dxa"/>
            <w:tcBorders>
              <w:top w:val="single" w:sz="4" w:space="0" w:color="auto"/>
              <w:left w:val="nil"/>
              <w:bottom w:val="single" w:sz="4" w:space="0" w:color="auto"/>
              <w:right w:val="single" w:sz="4" w:space="0" w:color="auto"/>
            </w:tcBorders>
            <w:shd w:val="clear" w:color="auto" w:fill="808080" w:themeFill="background1" w:themeFillShade="80"/>
            <w:hideMark/>
          </w:tcPr>
          <w:p w14:paraId="27365259" w14:textId="77777777" w:rsidR="00737BA7" w:rsidRDefault="008D55B2" w:rsidP="00977A5F">
            <w:pPr>
              <w:spacing w:after="0" w:line="240" w:lineRule="auto"/>
              <w:rPr>
                <w:rFonts w:ascii="Times New Roman" w:eastAsia="Times New Roman" w:hAnsi="Times New Roman" w:cs="Times New Roman"/>
                <w:b/>
                <w:color w:val="FFFFFF" w:themeColor="background1"/>
                <w:sz w:val="20"/>
                <w:szCs w:val="20"/>
              </w:rPr>
            </w:pPr>
            <w:r w:rsidRPr="00977A5F">
              <w:rPr>
                <w:rFonts w:ascii="Times New Roman" w:eastAsia="Times New Roman" w:hAnsi="Times New Roman" w:cs="Times New Roman"/>
                <w:b/>
                <w:color w:val="FFFFFF" w:themeColor="background1"/>
                <w:sz w:val="20"/>
                <w:szCs w:val="20"/>
              </w:rPr>
              <w:t xml:space="preserve">Quality </w:t>
            </w:r>
          </w:p>
          <w:p w14:paraId="2F533E10" w14:textId="35F69D81" w:rsidR="008D55B2" w:rsidRPr="00977A5F" w:rsidRDefault="00737BA7" w:rsidP="00977A5F">
            <w:pPr>
              <w:spacing w:after="0" w:line="240" w:lineRule="auto"/>
              <w:rPr>
                <w:rFonts w:ascii="Times New Roman" w:eastAsia="Times New Roman" w:hAnsi="Times New Roman" w:cs="Times New Roman"/>
                <w:b/>
                <w:color w:val="FFFFFF" w:themeColor="background1"/>
                <w:sz w:val="20"/>
                <w:szCs w:val="20"/>
              </w:rPr>
            </w:pPr>
            <w:proofErr w:type="spellStart"/>
            <w:r>
              <w:rPr>
                <w:rFonts w:ascii="Times New Roman" w:eastAsia="Times New Roman" w:hAnsi="Times New Roman" w:cs="Times New Roman"/>
                <w:b/>
                <w:color w:val="FFFFFF" w:themeColor="background1"/>
                <w:sz w:val="20"/>
                <w:szCs w:val="20"/>
              </w:rPr>
              <w:t>Assesment</w:t>
            </w:r>
            <w:proofErr w:type="spellEnd"/>
          </w:p>
        </w:tc>
      </w:tr>
      <w:tr w:rsidR="00066E16" w:rsidRPr="0086760B" w14:paraId="74EBA82A" w14:textId="77777777" w:rsidTr="008D55B2">
        <w:trPr>
          <w:trHeight w:val="940"/>
        </w:trPr>
        <w:tc>
          <w:tcPr>
            <w:tcW w:w="1560" w:type="dxa"/>
            <w:tcBorders>
              <w:top w:val="nil"/>
              <w:left w:val="single" w:sz="4" w:space="0" w:color="auto"/>
              <w:bottom w:val="single" w:sz="4" w:space="0" w:color="auto"/>
              <w:right w:val="single" w:sz="4" w:space="0" w:color="auto"/>
            </w:tcBorders>
            <w:shd w:val="clear" w:color="auto" w:fill="auto"/>
            <w:hideMark/>
          </w:tcPr>
          <w:p w14:paraId="103339F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Xiao et al, 2018</w:t>
            </w:r>
          </w:p>
        </w:tc>
        <w:tc>
          <w:tcPr>
            <w:tcW w:w="1376" w:type="dxa"/>
            <w:tcBorders>
              <w:top w:val="nil"/>
              <w:left w:val="nil"/>
              <w:bottom w:val="single" w:sz="4" w:space="0" w:color="auto"/>
              <w:right w:val="single" w:sz="4" w:space="0" w:color="auto"/>
            </w:tcBorders>
            <w:shd w:val="clear" w:color="auto" w:fill="auto"/>
            <w:hideMark/>
          </w:tcPr>
          <w:p w14:paraId="1843BDA8"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Parly</w:t>
            </w:r>
            <w:proofErr w:type="spellEnd"/>
            <w:r w:rsidRPr="0086760B">
              <w:rPr>
                <w:rFonts w:ascii="Times New Roman" w:eastAsia="Times New Roman" w:hAnsi="Times New Roman" w:cs="Times New Roman"/>
                <w:sz w:val="20"/>
                <w:szCs w:val="20"/>
              </w:rPr>
              <w:t>, described the main diagnosis of patients, but did not describe the population settings (single, multiple, state or national level?), and did not mention about study period.</w:t>
            </w:r>
          </w:p>
        </w:tc>
        <w:tc>
          <w:tcPr>
            <w:tcW w:w="1470" w:type="dxa"/>
            <w:tcBorders>
              <w:top w:val="nil"/>
              <w:left w:val="nil"/>
              <w:bottom w:val="single" w:sz="4" w:space="0" w:color="auto"/>
              <w:right w:val="single" w:sz="4" w:space="0" w:color="auto"/>
            </w:tcBorders>
            <w:shd w:val="clear" w:color="auto" w:fill="auto"/>
            <w:noWrap/>
            <w:hideMark/>
          </w:tcPr>
          <w:p w14:paraId="79CF9258"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2B2E42A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28BF4D0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4DFB731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427A255F"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62F89150" w14:textId="51052ABD"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15165A3B"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0F9F480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Lin et al, 2019</w:t>
            </w:r>
          </w:p>
        </w:tc>
        <w:tc>
          <w:tcPr>
            <w:tcW w:w="1376" w:type="dxa"/>
            <w:tcBorders>
              <w:top w:val="nil"/>
              <w:left w:val="nil"/>
              <w:bottom w:val="single" w:sz="4" w:space="0" w:color="auto"/>
              <w:right w:val="single" w:sz="4" w:space="0" w:color="auto"/>
            </w:tcBorders>
            <w:shd w:val="clear" w:color="auto" w:fill="auto"/>
            <w:noWrap/>
            <w:hideMark/>
          </w:tcPr>
          <w:p w14:paraId="6C99DB7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6585A8FD"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53B0F1D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463994B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2A0B671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127E5D5C"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14D045E7" w14:textId="4E457C6F"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06459861"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15903C7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Allam et al, 2019</w:t>
            </w:r>
          </w:p>
        </w:tc>
        <w:tc>
          <w:tcPr>
            <w:tcW w:w="1376" w:type="dxa"/>
            <w:tcBorders>
              <w:top w:val="nil"/>
              <w:left w:val="nil"/>
              <w:bottom w:val="single" w:sz="4" w:space="0" w:color="auto"/>
              <w:right w:val="single" w:sz="4" w:space="0" w:color="auto"/>
            </w:tcBorders>
            <w:shd w:val="clear" w:color="auto" w:fill="auto"/>
            <w:noWrap/>
            <w:hideMark/>
          </w:tcPr>
          <w:p w14:paraId="596C491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2A3CE979"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7DD592E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0572BBB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1D97E35A"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66F9A9F1"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12F96FE0" w14:textId="5AC39E1E"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7F238172" w14:textId="77777777" w:rsidTr="008D55B2">
        <w:trPr>
          <w:trHeight w:val="1350"/>
        </w:trPr>
        <w:tc>
          <w:tcPr>
            <w:tcW w:w="1560" w:type="dxa"/>
            <w:tcBorders>
              <w:top w:val="nil"/>
              <w:left w:val="single" w:sz="4" w:space="0" w:color="auto"/>
              <w:bottom w:val="single" w:sz="4" w:space="0" w:color="auto"/>
              <w:right w:val="single" w:sz="4" w:space="0" w:color="auto"/>
            </w:tcBorders>
            <w:shd w:val="clear" w:color="auto" w:fill="auto"/>
            <w:hideMark/>
          </w:tcPr>
          <w:p w14:paraId="36F376F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Min et al. 2019</w:t>
            </w:r>
          </w:p>
        </w:tc>
        <w:tc>
          <w:tcPr>
            <w:tcW w:w="1376" w:type="dxa"/>
            <w:tcBorders>
              <w:top w:val="nil"/>
              <w:left w:val="nil"/>
              <w:bottom w:val="single" w:sz="4" w:space="0" w:color="auto"/>
              <w:right w:val="single" w:sz="4" w:space="0" w:color="auto"/>
            </w:tcBorders>
            <w:shd w:val="clear" w:color="auto" w:fill="auto"/>
            <w:noWrap/>
            <w:hideMark/>
          </w:tcPr>
          <w:p w14:paraId="35279E46"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4BEFB44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45E3E14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5245762B"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4DD33D9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3BEFA2C0"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73437D1C" w14:textId="1D95BF0A"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683C68C7" w14:textId="77777777" w:rsidTr="008D55B2">
        <w:trPr>
          <w:trHeight w:val="710"/>
        </w:trPr>
        <w:tc>
          <w:tcPr>
            <w:tcW w:w="1560" w:type="dxa"/>
            <w:tcBorders>
              <w:top w:val="nil"/>
              <w:left w:val="single" w:sz="4" w:space="0" w:color="auto"/>
              <w:bottom w:val="single" w:sz="4" w:space="0" w:color="auto"/>
              <w:right w:val="single" w:sz="4" w:space="0" w:color="auto"/>
            </w:tcBorders>
            <w:shd w:val="clear" w:color="auto" w:fill="auto"/>
            <w:hideMark/>
          </w:tcPr>
          <w:p w14:paraId="1029F05F" w14:textId="77777777" w:rsidR="00066E16" w:rsidRPr="0086760B" w:rsidRDefault="00066E16" w:rsidP="00066E16">
            <w:pPr>
              <w:spacing w:after="0" w:line="240" w:lineRule="auto"/>
              <w:rPr>
                <w:rFonts w:ascii="Times New Roman" w:eastAsia="Times New Roman" w:hAnsi="Times New Roman" w:cs="Times New Roman"/>
                <w:sz w:val="20"/>
                <w:szCs w:val="20"/>
              </w:rPr>
            </w:pPr>
            <w:proofErr w:type="spellStart"/>
            <w:r w:rsidRPr="0086760B">
              <w:rPr>
                <w:rFonts w:ascii="Times New Roman" w:eastAsia="Times New Roman" w:hAnsi="Times New Roman" w:cs="Times New Roman"/>
                <w:sz w:val="20"/>
                <w:szCs w:val="20"/>
              </w:rPr>
              <w:t>Rajkomar</w:t>
            </w:r>
            <w:proofErr w:type="spellEnd"/>
            <w:r w:rsidRPr="0086760B">
              <w:rPr>
                <w:rFonts w:ascii="Times New Roman" w:eastAsia="Times New Roman" w:hAnsi="Times New Roman" w:cs="Times New Roman"/>
                <w:sz w:val="20"/>
                <w:szCs w:val="20"/>
              </w:rPr>
              <w:t xml:space="preserve"> et al, 2018</w:t>
            </w:r>
          </w:p>
        </w:tc>
        <w:tc>
          <w:tcPr>
            <w:tcW w:w="1376" w:type="dxa"/>
            <w:tcBorders>
              <w:top w:val="nil"/>
              <w:left w:val="nil"/>
              <w:bottom w:val="single" w:sz="4" w:space="0" w:color="auto"/>
              <w:right w:val="single" w:sz="4" w:space="0" w:color="auto"/>
            </w:tcBorders>
            <w:shd w:val="clear" w:color="auto" w:fill="auto"/>
            <w:noWrap/>
            <w:hideMark/>
          </w:tcPr>
          <w:p w14:paraId="33F72D07"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470" w:type="dxa"/>
            <w:tcBorders>
              <w:top w:val="nil"/>
              <w:left w:val="nil"/>
              <w:bottom w:val="single" w:sz="4" w:space="0" w:color="auto"/>
              <w:right w:val="single" w:sz="4" w:space="0" w:color="auto"/>
            </w:tcBorders>
            <w:shd w:val="clear" w:color="auto" w:fill="auto"/>
            <w:noWrap/>
            <w:hideMark/>
          </w:tcPr>
          <w:p w14:paraId="2C872815"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537" w:type="dxa"/>
            <w:tcBorders>
              <w:top w:val="nil"/>
              <w:left w:val="nil"/>
              <w:bottom w:val="single" w:sz="4" w:space="0" w:color="auto"/>
              <w:right w:val="single" w:sz="4" w:space="0" w:color="auto"/>
            </w:tcBorders>
            <w:shd w:val="clear" w:color="auto" w:fill="auto"/>
            <w:noWrap/>
            <w:hideMark/>
          </w:tcPr>
          <w:p w14:paraId="58196C7E"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01" w:type="dxa"/>
            <w:tcBorders>
              <w:top w:val="nil"/>
              <w:left w:val="nil"/>
              <w:bottom w:val="single" w:sz="4" w:space="0" w:color="auto"/>
              <w:right w:val="single" w:sz="4" w:space="0" w:color="auto"/>
            </w:tcBorders>
            <w:shd w:val="clear" w:color="auto" w:fill="auto"/>
            <w:noWrap/>
            <w:hideMark/>
          </w:tcPr>
          <w:p w14:paraId="626406D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650" w:type="dxa"/>
            <w:tcBorders>
              <w:top w:val="nil"/>
              <w:left w:val="nil"/>
              <w:bottom w:val="single" w:sz="4" w:space="0" w:color="auto"/>
              <w:right w:val="single" w:sz="4" w:space="0" w:color="auto"/>
            </w:tcBorders>
            <w:shd w:val="clear" w:color="auto" w:fill="auto"/>
            <w:hideMark/>
          </w:tcPr>
          <w:p w14:paraId="32669974"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89" w:type="dxa"/>
            <w:tcBorders>
              <w:top w:val="nil"/>
              <w:left w:val="nil"/>
              <w:bottom w:val="single" w:sz="4" w:space="0" w:color="auto"/>
              <w:right w:val="single" w:sz="4" w:space="0" w:color="auto"/>
            </w:tcBorders>
            <w:shd w:val="clear" w:color="auto" w:fill="auto"/>
            <w:hideMark/>
          </w:tcPr>
          <w:p w14:paraId="2519D7F3"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yes</w:t>
            </w:r>
          </w:p>
        </w:tc>
        <w:tc>
          <w:tcPr>
            <w:tcW w:w="1228" w:type="dxa"/>
            <w:tcBorders>
              <w:top w:val="nil"/>
              <w:left w:val="nil"/>
              <w:bottom w:val="single" w:sz="4" w:space="0" w:color="auto"/>
              <w:right w:val="single" w:sz="4" w:space="0" w:color="auto"/>
            </w:tcBorders>
            <w:shd w:val="clear" w:color="auto" w:fill="auto"/>
            <w:noWrap/>
            <w:hideMark/>
          </w:tcPr>
          <w:p w14:paraId="6B7E52D3" w14:textId="14CEA9D1" w:rsidR="00066E16" w:rsidRPr="0086760B" w:rsidRDefault="00A7488A" w:rsidP="00066E1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High</w:t>
            </w:r>
          </w:p>
        </w:tc>
      </w:tr>
      <w:tr w:rsidR="00066E16" w:rsidRPr="0086760B" w14:paraId="5AD0E5AC" w14:textId="77777777" w:rsidTr="008D55B2">
        <w:trPr>
          <w:trHeight w:val="1650"/>
        </w:trPr>
        <w:tc>
          <w:tcPr>
            <w:tcW w:w="11711" w:type="dxa"/>
            <w:gridSpan w:val="8"/>
            <w:tcBorders>
              <w:top w:val="single" w:sz="4" w:space="0" w:color="auto"/>
              <w:left w:val="single" w:sz="4" w:space="0" w:color="auto"/>
              <w:bottom w:val="single" w:sz="4" w:space="0" w:color="auto"/>
              <w:right w:val="single" w:sz="4" w:space="0" w:color="auto"/>
            </w:tcBorders>
            <w:shd w:val="clear" w:color="auto" w:fill="auto"/>
            <w:hideMark/>
          </w:tcPr>
          <w:p w14:paraId="708C8B82" w14:textId="77777777" w:rsidR="00066E16" w:rsidRPr="0086760B" w:rsidRDefault="00066E16" w:rsidP="00066E16">
            <w:pPr>
              <w:spacing w:after="0" w:line="240" w:lineRule="auto"/>
              <w:rPr>
                <w:rFonts w:ascii="Times New Roman" w:eastAsia="Times New Roman" w:hAnsi="Times New Roman" w:cs="Times New Roman"/>
                <w:sz w:val="20"/>
                <w:szCs w:val="20"/>
              </w:rPr>
            </w:pPr>
            <w:r w:rsidRPr="0086760B">
              <w:rPr>
                <w:rFonts w:ascii="Times New Roman" w:eastAsia="Times New Roman" w:hAnsi="Times New Roman" w:cs="Times New Roman"/>
                <w:sz w:val="20"/>
                <w:szCs w:val="20"/>
              </w:rPr>
              <w:t xml:space="preserve">* Study describes inclusion criteria for selecting patients, and for enrolled patients describes duration and severity of symptoms, and for enrolled patients describes demographics(at least age), and </w:t>
            </w:r>
            <w:proofErr w:type="spellStart"/>
            <w:r w:rsidRPr="0086760B">
              <w:rPr>
                <w:rFonts w:ascii="Times New Roman" w:eastAsia="Times New Roman" w:hAnsi="Times New Roman" w:cs="Times New Roman"/>
                <w:sz w:val="20"/>
                <w:szCs w:val="20"/>
              </w:rPr>
              <w:t>setings</w:t>
            </w:r>
            <w:proofErr w:type="spellEnd"/>
            <w:r w:rsidRPr="0086760B">
              <w:rPr>
                <w:rFonts w:ascii="Times New Roman" w:eastAsia="Times New Roman" w:hAnsi="Times New Roman" w:cs="Times New Roman"/>
                <w:sz w:val="20"/>
                <w:szCs w:val="20"/>
              </w:rPr>
              <w:t xml:space="preserve">. † Data for hospital readmission outcome available for at least 80% of study </w:t>
            </w:r>
            <w:proofErr w:type="spellStart"/>
            <w:r w:rsidRPr="0086760B">
              <w:rPr>
                <w:rFonts w:ascii="Times New Roman" w:eastAsia="Times New Roman" w:hAnsi="Times New Roman" w:cs="Times New Roman"/>
                <w:sz w:val="20"/>
                <w:szCs w:val="20"/>
              </w:rPr>
              <w:t>populaton</w:t>
            </w:r>
            <w:proofErr w:type="spellEnd"/>
            <w:r w:rsidRPr="0086760B">
              <w:rPr>
                <w:rFonts w:ascii="Times New Roman" w:eastAsia="Times New Roman" w:hAnsi="Times New Roman" w:cs="Times New Roman"/>
                <w:sz w:val="20"/>
                <w:szCs w:val="20"/>
              </w:rPr>
              <w:t xml:space="preserve"> at the time of measurement. † Data for hospital readmission outcome available for at least 80% of study </w:t>
            </w:r>
            <w:proofErr w:type="spellStart"/>
            <w:r w:rsidRPr="0086760B">
              <w:rPr>
                <w:rFonts w:ascii="Times New Roman" w:eastAsia="Times New Roman" w:hAnsi="Times New Roman" w:cs="Times New Roman"/>
                <w:sz w:val="20"/>
                <w:szCs w:val="20"/>
              </w:rPr>
              <w:t>populaton</w:t>
            </w:r>
            <w:proofErr w:type="spellEnd"/>
            <w:r w:rsidRPr="0086760B">
              <w:rPr>
                <w:rFonts w:ascii="Times New Roman" w:eastAsia="Times New Roman" w:hAnsi="Times New Roman" w:cs="Times New Roman"/>
                <w:sz w:val="20"/>
                <w:szCs w:val="20"/>
              </w:rPr>
              <w:t xml:space="preserve"> at the time of measurement. ‡ Study describes appropriate methods for measuring prognostic factors. § Study describes reproducible and </w:t>
            </w:r>
            <w:proofErr w:type="spellStart"/>
            <w:r w:rsidRPr="0086760B">
              <w:rPr>
                <w:rFonts w:ascii="Times New Roman" w:eastAsia="Times New Roman" w:hAnsi="Times New Roman" w:cs="Times New Roman"/>
                <w:sz w:val="20"/>
                <w:szCs w:val="20"/>
              </w:rPr>
              <w:t>approproate</w:t>
            </w:r>
            <w:proofErr w:type="spellEnd"/>
            <w:r w:rsidRPr="0086760B">
              <w:rPr>
                <w:rFonts w:ascii="Times New Roman" w:eastAsia="Times New Roman" w:hAnsi="Times New Roman" w:cs="Times New Roman"/>
                <w:sz w:val="20"/>
                <w:szCs w:val="20"/>
              </w:rPr>
              <w:t xml:space="preserve"> methods to define and identify readmission; transfers and deaths during index hospitalization were excluded. ǂ Study includes at least the following predictors: demographics, length of stay, </w:t>
            </w:r>
            <w:proofErr w:type="spellStart"/>
            <w:r w:rsidRPr="0086760B">
              <w:rPr>
                <w:rFonts w:ascii="Times New Roman" w:eastAsia="Times New Roman" w:hAnsi="Times New Roman" w:cs="Times New Roman"/>
                <w:sz w:val="20"/>
                <w:szCs w:val="20"/>
              </w:rPr>
              <w:t>cormorbidities</w:t>
            </w:r>
            <w:proofErr w:type="spellEnd"/>
            <w:r w:rsidRPr="0086760B">
              <w:rPr>
                <w:rFonts w:ascii="Times New Roman" w:eastAsia="Times New Roman" w:hAnsi="Times New Roman" w:cs="Times New Roman"/>
                <w:sz w:val="20"/>
                <w:szCs w:val="20"/>
              </w:rPr>
              <w:t>. • Study includes methods of validation.</w:t>
            </w:r>
          </w:p>
        </w:tc>
      </w:tr>
    </w:tbl>
    <w:p w14:paraId="302CD84A" w14:textId="5D0E4DBE" w:rsidR="00A709FA" w:rsidRPr="0086760B" w:rsidRDefault="00A709FA">
      <w:pPr>
        <w:rPr>
          <w:rFonts w:ascii="Times New Roman" w:hAnsi="Times New Roman" w:cs="Times New Roman"/>
          <w:sz w:val="20"/>
          <w:szCs w:val="20"/>
        </w:rPr>
      </w:pPr>
    </w:p>
    <w:p w14:paraId="08C95ADA" w14:textId="65D5E810" w:rsidR="006335DE" w:rsidRPr="0086760B" w:rsidRDefault="006335DE" w:rsidP="006335DE">
      <w:pPr>
        <w:rPr>
          <w:rFonts w:ascii="Times New Roman" w:hAnsi="Times New Roman" w:cs="Times New Roman"/>
          <w:sz w:val="20"/>
          <w:szCs w:val="20"/>
        </w:rPr>
      </w:pPr>
    </w:p>
    <w:p w14:paraId="5A3489AC" w14:textId="2C927FD9" w:rsidR="004C64AE" w:rsidRPr="0086760B" w:rsidRDefault="004C64AE" w:rsidP="006335DE">
      <w:pPr>
        <w:rPr>
          <w:rFonts w:ascii="Times New Roman" w:hAnsi="Times New Roman" w:cs="Times New Roman"/>
          <w:sz w:val="20"/>
          <w:szCs w:val="20"/>
        </w:rPr>
      </w:pPr>
    </w:p>
    <w:p w14:paraId="0B3F850C" w14:textId="77777777" w:rsidR="004C64AE" w:rsidRPr="0086760B" w:rsidRDefault="004C64AE" w:rsidP="006335DE">
      <w:pPr>
        <w:rPr>
          <w:rFonts w:ascii="Times New Roman" w:hAnsi="Times New Roman" w:cs="Times New Roman"/>
          <w:sz w:val="20"/>
          <w:szCs w:val="20"/>
        </w:rPr>
      </w:pPr>
    </w:p>
    <w:sectPr w:rsidR="004C64AE" w:rsidRPr="0086760B" w:rsidSect="004F736E">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C0093C" w14:textId="77777777" w:rsidR="00312318" w:rsidRDefault="00312318" w:rsidP="00F33B3A">
      <w:pPr>
        <w:spacing w:after="0" w:line="240" w:lineRule="auto"/>
      </w:pPr>
      <w:r>
        <w:separator/>
      </w:r>
    </w:p>
  </w:endnote>
  <w:endnote w:type="continuationSeparator" w:id="0">
    <w:p w14:paraId="1A564BCB" w14:textId="77777777" w:rsidR="00312318" w:rsidRDefault="00312318" w:rsidP="00F33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1297313"/>
      <w:docPartObj>
        <w:docPartGallery w:val="Page Numbers (Bottom of Page)"/>
        <w:docPartUnique/>
      </w:docPartObj>
    </w:sdtPr>
    <w:sdtEndPr>
      <w:rPr>
        <w:noProof/>
      </w:rPr>
    </w:sdtEndPr>
    <w:sdtContent>
      <w:p w14:paraId="1009ACB4" w14:textId="2AF60DB0" w:rsidR="0086760B" w:rsidRDefault="0086760B">
        <w:pPr>
          <w:pStyle w:val="Footer"/>
          <w:jc w:val="right"/>
        </w:pPr>
        <w:r>
          <w:fldChar w:fldCharType="begin"/>
        </w:r>
        <w:r>
          <w:instrText xml:space="preserve"> PAGE   \* MERGEFORMAT </w:instrText>
        </w:r>
        <w:r>
          <w:fldChar w:fldCharType="separate"/>
        </w:r>
        <w:r w:rsidR="008D55B2">
          <w:rPr>
            <w:noProof/>
          </w:rPr>
          <w:t>32</w:t>
        </w:r>
        <w:r>
          <w:rPr>
            <w:noProof/>
          </w:rPr>
          <w:fldChar w:fldCharType="end"/>
        </w:r>
      </w:p>
    </w:sdtContent>
  </w:sdt>
  <w:p w14:paraId="56D9D707" w14:textId="77777777" w:rsidR="0086760B" w:rsidRDefault="00867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68293A" w14:textId="77777777" w:rsidR="00312318" w:rsidRDefault="00312318" w:rsidP="00F33B3A">
      <w:pPr>
        <w:spacing w:after="0" w:line="240" w:lineRule="auto"/>
      </w:pPr>
      <w:r>
        <w:separator/>
      </w:r>
    </w:p>
  </w:footnote>
  <w:footnote w:type="continuationSeparator" w:id="0">
    <w:p w14:paraId="0158D42E" w14:textId="77777777" w:rsidR="00312318" w:rsidRDefault="00312318" w:rsidP="00F33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9423C" w14:textId="37A5FC6A" w:rsidR="0086760B" w:rsidRPr="004E5844" w:rsidRDefault="0086760B">
    <w:pPr>
      <w:pStyle w:val="Header"/>
      <w:rPr>
        <w:rFonts w:ascii="Times New Roman" w:hAnsi="Times New Roman" w:cs="Times New Roman"/>
        <w:sz w:val="24"/>
        <w:szCs w:val="24"/>
      </w:rPr>
    </w:pPr>
    <w:r w:rsidRPr="004E5844">
      <w:rPr>
        <w:rFonts w:ascii="Times New Roman" w:hAnsi="Times New Roman" w:cs="Times New Roman"/>
        <w:sz w:val="24"/>
        <w:szCs w:val="24"/>
      </w:rPr>
      <w:t xml:space="preserve">Additional Supporting File 2: </w:t>
    </w:r>
    <w:r w:rsidRPr="0003341D">
      <w:rPr>
        <w:rFonts w:ascii="Times New Roman" w:hAnsi="Times New Roman" w:cs="Times New Roman"/>
        <w:sz w:val="24"/>
        <w:szCs w:val="24"/>
      </w:rPr>
      <w:t>Extracted Items for All Included Studies</w:t>
    </w:r>
    <w:r>
      <w:rPr>
        <w:rFonts w:ascii="Times New Roman" w:hAnsi="Times New Roman" w:cs="Times New Roman"/>
        <w:sz w:val="24"/>
        <w:szCs w:val="24"/>
      </w:rPr>
      <w:t>-</w:t>
    </w:r>
    <w:r w:rsidRPr="004E5844">
      <w:rPr>
        <w:rFonts w:ascii="Times New Roman" w:hAnsi="Times New Roman" w:cs="Times New Roman"/>
        <w:sz w:val="24"/>
        <w:szCs w:val="24"/>
      </w:rPr>
      <w:t xml:space="preserve">Supporting Information Table </w:t>
    </w:r>
    <w:r>
      <w:rPr>
        <w:rFonts w:ascii="Times New Roman" w:hAnsi="Times New Roman" w:cs="Times New Roman"/>
        <w:sz w:val="24"/>
        <w:szCs w:val="24"/>
      </w:rPr>
      <w:t>S1-S5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CC12B8"/>
    <w:multiLevelType w:val="hybridMultilevel"/>
    <w:tmpl w:val="9CD41F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763B54"/>
    <w:multiLevelType w:val="hybridMultilevel"/>
    <w:tmpl w:val="A14C49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127EA8"/>
    <w:multiLevelType w:val="hybridMultilevel"/>
    <w:tmpl w:val="537062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557B1"/>
    <w:multiLevelType w:val="hybridMultilevel"/>
    <w:tmpl w:val="8BB4193A"/>
    <w:lvl w:ilvl="0" w:tplc="C96233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F3690F"/>
    <w:multiLevelType w:val="hybridMultilevel"/>
    <w:tmpl w:val="369C4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A221C1"/>
    <w:multiLevelType w:val="hybridMultilevel"/>
    <w:tmpl w:val="1AF6BD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FC0656"/>
    <w:multiLevelType w:val="hybridMultilevel"/>
    <w:tmpl w:val="DD909A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0A0490"/>
    <w:multiLevelType w:val="hybridMultilevel"/>
    <w:tmpl w:val="DE9E07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017F78"/>
    <w:multiLevelType w:val="hybridMultilevel"/>
    <w:tmpl w:val="C89EDB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6"/>
  </w:num>
  <w:num w:numId="6">
    <w:abstractNumId w:val="2"/>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2NDU2M7c0NjYwNDRS0lEKTi0uzszPAykwrAUAmRyJ8CwAAAA="/>
  </w:docVars>
  <w:rsids>
    <w:rsidRoot w:val="0011418E"/>
    <w:rsid w:val="0003341D"/>
    <w:rsid w:val="00047A7D"/>
    <w:rsid w:val="00066E16"/>
    <w:rsid w:val="000B7EE2"/>
    <w:rsid w:val="000F0D8D"/>
    <w:rsid w:val="0011418E"/>
    <w:rsid w:val="001B3A1B"/>
    <w:rsid w:val="002013CB"/>
    <w:rsid w:val="00234673"/>
    <w:rsid w:val="00241618"/>
    <w:rsid w:val="00262E3E"/>
    <w:rsid w:val="002D5F0C"/>
    <w:rsid w:val="00312318"/>
    <w:rsid w:val="003128D3"/>
    <w:rsid w:val="00314DA8"/>
    <w:rsid w:val="003233AC"/>
    <w:rsid w:val="00373A9F"/>
    <w:rsid w:val="003E0F1A"/>
    <w:rsid w:val="004B092E"/>
    <w:rsid w:val="004C64AE"/>
    <w:rsid w:val="004D2486"/>
    <w:rsid w:val="004E5844"/>
    <w:rsid w:val="004F736E"/>
    <w:rsid w:val="006335DE"/>
    <w:rsid w:val="00691A80"/>
    <w:rsid w:val="00697C93"/>
    <w:rsid w:val="006A21F9"/>
    <w:rsid w:val="006C08E7"/>
    <w:rsid w:val="00732141"/>
    <w:rsid w:val="00737BA7"/>
    <w:rsid w:val="007D6BFB"/>
    <w:rsid w:val="007E7DB0"/>
    <w:rsid w:val="00844101"/>
    <w:rsid w:val="00845FE1"/>
    <w:rsid w:val="0086760B"/>
    <w:rsid w:val="008927AD"/>
    <w:rsid w:val="008939F7"/>
    <w:rsid w:val="008A6C6B"/>
    <w:rsid w:val="008C4391"/>
    <w:rsid w:val="008D55B2"/>
    <w:rsid w:val="008E5254"/>
    <w:rsid w:val="00945FB2"/>
    <w:rsid w:val="00952F07"/>
    <w:rsid w:val="009A1690"/>
    <w:rsid w:val="009A6556"/>
    <w:rsid w:val="009F4D3C"/>
    <w:rsid w:val="009F758B"/>
    <w:rsid w:val="00A44318"/>
    <w:rsid w:val="00A709FA"/>
    <w:rsid w:val="00A7488A"/>
    <w:rsid w:val="00B235BA"/>
    <w:rsid w:val="00B31209"/>
    <w:rsid w:val="00B34D7C"/>
    <w:rsid w:val="00B42A53"/>
    <w:rsid w:val="00BA7414"/>
    <w:rsid w:val="00BD4AF2"/>
    <w:rsid w:val="00C132A2"/>
    <w:rsid w:val="00C22D17"/>
    <w:rsid w:val="00C30500"/>
    <w:rsid w:val="00C44610"/>
    <w:rsid w:val="00C62CA0"/>
    <w:rsid w:val="00C66EDD"/>
    <w:rsid w:val="00C91C3B"/>
    <w:rsid w:val="00C93AF2"/>
    <w:rsid w:val="00CA1E5D"/>
    <w:rsid w:val="00CC5B03"/>
    <w:rsid w:val="00D522E5"/>
    <w:rsid w:val="00DA487A"/>
    <w:rsid w:val="00DB3C0D"/>
    <w:rsid w:val="00DC61FB"/>
    <w:rsid w:val="00E46576"/>
    <w:rsid w:val="00F034AF"/>
    <w:rsid w:val="00F33B3A"/>
    <w:rsid w:val="00F43DF7"/>
    <w:rsid w:val="00F45F6B"/>
    <w:rsid w:val="00FD3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AF27A5"/>
  <w15:chartTrackingRefBased/>
  <w15:docId w15:val="{D4362C1F-CCCE-4F2A-86EE-D1805A4C3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4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DB0"/>
    <w:pPr>
      <w:ind w:left="720"/>
      <w:contextualSpacing/>
    </w:pPr>
  </w:style>
  <w:style w:type="paragraph" w:styleId="BalloonText">
    <w:name w:val="Balloon Text"/>
    <w:basedOn w:val="Normal"/>
    <w:link w:val="BalloonTextChar"/>
    <w:uiPriority w:val="99"/>
    <w:semiHidden/>
    <w:unhideWhenUsed/>
    <w:rsid w:val="00C91C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C3B"/>
    <w:rPr>
      <w:rFonts w:ascii="Segoe UI" w:hAnsi="Segoe UI" w:cs="Segoe UI"/>
      <w:sz w:val="18"/>
      <w:szCs w:val="18"/>
    </w:rPr>
  </w:style>
  <w:style w:type="paragraph" w:styleId="Header">
    <w:name w:val="header"/>
    <w:basedOn w:val="Normal"/>
    <w:link w:val="HeaderChar"/>
    <w:uiPriority w:val="99"/>
    <w:unhideWhenUsed/>
    <w:rsid w:val="00F33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B3A"/>
  </w:style>
  <w:style w:type="paragraph" w:styleId="Footer">
    <w:name w:val="footer"/>
    <w:basedOn w:val="Normal"/>
    <w:link w:val="FooterChar"/>
    <w:uiPriority w:val="99"/>
    <w:unhideWhenUsed/>
    <w:rsid w:val="00F33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1896">
      <w:bodyDiv w:val="1"/>
      <w:marLeft w:val="0"/>
      <w:marRight w:val="0"/>
      <w:marTop w:val="0"/>
      <w:marBottom w:val="0"/>
      <w:divBdr>
        <w:top w:val="none" w:sz="0" w:space="0" w:color="auto"/>
        <w:left w:val="none" w:sz="0" w:space="0" w:color="auto"/>
        <w:bottom w:val="none" w:sz="0" w:space="0" w:color="auto"/>
        <w:right w:val="none" w:sz="0" w:space="0" w:color="auto"/>
      </w:divBdr>
    </w:div>
    <w:div w:id="197548155">
      <w:bodyDiv w:val="1"/>
      <w:marLeft w:val="0"/>
      <w:marRight w:val="0"/>
      <w:marTop w:val="0"/>
      <w:marBottom w:val="0"/>
      <w:divBdr>
        <w:top w:val="none" w:sz="0" w:space="0" w:color="auto"/>
        <w:left w:val="none" w:sz="0" w:space="0" w:color="auto"/>
        <w:bottom w:val="none" w:sz="0" w:space="0" w:color="auto"/>
        <w:right w:val="none" w:sz="0" w:space="0" w:color="auto"/>
      </w:divBdr>
    </w:div>
    <w:div w:id="233707860">
      <w:bodyDiv w:val="1"/>
      <w:marLeft w:val="0"/>
      <w:marRight w:val="0"/>
      <w:marTop w:val="0"/>
      <w:marBottom w:val="0"/>
      <w:divBdr>
        <w:top w:val="none" w:sz="0" w:space="0" w:color="auto"/>
        <w:left w:val="none" w:sz="0" w:space="0" w:color="auto"/>
        <w:bottom w:val="none" w:sz="0" w:space="0" w:color="auto"/>
        <w:right w:val="none" w:sz="0" w:space="0" w:color="auto"/>
      </w:divBdr>
    </w:div>
    <w:div w:id="299002316">
      <w:bodyDiv w:val="1"/>
      <w:marLeft w:val="0"/>
      <w:marRight w:val="0"/>
      <w:marTop w:val="0"/>
      <w:marBottom w:val="0"/>
      <w:divBdr>
        <w:top w:val="none" w:sz="0" w:space="0" w:color="auto"/>
        <w:left w:val="none" w:sz="0" w:space="0" w:color="auto"/>
        <w:bottom w:val="none" w:sz="0" w:space="0" w:color="auto"/>
        <w:right w:val="none" w:sz="0" w:space="0" w:color="auto"/>
      </w:divBdr>
    </w:div>
    <w:div w:id="318384797">
      <w:bodyDiv w:val="1"/>
      <w:marLeft w:val="0"/>
      <w:marRight w:val="0"/>
      <w:marTop w:val="0"/>
      <w:marBottom w:val="0"/>
      <w:divBdr>
        <w:top w:val="none" w:sz="0" w:space="0" w:color="auto"/>
        <w:left w:val="none" w:sz="0" w:space="0" w:color="auto"/>
        <w:bottom w:val="none" w:sz="0" w:space="0" w:color="auto"/>
        <w:right w:val="none" w:sz="0" w:space="0" w:color="auto"/>
      </w:divBdr>
    </w:div>
    <w:div w:id="385105032">
      <w:bodyDiv w:val="1"/>
      <w:marLeft w:val="0"/>
      <w:marRight w:val="0"/>
      <w:marTop w:val="0"/>
      <w:marBottom w:val="0"/>
      <w:divBdr>
        <w:top w:val="none" w:sz="0" w:space="0" w:color="auto"/>
        <w:left w:val="none" w:sz="0" w:space="0" w:color="auto"/>
        <w:bottom w:val="none" w:sz="0" w:space="0" w:color="auto"/>
        <w:right w:val="none" w:sz="0" w:space="0" w:color="auto"/>
      </w:divBdr>
    </w:div>
    <w:div w:id="407076636">
      <w:bodyDiv w:val="1"/>
      <w:marLeft w:val="0"/>
      <w:marRight w:val="0"/>
      <w:marTop w:val="0"/>
      <w:marBottom w:val="0"/>
      <w:divBdr>
        <w:top w:val="none" w:sz="0" w:space="0" w:color="auto"/>
        <w:left w:val="none" w:sz="0" w:space="0" w:color="auto"/>
        <w:bottom w:val="none" w:sz="0" w:space="0" w:color="auto"/>
        <w:right w:val="none" w:sz="0" w:space="0" w:color="auto"/>
      </w:divBdr>
    </w:div>
    <w:div w:id="457576672">
      <w:bodyDiv w:val="1"/>
      <w:marLeft w:val="0"/>
      <w:marRight w:val="0"/>
      <w:marTop w:val="0"/>
      <w:marBottom w:val="0"/>
      <w:divBdr>
        <w:top w:val="none" w:sz="0" w:space="0" w:color="auto"/>
        <w:left w:val="none" w:sz="0" w:space="0" w:color="auto"/>
        <w:bottom w:val="none" w:sz="0" w:space="0" w:color="auto"/>
        <w:right w:val="none" w:sz="0" w:space="0" w:color="auto"/>
      </w:divBdr>
    </w:div>
    <w:div w:id="458767898">
      <w:bodyDiv w:val="1"/>
      <w:marLeft w:val="0"/>
      <w:marRight w:val="0"/>
      <w:marTop w:val="0"/>
      <w:marBottom w:val="0"/>
      <w:divBdr>
        <w:top w:val="none" w:sz="0" w:space="0" w:color="auto"/>
        <w:left w:val="none" w:sz="0" w:space="0" w:color="auto"/>
        <w:bottom w:val="none" w:sz="0" w:space="0" w:color="auto"/>
        <w:right w:val="none" w:sz="0" w:space="0" w:color="auto"/>
      </w:divBdr>
    </w:div>
    <w:div w:id="538010116">
      <w:bodyDiv w:val="1"/>
      <w:marLeft w:val="0"/>
      <w:marRight w:val="0"/>
      <w:marTop w:val="0"/>
      <w:marBottom w:val="0"/>
      <w:divBdr>
        <w:top w:val="none" w:sz="0" w:space="0" w:color="auto"/>
        <w:left w:val="none" w:sz="0" w:space="0" w:color="auto"/>
        <w:bottom w:val="none" w:sz="0" w:space="0" w:color="auto"/>
        <w:right w:val="none" w:sz="0" w:space="0" w:color="auto"/>
      </w:divBdr>
    </w:div>
    <w:div w:id="597639573">
      <w:bodyDiv w:val="1"/>
      <w:marLeft w:val="0"/>
      <w:marRight w:val="0"/>
      <w:marTop w:val="0"/>
      <w:marBottom w:val="0"/>
      <w:divBdr>
        <w:top w:val="none" w:sz="0" w:space="0" w:color="auto"/>
        <w:left w:val="none" w:sz="0" w:space="0" w:color="auto"/>
        <w:bottom w:val="none" w:sz="0" w:space="0" w:color="auto"/>
        <w:right w:val="none" w:sz="0" w:space="0" w:color="auto"/>
      </w:divBdr>
    </w:div>
    <w:div w:id="764887681">
      <w:bodyDiv w:val="1"/>
      <w:marLeft w:val="0"/>
      <w:marRight w:val="0"/>
      <w:marTop w:val="0"/>
      <w:marBottom w:val="0"/>
      <w:divBdr>
        <w:top w:val="none" w:sz="0" w:space="0" w:color="auto"/>
        <w:left w:val="none" w:sz="0" w:space="0" w:color="auto"/>
        <w:bottom w:val="none" w:sz="0" w:space="0" w:color="auto"/>
        <w:right w:val="none" w:sz="0" w:space="0" w:color="auto"/>
      </w:divBdr>
    </w:div>
    <w:div w:id="800657633">
      <w:bodyDiv w:val="1"/>
      <w:marLeft w:val="0"/>
      <w:marRight w:val="0"/>
      <w:marTop w:val="0"/>
      <w:marBottom w:val="0"/>
      <w:divBdr>
        <w:top w:val="none" w:sz="0" w:space="0" w:color="auto"/>
        <w:left w:val="none" w:sz="0" w:space="0" w:color="auto"/>
        <w:bottom w:val="none" w:sz="0" w:space="0" w:color="auto"/>
        <w:right w:val="none" w:sz="0" w:space="0" w:color="auto"/>
      </w:divBdr>
    </w:div>
    <w:div w:id="844980882">
      <w:bodyDiv w:val="1"/>
      <w:marLeft w:val="0"/>
      <w:marRight w:val="0"/>
      <w:marTop w:val="0"/>
      <w:marBottom w:val="0"/>
      <w:divBdr>
        <w:top w:val="none" w:sz="0" w:space="0" w:color="auto"/>
        <w:left w:val="none" w:sz="0" w:space="0" w:color="auto"/>
        <w:bottom w:val="none" w:sz="0" w:space="0" w:color="auto"/>
        <w:right w:val="none" w:sz="0" w:space="0" w:color="auto"/>
      </w:divBdr>
    </w:div>
    <w:div w:id="851340284">
      <w:bodyDiv w:val="1"/>
      <w:marLeft w:val="0"/>
      <w:marRight w:val="0"/>
      <w:marTop w:val="0"/>
      <w:marBottom w:val="0"/>
      <w:divBdr>
        <w:top w:val="none" w:sz="0" w:space="0" w:color="auto"/>
        <w:left w:val="none" w:sz="0" w:space="0" w:color="auto"/>
        <w:bottom w:val="none" w:sz="0" w:space="0" w:color="auto"/>
        <w:right w:val="none" w:sz="0" w:space="0" w:color="auto"/>
      </w:divBdr>
    </w:div>
    <w:div w:id="1094133985">
      <w:bodyDiv w:val="1"/>
      <w:marLeft w:val="0"/>
      <w:marRight w:val="0"/>
      <w:marTop w:val="0"/>
      <w:marBottom w:val="0"/>
      <w:divBdr>
        <w:top w:val="none" w:sz="0" w:space="0" w:color="auto"/>
        <w:left w:val="none" w:sz="0" w:space="0" w:color="auto"/>
        <w:bottom w:val="none" w:sz="0" w:space="0" w:color="auto"/>
        <w:right w:val="none" w:sz="0" w:space="0" w:color="auto"/>
      </w:divBdr>
    </w:div>
    <w:div w:id="1140000043">
      <w:bodyDiv w:val="1"/>
      <w:marLeft w:val="0"/>
      <w:marRight w:val="0"/>
      <w:marTop w:val="0"/>
      <w:marBottom w:val="0"/>
      <w:divBdr>
        <w:top w:val="none" w:sz="0" w:space="0" w:color="auto"/>
        <w:left w:val="none" w:sz="0" w:space="0" w:color="auto"/>
        <w:bottom w:val="none" w:sz="0" w:space="0" w:color="auto"/>
        <w:right w:val="none" w:sz="0" w:space="0" w:color="auto"/>
      </w:divBdr>
    </w:div>
    <w:div w:id="1202016229">
      <w:bodyDiv w:val="1"/>
      <w:marLeft w:val="0"/>
      <w:marRight w:val="0"/>
      <w:marTop w:val="0"/>
      <w:marBottom w:val="0"/>
      <w:divBdr>
        <w:top w:val="none" w:sz="0" w:space="0" w:color="auto"/>
        <w:left w:val="none" w:sz="0" w:space="0" w:color="auto"/>
        <w:bottom w:val="none" w:sz="0" w:space="0" w:color="auto"/>
        <w:right w:val="none" w:sz="0" w:space="0" w:color="auto"/>
      </w:divBdr>
    </w:div>
    <w:div w:id="1295138359">
      <w:bodyDiv w:val="1"/>
      <w:marLeft w:val="0"/>
      <w:marRight w:val="0"/>
      <w:marTop w:val="0"/>
      <w:marBottom w:val="0"/>
      <w:divBdr>
        <w:top w:val="none" w:sz="0" w:space="0" w:color="auto"/>
        <w:left w:val="none" w:sz="0" w:space="0" w:color="auto"/>
        <w:bottom w:val="none" w:sz="0" w:space="0" w:color="auto"/>
        <w:right w:val="none" w:sz="0" w:space="0" w:color="auto"/>
      </w:divBdr>
    </w:div>
    <w:div w:id="1372657314">
      <w:bodyDiv w:val="1"/>
      <w:marLeft w:val="0"/>
      <w:marRight w:val="0"/>
      <w:marTop w:val="0"/>
      <w:marBottom w:val="0"/>
      <w:divBdr>
        <w:top w:val="none" w:sz="0" w:space="0" w:color="auto"/>
        <w:left w:val="none" w:sz="0" w:space="0" w:color="auto"/>
        <w:bottom w:val="none" w:sz="0" w:space="0" w:color="auto"/>
        <w:right w:val="none" w:sz="0" w:space="0" w:color="auto"/>
      </w:divBdr>
    </w:div>
    <w:div w:id="1539472445">
      <w:bodyDiv w:val="1"/>
      <w:marLeft w:val="0"/>
      <w:marRight w:val="0"/>
      <w:marTop w:val="0"/>
      <w:marBottom w:val="0"/>
      <w:divBdr>
        <w:top w:val="none" w:sz="0" w:space="0" w:color="auto"/>
        <w:left w:val="none" w:sz="0" w:space="0" w:color="auto"/>
        <w:bottom w:val="none" w:sz="0" w:space="0" w:color="auto"/>
        <w:right w:val="none" w:sz="0" w:space="0" w:color="auto"/>
      </w:divBdr>
    </w:div>
    <w:div w:id="1600988919">
      <w:bodyDiv w:val="1"/>
      <w:marLeft w:val="0"/>
      <w:marRight w:val="0"/>
      <w:marTop w:val="0"/>
      <w:marBottom w:val="0"/>
      <w:divBdr>
        <w:top w:val="none" w:sz="0" w:space="0" w:color="auto"/>
        <w:left w:val="none" w:sz="0" w:space="0" w:color="auto"/>
        <w:bottom w:val="none" w:sz="0" w:space="0" w:color="auto"/>
        <w:right w:val="none" w:sz="0" w:space="0" w:color="auto"/>
      </w:divBdr>
    </w:div>
    <w:div w:id="1665620870">
      <w:bodyDiv w:val="1"/>
      <w:marLeft w:val="0"/>
      <w:marRight w:val="0"/>
      <w:marTop w:val="0"/>
      <w:marBottom w:val="0"/>
      <w:divBdr>
        <w:top w:val="none" w:sz="0" w:space="0" w:color="auto"/>
        <w:left w:val="none" w:sz="0" w:space="0" w:color="auto"/>
        <w:bottom w:val="none" w:sz="0" w:space="0" w:color="auto"/>
        <w:right w:val="none" w:sz="0" w:space="0" w:color="auto"/>
      </w:divBdr>
    </w:div>
    <w:div w:id="1707749863">
      <w:bodyDiv w:val="1"/>
      <w:marLeft w:val="0"/>
      <w:marRight w:val="0"/>
      <w:marTop w:val="0"/>
      <w:marBottom w:val="0"/>
      <w:divBdr>
        <w:top w:val="none" w:sz="0" w:space="0" w:color="auto"/>
        <w:left w:val="none" w:sz="0" w:space="0" w:color="auto"/>
        <w:bottom w:val="none" w:sz="0" w:space="0" w:color="auto"/>
        <w:right w:val="none" w:sz="0" w:space="0" w:color="auto"/>
      </w:divBdr>
    </w:div>
    <w:div w:id="1714187216">
      <w:bodyDiv w:val="1"/>
      <w:marLeft w:val="0"/>
      <w:marRight w:val="0"/>
      <w:marTop w:val="0"/>
      <w:marBottom w:val="0"/>
      <w:divBdr>
        <w:top w:val="none" w:sz="0" w:space="0" w:color="auto"/>
        <w:left w:val="none" w:sz="0" w:space="0" w:color="auto"/>
        <w:bottom w:val="none" w:sz="0" w:space="0" w:color="auto"/>
        <w:right w:val="none" w:sz="0" w:space="0" w:color="auto"/>
      </w:divBdr>
    </w:div>
    <w:div w:id="1777015669">
      <w:bodyDiv w:val="1"/>
      <w:marLeft w:val="0"/>
      <w:marRight w:val="0"/>
      <w:marTop w:val="0"/>
      <w:marBottom w:val="0"/>
      <w:divBdr>
        <w:top w:val="none" w:sz="0" w:space="0" w:color="auto"/>
        <w:left w:val="none" w:sz="0" w:space="0" w:color="auto"/>
        <w:bottom w:val="none" w:sz="0" w:space="0" w:color="auto"/>
        <w:right w:val="none" w:sz="0" w:space="0" w:color="auto"/>
      </w:divBdr>
    </w:div>
    <w:div w:id="1777170627">
      <w:bodyDiv w:val="1"/>
      <w:marLeft w:val="0"/>
      <w:marRight w:val="0"/>
      <w:marTop w:val="0"/>
      <w:marBottom w:val="0"/>
      <w:divBdr>
        <w:top w:val="none" w:sz="0" w:space="0" w:color="auto"/>
        <w:left w:val="none" w:sz="0" w:space="0" w:color="auto"/>
        <w:bottom w:val="none" w:sz="0" w:space="0" w:color="auto"/>
        <w:right w:val="none" w:sz="0" w:space="0" w:color="auto"/>
      </w:divBdr>
    </w:div>
    <w:div w:id="1813785078">
      <w:bodyDiv w:val="1"/>
      <w:marLeft w:val="0"/>
      <w:marRight w:val="0"/>
      <w:marTop w:val="0"/>
      <w:marBottom w:val="0"/>
      <w:divBdr>
        <w:top w:val="none" w:sz="0" w:space="0" w:color="auto"/>
        <w:left w:val="none" w:sz="0" w:space="0" w:color="auto"/>
        <w:bottom w:val="none" w:sz="0" w:space="0" w:color="auto"/>
        <w:right w:val="none" w:sz="0" w:space="0" w:color="auto"/>
      </w:divBdr>
    </w:div>
    <w:div w:id="1827353490">
      <w:bodyDiv w:val="1"/>
      <w:marLeft w:val="0"/>
      <w:marRight w:val="0"/>
      <w:marTop w:val="0"/>
      <w:marBottom w:val="0"/>
      <w:divBdr>
        <w:top w:val="none" w:sz="0" w:space="0" w:color="auto"/>
        <w:left w:val="none" w:sz="0" w:space="0" w:color="auto"/>
        <w:bottom w:val="none" w:sz="0" w:space="0" w:color="auto"/>
        <w:right w:val="none" w:sz="0" w:space="0" w:color="auto"/>
      </w:divBdr>
    </w:div>
    <w:div w:id="1959873961">
      <w:bodyDiv w:val="1"/>
      <w:marLeft w:val="0"/>
      <w:marRight w:val="0"/>
      <w:marTop w:val="0"/>
      <w:marBottom w:val="0"/>
      <w:divBdr>
        <w:top w:val="none" w:sz="0" w:space="0" w:color="auto"/>
        <w:left w:val="none" w:sz="0" w:space="0" w:color="auto"/>
        <w:bottom w:val="none" w:sz="0" w:space="0" w:color="auto"/>
        <w:right w:val="none" w:sz="0" w:space="0" w:color="auto"/>
      </w:divBdr>
    </w:div>
    <w:div w:id="1962301041">
      <w:bodyDiv w:val="1"/>
      <w:marLeft w:val="0"/>
      <w:marRight w:val="0"/>
      <w:marTop w:val="0"/>
      <w:marBottom w:val="0"/>
      <w:divBdr>
        <w:top w:val="none" w:sz="0" w:space="0" w:color="auto"/>
        <w:left w:val="none" w:sz="0" w:space="0" w:color="auto"/>
        <w:bottom w:val="none" w:sz="0" w:space="0" w:color="auto"/>
        <w:right w:val="none" w:sz="0" w:space="0" w:color="auto"/>
      </w:divBdr>
    </w:div>
    <w:div w:id="1990133959">
      <w:bodyDiv w:val="1"/>
      <w:marLeft w:val="0"/>
      <w:marRight w:val="0"/>
      <w:marTop w:val="0"/>
      <w:marBottom w:val="0"/>
      <w:divBdr>
        <w:top w:val="none" w:sz="0" w:space="0" w:color="auto"/>
        <w:left w:val="none" w:sz="0" w:space="0" w:color="auto"/>
        <w:bottom w:val="none" w:sz="0" w:space="0" w:color="auto"/>
        <w:right w:val="none" w:sz="0" w:space="0" w:color="auto"/>
      </w:divBdr>
    </w:div>
    <w:div w:id="201506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656063150CFE4BB1FC96AF26ED087C" ma:contentTypeVersion="13" ma:contentTypeDescription="Create a new document." ma:contentTypeScope="" ma:versionID="bdef774c12959c66b4acec6ca35733fd">
  <xsd:schema xmlns:xsd="http://www.w3.org/2001/XMLSchema" xmlns:xs="http://www.w3.org/2001/XMLSchema" xmlns:p="http://schemas.microsoft.com/office/2006/metadata/properties" xmlns:ns3="9d12504d-04b2-4b3e-995b-3fafd8a05eed" xmlns:ns4="3c81fdc7-8acf-4ac5-b8a3-a42f5c18f7d3" targetNamespace="http://schemas.microsoft.com/office/2006/metadata/properties" ma:root="true" ma:fieldsID="2c7e04d0383c62f5ed3ef8f5aa5c74d0" ns3:_="" ns4:_="">
    <xsd:import namespace="9d12504d-04b2-4b3e-995b-3fafd8a05eed"/>
    <xsd:import namespace="3c81fdc7-8acf-4ac5-b8a3-a42f5c18f7d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2504d-04b2-4b3e-995b-3fafd8a05e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81fdc7-8acf-4ac5-b8a3-a42f5c18f7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C36E-116B-474E-AE0D-7EB8D7135A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BB6AA4-F0C4-4C99-AD55-9D9262480063}">
  <ds:schemaRefs>
    <ds:schemaRef ds:uri="http://schemas.microsoft.com/sharepoint/v3/contenttype/forms"/>
  </ds:schemaRefs>
</ds:datastoreItem>
</file>

<file path=customXml/itemProps3.xml><?xml version="1.0" encoding="utf-8"?>
<ds:datastoreItem xmlns:ds="http://schemas.openxmlformats.org/officeDocument/2006/customXml" ds:itemID="{2EA63B8C-6EC8-44DC-9B6B-492C82400E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2504d-04b2-4b3e-995b-3fafd8a05eed"/>
    <ds:schemaRef ds:uri="3c81fdc7-8acf-4ac5-b8a3-a42f5c18f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87CB3B-3EDE-4395-949D-616DAA16A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8319</Words>
  <Characters>47421</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yinan</dc:creator>
  <cp:keywords/>
  <dc:description/>
  <cp:lastModifiedBy>huang, yinan</cp:lastModifiedBy>
  <cp:revision>24</cp:revision>
  <dcterms:created xsi:type="dcterms:W3CDTF">2021-02-20T21:03:00Z</dcterms:created>
  <dcterms:modified xsi:type="dcterms:W3CDTF">2021-03-27T15:26:00Z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0x010100D4656063150CFE4BB1FC96AF26ED087C</vt:lpwstr>
  </property>
</Properties>
</file>