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CA965" w14:textId="050CF0AD" w:rsidR="00D44C23" w:rsidRDefault="00D44C23" w:rsidP="00D44C23">
      <w:pPr>
        <w:pStyle w:val="A1stlevel"/>
        <w:numPr>
          <w:ilvl w:val="0"/>
          <w:numId w:val="0"/>
        </w:numPr>
        <w:ind w:left="432" w:hanging="432"/>
      </w:pPr>
      <w:bookmarkStart w:id="0" w:name="_Ref48118608"/>
      <w:r>
        <w:t>Appendices</w:t>
      </w:r>
    </w:p>
    <w:p w14:paraId="1F3F1476" w14:textId="17DFE2CE" w:rsidR="00D44C23" w:rsidRDefault="00D44C23" w:rsidP="00D44C23">
      <w:r>
        <w:t xml:space="preserve">Study: </w:t>
      </w:r>
    </w:p>
    <w:p w14:paraId="5200C5BD" w14:textId="77777777" w:rsidR="00D44C23" w:rsidRPr="008951B2" w:rsidRDefault="00D44C23" w:rsidP="00D44C23">
      <w:pPr>
        <w:ind w:left="284"/>
      </w:pPr>
      <w:r w:rsidRPr="008951B2">
        <w:t>“Evaluation of</w:t>
      </w:r>
      <w:r>
        <w:t xml:space="preserve"> </w:t>
      </w:r>
      <w:r w:rsidRPr="008951B2">
        <w:t>statistical methods used in the analysis of interrupted time series studies: a simulation study”</w:t>
      </w:r>
    </w:p>
    <w:p w14:paraId="02AEB975" w14:textId="77777777" w:rsidR="00D44C23" w:rsidRDefault="00D44C23" w:rsidP="00D44C23">
      <w:r>
        <w:t xml:space="preserve">Authors: </w:t>
      </w:r>
    </w:p>
    <w:p w14:paraId="040D7029" w14:textId="77777777" w:rsidR="00D44C23" w:rsidRDefault="00D44C23" w:rsidP="00D44C23">
      <w:pPr>
        <w:ind w:left="284"/>
        <w:rPr>
          <w:vertAlign w:val="superscript"/>
        </w:rPr>
      </w:pPr>
      <w:r w:rsidRPr="0000617D">
        <w:t>Simon L Turner</w:t>
      </w:r>
      <w:r w:rsidRPr="0000617D">
        <w:rPr>
          <w:vertAlign w:val="superscript"/>
        </w:rPr>
        <w:t>1</w:t>
      </w:r>
      <w:r w:rsidRPr="0000617D">
        <w:t>, Andrew B Forbes</w:t>
      </w:r>
      <w:r w:rsidRPr="0000617D">
        <w:rPr>
          <w:vertAlign w:val="superscript"/>
        </w:rPr>
        <w:t>1</w:t>
      </w:r>
      <w:r w:rsidRPr="0000617D">
        <w:t>, Amalia Karahalios</w:t>
      </w:r>
      <w:r w:rsidRPr="0000617D">
        <w:rPr>
          <w:vertAlign w:val="superscript"/>
        </w:rPr>
        <w:t>1</w:t>
      </w:r>
      <w:r w:rsidRPr="0000617D">
        <w:t>, Monica Taljaard</w:t>
      </w:r>
      <w:r w:rsidRPr="0000617D">
        <w:rPr>
          <w:vertAlign w:val="superscript"/>
        </w:rPr>
        <w:t>2,3</w:t>
      </w:r>
      <w:r w:rsidRPr="0000617D">
        <w:t>, Joanne E McKenzie</w:t>
      </w:r>
      <w:r w:rsidRPr="0000617D">
        <w:rPr>
          <w:vertAlign w:val="superscript"/>
        </w:rPr>
        <w:t>1</w:t>
      </w:r>
    </w:p>
    <w:p w14:paraId="12948049" w14:textId="77777777" w:rsidR="00D44C23" w:rsidRPr="007E6FB1" w:rsidRDefault="00D44C23" w:rsidP="00D44C23">
      <w:r>
        <w:t>Affiliations:</w:t>
      </w:r>
    </w:p>
    <w:p w14:paraId="660A1B24" w14:textId="77777777" w:rsidR="00D44C23" w:rsidRPr="0000617D" w:rsidRDefault="00D44C23" w:rsidP="00D44C23">
      <w:pPr>
        <w:ind w:left="284"/>
      </w:pPr>
      <w:r w:rsidRPr="0000617D">
        <w:rPr>
          <w:vertAlign w:val="superscript"/>
        </w:rPr>
        <w:t>1</w:t>
      </w:r>
      <w:r w:rsidRPr="0000617D">
        <w:t>School of Public Health and Preventive Medicine, Monash University, 533 St Kilda Road, Melbourne, Victoria, Australia.</w:t>
      </w:r>
    </w:p>
    <w:p w14:paraId="2CC03299" w14:textId="77777777" w:rsidR="00D44C23" w:rsidRPr="0000617D" w:rsidRDefault="00D44C23" w:rsidP="00D44C23">
      <w:pPr>
        <w:ind w:left="284"/>
      </w:pPr>
      <w:r w:rsidRPr="0000617D">
        <w:rPr>
          <w:vertAlign w:val="superscript"/>
        </w:rPr>
        <w:t>2</w:t>
      </w:r>
      <w:r w:rsidRPr="0000617D">
        <w:t>Clinical Epidemiology Program, Ottawa Hospital Research Institute, Ottawa, Ontario, Canada. 1053 Carling Ave, Ottawa.</w:t>
      </w:r>
    </w:p>
    <w:p w14:paraId="6461D2C6" w14:textId="77777777" w:rsidR="00D44C23" w:rsidRDefault="00D44C23" w:rsidP="00D44C23">
      <w:pPr>
        <w:ind w:left="284"/>
      </w:pPr>
      <w:r w:rsidRPr="0000617D">
        <w:rPr>
          <w:vertAlign w:val="superscript"/>
        </w:rPr>
        <w:t>3</w:t>
      </w:r>
      <w:r w:rsidRPr="0000617D">
        <w:t>School of Epidemiology, Public Health and Preventive Medicine, University of Ottawa, Ottawa, Ontario, Canada. 75 Laurier Ave E, Ottawa.</w:t>
      </w:r>
    </w:p>
    <w:p w14:paraId="260B6C1B" w14:textId="77777777" w:rsidR="00D44C23" w:rsidRDefault="00D44C23">
      <w:pPr>
        <w:spacing w:after="160" w:line="259" w:lineRule="auto"/>
        <w:rPr>
          <w:rFonts w:eastAsiaTheme="majorEastAsia" w:cstheme="majorBidi"/>
          <w:color w:val="0072B2"/>
          <w:sz w:val="32"/>
          <w:szCs w:val="32"/>
        </w:rPr>
      </w:pPr>
      <w:r>
        <w:br w:type="page"/>
      </w:r>
    </w:p>
    <w:p w14:paraId="403FE8A3" w14:textId="2FB0A089" w:rsidR="00D44C23" w:rsidRDefault="00D44C23" w:rsidP="00D44C23">
      <w:pPr>
        <w:pStyle w:val="A1stlevel"/>
        <w:numPr>
          <w:ilvl w:val="0"/>
          <w:numId w:val="3"/>
        </w:numPr>
      </w:pPr>
      <w:r>
        <w:lastRenderedPageBreak/>
        <w:t>Statistical method details</w:t>
      </w:r>
      <w:bookmarkEnd w:id="0"/>
    </w:p>
    <w:p w14:paraId="6ECC86BC" w14:textId="77777777" w:rsidR="00D44C23" w:rsidRPr="00CB2216" w:rsidRDefault="00D44C23" w:rsidP="00D44C23">
      <w:pPr>
        <w:pStyle w:val="A2ndLevel"/>
        <w:numPr>
          <w:ilvl w:val="1"/>
          <w:numId w:val="3"/>
        </w:numPr>
      </w:pPr>
      <w:bookmarkStart w:id="1" w:name="_Ref48903987"/>
      <w:r>
        <w:t>Ordinary Least Squares</w:t>
      </w:r>
      <w:bookmarkEnd w:id="1"/>
    </w:p>
    <w:p w14:paraId="3759CC1D" w14:textId="77777777" w:rsidR="00D44C23" w:rsidRDefault="00D44C23" w:rsidP="00D44C23">
      <w:r>
        <w:t>Model (1) can be written in a matrix form as: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D44C23" w14:paraId="2A2CC310" w14:textId="77777777" w:rsidTr="001D404B">
        <w:tc>
          <w:tcPr>
            <w:tcW w:w="4508" w:type="dxa"/>
          </w:tcPr>
          <w:p w14:paraId="0AF84B15" w14:textId="77777777" w:rsidR="00D44C23" w:rsidRPr="0071725E" w:rsidRDefault="00D44C23" w:rsidP="001D404B">
            <w:pPr>
              <w:jc w:val="right"/>
              <w:rPr>
                <w:rFonts w:ascii="Symbol" w:hAnsi="Symbol" w:cs="Symbol"/>
                <w:b/>
                <w:i/>
              </w:rPr>
            </w:pPr>
            <w:r>
              <w:rPr>
                <w:i/>
                <w:iCs/>
              </w:rPr>
              <w:t>Y</w:t>
            </w:r>
            <w:r>
              <w:rPr>
                <w:i/>
                <w:iCs/>
                <w:sz w:val="12"/>
                <w:szCs w:val="12"/>
              </w:rPr>
              <w:t xml:space="preserve"> </w:t>
            </w:r>
            <w:r>
              <w:t xml:space="preserve">= </w:t>
            </w:r>
            <w:r>
              <w:rPr>
                <w:i/>
              </w:rPr>
              <w:t>X</w:t>
            </w:r>
            <w:r>
              <w:rPr>
                <w:rFonts w:ascii="Symbol" w:hAnsi="Symbol" w:cs="Symbol"/>
              </w:rPr>
              <w:t>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Symbol" w:hAnsi="Symbol" w:cs="Symbol"/>
              </w:rPr>
              <w:t>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Symbol" w:hAnsi="Symbol" w:cs="Symbol"/>
              </w:rPr>
              <w:t></w:t>
            </w:r>
          </w:p>
        </w:tc>
        <w:tc>
          <w:tcPr>
            <w:tcW w:w="4508" w:type="dxa"/>
          </w:tcPr>
          <w:p w14:paraId="7265103C" w14:textId="77777777" w:rsidR="00D44C23" w:rsidRDefault="00D44C23" w:rsidP="001D404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(3)</w:t>
            </w:r>
          </w:p>
        </w:tc>
      </w:tr>
    </w:tbl>
    <w:p w14:paraId="1243FAA2" w14:textId="77777777" w:rsidR="00D44C23" w:rsidRDefault="00D44C23" w:rsidP="00D44C23"/>
    <w:p w14:paraId="54F2C6B5" w14:textId="77777777" w:rsidR="00D44C23" w:rsidDel="006763A4" w:rsidRDefault="00D44C23" w:rsidP="00D44C23">
      <w:r w:rsidRPr="006226CC">
        <w:t xml:space="preserve">where </w:t>
      </w:r>
      <w:r w:rsidRPr="006226CC">
        <w:rPr>
          <w:i/>
        </w:rPr>
        <w:t>Y</w:t>
      </w:r>
      <w:r w:rsidRPr="006226CC">
        <w:t xml:space="preserve"> and </w:t>
      </w:r>
      <w:r w:rsidRPr="006226CC">
        <w:rPr>
          <w:rFonts w:ascii="Symbol" w:hAnsi="Symbol" w:cs="Symbol"/>
        </w:rPr>
        <w:t></w:t>
      </w:r>
      <w:r w:rsidRPr="006226CC">
        <w:rPr>
          <w:rFonts w:cstheme="minorHAnsi"/>
        </w:rPr>
        <w:t xml:space="preserve"> are</w:t>
      </w:r>
      <w:r w:rsidRPr="006226CC">
        <w:t xml:space="preserve"> </w:t>
      </w:r>
      <w:r w:rsidRPr="006226CC">
        <w:rPr>
          <w:i/>
        </w:rPr>
        <w:t xml:space="preserve">n </w:t>
      </w:r>
      <w:r w:rsidRPr="006226CC">
        <w:rPr>
          <w:rFonts w:cstheme="minorHAnsi"/>
          <w:i/>
        </w:rPr>
        <w:t>×</w:t>
      </w:r>
      <w:r w:rsidRPr="006226CC">
        <w:rPr>
          <w:i/>
        </w:rPr>
        <w:t xml:space="preserve"> 1</w:t>
      </w:r>
      <w:r w:rsidRPr="006226CC">
        <w:t xml:space="preserve"> vectors</w:t>
      </w:r>
      <w:r>
        <w:t xml:space="preserve"> whose </w:t>
      </w:r>
      <w:proofErr w:type="spellStart"/>
      <w:r>
        <w:rPr>
          <w:i/>
        </w:rPr>
        <w:t>t</w:t>
      </w:r>
      <w:r w:rsidRPr="00530250">
        <w:rPr>
          <w:i/>
          <w:vertAlign w:val="superscript"/>
        </w:rPr>
        <w:t>th</w:t>
      </w:r>
      <w:proofErr w:type="spellEnd"/>
      <w:r>
        <w:t xml:space="preserve"> element is </w:t>
      </w:r>
      <w:proofErr w:type="spellStart"/>
      <w:r>
        <w:rPr>
          <w:i/>
        </w:rPr>
        <w:t>y</w:t>
      </w:r>
      <w:r w:rsidRPr="005460ED">
        <w:rPr>
          <w:i/>
          <w:vertAlign w:val="subscript"/>
        </w:rPr>
        <w:t>t</w:t>
      </w:r>
      <w:proofErr w:type="spellEnd"/>
      <w:r>
        <w:t xml:space="preserve"> and </w:t>
      </w:r>
      <w:r w:rsidRPr="0015402C">
        <w:rPr>
          <w:rFonts w:ascii="Symbol" w:hAnsi="Symbol" w:cs="Symbol"/>
          <w:i/>
        </w:rPr>
        <w:t></w:t>
      </w:r>
      <w:r w:rsidRPr="005965D3">
        <w:rPr>
          <w:i/>
          <w:iCs/>
          <w:vertAlign w:val="subscript"/>
        </w:rPr>
        <w:t>t</w:t>
      </w:r>
      <w:r>
        <w:rPr>
          <w:iCs/>
        </w:rPr>
        <w:t xml:space="preserve"> respectively, </w:t>
      </w:r>
      <w:r>
        <w:rPr>
          <w:i/>
          <w:iCs/>
        </w:rPr>
        <w:t>X</w:t>
      </w:r>
      <w:r>
        <w:rPr>
          <w:iCs/>
        </w:rPr>
        <w:t xml:space="preserve"> is the </w:t>
      </w:r>
      <w:r>
        <w:rPr>
          <w:i/>
          <w:iCs/>
        </w:rPr>
        <w:t xml:space="preserve">n </w:t>
      </w:r>
      <w:r>
        <w:rPr>
          <w:rFonts w:cstheme="minorHAnsi"/>
          <w:i/>
          <w:iCs/>
        </w:rPr>
        <w:t>×</w:t>
      </w:r>
      <w:r>
        <w:rPr>
          <w:i/>
          <w:iCs/>
        </w:rPr>
        <w:t xml:space="preserve"> 4 </w:t>
      </w:r>
      <w:r>
        <w:rPr>
          <w:iCs/>
        </w:rPr>
        <w:t xml:space="preserve">design matrix with </w:t>
      </w:r>
      <m:oMath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 xml:space="preserve">th  row  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 xml:space="preserve">1, t, 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  <m:r>
              <w:rPr>
                <w:rFonts w:ascii="Cambria Math" w:hAnsi="Cambria Math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  <m:r>
              <w:rPr>
                <w:rFonts w:ascii="Cambria Math" w:hAnsi="Cambria Math"/>
              </w:rPr>
              <m:t>I</m:t>
            </m:r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</m:d>
          </m:e>
        </m:d>
      </m:oMath>
      <w:r>
        <w:rPr>
          <w:iCs/>
        </w:rPr>
        <w:t xml:space="preserve">, and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ϵ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 xml:space="preserve">∼N(0, 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σ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)</m:t>
        </m:r>
      </m:oMath>
      <w:r>
        <w:rPr>
          <w:iCs/>
        </w:rPr>
        <w:t xml:space="preserve">. </w:t>
      </w:r>
      <w:r>
        <w:t xml:space="preserve">The OLS estimator of </w:t>
      </w:r>
      <m:oMath>
        <m:r>
          <w:rPr>
            <w:rFonts w:ascii="Cambria Math" w:hAnsi="Cambria Math"/>
          </w:rPr>
          <m:t>β</m:t>
        </m:r>
      </m:oMath>
      <w:r>
        <w:rPr>
          <w:rFonts w:eastAsiaTheme="minorEastAsia"/>
        </w:rPr>
        <w:t xml:space="preserve"> is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β</m:t>
                </m:r>
              </m:e>
            </m:acc>
          </m:e>
          <m:sub>
            <m:r>
              <w:rPr>
                <w:rFonts w:ascii="Cambria Math" w:hAnsi="Cambria Math"/>
              </w:rPr>
              <m:t>OLS</m:t>
            </m:r>
          </m:sub>
        </m:sSub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X'X</m:t>
                </m:r>
              </m:e>
            </m:d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X'Y</m:t>
        </m:r>
      </m:oMath>
      <w:r>
        <w:rPr>
          <w:rFonts w:eastAsiaTheme="minorEastAsia"/>
        </w:rPr>
        <w:t xml:space="preserve">,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Var(</m:t>
            </m:r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β</m:t>
                </m:r>
              </m:e>
            </m:acc>
          </m:e>
          <m:sub>
            <m:r>
              <w:rPr>
                <w:rFonts w:ascii="Cambria Math" w:hAnsi="Cambria Math"/>
              </w:rPr>
              <m:t>OLS</m:t>
            </m:r>
          </m:sub>
        </m:sSub>
        <m: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σ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X'X</m:t>
                </m:r>
              </m:e>
            </m:d>
          </m:e>
          <m:sup>
            <m:r>
              <w:rPr>
                <w:rFonts w:ascii="Cambria Math" w:hAnsi="Cambria Math"/>
              </w:rPr>
              <m:t>-1</m:t>
            </m:r>
          </m:sup>
        </m:sSup>
      </m:oMath>
      <w:r>
        <w:rPr>
          <w:rFonts w:eastAsiaTheme="minorEastAsia"/>
        </w:rPr>
        <w:t>.</w:t>
      </w:r>
    </w:p>
    <w:p w14:paraId="00BDEDE4" w14:textId="77777777" w:rsidR="00D44C23" w:rsidRDefault="00D44C23" w:rsidP="00D44C23">
      <w:pPr>
        <w:pStyle w:val="A2ndLevel"/>
        <w:numPr>
          <w:ilvl w:val="1"/>
          <w:numId w:val="3"/>
        </w:numPr>
      </w:pPr>
      <w:bookmarkStart w:id="2" w:name="_Ref48904011"/>
      <w:r>
        <w:t>Newey West</w:t>
      </w:r>
      <w:bookmarkEnd w:id="2"/>
    </w:p>
    <w:p w14:paraId="115BF908" w14:textId="77777777" w:rsidR="00D44C23" w:rsidRDefault="00D44C23" w:rsidP="00D44C23">
      <w:r>
        <w:t xml:space="preserve">The NW estimator (lag-1) of </w:t>
      </w:r>
      <m:oMath>
        <m:r>
          <w:rPr>
            <w:rFonts w:ascii="Cambria Math" w:hAnsi="Cambria Math"/>
          </w:rPr>
          <m:t>β</m:t>
        </m:r>
      </m:oMath>
      <w:r>
        <w:rPr>
          <w:rFonts w:eastAsiaTheme="minorEastAsia"/>
        </w:rPr>
        <w:t xml:space="preserve"> is just the OLS estimator,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β</m:t>
                </m:r>
              </m:e>
            </m:acc>
          </m:e>
          <m:sub>
            <m:r>
              <w:rPr>
                <w:rFonts w:ascii="Cambria Math" w:hAnsi="Cambria Math"/>
              </w:rPr>
              <m:t>NW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β</m:t>
                </m:r>
              </m:e>
            </m:acc>
          </m:e>
          <m:sub>
            <m:r>
              <w:rPr>
                <w:rFonts w:ascii="Cambria Math" w:hAnsi="Cambria Math"/>
              </w:rPr>
              <m:t>OLS</m:t>
            </m:r>
          </m:sub>
        </m:sSub>
      </m:oMath>
      <w:r>
        <w:rPr>
          <w:rFonts w:eastAsiaTheme="minorEastAsia"/>
        </w:rPr>
        <w:t xml:space="preserve">, but with a sandwich variance estimator of the form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D44C23" w14:paraId="510C70EF" w14:textId="77777777" w:rsidTr="001D404B">
        <w:tc>
          <w:tcPr>
            <w:tcW w:w="4508" w:type="dxa"/>
          </w:tcPr>
          <w:p w14:paraId="106D5A0A" w14:textId="77777777" w:rsidR="00D44C23" w:rsidRPr="007F1CBA" w:rsidRDefault="00581D4A" w:rsidP="001D404B">
            <m:oMathPara>
              <m:oMath>
                <m:acc>
                  <m:accPr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Var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acc>
                          <m:ac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β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</w:rPr>
                          <m:t>NW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X'X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-1</m:t>
                    </m:r>
                  </m:sup>
                </m:sSup>
                <m:r>
                  <w:rPr>
                    <w:rFonts w:ascii="Cambria Math" w:hAnsi="Cambria Math"/>
                  </w:rPr>
                  <m:t>X'</m:t>
                </m:r>
                <m:acc>
                  <m:accPr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</m:acc>
                <m:r>
                  <w:rPr>
                    <w:rFonts w:ascii="Cambria Math" w:hAnsi="Cambria Math"/>
                  </w:rPr>
                  <m:t>X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X'X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4508" w:type="dxa"/>
          </w:tcPr>
          <w:p w14:paraId="4E23DE1A" w14:textId="77777777" w:rsidR="00D44C23" w:rsidRPr="0027595C" w:rsidRDefault="00D44C23" w:rsidP="001D404B">
            <w:pPr>
              <w:jc w:val="right"/>
              <w:rPr>
                <w:i/>
                <w:iCs/>
              </w:rPr>
            </w:pPr>
            <w:r w:rsidRPr="0027595C">
              <w:rPr>
                <w:i/>
                <w:iCs/>
              </w:rPr>
              <w:t>(</w:t>
            </w:r>
            <w:r>
              <w:rPr>
                <w:i/>
                <w:iCs/>
              </w:rPr>
              <w:t>5</w:t>
            </w:r>
            <w:r w:rsidRPr="0027595C">
              <w:rPr>
                <w:i/>
                <w:iCs/>
              </w:rPr>
              <w:t>)</w:t>
            </w:r>
          </w:p>
        </w:tc>
      </w:tr>
    </w:tbl>
    <w:p w14:paraId="65556F1E" w14:textId="77777777" w:rsidR="00D44C23" w:rsidRDefault="00D44C23" w:rsidP="00D44C23">
      <w:r>
        <w:t>where: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3567"/>
        <w:gridCol w:w="941"/>
      </w:tblGrid>
      <w:tr w:rsidR="00D44C23" w14:paraId="362C5847" w14:textId="77777777" w:rsidTr="001D404B">
        <w:tc>
          <w:tcPr>
            <w:tcW w:w="8075" w:type="dxa"/>
            <w:gridSpan w:val="2"/>
          </w:tcPr>
          <w:p w14:paraId="1994BA20" w14:textId="77777777" w:rsidR="00D44C23" w:rsidRDefault="00581D4A" w:rsidP="001D404B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acc>
                  <m:accPr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</m:acc>
                <m:r>
                  <w:rPr>
                    <w:rFonts w:ascii="Cambria Math" w:hAnsi="Cambria Math"/>
                  </w:rPr>
                  <m:t>X=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Ω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X+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n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n-k</m:t>
                    </m:r>
                  </m:den>
                </m:f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t=2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acc>
                          <m:ac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acc>
                          <m:ac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</w:rPr>
                          <m:t>t-1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'</m:t>
                            </m:r>
                          </m:sup>
                        </m:sSubSup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t-1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t-1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'</m:t>
                            </m:r>
                          </m:sup>
                        </m:sSubSup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sub>
                        </m:sSub>
                      </m:e>
                    </m:d>
                  </m:e>
                </m:nary>
              </m:oMath>
            </m:oMathPara>
          </w:p>
        </w:tc>
        <w:tc>
          <w:tcPr>
            <w:tcW w:w="941" w:type="dxa"/>
          </w:tcPr>
          <w:p w14:paraId="79B52A80" w14:textId="77777777" w:rsidR="00D44C23" w:rsidRPr="0027595C" w:rsidRDefault="00D44C23" w:rsidP="001D404B">
            <w:pPr>
              <w:jc w:val="right"/>
              <w:rPr>
                <w:i/>
                <w:iCs/>
              </w:rPr>
            </w:pPr>
            <w:r w:rsidRPr="0027595C">
              <w:rPr>
                <w:i/>
                <w:iCs/>
              </w:rPr>
              <w:t>(</w:t>
            </w:r>
            <w:r>
              <w:rPr>
                <w:i/>
                <w:iCs/>
              </w:rPr>
              <w:t>6</w:t>
            </w:r>
            <w:r w:rsidRPr="0027595C">
              <w:rPr>
                <w:i/>
                <w:iCs/>
              </w:rPr>
              <w:t>)</w:t>
            </w:r>
          </w:p>
        </w:tc>
      </w:tr>
      <w:tr w:rsidR="00D44C23" w14:paraId="2C8C56E8" w14:textId="77777777" w:rsidTr="001D404B">
        <w:tc>
          <w:tcPr>
            <w:tcW w:w="4508" w:type="dxa"/>
          </w:tcPr>
          <w:p w14:paraId="5E43654C" w14:textId="77777777" w:rsidR="00D44C23" w:rsidRDefault="00581D4A" w:rsidP="001D404B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Ω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n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n-k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acc>
                          <m:ac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</m:e>
                </m:nary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4508" w:type="dxa"/>
            <w:gridSpan w:val="2"/>
          </w:tcPr>
          <w:p w14:paraId="5A91F5B7" w14:textId="77777777" w:rsidR="00D44C23" w:rsidRPr="00C616D3" w:rsidRDefault="00D44C23" w:rsidP="001D404B">
            <w:pPr>
              <w:jc w:val="right"/>
              <w:rPr>
                <w:i/>
                <w:iCs/>
              </w:rPr>
            </w:pPr>
            <w:r w:rsidRPr="00C616D3">
              <w:rPr>
                <w:i/>
                <w:iCs/>
              </w:rPr>
              <w:t>(</w:t>
            </w:r>
            <w:r>
              <w:rPr>
                <w:i/>
                <w:iCs/>
              </w:rPr>
              <w:t>7</w:t>
            </w:r>
            <w:r w:rsidRPr="00C616D3">
              <w:rPr>
                <w:i/>
                <w:iCs/>
              </w:rPr>
              <w:t>)</w:t>
            </w:r>
          </w:p>
        </w:tc>
      </w:tr>
      <w:tr w:rsidR="00D44C23" w14:paraId="1B39DA61" w14:textId="77777777" w:rsidTr="001D404B">
        <w:tc>
          <w:tcPr>
            <w:tcW w:w="4508" w:type="dxa"/>
          </w:tcPr>
          <w:p w14:paraId="1EEECB90" w14:textId="77777777" w:rsidR="00D44C23" w:rsidRDefault="00581D4A" w:rsidP="001D404B"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</w:rPr>
                      <m:t>OLS</m:t>
                    </m:r>
                  </m:sub>
                </m:sSub>
              </m:oMath>
            </m:oMathPara>
          </w:p>
        </w:tc>
        <w:tc>
          <w:tcPr>
            <w:tcW w:w="4508" w:type="dxa"/>
            <w:gridSpan w:val="2"/>
          </w:tcPr>
          <w:p w14:paraId="4A041F84" w14:textId="77777777" w:rsidR="00D44C23" w:rsidRPr="00C616D3" w:rsidRDefault="00D44C23" w:rsidP="001D404B">
            <w:pPr>
              <w:jc w:val="right"/>
              <w:rPr>
                <w:i/>
                <w:iCs/>
              </w:rPr>
            </w:pPr>
            <w:r w:rsidRPr="00C616D3">
              <w:rPr>
                <w:i/>
                <w:iCs/>
              </w:rPr>
              <w:t>(</w:t>
            </w:r>
            <w:r>
              <w:rPr>
                <w:i/>
                <w:iCs/>
              </w:rPr>
              <w:t>8</w:t>
            </w:r>
            <w:r w:rsidRPr="00C616D3">
              <w:rPr>
                <w:i/>
                <w:iCs/>
              </w:rPr>
              <w:t>)</w:t>
            </w:r>
          </w:p>
        </w:tc>
      </w:tr>
    </w:tbl>
    <w:p w14:paraId="157B8366" w14:textId="4FED8632" w:rsidR="00D44C23" w:rsidRDefault="00D44C23" w:rsidP="00D44C23">
      <w:r>
        <w:rPr>
          <w:iCs/>
        </w:rPr>
        <w:t xml:space="preserve"> where </w:t>
      </w:r>
      <w:r>
        <w:rPr>
          <w:i/>
          <w:iCs/>
        </w:rPr>
        <w:t>X</w:t>
      </w:r>
      <w:r>
        <w:rPr>
          <w:iCs/>
        </w:rPr>
        <w:t xml:space="preserve"> is the same </w:t>
      </w:r>
      <m:oMath>
        <m:r>
          <w:rPr>
            <w:rFonts w:ascii="Cambria Math" w:hAnsi="Cambria Math"/>
          </w:rPr>
          <m:t>n×4</m:t>
        </m:r>
      </m:oMath>
      <w:r>
        <w:rPr>
          <w:iCs/>
        </w:rPr>
        <w:t xml:space="preserve"> design matrix as specified for OLS above. The central term in the variance expression allows for empirical determination of autocorrelation and heteroskedasticity </w:t>
      </w:r>
      <w:r>
        <w:rPr>
          <w:iCs/>
        </w:rPr>
        <w:fldChar w:fldCharType="begin"/>
      </w:r>
      <w:r>
        <w:rPr>
          <w:iCs/>
        </w:rPr>
        <w:instrText xml:space="preserve"> ADDIN EN.CITE &lt;EndNote&gt;&lt;Cite&gt;&lt;Author&gt;StataCorp&lt;/Author&gt;&lt;Year&gt;2017&lt;/Year&gt;&lt;RecNum&gt;85&lt;/RecNum&gt;&lt;DisplayText&gt;(1)&lt;/DisplayText&gt;&lt;record&gt;&lt;rec-number&gt;85&lt;/rec-number&gt;&lt;foreign-keys&gt;&lt;key app="EN" db-id="ear5rvzffvzrtee2998vsp2q5t0pf90rz02d" timestamp="1597190543"&gt;85&lt;/key&gt;&lt;/foreign-keys&gt;&lt;ref-type name="Book"&gt;6&lt;/ref-type&gt;&lt;contributors&gt;&lt;authors&gt;&lt;author&gt;StataCorp&lt;/author&gt;&lt;/authors&gt;&lt;/contributors&gt;&lt;titles&gt;&lt;title&gt;Stata 15 Base Reference Manual&lt;/title&gt;&lt;/titles&gt;&lt;dates&gt;&lt;year&gt;2017&lt;/year&gt;&lt;/dates&gt;&lt;pub-location&gt;College Station, TX&lt;/pub-location&gt;&lt;publisher&gt;Stata Press&lt;/publisher&gt;&lt;urls&gt;&lt;/urls&gt;&lt;/record&gt;&lt;/Cite&gt;&lt;/EndNote&gt;</w:instrText>
      </w:r>
      <w:r>
        <w:rPr>
          <w:iCs/>
        </w:rPr>
        <w:fldChar w:fldCharType="separate"/>
      </w:r>
      <w:r>
        <w:rPr>
          <w:iCs/>
          <w:noProof/>
        </w:rPr>
        <w:t>(1)</w:t>
      </w:r>
      <w:r>
        <w:rPr>
          <w:iCs/>
        </w:rPr>
        <w:fldChar w:fldCharType="end"/>
      </w:r>
      <w:r>
        <w:rPr>
          <w:iCs/>
        </w:rPr>
        <w:t xml:space="preserve">.  </w:t>
      </w:r>
    </w:p>
    <w:p w14:paraId="3E6C9075" w14:textId="77777777" w:rsidR="00D44C23" w:rsidRDefault="00D44C23" w:rsidP="00D44C23">
      <w:pPr>
        <w:pStyle w:val="A2ndLevel"/>
        <w:numPr>
          <w:ilvl w:val="1"/>
          <w:numId w:val="3"/>
        </w:numPr>
      </w:pPr>
      <w:bookmarkStart w:id="3" w:name="_Ref48119076"/>
      <w:r>
        <w:t>Generalised Least Squares</w:t>
      </w:r>
      <w:bookmarkEnd w:id="3"/>
    </w:p>
    <w:p w14:paraId="65EEBF61" w14:textId="77777777" w:rsidR="00D44C23" w:rsidRDefault="00D44C23" w:rsidP="00D44C23">
      <w:r>
        <w:t xml:space="preserve">In the Cochrane-Orcutt and </w:t>
      </w:r>
      <w:proofErr w:type="spellStart"/>
      <w:r>
        <w:t>Prais-Winsten</w:t>
      </w:r>
      <w:proofErr w:type="spellEnd"/>
      <w:r>
        <w:t xml:space="preserve"> methods, from the equations (1) and (2), the dependent and independent variables are transformed to create a new model in which the error terms are uncorrelated: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D44C23" w14:paraId="2B91FA9A" w14:textId="77777777" w:rsidTr="001D404B">
        <w:tc>
          <w:tcPr>
            <w:tcW w:w="4508" w:type="dxa"/>
          </w:tcPr>
          <w:p w14:paraId="1330D524" w14:textId="77777777" w:rsidR="00D44C23" w:rsidRPr="00513A39" w:rsidRDefault="00581D4A" w:rsidP="001D404B">
            <w:pPr>
              <w:rPr>
                <w:rFonts w:eastAsiaTheme="minorEastAsia"/>
                <w:iCs/>
              </w:rPr>
            </w:pPr>
            <m:oMathPara>
              <m:oMathParaPr>
                <m:jc m:val="righ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*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</w:rPr>
                  <m:t>-ρ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t-1</m:t>
                    </m:r>
                  </m:sub>
                </m:sSub>
              </m:oMath>
            </m:oMathPara>
          </w:p>
        </w:tc>
        <w:tc>
          <w:tcPr>
            <w:tcW w:w="4508" w:type="dxa"/>
          </w:tcPr>
          <w:p w14:paraId="536D84F1" w14:textId="77777777" w:rsidR="00D44C23" w:rsidRPr="00C616D3" w:rsidRDefault="00D44C23" w:rsidP="001D404B">
            <w:pPr>
              <w:jc w:val="right"/>
              <w:rPr>
                <w:i/>
                <w:iCs/>
              </w:rPr>
            </w:pPr>
            <w:r w:rsidRPr="00C616D3">
              <w:rPr>
                <w:i/>
                <w:iCs/>
              </w:rPr>
              <w:t>(</w:t>
            </w:r>
            <w:r>
              <w:rPr>
                <w:i/>
                <w:iCs/>
              </w:rPr>
              <w:t>9a</w:t>
            </w:r>
            <w:r w:rsidRPr="00C616D3">
              <w:rPr>
                <w:i/>
                <w:iCs/>
              </w:rPr>
              <w:t>)</w:t>
            </w:r>
          </w:p>
        </w:tc>
      </w:tr>
      <w:tr w:rsidR="00D44C23" w14:paraId="00DC8DB8" w14:textId="77777777" w:rsidTr="001D404B">
        <w:tc>
          <w:tcPr>
            <w:tcW w:w="4508" w:type="dxa"/>
          </w:tcPr>
          <w:p w14:paraId="1A47B2C0" w14:textId="77777777" w:rsidR="00D44C23" w:rsidRPr="00513A39" w:rsidRDefault="00581D4A" w:rsidP="001D404B">
            <w:pPr>
              <w:rPr>
                <w:rFonts w:ascii="Calibri" w:eastAsia="Calibri" w:hAnsi="Calibri" w:cs="Times New Roman"/>
                <w:iCs/>
              </w:rPr>
            </w:pPr>
            <m:oMathPara>
              <m:oMathParaPr>
                <m:jc m:val="righ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*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</w:rPr>
                  <m:t>-ρ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t-1</m:t>
                    </m:r>
                  </m:sub>
                </m:sSub>
              </m:oMath>
            </m:oMathPara>
          </w:p>
        </w:tc>
        <w:tc>
          <w:tcPr>
            <w:tcW w:w="4508" w:type="dxa"/>
          </w:tcPr>
          <w:p w14:paraId="4BA12A32" w14:textId="77777777" w:rsidR="00D44C23" w:rsidRPr="00C616D3" w:rsidRDefault="00D44C23" w:rsidP="001D404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(9b)</w:t>
            </w:r>
          </w:p>
        </w:tc>
      </w:tr>
    </w:tbl>
    <w:p w14:paraId="28357F3F" w14:textId="77777777" w:rsidR="00D44C23" w:rsidRDefault="00D44C23" w:rsidP="00D44C23">
      <w:pPr>
        <w:rPr>
          <w:rFonts w:eastAsiaTheme="minorEastAsia"/>
          <w:iCs/>
        </w:rPr>
      </w:pPr>
      <w:r>
        <w:rPr>
          <w:rFonts w:eastAsiaTheme="minorEastAsia"/>
          <w:iCs/>
        </w:rPr>
        <w:t xml:space="preserve">Then fit </w:t>
      </w:r>
      <m:oMath>
        <m:sSubSup>
          <m:sSubSupPr>
            <m:ctrlPr>
              <w:rPr>
                <w:rFonts w:ascii="Cambria Math" w:eastAsiaTheme="minorEastAsia" w:hAnsi="Cambria Math"/>
                <w:i/>
                <w:iCs/>
              </w:rPr>
            </m:ctrlPr>
          </m:sSubSup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  <m:sup>
            <m:r>
              <w:rPr>
                <w:rFonts w:ascii="Cambria Math" w:eastAsiaTheme="minorEastAsia" w:hAnsi="Cambria Math"/>
              </w:rPr>
              <m:t>*</m:t>
            </m:r>
          </m:sup>
        </m:sSubSup>
        <m:r>
          <w:rPr>
            <w:rFonts w:ascii="Cambria Math" w:eastAsiaTheme="minorEastAsia" w:hAnsi="Cambria Math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  <w:iCs/>
              </w:rPr>
            </m:ctrlPr>
          </m:sSubSup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  <m:sup>
            <m:r>
              <w:rPr>
                <w:rFonts w:ascii="Cambria Math" w:eastAsiaTheme="minorEastAsia" w:hAnsi="Cambria Math"/>
              </w:rPr>
              <m:t>*</m:t>
            </m:r>
          </m:sup>
        </m:sSubSup>
        <m:r>
          <w:rPr>
            <w:rFonts w:ascii="Cambria Math" w:eastAsiaTheme="minorEastAsia" w:hAnsi="Cambria Math"/>
          </w:rPr>
          <m:t>β+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w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  <m:r>
          <w:rPr>
            <w:rFonts w:ascii="Cambria Math" w:eastAsiaTheme="minorEastAsia" w:hAnsi="Cambria Math"/>
          </w:rPr>
          <m:t xml:space="preserve"> </m:t>
        </m:r>
      </m:oMath>
      <w:r>
        <w:rPr>
          <w:rFonts w:eastAsiaTheme="minorEastAsia"/>
          <w:iCs/>
        </w:rPr>
        <w:t>, where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D44C23" w14:paraId="31B3B426" w14:textId="77777777" w:rsidTr="001D404B">
        <w:tc>
          <w:tcPr>
            <w:tcW w:w="4508" w:type="dxa"/>
          </w:tcPr>
          <w:p w14:paraId="275F5E98" w14:textId="77777777" w:rsidR="00D44C23" w:rsidRPr="00513A39" w:rsidRDefault="00581D4A" w:rsidP="001D404B">
            <w:pPr>
              <w:rPr>
                <w:rFonts w:eastAsiaTheme="minorEastAsia"/>
                <w:iCs/>
              </w:rPr>
            </w:pPr>
            <m:oMathPara>
              <m:oMathParaPr>
                <m:jc m:val="righ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=ε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-ρ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ε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t-1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 xml:space="preserve">∼N(0,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σ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)</m:t>
                </m:r>
              </m:oMath>
            </m:oMathPara>
          </w:p>
        </w:tc>
        <w:tc>
          <w:tcPr>
            <w:tcW w:w="4508" w:type="dxa"/>
          </w:tcPr>
          <w:p w14:paraId="10BCAFDF" w14:textId="77777777" w:rsidR="00D44C23" w:rsidRPr="00513A39" w:rsidRDefault="00D44C23" w:rsidP="001D404B">
            <w:pPr>
              <w:jc w:val="right"/>
              <w:rPr>
                <w:rFonts w:eastAsiaTheme="minorEastAsia"/>
                <w:i/>
              </w:rPr>
            </w:pPr>
            <w:r w:rsidRPr="00513A39">
              <w:rPr>
                <w:rFonts w:eastAsiaTheme="minorEastAsia"/>
                <w:i/>
              </w:rPr>
              <w:t>(10)</w:t>
            </w:r>
          </w:p>
        </w:tc>
      </w:tr>
    </w:tbl>
    <w:p w14:paraId="5612E57D" w14:textId="77777777" w:rsidR="00D44C23" w:rsidRDefault="00D44C23" w:rsidP="00D44C23">
      <w:pPr>
        <w:rPr>
          <w:rFonts w:eastAsiaTheme="minorEastAsia"/>
          <w:iCs/>
        </w:rPr>
      </w:pPr>
      <w:r>
        <w:rPr>
          <w:rFonts w:eastAsiaTheme="minorEastAsia"/>
          <w:iCs/>
        </w:rPr>
        <w:t>using OLS, and iterate until convergence.</w:t>
      </w:r>
    </w:p>
    <w:p w14:paraId="2DFAE023" w14:textId="77777777" w:rsidR="00D44C23" w:rsidRDefault="00D44C23" w:rsidP="00D44C23">
      <w:pPr>
        <w:rPr>
          <w:rFonts w:eastAsiaTheme="minorEastAsia"/>
          <w:iCs/>
        </w:rPr>
      </w:pPr>
      <w:r>
        <w:rPr>
          <w:rFonts w:eastAsiaTheme="minorEastAsia"/>
          <w:iCs/>
        </w:rPr>
        <w:t xml:space="preserve">Generally, the correlation is unknown, and must first be estimated. An estimate of autocorrelation at each iteration can be obtained using the OLS residuals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e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  <m:r>
          <w:rPr>
            <w:rFonts w:ascii="Cambria Math" w:eastAsiaTheme="minorEastAsia" w:hAnsi="Cambria Math"/>
          </w:rPr>
          <m:t xml:space="preserve"> </m:t>
        </m:r>
      </m:oMath>
      <w:r>
        <w:rPr>
          <w:rFonts w:eastAsiaTheme="minorEastAsia"/>
          <w:iCs/>
        </w:rPr>
        <w:t xml:space="preserve"> from fitting Equation (2) as above: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D44C23" w14:paraId="78568DD9" w14:textId="77777777" w:rsidTr="001D404B">
        <w:tc>
          <w:tcPr>
            <w:tcW w:w="4508" w:type="dxa"/>
          </w:tcPr>
          <w:p w14:paraId="0C757A48" w14:textId="77777777" w:rsidR="00D44C23" w:rsidRDefault="00581D4A" w:rsidP="001D404B">
            <w:pPr>
              <w:rPr>
                <w:rFonts w:eastAsiaTheme="minorEastAsia"/>
                <w:iCs/>
              </w:rPr>
            </w:pPr>
            <m:oMathPara>
              <m:oMath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iCs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</w:rPr>
                      <m:t>ρ</m:t>
                    </m:r>
                  </m:e>
                </m:acc>
                <m:r>
                  <w:rPr>
                    <w:rFonts w:ascii="Cambria Math" w:eastAsiaTheme="minorEastAsia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t=2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t-1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t</m:t>
                            </m:r>
                          </m:sub>
                        </m:sSub>
                      </m:e>
                    </m:nary>
                  </m:num>
                  <m:den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t=2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sup>
                      <m:e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t-1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bSup>
                      </m:e>
                    </m:nary>
                  </m:den>
                </m:f>
              </m:oMath>
            </m:oMathPara>
          </w:p>
        </w:tc>
        <w:tc>
          <w:tcPr>
            <w:tcW w:w="4508" w:type="dxa"/>
          </w:tcPr>
          <w:p w14:paraId="11E0CE49" w14:textId="77777777" w:rsidR="00D44C23" w:rsidRPr="001A24D9" w:rsidRDefault="00D44C23" w:rsidP="001D404B">
            <w:pPr>
              <w:jc w:val="right"/>
              <w:rPr>
                <w:rFonts w:eastAsiaTheme="minorEastAsia"/>
                <w:i/>
              </w:rPr>
            </w:pPr>
            <w:r w:rsidRPr="001A24D9">
              <w:rPr>
                <w:rFonts w:eastAsiaTheme="minorEastAsia"/>
                <w:i/>
              </w:rPr>
              <w:t>(</w:t>
            </w:r>
            <w:r>
              <w:rPr>
                <w:rFonts w:eastAsiaTheme="minorEastAsia"/>
                <w:i/>
              </w:rPr>
              <w:t>11</w:t>
            </w:r>
            <w:r w:rsidRPr="001A24D9">
              <w:rPr>
                <w:rFonts w:eastAsiaTheme="minorEastAsia"/>
                <w:i/>
              </w:rPr>
              <w:t>)</w:t>
            </w:r>
          </w:p>
        </w:tc>
      </w:tr>
    </w:tbl>
    <w:p w14:paraId="2B8CBB0A" w14:textId="38BE9681" w:rsidR="00D44C23" w:rsidRDefault="00D44C23" w:rsidP="00D44C23">
      <w:r>
        <w:rPr>
          <w:rStyle w:val="CommentReference"/>
        </w:rPr>
        <w:t xml:space="preserve"> </w:t>
      </w:r>
      <w:r>
        <w:t xml:space="preserve">The CO method discards the first observation, while the PW method retains the first observation, but applies the following transformation </w:t>
      </w:r>
      <w:r>
        <w:fldChar w:fldCharType="begin"/>
      </w:r>
      <w:r>
        <w:instrText xml:space="preserve"> ADDIN EN.CITE &lt;EndNote&gt;&lt;Cite&gt;&lt;Author&gt;Prais&lt;/Author&gt;&lt;Year&gt;1954&lt;/Year&gt;&lt;RecNum&gt;98&lt;/RecNum&gt;&lt;DisplayText&gt;(2)&lt;/DisplayText&gt;&lt;record&gt;&lt;rec-number&gt;98&lt;/rec-number&gt;&lt;foreign-keys&gt;&lt;key app="EN" db-id="ear5rvzffvzrtee2998vsp2q5t0pf90rz02d" timestamp="1603061373"&gt;98&lt;/key&gt;&lt;/foreign-keys&gt;&lt;ref-type name="Manuscript"&gt;36&lt;/ref-type&gt;&lt;contributors&gt;&lt;authors&gt;&lt;author&gt;Prais, S.J., Winsten, C.B.&lt;/author&gt;&lt;/authors&gt;&lt;secondary-authors&gt;&lt;author&gt;Yale University&lt;/author&gt;&lt;/secondary-authors&gt;&lt;/contributors&gt;&lt;titles&gt;&lt;title&gt;Trend estimators and serial correlation.&lt;/title&gt;&lt;secondary-title&gt;Cowles Commision&lt;/secondary-title&gt;&lt;/titles&gt;&lt;num-vols&gt;&lt;style face="normal" font="default" size="10"&gt;Working paper 383&lt;/style&gt;&lt;/num-vols&gt;&lt;dates&gt;&lt;year&gt;1954&lt;/year&gt;&lt;/dates&gt;&lt;urls&gt;&lt;related-urls&gt;&lt;url&gt;http://cowles.econ.yale.edu/P/ccdp/st/s-0383.pdf&lt;/url&gt;&lt;/related-urls&gt;&lt;/urls&gt;&lt;/record&gt;&lt;/Cite&gt;&lt;/EndNote&gt;</w:instrText>
      </w:r>
      <w:r>
        <w:fldChar w:fldCharType="separate"/>
      </w:r>
      <w:r>
        <w:rPr>
          <w:noProof/>
        </w:rPr>
        <w:t>(2)</w:t>
      </w:r>
      <w:r>
        <w:fldChar w:fldCharType="end"/>
      </w:r>
      <w: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1645"/>
      </w:tblGrid>
      <w:tr w:rsidR="00D44C23" w14:paraId="1C28DB8F" w14:textId="77777777" w:rsidTr="000B4F7F">
        <w:tc>
          <w:tcPr>
            <w:tcW w:w="7371" w:type="dxa"/>
          </w:tcPr>
          <w:p w14:paraId="50F03630" w14:textId="77777777" w:rsidR="00D44C23" w:rsidRPr="0036199C" w:rsidRDefault="00581D4A" w:rsidP="001D404B">
            <w:pPr>
              <w:rPr>
                <w:rFonts w:eastAsiaTheme="minorEastAsia"/>
                <w:iCs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*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=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ρ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rad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 and 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*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ρ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D44C23">
              <w:rPr>
                <w:rFonts w:eastAsiaTheme="minorEastAsia"/>
                <w:iCs/>
              </w:rPr>
              <w:t xml:space="preserve">, where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oMath>
            <w:r w:rsidR="00D44C23">
              <w:rPr>
                <w:rFonts w:eastAsiaTheme="minorEastAsia"/>
                <w:iCs/>
              </w:rPr>
              <w:t xml:space="preserve"> is the first row of X.</w:t>
            </w:r>
          </w:p>
        </w:tc>
        <w:tc>
          <w:tcPr>
            <w:tcW w:w="1645" w:type="dxa"/>
          </w:tcPr>
          <w:p w14:paraId="2A5BBB30" w14:textId="77777777" w:rsidR="00D44C23" w:rsidRPr="0036199C" w:rsidRDefault="00D44C23" w:rsidP="001D404B">
            <w:pPr>
              <w:jc w:val="right"/>
              <w:rPr>
                <w:i/>
                <w:iCs/>
              </w:rPr>
            </w:pPr>
            <w:r w:rsidRPr="0036199C">
              <w:rPr>
                <w:i/>
                <w:iCs/>
              </w:rPr>
              <w:t>(1</w:t>
            </w:r>
            <w:r>
              <w:rPr>
                <w:i/>
                <w:iCs/>
              </w:rPr>
              <w:t>2</w:t>
            </w:r>
            <w:r w:rsidRPr="0036199C">
              <w:rPr>
                <w:i/>
                <w:iCs/>
              </w:rPr>
              <w:t>)</w:t>
            </w:r>
          </w:p>
        </w:tc>
      </w:tr>
    </w:tbl>
    <w:p w14:paraId="667BBC7D" w14:textId="5E1B7C75" w:rsidR="00D44C23" w:rsidRDefault="00581D4A" w:rsidP="00D44C23">
      <w:pPr>
        <w:pStyle w:val="A2ndLevel"/>
        <w:numPr>
          <w:ilvl w:val="1"/>
          <w:numId w:val="3"/>
        </w:numPr>
      </w:pPr>
      <w:bookmarkStart w:id="4" w:name="_Ref48119493"/>
      <w:r>
        <w:t>ARIMA/ARMAX Regression with Autoregressive errors estimated using maximum likelihood</w:t>
      </w:r>
      <w:bookmarkEnd w:id="4"/>
    </w:p>
    <w:p w14:paraId="33FAE273" w14:textId="67247764" w:rsidR="000B4F7F" w:rsidRDefault="00D44C23" w:rsidP="00D44C23">
      <w:r>
        <w:t xml:space="preserve">The ARIMA model </w:t>
      </w:r>
      <w:r w:rsidR="00581D4A">
        <w:t xml:space="preserve">may </w:t>
      </w:r>
      <w:r>
        <w:t xml:space="preserve">include </w:t>
      </w:r>
      <w:r w:rsidR="00581D4A">
        <w:t xml:space="preserve">information </w:t>
      </w:r>
      <w:r>
        <w:t>from previous time points. In an ARIMA model with first order autocorrelation only, i.e. ARIMA(1,0,0), equations (1) and (2) are fit simultaneously by maximum likelihood</w:t>
      </w:r>
      <w:r w:rsidR="001004C0">
        <w:t xml:space="preserve"> </w:t>
      </w:r>
      <w:r w:rsidR="001004C0">
        <w:fldChar w:fldCharType="begin"/>
      </w:r>
      <w:r w:rsidR="001004C0">
        <w:instrText xml:space="preserve"> ADDIN EN.CITE &lt;EndNote&gt;&lt;Cite&gt;&lt;Author&gt;StataCorp&lt;/Author&gt;&lt;Year&gt;2017&lt;/Year&gt;&lt;RecNum&gt;85&lt;/RecNum&gt;&lt;DisplayText&gt;(1)&lt;/DisplayText&gt;&lt;record&gt;&lt;rec-number&gt;85&lt;/rec-number&gt;&lt;foreign-keys&gt;&lt;key app="EN" db-id="ear5rvzffvzrtee2998vsp2q5t0pf90rz02d" timestamp="1597190543"&gt;85&lt;/key&gt;&lt;/foreign-keys&gt;&lt;ref-type name="Book"&gt;6&lt;/ref-type&gt;&lt;contributors&gt;&lt;authors&gt;&lt;author&gt;StataCorp&lt;/author&gt;&lt;/authors&gt;&lt;/contributors&gt;&lt;titles&gt;&lt;title&gt;Stata 15 Base Reference Manual&lt;/title&gt;&lt;/titles&gt;&lt;dates&gt;&lt;year&gt;2017&lt;/year&gt;&lt;/dates&gt;&lt;pub-location&gt;College Station, TX&lt;/pub-location&gt;&lt;publisher&gt;Stata Press&lt;/publisher&gt;&lt;urls&gt;&lt;/urls&gt;&lt;/record&gt;&lt;/Cite&gt;&lt;/EndNote&gt;</w:instrText>
      </w:r>
      <w:r w:rsidR="001004C0">
        <w:fldChar w:fldCharType="separate"/>
      </w:r>
      <w:r w:rsidR="001004C0">
        <w:rPr>
          <w:noProof/>
        </w:rPr>
        <w:t>(1)</w:t>
      </w:r>
      <w:r w:rsidR="001004C0">
        <w:fldChar w:fldCharType="end"/>
      </w:r>
      <w:r>
        <w:t>.</w:t>
      </w:r>
      <w:r w:rsidR="00581D4A">
        <w:t xml:space="preserve"> ARMAX models add covariates to ARIMA models </w:t>
      </w:r>
      <w:r w:rsidR="00581D4A">
        <w:fldChar w:fldCharType="begin"/>
      </w:r>
      <w:r w:rsidR="00581D4A">
        <w:instrText xml:space="preserve"> ADDIN EN.CITE &lt;EndNote&gt;&lt;Cite&gt;&lt;Author&gt;StataCorp&lt;/Author&gt;&lt;Year&gt;2017&lt;/Year&gt;&lt;RecNum&gt;85&lt;/RecNum&gt;&lt;DisplayText&gt;(1, 3)&lt;/DisplayText&gt;&lt;record&gt;&lt;rec-number&gt;85&lt;/rec-number&gt;&lt;foreign-keys&gt;&lt;key app="EN" db-id="ear5rvzffvzrtee2998vsp2q5t0pf90rz02d" timestamp="1597190543"&gt;85&lt;/key&gt;&lt;/foreign-keys&gt;&lt;ref-type name="Book"&gt;6&lt;/ref-type&gt;&lt;contributors&gt;&lt;authors&gt;&lt;author&gt;StataCorp&lt;/author&gt;&lt;/authors&gt;&lt;/contributors&gt;&lt;titles&gt;&lt;title&gt;Stata 15 Base Reference Manual&lt;/title&gt;&lt;/titles&gt;&lt;dates&gt;&lt;year&gt;2017&lt;/year&gt;&lt;/dates&gt;&lt;pub-location&gt;College Station, TX&lt;/pub-location&gt;&lt;publisher&gt;Stata Press&lt;/publisher&gt;&lt;urls&gt;&lt;/urls&gt;&lt;/record&gt;&lt;/Cite&gt;&lt;Cite&gt;&lt;Author&gt;Paolella&lt;/Author&gt;&lt;Year&gt;2019&lt;/Year&gt;&lt;RecNum&gt;138&lt;/RecNum&gt;&lt;record&gt;&lt;rec-number&gt;138&lt;/rec-number&gt;&lt;foreign-keys&gt;&lt;key app="EN" db-id="ear5rvzffvzrtee2998vsp2q5t0pf90rz02d" timestamp="1624837609"&gt;138&lt;/key&gt;&lt;/foreign-keys&gt;&lt;ref-type name="Book"&gt;6&lt;/ref-type&gt;&lt;contributors&gt;&lt;authors&gt;&lt;author&gt;Paolella, Marc S.&lt;/author&gt;&lt;/authors&gt;&lt;/contributors&gt;&lt;titles&gt;&lt;title&gt;Linear models and time-series analysis : regression, ANOVA, ARMA and GARCH&lt;/title&gt;&lt;/titles&gt;&lt;keywords&gt;&lt;keyword&gt;Time-series analysis&lt;/keyword&gt;&lt;keyword&gt;Linear models (Statistics)&lt;/keyword&gt;&lt;/keywords&gt;&lt;dates&gt;&lt;year&gt;2019&lt;/year&gt;&lt;/dates&gt;&lt;publisher&gt;Hoboken, NJ : John Wiley &amp;amp; Sons, Inc.&lt;/publisher&gt;&lt;urls&gt;&lt;/urls&gt;&lt;/record&gt;&lt;/Cite&gt;&lt;/EndNote&gt;</w:instrText>
      </w:r>
      <w:r w:rsidR="00581D4A">
        <w:fldChar w:fldCharType="separate"/>
      </w:r>
      <w:r w:rsidR="00581D4A">
        <w:rPr>
          <w:noProof/>
        </w:rPr>
        <w:t>(1, 3)</w:t>
      </w:r>
      <w:r w:rsidR="00581D4A">
        <w:fldChar w:fldCharType="end"/>
      </w:r>
      <w:r w:rsidR="00581D4A">
        <w:t>.</w:t>
      </w:r>
    </w:p>
    <w:p w14:paraId="7361FA66" w14:textId="77777777" w:rsidR="000B4F7F" w:rsidRDefault="000B4F7F">
      <w:pPr>
        <w:spacing w:after="160" w:line="259" w:lineRule="auto"/>
      </w:pPr>
      <w:r>
        <w:br w:type="page"/>
      </w:r>
    </w:p>
    <w:p w14:paraId="3ACE23DA" w14:textId="77777777" w:rsidR="00D44C23" w:rsidRDefault="00D44C23" w:rsidP="00D44C23">
      <w:pPr>
        <w:pStyle w:val="A2ndLevel"/>
        <w:numPr>
          <w:ilvl w:val="1"/>
          <w:numId w:val="3"/>
        </w:numPr>
      </w:pPr>
      <w:bookmarkStart w:id="5" w:name="_Ref48119553"/>
      <w:r>
        <w:t>Durbin-Watson test for autocorrelation</w:t>
      </w:r>
      <w:bookmarkEnd w:id="5"/>
    </w:p>
    <w:p w14:paraId="11424661" w14:textId="77777777" w:rsidR="00D44C23" w:rsidRDefault="00D44C23" w:rsidP="00D44C23">
      <w:r>
        <w:t>The Durbin-Watson test statistic is given by: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D44C23" w14:paraId="19EDABC3" w14:textId="77777777" w:rsidTr="001D404B">
        <w:tc>
          <w:tcPr>
            <w:tcW w:w="4508" w:type="dxa"/>
          </w:tcPr>
          <w:p w14:paraId="3692A518" w14:textId="77777777" w:rsidR="00D44C23" w:rsidRPr="00AB6881" w:rsidRDefault="00D44C23" w:rsidP="001D404B">
            <m:oMathPara>
              <m:oMathParaPr>
                <m:jc m:val="right"/>
              </m:oMathParaPr>
              <m:oMath>
                <m:r>
                  <w:rPr>
                    <w:rFonts w:ascii="Cambria Math" w:hAnsi="Cambria Math"/>
                  </w:rPr>
                  <m:t>D=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t=2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t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t-1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</m:e>
                    </m:nary>
                  </m:num>
                  <m:den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t=1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sup>
                      <m:e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bSup>
                      </m:e>
                    </m:nary>
                  </m:den>
                </m:f>
              </m:oMath>
            </m:oMathPara>
          </w:p>
        </w:tc>
        <w:tc>
          <w:tcPr>
            <w:tcW w:w="4508" w:type="dxa"/>
          </w:tcPr>
          <w:p w14:paraId="32D469DA" w14:textId="77777777" w:rsidR="00D44C23" w:rsidRPr="001952C5" w:rsidRDefault="00D44C23" w:rsidP="001D404B">
            <w:pPr>
              <w:jc w:val="right"/>
              <w:rPr>
                <w:i/>
                <w:iCs/>
              </w:rPr>
            </w:pPr>
            <w:r w:rsidRPr="001952C5">
              <w:rPr>
                <w:i/>
                <w:iCs/>
              </w:rPr>
              <w:t>(13)</w:t>
            </w:r>
          </w:p>
        </w:tc>
      </w:tr>
    </w:tbl>
    <w:p w14:paraId="4DE309F7" w14:textId="77777777" w:rsidR="00D44C23" w:rsidRDefault="00D44C23" w:rsidP="00D44C23">
      <w:r>
        <w:t>For test statistic values under two, D is compared to lower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  <m:r>
          <w:rPr>
            <w:rFonts w:ascii="Cambria Math" w:hAnsi="Cambria Math"/>
          </w:rPr>
          <m:t>)</m:t>
        </m:r>
      </m:oMath>
      <w:r>
        <w:t xml:space="preserve"> and upper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U</m:t>
            </m:r>
          </m:sub>
        </m:sSub>
        <m:r>
          <w:rPr>
            <w:rFonts w:ascii="Cambria Math" w:hAnsi="Cambria Math"/>
          </w:rPr>
          <m:t xml:space="preserve">) </m:t>
        </m:r>
      </m:oMath>
      <w:r>
        <w:t>bounds, leading to either a conclusive or inconclusive result.</w:t>
      </w:r>
      <w:r w:rsidRPr="00220918">
        <w:t xml:space="preserve"> </w:t>
      </w:r>
      <w:r>
        <w:t xml:space="preserve">For test statistic values over two, 4-D is compared to the lower and upper bounds and a conclusive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alternative</m:t>
            </m:r>
          </m:sub>
        </m:sSub>
        <m:r>
          <w:rPr>
            <w:rFonts w:ascii="Cambria Math" w:hAnsi="Cambria Math"/>
          </w:rPr>
          <m:t xml:space="preserve"> </m:t>
        </m:r>
      </m:oMath>
      <w:r>
        <w:t>indicates the presence of negative autocorrelation: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D44C23" w14:paraId="20D91889" w14:textId="77777777" w:rsidTr="001D404B">
        <w:tc>
          <w:tcPr>
            <w:tcW w:w="4508" w:type="dxa"/>
          </w:tcPr>
          <w:p w14:paraId="1A02366E" w14:textId="77777777" w:rsidR="00D44C23" w:rsidRDefault="00D44C23" w:rsidP="001D404B">
            <w:pPr>
              <w:jc w:val="right"/>
            </w:pPr>
            <w:r>
              <w:t xml:space="preserve"> </w:t>
            </w:r>
            <m:oMath>
              <m:r>
                <w:rPr>
                  <w:rFonts w:ascii="Cambria Math" w:hAnsi="Cambria Math"/>
                </w:rPr>
                <m:t>If D&gt;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U</m:t>
                  </m:r>
                </m:sub>
              </m:sSub>
              <m:r>
                <w:rPr>
                  <w:rFonts w:ascii="Cambria Math" w:hAnsi="Cambria Math"/>
                </w:rPr>
                <m:t xml:space="preserve">, conclude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o</m:t>
                  </m:r>
                </m:sub>
              </m:sSub>
            </m:oMath>
          </w:p>
        </w:tc>
        <w:tc>
          <w:tcPr>
            <w:tcW w:w="4508" w:type="dxa"/>
          </w:tcPr>
          <w:p w14:paraId="61EECA70" w14:textId="77777777" w:rsidR="00D44C23" w:rsidRDefault="00D44C23" w:rsidP="001D404B"/>
        </w:tc>
      </w:tr>
      <w:tr w:rsidR="00D44C23" w14:paraId="05D07061" w14:textId="77777777" w:rsidTr="001D404B">
        <w:tc>
          <w:tcPr>
            <w:tcW w:w="4508" w:type="dxa"/>
          </w:tcPr>
          <w:p w14:paraId="438EFE2F" w14:textId="77777777" w:rsidR="00D44C23" w:rsidRPr="00951A05" w:rsidRDefault="00D44C23" w:rsidP="001D404B">
            <m:oMathPara>
              <m:oMathParaPr>
                <m:jc m:val="right"/>
              </m:oMathParaPr>
              <m:oMath>
                <m:r>
                  <w:rPr>
                    <w:rFonts w:ascii="Cambria Math" w:hAnsi="Cambria Math"/>
                  </w:rPr>
                  <m:t>If D&lt;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L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, conclude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alternative</m:t>
                    </m:r>
                  </m:sub>
                </m:sSub>
              </m:oMath>
            </m:oMathPara>
          </w:p>
        </w:tc>
        <w:tc>
          <w:tcPr>
            <w:tcW w:w="4508" w:type="dxa"/>
          </w:tcPr>
          <w:p w14:paraId="5FBA36AD" w14:textId="77777777" w:rsidR="00D44C23" w:rsidRDefault="00D44C23" w:rsidP="001D404B"/>
        </w:tc>
      </w:tr>
      <w:tr w:rsidR="00D44C23" w14:paraId="017992AC" w14:textId="77777777" w:rsidTr="001D404B">
        <w:tc>
          <w:tcPr>
            <w:tcW w:w="4508" w:type="dxa"/>
          </w:tcPr>
          <w:p w14:paraId="2873F170" w14:textId="77777777" w:rsidR="00D44C23" w:rsidRPr="00951A05" w:rsidRDefault="00D44C23" w:rsidP="001D404B">
            <m:oMathPara>
              <m:oMathParaPr>
                <m:jc m:val="right"/>
              </m:oMathParaPr>
              <m:oMath>
                <m:r>
                  <w:rPr>
                    <w:rFonts w:ascii="Cambria Math" w:hAnsi="Cambria Math"/>
                  </w:rPr>
                  <m:t xml:space="preserve">If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L</m:t>
                    </m:r>
                  </m:sub>
                </m:sSub>
                <m:r>
                  <w:rPr>
                    <w:rFonts w:ascii="Cambria Math" w:hAnsi="Cambria Math"/>
                  </w:rPr>
                  <m:t>≤D≤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U</m:t>
                    </m:r>
                  </m:sub>
                </m:sSub>
                <m:r>
                  <w:rPr>
                    <w:rFonts w:ascii="Cambria Math" w:hAnsi="Cambria Math"/>
                  </w:rPr>
                  <m:t>, inconclusive</m:t>
                </m:r>
              </m:oMath>
            </m:oMathPara>
          </w:p>
        </w:tc>
        <w:tc>
          <w:tcPr>
            <w:tcW w:w="4508" w:type="dxa"/>
          </w:tcPr>
          <w:p w14:paraId="03021202" w14:textId="77777777" w:rsidR="00D44C23" w:rsidRDefault="00D44C23" w:rsidP="001D404B"/>
        </w:tc>
      </w:tr>
    </w:tbl>
    <w:p w14:paraId="2FFC8FF4" w14:textId="576BC1E5" w:rsidR="000B4F7F" w:rsidRDefault="00D44C23" w:rsidP="00D44C23">
      <w:r>
        <w:t>Lower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  <m:r>
          <w:rPr>
            <w:rFonts w:ascii="Cambria Math" w:hAnsi="Cambria Math"/>
          </w:rPr>
          <m:t xml:space="preserve">) </m:t>
        </m:r>
      </m:oMath>
      <w:r>
        <w:t>and upper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U</m:t>
            </m:r>
          </m:sub>
        </m:sSub>
      </m:oMath>
      <w:r>
        <w:t>) bounds can be found in tables online or in textbooks, e.g. Kutner et al (2008)</w:t>
      </w:r>
      <w:r w:rsidR="00582D34">
        <w:fldChar w:fldCharType="begin"/>
      </w:r>
      <w:r w:rsidR="00581D4A">
        <w:instrText xml:space="preserve"> ADDIN EN.CITE &lt;EndNote&gt;&lt;Cite&gt;&lt;Author&gt;Kutner&lt;/Author&gt;&lt;Year&gt;2008&lt;/Year&gt;&lt;RecNum&gt;58&lt;/RecNum&gt;&lt;DisplayText&gt;(4)&lt;/DisplayText&gt;&lt;record&gt;&lt;rec-number&gt;58&lt;/rec-number&gt;&lt;foreign-keys&gt;&lt;key app="EN" db-id="ear5rvzffvzrtee2998vsp2q5t0pf90rz02d" timestamp="1583375753"&gt;58&lt;/key&gt;&lt;/foreign-keys&gt;&lt;ref-type name="Generic"&gt;13&lt;/ref-type&gt;&lt;contributors&gt;&lt;authors&gt;&lt;author&gt;Kutner, Michael&lt;/author&gt;&lt;author&gt;Nachtscheim, Christopher&lt;/author&gt;&lt;author&gt;Neter, John&lt;/author&gt;&lt;author&gt;Li, William&lt;/author&gt;&lt;author&gt;Senter, Herman&lt;/author&gt;&lt;/authors&gt;&lt;secondary-authors&gt;&lt;author&gt;Kutner, Michael&lt;/author&gt;&lt;author&gt;Nachtscheim, Christopher&lt;/author&gt;&lt;author&gt;Neter, John&lt;/author&gt;&lt;author&gt;Li, William&lt;/author&gt;&lt;author&gt;Senter, Herman&lt;/author&gt;&lt;/secondary-authors&gt;&lt;/contributors&gt;&lt;titles&gt;&lt;title&gt;Applied linear statistical models&lt;/title&gt;&lt;/titles&gt;&lt;pages&gt;880-880&lt;/pages&gt;&lt;volume&gt;103&lt;/volume&gt;&lt;keywords&gt;&lt;keyword&gt;Statistical Methods&lt;/keyword&gt;&lt;keyword&gt;Statistics&lt;/keyword&gt;&lt;keyword&gt;Textbooks&lt;/keyword&gt;&lt;keyword&gt;Linear Models&lt;/keyword&gt;&lt;keyword&gt;Economics&lt;/keyword&gt;&lt;/keywords&gt;&lt;dates&gt;&lt;year&gt;2008&lt;/year&gt;&lt;/dates&gt;&lt;isbn&gt;0162-1459&lt;/isbn&gt;&lt;urls&gt;&lt;/urls&gt;&lt;electronic-resource-num&gt;10.1198/016214508000000300&lt;/electronic-resource-num&gt;&lt;/record&gt;&lt;/Cite&gt;&lt;/EndNote&gt;</w:instrText>
      </w:r>
      <w:r w:rsidR="00582D34">
        <w:fldChar w:fldCharType="separate"/>
      </w:r>
      <w:r w:rsidR="00581D4A">
        <w:rPr>
          <w:noProof/>
        </w:rPr>
        <w:t>(4)</w:t>
      </w:r>
      <w:r w:rsidR="00582D34">
        <w:fldChar w:fldCharType="end"/>
      </w:r>
      <w:r>
        <w:t>.</w:t>
      </w:r>
    </w:p>
    <w:p w14:paraId="7C392EBA" w14:textId="77777777" w:rsidR="000B4F7F" w:rsidRDefault="000B4F7F">
      <w:pPr>
        <w:spacing w:after="160" w:line="259" w:lineRule="auto"/>
      </w:pPr>
      <w:r>
        <w:br w:type="page"/>
      </w:r>
    </w:p>
    <w:p w14:paraId="072B4859" w14:textId="77777777" w:rsidR="00D44C23" w:rsidRDefault="00D44C23" w:rsidP="00D44C23">
      <w:pPr>
        <w:pStyle w:val="A1stlevel"/>
        <w:numPr>
          <w:ilvl w:val="0"/>
          <w:numId w:val="3"/>
        </w:numPr>
      </w:pPr>
      <w:bookmarkStart w:id="6" w:name="_Ref48120740"/>
      <w:r>
        <w:t>Definitions of performance measures</w:t>
      </w:r>
      <w:bookmarkEnd w:id="6"/>
    </w:p>
    <w:p w14:paraId="22833452" w14:textId="384BCC64" w:rsidR="00D44C23" w:rsidRDefault="00D44C23" w:rsidP="00D44C23">
      <w:r>
        <w:t xml:space="preserve">The definitions of performance measures used to compare statistical methods are given in </w:t>
      </w:r>
      <w:r>
        <w:fldChar w:fldCharType="begin"/>
      </w:r>
      <w:r>
        <w:instrText xml:space="preserve"> REF _Ref58917348 \h </w:instrText>
      </w:r>
      <w:r>
        <w:fldChar w:fldCharType="separate"/>
      </w:r>
      <w:r>
        <w:t xml:space="preserve">Table </w:t>
      </w:r>
      <w:r>
        <w:rPr>
          <w:noProof/>
        </w:rPr>
        <w:t>1</w:t>
      </w:r>
      <w:r>
        <w:fldChar w:fldCharType="end"/>
      </w:r>
      <w:r>
        <w:t xml:space="preserve">. </w:t>
      </w:r>
    </w:p>
    <w:p w14:paraId="68E1CBC8" w14:textId="75BA9FDA" w:rsidR="00D44C23" w:rsidRDefault="00D44C23" w:rsidP="00D44C23">
      <w:pPr>
        <w:pStyle w:val="Caption"/>
        <w:keepNext/>
      </w:pPr>
      <w:bookmarkStart w:id="7" w:name="_Ref58917348"/>
      <w:r>
        <w:t xml:space="preserve">Table </w:t>
      </w:r>
      <w:fldSimple w:instr=" SEQ Table \* ARABIC ">
        <w:r>
          <w:rPr>
            <w:noProof/>
          </w:rPr>
          <w:t>1</w:t>
        </w:r>
      </w:fldSimple>
      <w:bookmarkEnd w:id="7"/>
      <w:r>
        <w:t>:</w:t>
      </w:r>
      <w:r w:rsidRPr="00D44C23">
        <w:t xml:space="preserve"> </w:t>
      </w:r>
      <w:r>
        <w:t>Definitions of performance measures.</w:t>
      </w:r>
      <w:r w:rsidRPr="009D4012">
        <w:t xml:space="preserve"> </w:t>
      </w:r>
      <w:r>
        <w:t xml:space="preserve">Where </w:t>
      </w:r>
      <m:oMath>
        <m:r>
          <w:rPr>
            <w:rFonts w:ascii="Cambria Math" w:hAnsi="Cambria Math"/>
            <w:sz w:val="20"/>
            <w:szCs w:val="20"/>
          </w:rPr>
          <m:t>θ</m:t>
        </m:r>
      </m:oMath>
      <w:r>
        <w:rPr>
          <w:rFonts w:eastAsiaTheme="minorEastAsia"/>
          <w:sz w:val="20"/>
          <w:szCs w:val="20"/>
        </w:rPr>
        <w:t xml:space="preserve"> </w:t>
      </w:r>
      <w:r w:rsidRPr="004E0335">
        <w:t>represents the parameter under investigation,</w:t>
      </w:r>
      <w:r>
        <w:rPr>
          <w:rFonts w:eastAsiaTheme="minorEastAsia"/>
          <w:sz w:val="20"/>
          <w:szCs w:val="20"/>
        </w:rPr>
        <w:t xml:space="preserve"> </w:t>
      </w:r>
      <m:oMath>
        <m:acc>
          <m:accPr>
            <m:ctrlPr>
              <w:rPr>
                <w:rFonts w:ascii="Cambria Math" w:hAnsi="Cambria Math"/>
                <w:i w:val="0"/>
                <w:sz w:val="20"/>
                <w:szCs w:val="20"/>
              </w:rPr>
            </m:ctrlPr>
          </m:accPr>
          <m:e>
            <m:r>
              <w:rPr>
                <w:rFonts w:ascii="Cambria Math" w:hAnsi="Cambria Math"/>
                <w:sz w:val="20"/>
                <w:szCs w:val="20"/>
              </w:rPr>
              <m:t>θ</m:t>
            </m:r>
          </m:e>
        </m:acc>
      </m:oMath>
      <w:r>
        <w:rPr>
          <w:rFonts w:eastAsiaTheme="minorEastAsia"/>
          <w:sz w:val="20"/>
          <w:szCs w:val="20"/>
        </w:rPr>
        <w:t xml:space="preserve"> </w:t>
      </w:r>
      <w:r w:rsidRPr="004E0335">
        <w:t>being the estimate of that parameter,</w:t>
      </w:r>
      <w:r>
        <w:rPr>
          <w:rFonts w:eastAsiaTheme="minorEastAsia"/>
          <w:sz w:val="20"/>
          <w:szCs w:val="20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 w:val="0"/>
                <w:sz w:val="20"/>
                <w:szCs w:val="20"/>
              </w:rPr>
            </m:ctrlPr>
          </m:accPr>
          <m:e>
            <m:r>
              <w:rPr>
                <w:rFonts w:ascii="Cambria Math" w:hAnsi="Cambria Math"/>
                <w:sz w:val="20"/>
                <w:szCs w:val="20"/>
              </w:rPr>
              <m:t>θ</m:t>
            </m:r>
          </m:e>
        </m:acc>
      </m:oMath>
      <w:r>
        <w:rPr>
          <w:rFonts w:eastAsiaTheme="minorEastAsia"/>
          <w:sz w:val="20"/>
          <w:szCs w:val="20"/>
        </w:rPr>
        <w:t xml:space="preserve"> </w:t>
      </w:r>
      <w:r w:rsidRPr="004E0335">
        <w:t>being the mean value of the estimate,</w:t>
      </w:r>
      <w:r>
        <w:rPr>
          <w:rFonts w:eastAsiaTheme="minorEastAsia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 w:val="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sim</m:t>
            </m:r>
          </m:sub>
        </m:sSub>
      </m:oMath>
      <w:r>
        <w:rPr>
          <w:rFonts w:eastAsiaTheme="minorEastAsia"/>
          <w:sz w:val="20"/>
          <w:szCs w:val="20"/>
        </w:rPr>
        <w:t xml:space="preserve"> </w:t>
      </w:r>
      <w:r w:rsidRPr="004E0335">
        <w:t>being the number of simulations (in this study, 10,000),</w:t>
      </w:r>
      <w:r>
        <w:rPr>
          <w:rFonts w:eastAsiaTheme="minorEastAsia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 w:val="0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i</m:t>
            </m:r>
          </m:sub>
        </m:sSub>
      </m:oMath>
      <w:r>
        <w:rPr>
          <w:rFonts w:eastAsiaTheme="minorEastAsia"/>
          <w:sz w:val="20"/>
          <w:szCs w:val="20"/>
        </w:rPr>
        <w:t xml:space="preserve"> </w:t>
      </w:r>
      <w:r w:rsidRPr="004E0335">
        <w:t>being the p-value of estimate</w:t>
      </w:r>
      <w:r>
        <w:rPr>
          <w:rFonts w:eastAsiaTheme="minorEastAsia"/>
          <w:sz w:val="20"/>
          <w:szCs w:val="20"/>
        </w:rPr>
        <w:t xml:space="preserve"> </w:t>
      </w:r>
      <m:oMath>
        <m:r>
          <w:rPr>
            <w:rFonts w:ascii="Cambria Math" w:hAnsi="Cambria Math"/>
            <w:sz w:val="20"/>
            <w:szCs w:val="20"/>
          </w:rPr>
          <m:t>i</m:t>
        </m:r>
      </m:oMath>
      <w:r>
        <w:rPr>
          <w:rFonts w:eastAsiaTheme="minorEastAsia"/>
          <w:sz w:val="20"/>
          <w:szCs w:val="20"/>
        </w:rPr>
        <w:t xml:space="preserve"> </w:t>
      </w:r>
      <w:r w:rsidRPr="004E0335">
        <w:t>and</w:t>
      </w:r>
      <w:r>
        <w:rPr>
          <w:rFonts w:eastAsiaTheme="minorEastAsia"/>
          <w:sz w:val="20"/>
          <w:szCs w:val="20"/>
        </w:rPr>
        <w:t xml:space="preserve"> </w:t>
      </w:r>
      <m:oMath>
        <m:r>
          <w:rPr>
            <w:rFonts w:ascii="Cambria Math" w:hAnsi="Cambria Math"/>
            <w:sz w:val="20"/>
            <w:szCs w:val="20"/>
          </w:rPr>
          <m:t>α</m:t>
        </m:r>
      </m:oMath>
      <w:r>
        <w:rPr>
          <w:rFonts w:eastAsiaTheme="minorEastAsia"/>
          <w:sz w:val="20"/>
          <w:szCs w:val="20"/>
        </w:rPr>
        <w:t xml:space="preserve"> </w:t>
      </w:r>
      <w:r w:rsidRPr="004E0335">
        <w:t>being the significance level</w:t>
      </w:r>
      <w:r>
        <w:t xml:space="preserve"> </w:t>
      </w:r>
      <w:r>
        <w:fldChar w:fldCharType="begin"/>
      </w:r>
      <w:r w:rsidR="00581D4A">
        <w:instrText xml:space="preserve"> ADDIN EN.CITE &lt;EndNote&gt;&lt;Cite&gt;&lt;Author&gt;Morris&lt;/Author&gt;&lt;Year&gt;2019&lt;/Year&gt;&lt;RecNum&gt;26&lt;/RecNum&gt;&lt;DisplayText&gt;(5)&lt;/DisplayText&gt;&lt;record&gt;&lt;rec-number&gt;26&lt;/rec-number&gt;&lt;foreign-keys&gt;&lt;key app="EN" db-id="ear5rvzffvzrtee2998vsp2q5t0pf90rz02d" timestamp="1566774161"&gt;26&lt;/key&gt;&lt;/foreign-keys&gt;&lt;ref-type name="Journal Article"&gt;17&lt;/ref-type&gt;&lt;contributors&gt;&lt;authors&gt;&lt;author&gt;Morris, Tim P.&lt;/author&gt;&lt;author&gt;White, Ian R.&lt;/author&gt;&lt;author&gt;Crowther, Michael J.&lt;/author&gt;&lt;/authors&gt;&lt;/contributors&gt;&lt;titles&gt;&lt;title&gt;Using simulation studies to evaluate statistical methods&lt;/title&gt;&lt;secondary-title&gt;Statistics in Medicine&lt;/secondary-title&gt;&lt;/titles&gt;&lt;periodical&gt;&lt;full-title&gt;Statistics in Medicine&lt;/full-title&gt;&lt;/periodical&gt;&lt;pages&gt;2074-2102&lt;/pages&gt;&lt;volume&gt;38&lt;/volume&gt;&lt;number&gt;11&lt;/number&gt;&lt;dates&gt;&lt;year&gt;2019&lt;/year&gt;&lt;/dates&gt;&lt;isbn&gt;0277-6715&lt;/isbn&gt;&lt;urls&gt;&lt;related-urls&gt;&lt;url&gt;https://onlinelibrary.wiley.com/doi/abs/10.1002/sim.8086&lt;/url&gt;&lt;/related-urls&gt;&lt;/urls&gt;&lt;electronic-resource-num&gt;10.1002/sim.8086&lt;/electronic-resource-num&gt;&lt;/record&gt;&lt;/Cite&gt;&lt;/EndNote&gt;</w:instrText>
      </w:r>
      <w:r>
        <w:fldChar w:fldCharType="separate"/>
      </w:r>
      <w:r w:rsidR="00581D4A">
        <w:rPr>
          <w:noProof/>
        </w:rPr>
        <w:t>(5)</w:t>
      </w:r>
      <w:r>
        <w:fldChar w:fldCharType="end"/>
      </w:r>
      <w:r>
        <w:t>.</w:t>
      </w:r>
    </w:p>
    <w:tbl>
      <w:tblPr>
        <w:tblStyle w:val="PlainTable2"/>
        <w:tblW w:w="0" w:type="auto"/>
        <w:tblLook w:val="0620" w:firstRow="1" w:lastRow="0" w:firstColumn="0" w:lastColumn="0" w:noHBand="1" w:noVBand="1"/>
      </w:tblPr>
      <w:tblGrid>
        <w:gridCol w:w="2293"/>
        <w:gridCol w:w="3005"/>
        <w:gridCol w:w="3628"/>
      </w:tblGrid>
      <w:tr w:rsidR="00D44C23" w14:paraId="0C7A4705" w14:textId="77777777" w:rsidTr="001D4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93" w:type="dxa"/>
          </w:tcPr>
          <w:p w14:paraId="6D4456BC" w14:textId="77777777" w:rsidR="00D44C23" w:rsidRPr="00776CBB" w:rsidRDefault="00D44C23" w:rsidP="001D404B">
            <w:pPr>
              <w:keepNext/>
              <w:rPr>
                <w:sz w:val="20"/>
                <w:szCs w:val="20"/>
              </w:rPr>
            </w:pPr>
            <w:r w:rsidRPr="00776CBB">
              <w:rPr>
                <w:sz w:val="20"/>
                <w:szCs w:val="20"/>
              </w:rPr>
              <w:t>Performance measure</w:t>
            </w:r>
          </w:p>
        </w:tc>
        <w:tc>
          <w:tcPr>
            <w:tcW w:w="3005" w:type="dxa"/>
          </w:tcPr>
          <w:p w14:paraId="71C06B6F" w14:textId="77777777" w:rsidR="00D44C23" w:rsidRPr="00776CBB" w:rsidRDefault="00D44C23" w:rsidP="001D404B">
            <w:pPr>
              <w:keepNext/>
              <w:rPr>
                <w:sz w:val="20"/>
                <w:szCs w:val="20"/>
              </w:rPr>
            </w:pPr>
            <w:r w:rsidRPr="00776CBB">
              <w:rPr>
                <w:sz w:val="20"/>
                <w:szCs w:val="20"/>
              </w:rPr>
              <w:t>Definition</w:t>
            </w:r>
          </w:p>
        </w:tc>
        <w:tc>
          <w:tcPr>
            <w:tcW w:w="3628" w:type="dxa"/>
          </w:tcPr>
          <w:p w14:paraId="7DE67097" w14:textId="77777777" w:rsidR="00D44C23" w:rsidRPr="00776CBB" w:rsidRDefault="00D44C23" w:rsidP="001D404B">
            <w:pPr>
              <w:keepNext/>
              <w:rPr>
                <w:sz w:val="20"/>
                <w:szCs w:val="20"/>
              </w:rPr>
            </w:pPr>
            <w:r w:rsidRPr="00776CBB">
              <w:rPr>
                <w:sz w:val="20"/>
                <w:szCs w:val="20"/>
              </w:rPr>
              <w:t>Estimate</w:t>
            </w:r>
          </w:p>
        </w:tc>
      </w:tr>
      <w:tr w:rsidR="00D44C23" w14:paraId="234919C7" w14:textId="77777777" w:rsidTr="001D404B">
        <w:tc>
          <w:tcPr>
            <w:tcW w:w="2293" w:type="dxa"/>
          </w:tcPr>
          <w:p w14:paraId="4A034F86" w14:textId="77777777" w:rsidR="00D44C23" w:rsidRPr="00776CBB" w:rsidRDefault="00D44C23" w:rsidP="001D404B">
            <w:pPr>
              <w:keepNext/>
              <w:rPr>
                <w:sz w:val="20"/>
                <w:szCs w:val="20"/>
              </w:rPr>
            </w:pPr>
            <w:r w:rsidRPr="00776CBB">
              <w:rPr>
                <w:sz w:val="20"/>
                <w:szCs w:val="20"/>
              </w:rPr>
              <w:t>Bias</w:t>
            </w:r>
          </w:p>
        </w:tc>
        <w:tc>
          <w:tcPr>
            <w:tcW w:w="3005" w:type="dxa"/>
          </w:tcPr>
          <w:p w14:paraId="7C0EB72B" w14:textId="77777777" w:rsidR="00D44C23" w:rsidRPr="00776CBB" w:rsidRDefault="00D44C23" w:rsidP="001D404B">
            <w:pPr>
              <w:keepNext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E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θ</m:t>
                        </m:r>
                      </m:e>
                    </m:acc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-θ</m:t>
                </m:r>
              </m:oMath>
            </m:oMathPara>
          </w:p>
        </w:tc>
        <w:tc>
          <w:tcPr>
            <w:tcW w:w="3628" w:type="dxa"/>
          </w:tcPr>
          <w:p w14:paraId="5B95F79D" w14:textId="77777777" w:rsidR="00D44C23" w:rsidRPr="00776CBB" w:rsidRDefault="00581D4A" w:rsidP="001D404B">
            <w:pPr>
              <w:keepNext/>
              <w:rPr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sim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sim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acc>
                          <m:acc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θ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-θ</m:t>
                    </m:r>
                  </m:e>
                </m:nary>
              </m:oMath>
            </m:oMathPara>
          </w:p>
        </w:tc>
      </w:tr>
      <w:tr w:rsidR="00D44C23" w14:paraId="0BA3A23F" w14:textId="77777777" w:rsidTr="001D404B">
        <w:tc>
          <w:tcPr>
            <w:tcW w:w="2293" w:type="dxa"/>
          </w:tcPr>
          <w:p w14:paraId="466EB5AB" w14:textId="77777777" w:rsidR="00D44C23" w:rsidRPr="00776CBB" w:rsidRDefault="00D44C23" w:rsidP="001D404B">
            <w:pPr>
              <w:keepNext/>
              <w:rPr>
                <w:sz w:val="20"/>
                <w:szCs w:val="20"/>
              </w:rPr>
            </w:pPr>
            <w:r w:rsidRPr="00776CBB">
              <w:rPr>
                <w:sz w:val="20"/>
                <w:szCs w:val="20"/>
              </w:rPr>
              <w:t>Empirical standard error</w:t>
            </w:r>
          </w:p>
        </w:tc>
        <w:tc>
          <w:tcPr>
            <w:tcW w:w="3005" w:type="dxa"/>
          </w:tcPr>
          <w:p w14:paraId="203C3AD0" w14:textId="77777777" w:rsidR="00D44C23" w:rsidRPr="00776CBB" w:rsidRDefault="00581D4A" w:rsidP="001D404B">
            <w:pPr>
              <w:keepNext/>
              <w:rPr>
                <w:sz w:val="20"/>
                <w:szCs w:val="20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Var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acc>
                          <m:acc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θ</m:t>
                            </m:r>
                          </m:e>
                        </m:acc>
                      </m:e>
                    </m:d>
                  </m:e>
                </m:rad>
              </m:oMath>
            </m:oMathPara>
          </w:p>
        </w:tc>
        <w:tc>
          <w:tcPr>
            <w:tcW w:w="3628" w:type="dxa"/>
          </w:tcPr>
          <w:p w14:paraId="41A9014C" w14:textId="77777777" w:rsidR="00D44C23" w:rsidRPr="00776CBB" w:rsidRDefault="00581D4A" w:rsidP="001D404B">
            <w:pPr>
              <w:keepNext/>
              <w:rPr>
                <w:sz w:val="20"/>
                <w:szCs w:val="20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sim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</m:t>
                        </m:r>
                      </m:den>
                    </m:f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sim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θ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-</m:t>
                                </m:r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θ</m:t>
                                    </m:r>
                                  </m:e>
                                </m:acc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e>
                    </m:nary>
                  </m:e>
                </m:rad>
              </m:oMath>
            </m:oMathPara>
          </w:p>
        </w:tc>
      </w:tr>
      <w:tr w:rsidR="00D44C23" w14:paraId="754129F5" w14:textId="77777777" w:rsidTr="001D404B">
        <w:tc>
          <w:tcPr>
            <w:tcW w:w="2293" w:type="dxa"/>
          </w:tcPr>
          <w:p w14:paraId="1F93F200" w14:textId="77777777" w:rsidR="00D44C23" w:rsidRPr="00776CBB" w:rsidRDefault="00D44C23" w:rsidP="001D404B">
            <w:pPr>
              <w:keepNext/>
              <w:rPr>
                <w:sz w:val="20"/>
                <w:szCs w:val="20"/>
              </w:rPr>
            </w:pPr>
            <w:r w:rsidRPr="00776CBB">
              <w:rPr>
                <w:sz w:val="20"/>
                <w:szCs w:val="20"/>
              </w:rPr>
              <w:t>Mean square error</w:t>
            </w:r>
          </w:p>
        </w:tc>
        <w:tc>
          <w:tcPr>
            <w:tcW w:w="3005" w:type="dxa"/>
          </w:tcPr>
          <w:p w14:paraId="09B7BCCD" w14:textId="77777777" w:rsidR="00D44C23" w:rsidRPr="00776CBB" w:rsidRDefault="00D44C23" w:rsidP="001D404B">
            <w:pPr>
              <w:keepNext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E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θ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-θ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3628" w:type="dxa"/>
          </w:tcPr>
          <w:p w14:paraId="68D2ACEF" w14:textId="77777777" w:rsidR="00D44C23" w:rsidRPr="00776CBB" w:rsidRDefault="00581D4A" w:rsidP="001D404B">
            <w:pPr>
              <w:keepNext/>
              <w:rPr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sim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sim</m:t>
                        </m:r>
                      </m:sub>
                    </m:sSub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θ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-θ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</w:tr>
      <w:tr w:rsidR="00D44C23" w14:paraId="2B851D81" w14:textId="77777777" w:rsidTr="001D404B">
        <w:tc>
          <w:tcPr>
            <w:tcW w:w="2293" w:type="dxa"/>
            <w:tcBorders>
              <w:bottom w:val="nil"/>
            </w:tcBorders>
          </w:tcPr>
          <w:p w14:paraId="5FF393BD" w14:textId="77777777" w:rsidR="00D44C23" w:rsidRPr="00776CBB" w:rsidRDefault="00D44C23" w:rsidP="001D404B">
            <w:pPr>
              <w:keepNext/>
              <w:rPr>
                <w:sz w:val="20"/>
                <w:szCs w:val="20"/>
              </w:rPr>
            </w:pPr>
            <w:r w:rsidRPr="00776CBB">
              <w:rPr>
                <w:sz w:val="20"/>
                <w:szCs w:val="20"/>
              </w:rPr>
              <w:t>Coverage</w:t>
            </w:r>
          </w:p>
        </w:tc>
        <w:tc>
          <w:tcPr>
            <w:tcW w:w="3005" w:type="dxa"/>
            <w:tcBorders>
              <w:bottom w:val="nil"/>
            </w:tcBorders>
          </w:tcPr>
          <w:p w14:paraId="1E779DB1" w14:textId="77777777" w:rsidR="00D44C23" w:rsidRPr="00776CBB" w:rsidRDefault="00D44C23" w:rsidP="001D404B">
            <w:pPr>
              <w:keepNext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Pr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acc>
                          <m:acc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θ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low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≤θ≤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acc>
                          <m:acc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θ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upp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3628" w:type="dxa"/>
            <w:tcBorders>
              <w:bottom w:val="nil"/>
            </w:tcBorders>
          </w:tcPr>
          <w:p w14:paraId="6DE95595" w14:textId="77777777" w:rsidR="00D44C23" w:rsidRPr="00776CBB" w:rsidRDefault="00581D4A" w:rsidP="001D404B">
            <w:pPr>
              <w:keepNext/>
              <w:rPr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sim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sim</m:t>
                        </m:r>
                      </m:sub>
                    </m:sSub>
                  </m:sup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acc>
                              <m:acc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θ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low,i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≤θ≤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acc>
                              <m:acc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θ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upp,i</m:t>
                            </m:r>
                          </m:sub>
                        </m:sSub>
                      </m:e>
                    </m:d>
                  </m:e>
                </m:nary>
              </m:oMath>
            </m:oMathPara>
          </w:p>
        </w:tc>
      </w:tr>
      <w:tr w:rsidR="00D44C23" w14:paraId="552AD4F4" w14:textId="77777777" w:rsidTr="001D404B">
        <w:tc>
          <w:tcPr>
            <w:tcW w:w="2293" w:type="dxa"/>
            <w:tcBorders>
              <w:top w:val="nil"/>
              <w:bottom w:val="single" w:sz="4" w:space="0" w:color="auto"/>
            </w:tcBorders>
          </w:tcPr>
          <w:p w14:paraId="2CC9B8C1" w14:textId="77777777" w:rsidR="00D44C23" w:rsidRPr="00776CBB" w:rsidRDefault="00D44C23" w:rsidP="001D404B">
            <w:pPr>
              <w:keepNext/>
              <w:rPr>
                <w:sz w:val="20"/>
                <w:szCs w:val="20"/>
              </w:rPr>
            </w:pPr>
            <w:r w:rsidRPr="00776CBB">
              <w:rPr>
                <w:sz w:val="20"/>
                <w:szCs w:val="20"/>
              </w:rPr>
              <w:t>Power</w:t>
            </w: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14:paraId="51C18440" w14:textId="77777777" w:rsidR="00D44C23" w:rsidRPr="00776CBB" w:rsidRDefault="00D44C23" w:rsidP="001D404B">
            <w:pPr>
              <w:keepNext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Pr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≤α</m:t>
                    </m:r>
                  </m:e>
                </m:d>
              </m:oMath>
            </m:oMathPara>
          </w:p>
        </w:tc>
        <w:tc>
          <w:tcPr>
            <w:tcW w:w="3628" w:type="dxa"/>
            <w:tcBorders>
              <w:top w:val="nil"/>
              <w:bottom w:val="single" w:sz="4" w:space="0" w:color="auto"/>
            </w:tcBorders>
          </w:tcPr>
          <w:p w14:paraId="07FB77AD" w14:textId="77777777" w:rsidR="00D44C23" w:rsidRPr="00776CBB" w:rsidRDefault="00581D4A" w:rsidP="001D404B">
            <w:pPr>
              <w:keepNext/>
              <w:rPr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sim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sim</m:t>
                        </m:r>
                      </m:sub>
                    </m:sSub>
                  </m:sup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≤α</m:t>
                        </m:r>
                      </m:e>
                    </m:d>
                  </m:e>
                </m:nary>
              </m:oMath>
            </m:oMathPara>
          </w:p>
        </w:tc>
      </w:tr>
    </w:tbl>
    <w:p w14:paraId="06A98E4F" w14:textId="4D6C4D8C" w:rsidR="00D44C23" w:rsidRPr="00D44C23" w:rsidRDefault="00D44C23" w:rsidP="00D44C23">
      <w:pPr>
        <w:pStyle w:val="A1stlevel"/>
      </w:pPr>
      <w:r w:rsidRPr="00D44C23">
        <w:t>References</w:t>
      </w:r>
    </w:p>
    <w:p w14:paraId="792637FB" w14:textId="77777777" w:rsidR="00581D4A" w:rsidRPr="00581D4A" w:rsidRDefault="00D44C23" w:rsidP="00581D4A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581D4A" w:rsidRPr="00581D4A">
        <w:t>1.</w:t>
      </w:r>
      <w:r w:rsidR="00581D4A" w:rsidRPr="00581D4A">
        <w:tab/>
        <w:t>StataCorp. Stata 15 Base Reference Manual. College Station, TX: Stata Press; 2017.</w:t>
      </w:r>
    </w:p>
    <w:p w14:paraId="5C12FA9C" w14:textId="77777777" w:rsidR="00581D4A" w:rsidRPr="00581D4A" w:rsidRDefault="00581D4A" w:rsidP="00581D4A">
      <w:pPr>
        <w:pStyle w:val="EndNoteBibliography"/>
      </w:pPr>
      <w:r w:rsidRPr="00581D4A">
        <w:t>2.</w:t>
      </w:r>
      <w:r w:rsidRPr="00581D4A">
        <w:tab/>
        <w:t>Prais SJ, Winsten, C.B. Trend estimators and serial correlation. In: University Y, editor. Cowles Commision1954.</w:t>
      </w:r>
    </w:p>
    <w:p w14:paraId="133BDFFA" w14:textId="77777777" w:rsidR="00581D4A" w:rsidRPr="00581D4A" w:rsidRDefault="00581D4A" w:rsidP="00581D4A">
      <w:pPr>
        <w:pStyle w:val="EndNoteBibliography"/>
      </w:pPr>
      <w:r w:rsidRPr="00581D4A">
        <w:t>3.</w:t>
      </w:r>
      <w:r w:rsidRPr="00581D4A">
        <w:tab/>
        <w:t>Paolella MS. Linear models and time-series analysis : regression, ANOVA, ARMA and GARCH: Hoboken, NJ : John Wiley &amp; Sons, Inc.; 2019.</w:t>
      </w:r>
    </w:p>
    <w:p w14:paraId="1EB97CB2" w14:textId="77777777" w:rsidR="00581D4A" w:rsidRPr="00581D4A" w:rsidRDefault="00581D4A" w:rsidP="00581D4A">
      <w:pPr>
        <w:pStyle w:val="EndNoteBibliography"/>
      </w:pPr>
      <w:r w:rsidRPr="00581D4A">
        <w:t>4.</w:t>
      </w:r>
      <w:r w:rsidRPr="00581D4A">
        <w:tab/>
        <w:t>Kutner M, Nachtscheim C, Neter J, Li W, Senter H. Applied linear statistical models. In: Kutner M, Nachtscheim C, Neter J, Li W, Senter H, editors. 2008. p. 880-.</w:t>
      </w:r>
    </w:p>
    <w:p w14:paraId="4CFE1BB5" w14:textId="77777777" w:rsidR="00581D4A" w:rsidRPr="00581D4A" w:rsidRDefault="00581D4A" w:rsidP="00581D4A">
      <w:pPr>
        <w:pStyle w:val="EndNoteBibliography"/>
      </w:pPr>
      <w:r w:rsidRPr="00581D4A">
        <w:t>5.</w:t>
      </w:r>
      <w:r w:rsidRPr="00581D4A">
        <w:tab/>
        <w:t>Morris TP, White IR, Crowther MJ. Using simulation studies to evaluate statistical methods. Statistics in Medicine. 2019;38(11):2074-102.</w:t>
      </w:r>
    </w:p>
    <w:p w14:paraId="2B47CC22" w14:textId="6701D966" w:rsidR="00534201" w:rsidRDefault="00D44C23">
      <w:r>
        <w:fldChar w:fldCharType="end"/>
      </w:r>
    </w:p>
    <w:sectPr w:rsidR="005342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C18D3"/>
    <w:multiLevelType w:val="multilevel"/>
    <w:tmpl w:val="F4445A4C"/>
    <w:lvl w:ilvl="0">
      <w:start w:val="1"/>
      <w:numFmt w:val="decimal"/>
      <w:pStyle w:val="A1stleve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2ndLeve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3041629"/>
    <w:multiLevelType w:val="multilevel"/>
    <w:tmpl w:val="B48049F6"/>
    <w:styleLink w:val="NumberedHeadings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732" w:hanging="3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4857E89"/>
    <w:multiLevelType w:val="multilevel"/>
    <w:tmpl w:val="B48049F6"/>
    <w:numStyleLink w:val="NumberedHeadings"/>
  </w:abstractNum>
  <w:abstractNum w:abstractNumId="3" w15:restartNumberingAfterBreak="0">
    <w:nsid w:val="7E4E5CB3"/>
    <w:multiLevelType w:val="multilevel"/>
    <w:tmpl w:val="0C50AF70"/>
    <w:styleLink w:val="Style1"/>
    <w:lvl w:ilvl="0">
      <w:start w:val="1"/>
      <w:numFmt w:val="decimal"/>
      <w:lvlText w:val="Appendix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Appendix 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  <w:lvlOverride w:ilvl="0">
      <w:lvl w:ilvl="0">
        <w:start w:val="1"/>
        <w:numFmt w:val="decimal"/>
        <w:lvlText w:val="Appendix 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Appendix %1.%2"/>
        <w:lvlJc w:val="left"/>
        <w:pPr>
          <w:ind w:left="576" w:hanging="576"/>
        </w:pPr>
        <w:rPr>
          <w:rFonts w:hint="default"/>
        </w:rPr>
      </w:lvl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ar5rvzffvzrtee2998vsp2q5t0pf90rz02d&quot;&gt;Empirical_Study_refs&lt;record-ids&gt;&lt;item&gt;26&lt;/item&gt;&lt;item&gt;58&lt;/item&gt;&lt;item&gt;85&lt;/item&gt;&lt;item&gt;98&lt;/item&gt;&lt;item&gt;138&lt;/item&gt;&lt;/record-ids&gt;&lt;/item&gt;&lt;/Libraries&gt;"/>
  </w:docVars>
  <w:rsids>
    <w:rsidRoot w:val="00D44C23"/>
    <w:rsid w:val="000B4F7F"/>
    <w:rsid w:val="001004C0"/>
    <w:rsid w:val="00171AED"/>
    <w:rsid w:val="002D2990"/>
    <w:rsid w:val="003656C5"/>
    <w:rsid w:val="00411A6F"/>
    <w:rsid w:val="00455B77"/>
    <w:rsid w:val="00581D4A"/>
    <w:rsid w:val="00582D34"/>
    <w:rsid w:val="00644F20"/>
    <w:rsid w:val="006470B1"/>
    <w:rsid w:val="007B6A1B"/>
    <w:rsid w:val="0086600B"/>
    <w:rsid w:val="009216F5"/>
    <w:rsid w:val="00A27194"/>
    <w:rsid w:val="00AE457E"/>
    <w:rsid w:val="00B23EBB"/>
    <w:rsid w:val="00D44C23"/>
    <w:rsid w:val="00E71256"/>
    <w:rsid w:val="00F8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8584E"/>
  <w15:chartTrackingRefBased/>
  <w15:docId w15:val="{051D5D0F-209A-4BAD-A45C-44F83283C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C23"/>
    <w:pPr>
      <w:spacing w:after="0" w:line="48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4C23"/>
    <w:pPr>
      <w:keepNext/>
      <w:keepLines/>
      <w:numPr>
        <w:numId w:val="2"/>
      </w:numPr>
      <w:spacing w:before="240"/>
      <w:outlineLvl w:val="0"/>
    </w:pPr>
    <w:rPr>
      <w:rFonts w:eastAsiaTheme="majorEastAsia" w:cstheme="majorBidi"/>
      <w:color w:val="0072B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4C23"/>
    <w:pPr>
      <w:keepNext/>
      <w:keepLines/>
      <w:numPr>
        <w:ilvl w:val="1"/>
        <w:numId w:val="2"/>
      </w:numPr>
      <w:spacing w:before="40"/>
      <w:ind w:left="720"/>
      <w:outlineLvl w:val="1"/>
    </w:pPr>
    <w:rPr>
      <w:rFonts w:eastAsiaTheme="majorEastAsia" w:cstheme="majorBidi"/>
      <w:color w:val="0072B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4C23"/>
    <w:pPr>
      <w:keepNext/>
      <w:keepLines/>
      <w:numPr>
        <w:ilvl w:val="2"/>
        <w:numId w:val="2"/>
      </w:numPr>
      <w:spacing w:before="40"/>
      <w:outlineLvl w:val="2"/>
    </w:pPr>
    <w:rPr>
      <w:rFonts w:eastAsiaTheme="majorEastAsia" w:cstheme="majorBidi"/>
      <w:color w:val="0072B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4C23"/>
    <w:pPr>
      <w:keepNext/>
      <w:keepLines/>
      <w:numPr>
        <w:ilvl w:val="3"/>
        <w:numId w:val="2"/>
      </w:numPr>
      <w:spacing w:before="40"/>
      <w:outlineLvl w:val="3"/>
    </w:pPr>
    <w:rPr>
      <w:rFonts w:eastAsiaTheme="majorEastAsia" w:cstheme="majorBidi"/>
      <w:i/>
      <w:iCs/>
      <w:color w:val="0072B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ta">
    <w:name w:val="Stata"/>
    <w:basedOn w:val="Normal"/>
    <w:link w:val="StataChar"/>
    <w:autoRedefine/>
    <w:qFormat/>
    <w:rsid w:val="00B23EBB"/>
    <w:pPr>
      <w:spacing w:line="240" w:lineRule="auto"/>
    </w:pPr>
    <w:rPr>
      <w:rFonts w:ascii="Courier New" w:hAnsi="Courier New" w:cs="Courier New"/>
      <w:sz w:val="16"/>
      <w:szCs w:val="16"/>
    </w:rPr>
  </w:style>
  <w:style w:type="character" w:customStyle="1" w:styleId="StataChar">
    <w:name w:val="Stata Char"/>
    <w:basedOn w:val="DefaultParagraphFont"/>
    <w:link w:val="Stata"/>
    <w:rsid w:val="00B23EBB"/>
    <w:rPr>
      <w:rFonts w:ascii="Courier New" w:hAnsi="Courier New" w:cs="Courier New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44C23"/>
    <w:rPr>
      <w:rFonts w:ascii="Arial" w:eastAsiaTheme="majorEastAsia" w:hAnsi="Arial" w:cstheme="majorBidi"/>
      <w:color w:val="0072B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44C23"/>
    <w:rPr>
      <w:rFonts w:ascii="Arial" w:eastAsiaTheme="majorEastAsia" w:hAnsi="Arial" w:cstheme="majorBidi"/>
      <w:color w:val="0072B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44C23"/>
    <w:rPr>
      <w:rFonts w:ascii="Arial" w:eastAsiaTheme="majorEastAsia" w:hAnsi="Arial" w:cstheme="majorBidi"/>
      <w:color w:val="0072B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44C23"/>
    <w:rPr>
      <w:rFonts w:ascii="Arial" w:eastAsiaTheme="majorEastAsia" w:hAnsi="Arial" w:cstheme="majorBidi"/>
      <w:i/>
      <w:iCs/>
      <w:color w:val="0072B2"/>
      <w:sz w:val="24"/>
    </w:rPr>
  </w:style>
  <w:style w:type="table" w:styleId="TableGrid">
    <w:name w:val="Table Grid"/>
    <w:basedOn w:val="TableNormal"/>
    <w:uiPriority w:val="39"/>
    <w:rsid w:val="00D44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44C23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D44C2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A1stlevel">
    <w:name w:val="A 1st level"/>
    <w:basedOn w:val="Normal"/>
    <w:link w:val="A1stlevelChar"/>
    <w:qFormat/>
    <w:rsid w:val="00D44C23"/>
    <w:pPr>
      <w:keepNext/>
      <w:keepLines/>
      <w:numPr>
        <w:numId w:val="5"/>
      </w:numPr>
      <w:spacing w:before="240"/>
      <w:ind w:left="432" w:hanging="432"/>
      <w:outlineLvl w:val="0"/>
    </w:pPr>
    <w:rPr>
      <w:rFonts w:eastAsiaTheme="majorEastAsia" w:cstheme="majorBidi"/>
      <w:color w:val="0072B2"/>
      <w:sz w:val="32"/>
      <w:szCs w:val="32"/>
    </w:rPr>
  </w:style>
  <w:style w:type="paragraph" w:customStyle="1" w:styleId="A2ndLevel">
    <w:name w:val="A 2nd Level"/>
    <w:basedOn w:val="Normal"/>
    <w:link w:val="A2ndLevelChar"/>
    <w:qFormat/>
    <w:rsid w:val="00D44C23"/>
    <w:pPr>
      <w:keepNext/>
      <w:keepLines/>
      <w:numPr>
        <w:ilvl w:val="1"/>
        <w:numId w:val="5"/>
      </w:numPr>
      <w:spacing w:before="40"/>
      <w:ind w:left="576" w:hanging="576"/>
      <w:outlineLvl w:val="1"/>
    </w:pPr>
    <w:rPr>
      <w:rFonts w:eastAsiaTheme="majorEastAsia" w:cstheme="majorBidi"/>
      <w:color w:val="0072B2"/>
      <w:sz w:val="26"/>
      <w:szCs w:val="26"/>
    </w:rPr>
  </w:style>
  <w:style w:type="character" w:customStyle="1" w:styleId="A1stlevelChar">
    <w:name w:val="A 1st level Char"/>
    <w:basedOn w:val="DefaultParagraphFont"/>
    <w:link w:val="A1stlevel"/>
    <w:rsid w:val="00D44C23"/>
    <w:rPr>
      <w:rFonts w:ascii="Arial" w:eastAsiaTheme="majorEastAsia" w:hAnsi="Arial" w:cstheme="majorBidi"/>
      <w:color w:val="0072B2"/>
      <w:sz w:val="32"/>
      <w:szCs w:val="32"/>
    </w:rPr>
  </w:style>
  <w:style w:type="character" w:customStyle="1" w:styleId="A2ndLevelChar">
    <w:name w:val="A 2nd Level Char"/>
    <w:basedOn w:val="DefaultParagraphFont"/>
    <w:link w:val="A2ndLevel"/>
    <w:rsid w:val="00D44C23"/>
    <w:rPr>
      <w:rFonts w:ascii="Arial" w:eastAsiaTheme="majorEastAsia" w:hAnsi="Arial" w:cstheme="majorBidi"/>
      <w:color w:val="0072B2"/>
      <w:sz w:val="26"/>
      <w:szCs w:val="26"/>
    </w:rPr>
  </w:style>
  <w:style w:type="numbering" w:customStyle="1" w:styleId="NumberedHeadings">
    <w:name w:val="Numbered Headings"/>
    <w:uiPriority w:val="99"/>
    <w:rsid w:val="00D44C23"/>
    <w:pPr>
      <w:numPr>
        <w:numId w:val="1"/>
      </w:numPr>
    </w:pPr>
  </w:style>
  <w:style w:type="numbering" w:customStyle="1" w:styleId="Style1">
    <w:name w:val="Style1"/>
    <w:uiPriority w:val="99"/>
    <w:rsid w:val="00D44C23"/>
    <w:pPr>
      <w:numPr>
        <w:numId w:val="4"/>
      </w:numPr>
    </w:pPr>
  </w:style>
  <w:style w:type="table" w:styleId="PlainTable2">
    <w:name w:val="Plain Table 2"/>
    <w:basedOn w:val="TableNormal"/>
    <w:uiPriority w:val="42"/>
    <w:rsid w:val="00D44C2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D44C23"/>
    <w:pPr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44C23"/>
    <w:rPr>
      <w:rFonts w:ascii="Arial" w:hAnsi="Arial" w:cs="Arial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44C23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44C23"/>
    <w:rPr>
      <w:rFonts w:ascii="Arial" w:hAnsi="Arial" w:cs="Arial"/>
      <w:noProof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00530-6B01-4007-A54B-97348BEB1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1636</Words>
  <Characters>9329</Characters>
  <Application>Microsoft Office Word</Application>
  <DocSecurity>0</DocSecurity>
  <Lines>77</Lines>
  <Paragraphs>21</Paragraphs>
  <ScaleCrop>false</ScaleCrop>
  <Company/>
  <LinksUpToDate>false</LinksUpToDate>
  <CharactersWithSpaces>10944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Turner</dc:creator>
  <cp:keywords/>
  <dc:description/>
  <cp:lastModifiedBy>Simon Turner</cp:lastModifiedBy>
  <cp:revision>3</cp:revision>
  <dcterms:created xsi:type="dcterms:W3CDTF">2021-04-09T03:14:00Z</dcterms:created>
  <dcterms:modified xsi:type="dcterms:W3CDTF">2021-06-28T01:38:00Z</dcterms:modified>
</cp:coreProperties>
</file>