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BC8512" w14:textId="36B142CE" w:rsidR="00500FF5" w:rsidRPr="00603952" w:rsidRDefault="00500FF5">
      <w:pPr>
        <w:rPr>
          <w:b/>
          <w:bCs/>
          <w:u w:val="single"/>
        </w:rPr>
      </w:pPr>
      <w:r w:rsidRPr="00603952">
        <w:rPr>
          <w:b/>
          <w:bCs/>
          <w:u w:val="single"/>
        </w:rPr>
        <w:t>Appendix</w:t>
      </w:r>
      <w:r w:rsidR="00661E5C">
        <w:rPr>
          <w:b/>
          <w:bCs/>
          <w:u w:val="single"/>
        </w:rPr>
        <w:t xml:space="preserve"> 1</w:t>
      </w:r>
      <w:r w:rsidRPr="00603952">
        <w:rPr>
          <w:b/>
          <w:bCs/>
          <w:u w:val="single"/>
        </w:rPr>
        <w:t xml:space="preserve">: </w:t>
      </w:r>
      <w:r w:rsidR="00603952" w:rsidRPr="00603952">
        <w:rPr>
          <w:b/>
          <w:bCs/>
          <w:u w:val="single"/>
        </w:rPr>
        <w:t>Additional Information, Retrospective and Prospective Assessments of Active Machine Learning</w:t>
      </w:r>
    </w:p>
    <w:p w14:paraId="395EEB81" w14:textId="00C05654" w:rsidR="00500FF5" w:rsidRDefault="00500FF5">
      <w:pPr>
        <w:rPr>
          <w:b/>
          <w:bCs/>
        </w:rPr>
      </w:pPr>
      <w:r w:rsidRPr="00500FF5">
        <w:rPr>
          <w:b/>
          <w:bCs/>
        </w:rPr>
        <w:t xml:space="preserve">Table 1: Synopsis of Key Findings from Empirical Evaluation of </w:t>
      </w:r>
      <w:proofErr w:type="spellStart"/>
      <w:r w:rsidRPr="00500FF5">
        <w:rPr>
          <w:b/>
          <w:bCs/>
        </w:rPr>
        <w:t>DistillerSR</w:t>
      </w:r>
      <w:proofErr w:type="spellEnd"/>
      <w:r w:rsidRPr="00500FF5">
        <w:rPr>
          <w:b/>
          <w:bCs/>
        </w:rPr>
        <w:t xml:space="preserve"> ALM for Level 1 Screening</w:t>
      </w:r>
    </w:p>
    <w:p w14:paraId="54B40109" w14:textId="1E32BFD8" w:rsidR="00500FF5" w:rsidRDefault="00500FF5" w:rsidP="00603952">
      <w:pPr>
        <w:spacing w:line="240" w:lineRule="auto"/>
        <w:jc w:val="both"/>
      </w:pPr>
      <w:r w:rsidRPr="0003687F">
        <w:rPr>
          <w:b/>
          <w:bCs/>
          <w:i/>
          <w:iCs/>
        </w:rPr>
        <w:t>Based upon</w:t>
      </w:r>
      <w:r>
        <w:rPr>
          <w:b/>
          <w:bCs/>
        </w:rPr>
        <w:t xml:space="preserve">: </w:t>
      </w:r>
      <w:r w:rsidRPr="00500FF5">
        <w:t xml:space="preserve">An evaluation of </w:t>
      </w:r>
      <w:proofErr w:type="spellStart"/>
      <w:r w:rsidRPr="00500FF5">
        <w:t>DistillerSR's</w:t>
      </w:r>
      <w:proofErr w:type="spellEnd"/>
      <w:r w:rsidRPr="00500FF5">
        <w:t xml:space="preserve"> machine learning-based prioritization tool for title/abstract screening - impact on reviewer-relevant outcomes.</w:t>
      </w:r>
      <w:r>
        <w:t xml:space="preserve"> </w:t>
      </w:r>
      <w:r w:rsidRPr="00500FF5">
        <w:t>Hamel C, Kelly SE, Thavorn K, Rice DB, Wells GA, Hutton B.</w:t>
      </w:r>
      <w:r>
        <w:t xml:space="preserve"> </w:t>
      </w:r>
      <w:r w:rsidRPr="00500FF5">
        <w:t xml:space="preserve">BMC Med Res </w:t>
      </w:r>
      <w:proofErr w:type="spellStart"/>
      <w:r w:rsidRPr="00500FF5">
        <w:t>Methodol</w:t>
      </w:r>
      <w:proofErr w:type="spellEnd"/>
      <w:r w:rsidRPr="00500FF5">
        <w:t>. 2020 Oct 15;20(1):256.</w:t>
      </w:r>
      <w:r w:rsidR="00603952">
        <w:t xml:space="preserve"> We refer readers to this publication for more detailed description of these data.</w:t>
      </w:r>
      <w:r w:rsidRPr="00500FF5">
        <w:t xml:space="preserve"> </w:t>
      </w:r>
    </w:p>
    <w:p w14:paraId="01B11006" w14:textId="77777777" w:rsidR="00500FF5" w:rsidRPr="00500FF5" w:rsidRDefault="00500FF5" w:rsidP="00500FF5">
      <w:pPr>
        <w:spacing w:line="240" w:lineRule="auto"/>
      </w:pPr>
    </w:p>
    <w:tbl>
      <w:tblPr>
        <w:tblStyle w:val="TableGrid"/>
        <w:tblW w:w="12895" w:type="dxa"/>
        <w:tblLayout w:type="fixed"/>
        <w:tblLook w:val="04A0" w:firstRow="1" w:lastRow="0" w:firstColumn="1" w:lastColumn="0" w:noHBand="0" w:noVBand="1"/>
      </w:tblPr>
      <w:tblGrid>
        <w:gridCol w:w="2122"/>
        <w:gridCol w:w="1591"/>
        <w:gridCol w:w="2378"/>
        <w:gridCol w:w="818"/>
        <w:gridCol w:w="1120"/>
        <w:gridCol w:w="1073"/>
        <w:gridCol w:w="1073"/>
        <w:gridCol w:w="1586"/>
        <w:gridCol w:w="1134"/>
      </w:tblGrid>
      <w:tr w:rsidR="00E57978" w:rsidRPr="00587E96" w14:paraId="73148210" w14:textId="06CE18B9" w:rsidTr="00E57978">
        <w:trPr>
          <w:tblHeader/>
        </w:trPr>
        <w:tc>
          <w:tcPr>
            <w:tcW w:w="2122" w:type="dxa"/>
            <w:vMerge w:val="restart"/>
            <w:shd w:val="clear" w:color="auto" w:fill="D9D9D9" w:themeFill="background1" w:themeFillShade="D9"/>
          </w:tcPr>
          <w:p w14:paraId="23A9FB7F" w14:textId="77777777" w:rsidR="00E57978" w:rsidRPr="004266EA" w:rsidRDefault="00E57978" w:rsidP="00291778">
            <w:pPr>
              <w:spacing w:line="240" w:lineRule="auto"/>
              <w:rPr>
                <w:rFonts w:cs="Times New Roman"/>
                <w:b/>
                <w:sz w:val="20"/>
                <w:szCs w:val="20"/>
              </w:rPr>
            </w:pPr>
            <w:r w:rsidRPr="004266EA">
              <w:rPr>
                <w:rFonts w:cs="Times New Roman"/>
                <w:b/>
                <w:sz w:val="20"/>
                <w:szCs w:val="20"/>
              </w:rPr>
              <w:t>Systematic review [Protocol reference]</w:t>
            </w:r>
          </w:p>
        </w:tc>
        <w:tc>
          <w:tcPr>
            <w:tcW w:w="1591" w:type="dxa"/>
            <w:vMerge w:val="restart"/>
            <w:shd w:val="clear" w:color="auto" w:fill="D9D9D9" w:themeFill="background1" w:themeFillShade="D9"/>
          </w:tcPr>
          <w:p w14:paraId="73E3F026" w14:textId="1B3C3879" w:rsidR="00E57978" w:rsidRPr="004266EA" w:rsidRDefault="00E57978" w:rsidP="00291778">
            <w:pPr>
              <w:spacing w:line="240" w:lineRule="auto"/>
              <w:jc w:val="center"/>
              <w:rPr>
                <w:rFonts w:cs="Times New Roman"/>
                <w:b/>
                <w:sz w:val="20"/>
                <w:szCs w:val="20"/>
              </w:rPr>
            </w:pPr>
            <w:r w:rsidRPr="004266EA">
              <w:rPr>
                <w:rFonts w:cs="Times New Roman"/>
                <w:b/>
                <w:sz w:val="20"/>
                <w:szCs w:val="20"/>
              </w:rPr>
              <w:t>Review type</w:t>
            </w:r>
            <m:oMath>
              <m:r>
                <m:rPr>
                  <m:sty m:val="bi"/>
                </m:rPr>
                <w:rPr>
                  <w:rFonts w:ascii="Cambria Math" w:hAnsi="Cambria Math" w:cs="Times New Roman"/>
                  <w:sz w:val="20"/>
                  <w:szCs w:val="20"/>
                </w:rPr>
                <m:t>†</m:t>
              </m:r>
            </m:oMath>
            <w:r>
              <w:rPr>
                <w:rFonts w:eastAsiaTheme="minorEastAsia" w:cs="Times New Roman"/>
                <w:b/>
                <w:sz w:val="20"/>
                <w:szCs w:val="20"/>
              </w:rPr>
              <w:t>; eligible designs</w:t>
            </w:r>
          </w:p>
        </w:tc>
        <w:tc>
          <w:tcPr>
            <w:tcW w:w="2378" w:type="dxa"/>
            <w:vMerge w:val="restart"/>
            <w:shd w:val="clear" w:color="auto" w:fill="D9D9D9" w:themeFill="background1" w:themeFillShade="D9"/>
          </w:tcPr>
          <w:p w14:paraId="0A80CD8E" w14:textId="77777777" w:rsidR="00E57978" w:rsidRPr="004266EA" w:rsidRDefault="00E57978" w:rsidP="00291778">
            <w:pPr>
              <w:spacing w:line="240" w:lineRule="auto"/>
              <w:jc w:val="center"/>
              <w:rPr>
                <w:rFonts w:cs="Times New Roman"/>
                <w:b/>
                <w:sz w:val="20"/>
                <w:szCs w:val="20"/>
              </w:rPr>
            </w:pPr>
            <w:r w:rsidRPr="004266EA">
              <w:rPr>
                <w:rFonts w:cs="Times New Roman"/>
                <w:b/>
                <w:sz w:val="20"/>
                <w:szCs w:val="20"/>
              </w:rPr>
              <w:t>Intervention type</w:t>
            </w:r>
          </w:p>
        </w:tc>
        <w:tc>
          <w:tcPr>
            <w:tcW w:w="3011" w:type="dxa"/>
            <w:gridSpan w:val="3"/>
            <w:shd w:val="clear" w:color="auto" w:fill="D9D9D9" w:themeFill="background1" w:themeFillShade="D9"/>
          </w:tcPr>
          <w:p w14:paraId="4C4E4E09" w14:textId="1C13BAFA" w:rsidR="00E57978" w:rsidRPr="004266EA" w:rsidRDefault="00E57978" w:rsidP="00291778">
            <w:pPr>
              <w:spacing w:line="240" w:lineRule="auto"/>
              <w:jc w:val="center"/>
              <w:rPr>
                <w:rFonts w:cs="Times New Roman"/>
                <w:b/>
                <w:sz w:val="20"/>
                <w:szCs w:val="20"/>
              </w:rPr>
            </w:pPr>
            <w:r w:rsidRPr="004266EA">
              <w:rPr>
                <w:rFonts w:cs="Times New Roman"/>
                <w:b/>
                <w:sz w:val="20"/>
                <w:szCs w:val="20"/>
              </w:rPr>
              <w:t>Number of studies at</w:t>
            </w:r>
            <w:r>
              <w:rPr>
                <w:rFonts w:cs="Times New Roman"/>
                <w:b/>
                <w:sz w:val="20"/>
                <w:szCs w:val="20"/>
              </w:rPr>
              <w:t>:</w:t>
            </w:r>
          </w:p>
        </w:tc>
        <w:tc>
          <w:tcPr>
            <w:tcW w:w="3793" w:type="dxa"/>
            <w:gridSpan w:val="3"/>
            <w:shd w:val="clear" w:color="auto" w:fill="D9D9D9" w:themeFill="background1" w:themeFillShade="D9"/>
          </w:tcPr>
          <w:p w14:paraId="4D505E35" w14:textId="77777777" w:rsidR="00E57978" w:rsidRDefault="00E57978" w:rsidP="00291778">
            <w:pPr>
              <w:spacing w:line="240" w:lineRule="auto"/>
              <w:jc w:val="center"/>
              <w:rPr>
                <w:rFonts w:cs="Times New Roman"/>
                <w:b/>
                <w:sz w:val="20"/>
                <w:szCs w:val="20"/>
              </w:rPr>
            </w:pPr>
            <w:r>
              <w:rPr>
                <w:rFonts w:cs="Times New Roman"/>
                <w:b/>
                <w:sz w:val="20"/>
                <w:szCs w:val="20"/>
              </w:rPr>
              <w:t xml:space="preserve">Outcome Measures of </w:t>
            </w:r>
          </w:p>
          <w:p w14:paraId="2B97158D" w14:textId="69D5E21D" w:rsidR="00E57978" w:rsidRPr="004266EA" w:rsidRDefault="00E57978" w:rsidP="00291778">
            <w:pPr>
              <w:spacing w:line="240" w:lineRule="auto"/>
              <w:jc w:val="center"/>
              <w:rPr>
                <w:rFonts w:cs="Times New Roman"/>
                <w:b/>
                <w:sz w:val="20"/>
                <w:szCs w:val="20"/>
              </w:rPr>
            </w:pPr>
            <w:r>
              <w:rPr>
                <w:rFonts w:cs="Times New Roman"/>
                <w:b/>
                <w:sz w:val="20"/>
                <w:szCs w:val="20"/>
              </w:rPr>
              <w:t>AML Benefit</w:t>
            </w:r>
          </w:p>
        </w:tc>
      </w:tr>
      <w:tr w:rsidR="00E57978" w:rsidRPr="00587E96" w14:paraId="562472AF" w14:textId="5E22795E" w:rsidTr="00E57978">
        <w:trPr>
          <w:tblHeader/>
        </w:trPr>
        <w:tc>
          <w:tcPr>
            <w:tcW w:w="2122" w:type="dxa"/>
            <w:vMerge/>
            <w:shd w:val="clear" w:color="auto" w:fill="D9D9D9" w:themeFill="background1" w:themeFillShade="D9"/>
          </w:tcPr>
          <w:p w14:paraId="74CE94FF" w14:textId="77777777" w:rsidR="00E57978" w:rsidRPr="004266EA" w:rsidRDefault="00E57978" w:rsidP="00291778">
            <w:pPr>
              <w:spacing w:line="240" w:lineRule="auto"/>
              <w:rPr>
                <w:rFonts w:cs="Times New Roman"/>
                <w:b/>
                <w:sz w:val="20"/>
                <w:szCs w:val="20"/>
              </w:rPr>
            </w:pPr>
          </w:p>
        </w:tc>
        <w:tc>
          <w:tcPr>
            <w:tcW w:w="1591" w:type="dxa"/>
            <w:vMerge/>
            <w:shd w:val="clear" w:color="auto" w:fill="D9D9D9" w:themeFill="background1" w:themeFillShade="D9"/>
          </w:tcPr>
          <w:p w14:paraId="3CC0562A" w14:textId="77777777" w:rsidR="00E57978" w:rsidRPr="004266EA" w:rsidRDefault="00E57978" w:rsidP="00291778">
            <w:pPr>
              <w:spacing w:line="240" w:lineRule="auto"/>
              <w:jc w:val="center"/>
              <w:rPr>
                <w:rFonts w:cs="Times New Roman"/>
                <w:b/>
                <w:sz w:val="20"/>
                <w:szCs w:val="20"/>
              </w:rPr>
            </w:pPr>
          </w:p>
        </w:tc>
        <w:tc>
          <w:tcPr>
            <w:tcW w:w="2378" w:type="dxa"/>
            <w:vMerge/>
            <w:shd w:val="clear" w:color="auto" w:fill="D9D9D9" w:themeFill="background1" w:themeFillShade="D9"/>
          </w:tcPr>
          <w:p w14:paraId="39B64DBE" w14:textId="77777777" w:rsidR="00E57978" w:rsidRPr="004266EA" w:rsidRDefault="00E57978" w:rsidP="00291778">
            <w:pPr>
              <w:spacing w:line="240" w:lineRule="auto"/>
              <w:jc w:val="center"/>
              <w:rPr>
                <w:rFonts w:cs="Times New Roman"/>
                <w:b/>
                <w:sz w:val="20"/>
                <w:szCs w:val="20"/>
              </w:rPr>
            </w:pPr>
          </w:p>
        </w:tc>
        <w:tc>
          <w:tcPr>
            <w:tcW w:w="818" w:type="dxa"/>
            <w:shd w:val="clear" w:color="auto" w:fill="D9D9D9" w:themeFill="background1" w:themeFillShade="D9"/>
          </w:tcPr>
          <w:p w14:paraId="7574EDA9" w14:textId="77777777" w:rsidR="00E57978" w:rsidRPr="004266EA" w:rsidRDefault="00E57978" w:rsidP="00291778">
            <w:pPr>
              <w:spacing w:line="240" w:lineRule="auto"/>
              <w:jc w:val="center"/>
              <w:rPr>
                <w:rFonts w:cs="Times New Roman"/>
                <w:b/>
                <w:sz w:val="20"/>
                <w:szCs w:val="20"/>
              </w:rPr>
            </w:pPr>
            <w:proofErr w:type="spellStart"/>
            <w:r w:rsidRPr="004266EA">
              <w:rPr>
                <w:rFonts w:cs="Times New Roman"/>
                <w:b/>
                <w:sz w:val="20"/>
                <w:szCs w:val="20"/>
              </w:rPr>
              <w:t>Ti</w:t>
            </w:r>
            <w:proofErr w:type="spellEnd"/>
            <w:r w:rsidRPr="004266EA">
              <w:rPr>
                <w:rFonts w:cs="Times New Roman"/>
                <w:b/>
                <w:sz w:val="20"/>
                <w:szCs w:val="20"/>
              </w:rPr>
              <w:t>/Ab</w:t>
            </w:r>
          </w:p>
        </w:tc>
        <w:tc>
          <w:tcPr>
            <w:tcW w:w="1120" w:type="dxa"/>
            <w:shd w:val="clear" w:color="auto" w:fill="D9D9D9" w:themeFill="background1" w:themeFillShade="D9"/>
          </w:tcPr>
          <w:p w14:paraId="21CE694D" w14:textId="77777777" w:rsidR="00E57978" w:rsidRPr="004266EA" w:rsidRDefault="00E57978" w:rsidP="00291778">
            <w:pPr>
              <w:spacing w:line="240" w:lineRule="auto"/>
              <w:jc w:val="center"/>
              <w:rPr>
                <w:rFonts w:cs="Times New Roman"/>
                <w:b/>
                <w:sz w:val="20"/>
                <w:szCs w:val="20"/>
              </w:rPr>
            </w:pPr>
            <w:r w:rsidRPr="004266EA">
              <w:rPr>
                <w:rFonts w:cs="Times New Roman"/>
                <w:b/>
                <w:sz w:val="20"/>
                <w:szCs w:val="20"/>
              </w:rPr>
              <w:t>Full-text</w:t>
            </w:r>
          </w:p>
        </w:tc>
        <w:tc>
          <w:tcPr>
            <w:tcW w:w="1073" w:type="dxa"/>
            <w:shd w:val="clear" w:color="auto" w:fill="D9D9D9" w:themeFill="background1" w:themeFillShade="D9"/>
          </w:tcPr>
          <w:p w14:paraId="06AA8106" w14:textId="77777777" w:rsidR="00E57978" w:rsidRPr="004266EA" w:rsidRDefault="00E57978" w:rsidP="00291778">
            <w:pPr>
              <w:spacing w:line="240" w:lineRule="auto"/>
              <w:jc w:val="center"/>
              <w:rPr>
                <w:rFonts w:cs="Times New Roman"/>
                <w:b/>
                <w:sz w:val="20"/>
                <w:szCs w:val="20"/>
              </w:rPr>
            </w:pPr>
            <w:r w:rsidRPr="004266EA">
              <w:rPr>
                <w:rFonts w:cs="Times New Roman"/>
                <w:b/>
                <w:sz w:val="20"/>
                <w:szCs w:val="20"/>
              </w:rPr>
              <w:t>Final⁑</w:t>
            </w:r>
          </w:p>
        </w:tc>
        <w:tc>
          <w:tcPr>
            <w:tcW w:w="1073" w:type="dxa"/>
            <w:shd w:val="clear" w:color="auto" w:fill="D9D9D9" w:themeFill="background1" w:themeFillShade="D9"/>
          </w:tcPr>
          <w:p w14:paraId="623B4149" w14:textId="3AAE7A29" w:rsidR="00E57978" w:rsidRPr="004266EA" w:rsidRDefault="00E57978" w:rsidP="00291778">
            <w:pPr>
              <w:spacing w:line="240" w:lineRule="auto"/>
              <w:jc w:val="center"/>
              <w:rPr>
                <w:rFonts w:cs="Times New Roman"/>
                <w:b/>
                <w:sz w:val="20"/>
                <w:szCs w:val="20"/>
              </w:rPr>
            </w:pPr>
            <w:r>
              <w:rPr>
                <w:rFonts w:cs="Times New Roman"/>
                <w:b/>
                <w:sz w:val="20"/>
                <w:szCs w:val="20"/>
              </w:rPr>
              <w:t>Level 1 hours saved (95% recall)</w:t>
            </w:r>
          </w:p>
        </w:tc>
        <w:tc>
          <w:tcPr>
            <w:tcW w:w="1586" w:type="dxa"/>
            <w:shd w:val="clear" w:color="auto" w:fill="D9D9D9" w:themeFill="background1" w:themeFillShade="D9"/>
          </w:tcPr>
          <w:p w14:paraId="0FB16EB8" w14:textId="3A99E773" w:rsidR="00E57978" w:rsidRPr="004266EA" w:rsidRDefault="00E57978" w:rsidP="00291778">
            <w:pPr>
              <w:spacing w:line="240" w:lineRule="auto"/>
              <w:jc w:val="center"/>
              <w:rPr>
                <w:rFonts w:cs="Times New Roman"/>
                <w:b/>
                <w:sz w:val="20"/>
                <w:szCs w:val="20"/>
              </w:rPr>
            </w:pPr>
            <w:r>
              <w:rPr>
                <w:rFonts w:cs="Times New Roman"/>
                <w:b/>
                <w:sz w:val="20"/>
                <w:szCs w:val="20"/>
              </w:rPr>
              <w:t>% of relevant L1 citations not identified at 95% recall</w:t>
            </w:r>
          </w:p>
        </w:tc>
        <w:tc>
          <w:tcPr>
            <w:tcW w:w="1134" w:type="dxa"/>
            <w:shd w:val="clear" w:color="auto" w:fill="D9D9D9" w:themeFill="background1" w:themeFillShade="D9"/>
          </w:tcPr>
          <w:p w14:paraId="6B96FF5C" w14:textId="12D7A00C" w:rsidR="00E57978" w:rsidRPr="004266EA" w:rsidRDefault="00E57978" w:rsidP="00291778">
            <w:pPr>
              <w:spacing w:line="240" w:lineRule="auto"/>
              <w:jc w:val="center"/>
              <w:rPr>
                <w:rFonts w:cs="Times New Roman"/>
                <w:b/>
                <w:sz w:val="20"/>
                <w:szCs w:val="20"/>
              </w:rPr>
            </w:pPr>
            <w:r>
              <w:rPr>
                <w:rFonts w:cs="Times New Roman"/>
                <w:b/>
                <w:sz w:val="20"/>
                <w:szCs w:val="20"/>
              </w:rPr>
              <w:t>Final included studies missed</w:t>
            </w:r>
          </w:p>
        </w:tc>
      </w:tr>
      <w:tr w:rsidR="00E57978" w:rsidRPr="001451FC" w14:paraId="0D413C00" w14:textId="1ACF6210" w:rsidTr="00E57978">
        <w:tc>
          <w:tcPr>
            <w:tcW w:w="2122" w:type="dxa"/>
          </w:tcPr>
          <w:p w14:paraId="4F50838F" w14:textId="55866E0D" w:rsidR="00E57978" w:rsidRPr="004266EA" w:rsidRDefault="00E57978" w:rsidP="00291778">
            <w:pPr>
              <w:spacing w:line="240" w:lineRule="auto"/>
              <w:rPr>
                <w:rFonts w:cs="Times New Roman"/>
                <w:sz w:val="20"/>
                <w:szCs w:val="20"/>
              </w:rPr>
            </w:pPr>
            <w:r w:rsidRPr="004266EA">
              <w:rPr>
                <w:rFonts w:cs="Times New Roman"/>
                <w:sz w:val="20"/>
                <w:szCs w:val="20"/>
              </w:rPr>
              <w:t xml:space="preserve">Interventions for hot flashes </w:t>
            </w:r>
            <w:r w:rsidRPr="004266EA">
              <w:rPr>
                <w:rFonts w:cs="Times New Roman"/>
                <w:sz w:val="20"/>
                <w:szCs w:val="20"/>
              </w:rPr>
              <w:fldChar w:fldCharType="begin"/>
            </w:r>
            <w:r w:rsidR="00661E5C">
              <w:rPr>
                <w:rFonts w:cs="Times New Roman"/>
                <w:sz w:val="20"/>
                <w:szCs w:val="20"/>
              </w:rPr>
              <w:instrText xml:space="preserve"> ADDIN ZOTERO_ITEM CSL_CITATION {"citationID":"reDxG90L","properties":{"formattedCitation":"[1]","plainCitation":"[1]","noteIndex":0},"citationItems":[{"id":13619,"uris":["http://zotero.org/users/4806826/items/TN5638CZ"],"uri":["http://zotero.org/users/4806826/items/TN5638CZ"],"itemData":{"id":13619,"type":"article-journal","abstract":"BACKGROUND: Breast and prostate cancers are the most commonly diagnosed non-dermatologic malignancies in Canada. Agents including endocrine therapies (e.g., aromatase inhibitors, gonadotrophin-releasing hormone analogs, anti-androgens, tamoxifen) and chemotherapy have improved survival for both conditions. As endocrine manipulation is a mainstay of treatment, it is not surprising that hot flashes are a common and troublesome adverse effect. Hot flashes can cause chills, night sweats, anxiety, and insomnia, lessening patients' quality of life. These symptoms impact treatment adherence, worsening prognosis. While short-term estrogen replacement therapy is frequently used to manage hot flashes in healthy menopausal women, its use is contraindicated in breast cancer. Similarly, testosterone replacement therapy is contraindicated in prostate cancer. It is therefore not surprising that non-hormonal pharmacological treatments (anti-depressants, anti-epilectics, anti-hypertensives), physical/behavioral treatments (e.g., acupuncture, yoga/exercise, relaxation techniques, cognitive behavioral therapy), and natural health products (e.g., black cohosh, flax, vitamin E, ginseng) have been studied for control of hot flashes. There is a need to identify which interventions minimize the frequency and severity of hot flashes and their impact on quality of life. This systematic review and network meta-analysis of randomized studies will synthesize available evidence addressing this knowledge gap.\nMETHODS/DESIGN: An electronic search of Medline, Embase, AMED, PsycINFO, and the Cochrane Register of Controlled Trials has been designed by an information specialist and peer reviewed by a second information specialist. Study selection and data collection will be performed by two reviewers independently. Risk of bias assessments will be completed using the Cochrane Risk of Bias Scale. Outcomes of interest will include validated measures of hot flash severity, hot flash frequency, quality of life, and harms. Bayesian network meta-analyses will be performed where judged appropriate based on review of clinical and methodologic features of included studies.\nDISCUSSION: Our review will include a broad range of interventions that patients with breast and prostate cancer have attempted to use to manage hot flashes. Our work will establish the extent of evidence underlying these interventions and will employ an inclusive approach to analysis to inform comparisons between them. Our findings will be shared with Cancer Care Ontario for consideration in the development of guidance related to supportive care in these patients.\nSYSTEMATIC REVIEW REGISTRATION: PROSPERO: CRD42015024286.","container-title":"Systematic Reviews","DOI":"10.1186/s13643-015-0099-y","ISSN":"2046-4053","journalAbbreviation":"Syst Rev","language":"eng","note":"PMID: 26307105\nPMCID: PMC4549873","page":"114","source":"PubMed","title":"Comparison of physical interventions, behavioral interventions, natural health products, and pharmacologics to manage hot flashes in patients with breast or prostate cancer: protocol for a systematic review incorporating network meta-analyses","title-short":"Comparison of physical interventions, behavioral interventions, natural health products, and pharmacologics to manage hot flashes in patients with breast or prostate cancer","volume":"4","author":[{"family":"Hutton","given":"Brian"},{"family":"Yazdi","given":"Fatemeh"},{"family":"Bordeleau","given":"Louise"},{"family":"Morgan","given":"Scott"},{"family":"Cameron","given":"Chris"},{"family":"Kanji","given":"Salmaan"},{"family":"Fergusson","given":"Dean"},{"family":"Tricco","given":"Andrea"},{"family":"Straus","given":"Sharon"},{"family":"Skidmore","given":"Becky"},{"family":"Hersi","given":"Mona"},{"family":"Pratt","given":"Misty"},{"family":"Mazzarello","given":"Sasha"},{"family":"Brouwers","given":"Melissa"},{"family":"Moher","given":"David"},{"family":"Clemons","given":"Mark"}],"issued":{"date-parts":[["2015",8,27]]}}}],"schema":"https://github.com/citation-style-language/schema/raw/master/csl-citation.json"} </w:instrText>
            </w:r>
            <w:r w:rsidRPr="004266EA">
              <w:rPr>
                <w:rFonts w:cs="Times New Roman"/>
                <w:sz w:val="20"/>
                <w:szCs w:val="20"/>
              </w:rPr>
              <w:fldChar w:fldCharType="separate"/>
            </w:r>
            <w:r w:rsidR="00661E5C" w:rsidRPr="00661E5C">
              <w:rPr>
                <w:rFonts w:cs="Times New Roman"/>
                <w:sz w:val="20"/>
              </w:rPr>
              <w:t>[1]</w:t>
            </w:r>
            <w:r w:rsidRPr="004266EA">
              <w:rPr>
                <w:rFonts w:cs="Times New Roman"/>
                <w:sz w:val="20"/>
                <w:szCs w:val="20"/>
              </w:rPr>
              <w:fldChar w:fldCharType="end"/>
            </w:r>
          </w:p>
        </w:tc>
        <w:tc>
          <w:tcPr>
            <w:tcW w:w="1591" w:type="dxa"/>
          </w:tcPr>
          <w:p w14:paraId="2DFA8DD2"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review (NMA)</w:t>
            </w:r>
            <w:r>
              <w:rPr>
                <w:rFonts w:cs="Times New Roman"/>
                <w:sz w:val="20"/>
                <w:szCs w:val="20"/>
              </w:rPr>
              <w:t>;</w:t>
            </w:r>
          </w:p>
          <w:p w14:paraId="7F423222" w14:textId="68A5137D" w:rsidR="00E57978" w:rsidRPr="004266EA" w:rsidRDefault="00E57978" w:rsidP="00291778">
            <w:pPr>
              <w:spacing w:line="240" w:lineRule="auto"/>
              <w:jc w:val="center"/>
              <w:rPr>
                <w:rFonts w:cs="Times New Roman"/>
                <w:sz w:val="20"/>
                <w:szCs w:val="20"/>
              </w:rPr>
            </w:pPr>
            <w:r w:rsidRPr="004266EA">
              <w:rPr>
                <w:rFonts w:cs="Times New Roman"/>
                <w:sz w:val="20"/>
                <w:szCs w:val="20"/>
              </w:rPr>
              <w:t>RCTs only</w:t>
            </w:r>
          </w:p>
        </w:tc>
        <w:tc>
          <w:tcPr>
            <w:tcW w:w="2378" w:type="dxa"/>
          </w:tcPr>
          <w:p w14:paraId="298A2F4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Pharmacological and behavioural therapies</w:t>
            </w:r>
          </w:p>
        </w:tc>
        <w:tc>
          <w:tcPr>
            <w:tcW w:w="818" w:type="dxa"/>
          </w:tcPr>
          <w:p w14:paraId="3FCD1635"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2569</w:t>
            </w:r>
          </w:p>
        </w:tc>
        <w:tc>
          <w:tcPr>
            <w:tcW w:w="1120" w:type="dxa"/>
          </w:tcPr>
          <w:p w14:paraId="39D9C80B"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451 </w:t>
            </w:r>
          </w:p>
          <w:p w14:paraId="72DC3133"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(17.6%)</w:t>
            </w:r>
          </w:p>
        </w:tc>
        <w:tc>
          <w:tcPr>
            <w:tcW w:w="1073" w:type="dxa"/>
          </w:tcPr>
          <w:p w14:paraId="04585E41"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38 </w:t>
            </w:r>
          </w:p>
          <w:p w14:paraId="4D24864E"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(1.48%)</w:t>
            </w:r>
          </w:p>
        </w:tc>
        <w:tc>
          <w:tcPr>
            <w:tcW w:w="1073" w:type="dxa"/>
          </w:tcPr>
          <w:p w14:paraId="5CAD9E85" w14:textId="29B9F741" w:rsidR="00E57978" w:rsidRPr="004266EA" w:rsidRDefault="00E57978" w:rsidP="00291778">
            <w:pPr>
              <w:spacing w:line="240" w:lineRule="auto"/>
              <w:jc w:val="center"/>
              <w:rPr>
                <w:rFonts w:cs="Times New Roman"/>
                <w:sz w:val="20"/>
                <w:szCs w:val="20"/>
              </w:rPr>
            </w:pPr>
            <w:r>
              <w:rPr>
                <w:rFonts w:cs="Times New Roman"/>
                <w:sz w:val="20"/>
                <w:szCs w:val="20"/>
              </w:rPr>
              <w:t>27.9</w:t>
            </w:r>
          </w:p>
        </w:tc>
        <w:tc>
          <w:tcPr>
            <w:tcW w:w="1586" w:type="dxa"/>
          </w:tcPr>
          <w:p w14:paraId="544AF6FB" w14:textId="453AA551" w:rsidR="00E57978" w:rsidRPr="004266EA" w:rsidRDefault="00E57978" w:rsidP="00291778">
            <w:pPr>
              <w:spacing w:line="240" w:lineRule="auto"/>
              <w:jc w:val="center"/>
              <w:rPr>
                <w:rFonts w:cs="Times New Roman"/>
                <w:sz w:val="20"/>
                <w:szCs w:val="20"/>
              </w:rPr>
            </w:pPr>
            <w:r>
              <w:rPr>
                <w:rFonts w:cs="Times New Roman"/>
                <w:sz w:val="20"/>
                <w:szCs w:val="20"/>
              </w:rPr>
              <w:t>6.2%</w:t>
            </w:r>
          </w:p>
        </w:tc>
        <w:tc>
          <w:tcPr>
            <w:tcW w:w="1134" w:type="dxa"/>
          </w:tcPr>
          <w:p w14:paraId="20F1BA2F" w14:textId="0156161F"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rsidRPr="001451FC" w14:paraId="2AFE6C09" w14:textId="748063A7" w:rsidTr="00E57978">
        <w:tc>
          <w:tcPr>
            <w:tcW w:w="2122" w:type="dxa"/>
          </w:tcPr>
          <w:p w14:paraId="1AA7816D" w14:textId="0B9BDE4A" w:rsidR="00E57978" w:rsidRPr="004266EA" w:rsidRDefault="00E57978" w:rsidP="00291778">
            <w:pPr>
              <w:spacing w:line="240" w:lineRule="auto"/>
              <w:rPr>
                <w:rFonts w:cs="Times New Roman"/>
                <w:sz w:val="20"/>
                <w:szCs w:val="20"/>
              </w:rPr>
            </w:pPr>
            <w:r w:rsidRPr="004266EA">
              <w:rPr>
                <w:rFonts w:cs="Times New Roman"/>
                <w:sz w:val="20"/>
                <w:szCs w:val="20"/>
              </w:rPr>
              <w:t xml:space="preserve">Interventions for opioid use disorder </w:t>
            </w:r>
            <w:r w:rsidRPr="004266EA">
              <w:rPr>
                <w:rFonts w:cs="Times New Roman"/>
                <w:sz w:val="20"/>
                <w:szCs w:val="20"/>
              </w:rPr>
              <w:fldChar w:fldCharType="begin"/>
            </w:r>
            <w:r w:rsidR="00C76858">
              <w:rPr>
                <w:rFonts w:cs="Times New Roman"/>
                <w:sz w:val="20"/>
                <w:szCs w:val="20"/>
              </w:rPr>
              <w:instrText xml:space="preserve"> ADDIN ZOTERO_ITEM CSL_CITATION {"citationID":"omoH8udw","properties":{"formattedCitation":"[2]","plainCitation":"[2]","noteIndex":0},"citationItems":[{"id":13622,"uris":["http://zotero.org/users/4806826/items/KCHGY3M3"],"uri":["http://zotero.org/users/4806826/items/KCHGY3M3"],"itemData":{"id":13622,"type":"article-journal","abstract":"INTRODUCTION: The opioid crisis has resulted in increasing rates of death caused by problematic opioid use. Current clinical guidelines recommend that individuals with persons with opioid use disorder (OUD) receive pharmacological (eg, opioid agonist therapy) and psychosocial (eg, cognitive behavioural therapy) therapy; however, the best combination of pharmacologic and psychosocial components is not known. Our objective of the planned study is to conduct a comprehensive systematic review to assess the relative benefits of psychosocial interventions as an adjunct to opioid agonist therapy among persons with OUD.\nMETHODS AND ANALYSIS: A comprehensive search for randomised controlled trials published in English or French will be conducted from database inception to March 2018. The search will be conducted in MEDLINE and translated for Embase, PsycINFO and the Cochrane Central Register of Controlled Trials. Two independent reviewers will screen, extract and assess risk of bias of eligible articles. Primary outcomes of interest will be treatment retention and opioid use (based on urinalysis results). Secondary outcomes will include self-reported opioid use, abstinence from illicit drugs, adherence to psychosocial therapy and opioid agonist therapy, risk for sexually transmitted disease, risk for blood borne pathogens, changes in mental health symptoms (eg, depression), measures of craving and changes in patients' quality of life and relevant adverse events. If sufficient data and adequate homogeneity exists, network meta-analyses (NMA) will be performed.\nETHICS AND DISSEMINATION: This will be the first systematic review to incorporate NMA to compare psychosocial treatments used as an adjunct to opioid agonist therapy for OUD. Results of this review will inform clinical management of persons with OUD.\nTRIAL REGISTRATION NUMBER: CRD42018090761.","container-title":"BMJ open","DOI":"10.1136/bmjopen-2018-023902","ISSN":"2044-6055","issue":"10","journalAbbreviation":"BMJ Open","language":"eng","note":"PMID: 30341139\nPMCID: PMC6196951","page":"e023902","source":"PubMed","title":"Evaluating comparative effectiveness of psychosocial interventions for persons receiving opioid agonist therapy for opioid use disorder: protocol for a systematic review","title-short":"Evaluating comparative effectiveness of psychosocial interventions for persons receiving opioid agonist therapy for opioid use disorder","volume":"8","author":[{"family":"Rice","given":"Danielle B."},{"family":"Hutton","given":"Brian"},{"family":"Poulin","given":"Patricia"},{"family":"Sproule","given":"Beth A."},{"family":"Wolfe","given":"Dianna"},{"family":"Moher","given":"David"},{"family":"Thavorn","given":"Kednapa"},{"family":"Garber","given":"Gary"},{"family":"Taha","given":"Sheena"},{"family":"Porath","given":"Amy"},{"family":"Willows","given":"Melanie"},{"family":"Esmaeilisaraji","given":"Leila"},{"family":"Yazdi","given":"Fatemeh"},{"family":"Shea","given":"Beverley"},{"family":"Skidmore","given":"Becky"},{"family":"Corace","given":"Kimberly"}],"issued":{"date-parts":[["2018"]],"season":"18"}}}],"schema":"https://github.com/citation-style-language/schema/raw/master/csl-citation.json"} </w:instrText>
            </w:r>
            <w:r w:rsidRPr="004266EA">
              <w:rPr>
                <w:rFonts w:cs="Times New Roman"/>
                <w:sz w:val="20"/>
                <w:szCs w:val="20"/>
              </w:rPr>
              <w:fldChar w:fldCharType="separate"/>
            </w:r>
            <w:r w:rsidR="00C76858" w:rsidRPr="00C76858">
              <w:rPr>
                <w:rFonts w:cs="Times New Roman"/>
                <w:sz w:val="20"/>
              </w:rPr>
              <w:t>[2]</w:t>
            </w:r>
            <w:r w:rsidRPr="004266EA">
              <w:rPr>
                <w:rFonts w:cs="Times New Roman"/>
                <w:sz w:val="20"/>
                <w:szCs w:val="20"/>
              </w:rPr>
              <w:fldChar w:fldCharType="end"/>
            </w:r>
          </w:p>
        </w:tc>
        <w:tc>
          <w:tcPr>
            <w:tcW w:w="1591" w:type="dxa"/>
          </w:tcPr>
          <w:p w14:paraId="7C6FF980"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review (NMA)</w:t>
            </w:r>
            <w:r>
              <w:rPr>
                <w:rFonts w:cs="Times New Roman"/>
                <w:sz w:val="20"/>
                <w:szCs w:val="20"/>
              </w:rPr>
              <w:t>;</w:t>
            </w:r>
          </w:p>
          <w:p w14:paraId="1DA176D3" w14:textId="1FE9A337" w:rsidR="00E57978" w:rsidRPr="004266EA" w:rsidRDefault="00E57978" w:rsidP="00291778">
            <w:pPr>
              <w:spacing w:line="240" w:lineRule="auto"/>
              <w:jc w:val="center"/>
              <w:rPr>
                <w:rFonts w:cs="Times New Roman"/>
                <w:sz w:val="20"/>
                <w:szCs w:val="20"/>
              </w:rPr>
            </w:pPr>
            <w:r w:rsidRPr="004266EA">
              <w:rPr>
                <w:rFonts w:cs="Times New Roman"/>
                <w:sz w:val="20"/>
                <w:szCs w:val="20"/>
              </w:rPr>
              <w:t>RCTs only</w:t>
            </w:r>
          </w:p>
        </w:tc>
        <w:tc>
          <w:tcPr>
            <w:tcW w:w="2378" w:type="dxa"/>
          </w:tcPr>
          <w:p w14:paraId="56582E41"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Psychosocial therapies</w:t>
            </w:r>
          </w:p>
        </w:tc>
        <w:tc>
          <w:tcPr>
            <w:tcW w:w="818" w:type="dxa"/>
          </w:tcPr>
          <w:p w14:paraId="05595C85"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16282</w:t>
            </w:r>
          </w:p>
        </w:tc>
        <w:tc>
          <w:tcPr>
            <w:tcW w:w="1120" w:type="dxa"/>
          </w:tcPr>
          <w:p w14:paraId="503F1F2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984 </w:t>
            </w:r>
          </w:p>
          <w:p w14:paraId="209BD86B"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(6.0%)</w:t>
            </w:r>
          </w:p>
        </w:tc>
        <w:tc>
          <w:tcPr>
            <w:tcW w:w="1073" w:type="dxa"/>
          </w:tcPr>
          <w:p w14:paraId="15CA36E6"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71 </w:t>
            </w:r>
          </w:p>
          <w:p w14:paraId="09A8C79C"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(0.44%)</w:t>
            </w:r>
          </w:p>
        </w:tc>
        <w:tc>
          <w:tcPr>
            <w:tcW w:w="1073" w:type="dxa"/>
          </w:tcPr>
          <w:p w14:paraId="284EFE72" w14:textId="7BEF6A53" w:rsidR="00E57978" w:rsidRPr="004266EA" w:rsidRDefault="00E57978" w:rsidP="00291778">
            <w:pPr>
              <w:spacing w:line="240" w:lineRule="auto"/>
              <w:jc w:val="center"/>
              <w:rPr>
                <w:rFonts w:cs="Times New Roman"/>
                <w:sz w:val="20"/>
                <w:szCs w:val="20"/>
              </w:rPr>
            </w:pPr>
            <w:r>
              <w:rPr>
                <w:rFonts w:cs="Times New Roman"/>
                <w:sz w:val="20"/>
                <w:szCs w:val="20"/>
              </w:rPr>
              <w:t>196.7</w:t>
            </w:r>
          </w:p>
        </w:tc>
        <w:tc>
          <w:tcPr>
            <w:tcW w:w="1586" w:type="dxa"/>
          </w:tcPr>
          <w:p w14:paraId="09D3E0E0" w14:textId="759FB9F7" w:rsidR="00E57978" w:rsidRPr="004266EA" w:rsidRDefault="00E57978" w:rsidP="00291778">
            <w:pPr>
              <w:spacing w:line="240" w:lineRule="auto"/>
              <w:jc w:val="center"/>
              <w:rPr>
                <w:rFonts w:cs="Times New Roman"/>
                <w:sz w:val="20"/>
                <w:szCs w:val="20"/>
              </w:rPr>
            </w:pPr>
            <w:r>
              <w:rPr>
                <w:rFonts w:cs="Times New Roman"/>
                <w:sz w:val="20"/>
                <w:szCs w:val="20"/>
              </w:rPr>
              <w:t>5.4%</w:t>
            </w:r>
          </w:p>
        </w:tc>
        <w:tc>
          <w:tcPr>
            <w:tcW w:w="1134" w:type="dxa"/>
          </w:tcPr>
          <w:p w14:paraId="7C7C01EA" w14:textId="5E9B5E9B"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rsidRPr="001451FC" w14:paraId="6C98282C" w14:textId="3C625EC7" w:rsidTr="00E57978">
        <w:tc>
          <w:tcPr>
            <w:tcW w:w="2122" w:type="dxa"/>
          </w:tcPr>
          <w:p w14:paraId="7D83703B" w14:textId="77AA127C" w:rsidR="00E57978" w:rsidRPr="004266EA" w:rsidRDefault="00E57978" w:rsidP="00291778">
            <w:pPr>
              <w:spacing w:line="240" w:lineRule="auto"/>
              <w:rPr>
                <w:rFonts w:cs="Times New Roman"/>
                <w:sz w:val="20"/>
                <w:szCs w:val="20"/>
              </w:rPr>
            </w:pPr>
            <w:r w:rsidRPr="004266EA">
              <w:rPr>
                <w:rFonts w:cs="Times New Roman"/>
                <w:sz w:val="20"/>
                <w:szCs w:val="20"/>
              </w:rPr>
              <w:t xml:space="preserve">Interventions for Meniere’s disease </w:t>
            </w:r>
            <w:r w:rsidRPr="004266EA">
              <w:rPr>
                <w:rFonts w:cs="Times New Roman"/>
                <w:sz w:val="20"/>
                <w:szCs w:val="20"/>
              </w:rPr>
              <w:fldChar w:fldCharType="begin"/>
            </w:r>
            <w:r w:rsidR="00C76858">
              <w:rPr>
                <w:rFonts w:cs="Times New Roman"/>
                <w:sz w:val="20"/>
                <w:szCs w:val="20"/>
              </w:rPr>
              <w:instrText xml:space="preserve"> ADDIN ZOTERO_ITEM CSL_CITATION {"citationID":"KjGbYEOl","properties":{"formattedCitation":"[3]","plainCitation":"[3]","noteIndex":0},"citationItems":[{"id":13625,"uris":["http://zotero.org/users/4806826/items/J2CYKUMX"],"uri":["http://zotero.org/users/4806826/items/J2CYKUMX"],"itemData":{"id":13625,"type":"article-journal","abstract":"BACKGROUND: Hearing loss is one of the leading causes of disability in Canada and worldwide, with more than one million Canadians enduring a hearing-related disability. Meniere's disease (MD) is a chronic condition of the inner ear, manifesting as a triad of disabling symptoms, including attacks of vertigo, fluctuating sensorineural hearing loss (SNHL), and tinnitus. Impacts on quality of life are severe, particularly with respect to restrictions in social participation and physical activity, fatigue, and reduced capacity to work. Anxiety and other psychological disorders may result from the restrictions imposed on life, the constant uncertainty of vertigo attacks, and fluctuating SNHL, with neuroses and depression affecting 40 to 60% of sufferers of intractable MD. There is a need to establish the benefits of previously studied interventions with greater certainty. The planned systematic review and meta-analyses/network meta-analyses (NMAs) will assess the relative effects of competing pharmacologic and surgical interventions for management of MD in adults.\nMETHODS: An experienced medical information specialist in consultation with the review team will develop the electronic search strategies. We will search various databases including MEDLINE, Embase, and the Cochrane Library with no date or language restrictions for published literature, and key clinical trial registries for in-progress and completed trials. Screening of the literature will be performed by two reviewers independently using pre-specified eligibility criteria, and quality of the included studies will be assessed using the Cochrane Risk of Bias tool. We will resolve disagreements through consensus or third-party adjudication. When applicable, meta-analyses and NMAs will be pursued to compare interventions in terms of their effects on outcomes, including frequency and severity of vertigo, occurrence and intensity of tinnitus, changes in hearing and speech recognition, quality of life, and harms. Separate analyses exploring the effects of pharmacologic and surgical approaches will be performed.\nDISCUSSION: Our planned systematic review will provide informative evaluations of existing treatments for management of Meniere's disease. The findings will inform practitioners as to the relative benefits and harms of the existing competing interventions for MD, offer optimal clinical treatment strategies, identify evidence gaps, and determine promising therapies for evaluation in future trials.\nSYSTEMATIC REVIEW REGISTRATION: PROSPERO CRD42019119129.","container-title":"Systematic Reviews","DOI":"10.1186/s13643-019-1195-1","ISSN":"2046-4053","issue":"1","journalAbbreviation":"Syst Rev","language":"eng","note":"PMID: 31888735\nPMCID: PMC6937806","page":"341","source":"PubMed","title":"Pharmacologic and surgical therapies for patients with Meniere's disease: a protocol for a systematic review and meta-analysis","title-short":"Pharmacologic and surgical therapies for patients with Meniere's disease","volume":"8","author":[{"family":"Ahmadzai","given":"Nadera"},{"family":"Cheng","given":"Wei"},{"family":"Wolfe","given":"Dianna"},{"family":"Bonaparte","given":"Jamie"},{"family":"Schramm","given":"David"},{"family":"Fitzpatrick","given":"Elizabeth"},{"family":"Lin","given":"Vincent"},{"family":"Skidmore","given":"Becky"},{"family":"Esmaeilisaraji","given":"Leila"},{"family":"Kilty","given":"Shaun"},{"family":"Hutton","given":"Brian"}],"issued":{"date-parts":[["2019"]],"season":"30"}}}],"schema":"https://github.com/citation-style-language/schema/raw/master/csl-citation.json"} </w:instrText>
            </w:r>
            <w:r w:rsidRPr="004266EA">
              <w:rPr>
                <w:rFonts w:cs="Times New Roman"/>
                <w:sz w:val="20"/>
                <w:szCs w:val="20"/>
              </w:rPr>
              <w:fldChar w:fldCharType="separate"/>
            </w:r>
            <w:r w:rsidR="00C76858" w:rsidRPr="00C76858">
              <w:rPr>
                <w:rFonts w:cs="Times New Roman"/>
                <w:sz w:val="20"/>
              </w:rPr>
              <w:t>[3]</w:t>
            </w:r>
            <w:r w:rsidRPr="004266EA">
              <w:rPr>
                <w:rFonts w:cs="Times New Roman"/>
                <w:sz w:val="20"/>
                <w:szCs w:val="20"/>
              </w:rPr>
              <w:fldChar w:fldCharType="end"/>
            </w:r>
          </w:p>
        </w:tc>
        <w:tc>
          <w:tcPr>
            <w:tcW w:w="1591" w:type="dxa"/>
          </w:tcPr>
          <w:p w14:paraId="1F9B64C7"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(NMA)</w:t>
            </w:r>
            <w:r>
              <w:rPr>
                <w:rFonts w:cs="Times New Roman"/>
                <w:sz w:val="20"/>
                <w:szCs w:val="20"/>
              </w:rPr>
              <w:t>;</w:t>
            </w:r>
          </w:p>
          <w:p w14:paraId="5312AA4B" w14:textId="612731AC" w:rsidR="00E57978" w:rsidRPr="004266EA" w:rsidRDefault="00E57978" w:rsidP="00291778">
            <w:pPr>
              <w:spacing w:line="240" w:lineRule="auto"/>
              <w:jc w:val="center"/>
              <w:rPr>
                <w:rFonts w:cs="Times New Roman"/>
                <w:sz w:val="20"/>
                <w:szCs w:val="20"/>
              </w:rPr>
            </w:pPr>
            <w:r w:rsidRPr="004266EA">
              <w:rPr>
                <w:rFonts w:cs="Times New Roman"/>
                <w:sz w:val="20"/>
                <w:szCs w:val="20"/>
              </w:rPr>
              <w:t>RCTs only</w:t>
            </w:r>
          </w:p>
        </w:tc>
        <w:tc>
          <w:tcPr>
            <w:tcW w:w="2378" w:type="dxa"/>
          </w:tcPr>
          <w:p w14:paraId="0E1BDA10"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Pharmacological therapies, surgical interventions</w:t>
            </w:r>
          </w:p>
        </w:tc>
        <w:tc>
          <w:tcPr>
            <w:tcW w:w="818" w:type="dxa"/>
          </w:tcPr>
          <w:p w14:paraId="77F49DB9"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2889</w:t>
            </w:r>
          </w:p>
        </w:tc>
        <w:tc>
          <w:tcPr>
            <w:tcW w:w="1120" w:type="dxa"/>
          </w:tcPr>
          <w:p w14:paraId="7E53BBAA"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332 </w:t>
            </w:r>
          </w:p>
          <w:p w14:paraId="6D535387"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(11.5%)</w:t>
            </w:r>
          </w:p>
        </w:tc>
        <w:tc>
          <w:tcPr>
            <w:tcW w:w="1073" w:type="dxa"/>
          </w:tcPr>
          <w:p w14:paraId="30B85C1A"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23 </w:t>
            </w:r>
          </w:p>
          <w:p w14:paraId="2BB2273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(0.80%)</w:t>
            </w:r>
          </w:p>
        </w:tc>
        <w:tc>
          <w:tcPr>
            <w:tcW w:w="1073" w:type="dxa"/>
          </w:tcPr>
          <w:p w14:paraId="5D5B2E8C" w14:textId="4BC5ACD6" w:rsidR="00E57978" w:rsidRPr="004266EA" w:rsidRDefault="00E57978" w:rsidP="00291778">
            <w:pPr>
              <w:spacing w:line="240" w:lineRule="auto"/>
              <w:jc w:val="center"/>
              <w:rPr>
                <w:rFonts w:cs="Times New Roman"/>
                <w:sz w:val="20"/>
                <w:szCs w:val="20"/>
              </w:rPr>
            </w:pPr>
            <w:r>
              <w:rPr>
                <w:rFonts w:cs="Times New Roman"/>
                <w:sz w:val="20"/>
                <w:szCs w:val="20"/>
              </w:rPr>
              <w:t>28.7</w:t>
            </w:r>
          </w:p>
        </w:tc>
        <w:tc>
          <w:tcPr>
            <w:tcW w:w="1586" w:type="dxa"/>
          </w:tcPr>
          <w:p w14:paraId="1AC9A826" w14:textId="6BBF4CD0" w:rsidR="00E57978" w:rsidRPr="004266EA" w:rsidRDefault="00E57978" w:rsidP="00291778">
            <w:pPr>
              <w:spacing w:line="240" w:lineRule="auto"/>
              <w:jc w:val="center"/>
              <w:rPr>
                <w:rFonts w:cs="Times New Roman"/>
                <w:sz w:val="20"/>
                <w:szCs w:val="20"/>
              </w:rPr>
            </w:pPr>
            <w:r>
              <w:rPr>
                <w:rFonts w:cs="Times New Roman"/>
                <w:sz w:val="20"/>
                <w:szCs w:val="20"/>
              </w:rPr>
              <w:t>5.7%</w:t>
            </w:r>
          </w:p>
        </w:tc>
        <w:tc>
          <w:tcPr>
            <w:tcW w:w="1134" w:type="dxa"/>
          </w:tcPr>
          <w:p w14:paraId="24DABA02" w14:textId="09894041"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14:paraId="20AB5EB2" w14:textId="761E9DAA" w:rsidTr="00E57978">
        <w:tc>
          <w:tcPr>
            <w:tcW w:w="2122" w:type="dxa"/>
          </w:tcPr>
          <w:p w14:paraId="244A1819" w14:textId="5411098D" w:rsidR="00E57978" w:rsidRPr="004266EA" w:rsidRDefault="00E57978" w:rsidP="00291778">
            <w:pPr>
              <w:spacing w:line="240" w:lineRule="auto"/>
              <w:rPr>
                <w:rFonts w:cs="Times New Roman"/>
                <w:sz w:val="20"/>
                <w:szCs w:val="20"/>
              </w:rPr>
            </w:pPr>
            <w:r w:rsidRPr="004266EA">
              <w:rPr>
                <w:rFonts w:cs="Times New Roman"/>
                <w:sz w:val="20"/>
                <w:szCs w:val="20"/>
              </w:rPr>
              <w:t xml:space="preserve">ALK inhibitors for non-small cell lung cancer [CRD42017077046] </w:t>
            </w:r>
            <w:r w:rsidRPr="004266EA">
              <w:rPr>
                <w:rFonts w:cs="Times New Roman"/>
                <w:b/>
                <w:sz w:val="20"/>
                <w:szCs w:val="20"/>
              </w:rPr>
              <w:fldChar w:fldCharType="begin"/>
            </w:r>
            <w:r w:rsidR="00C76858">
              <w:rPr>
                <w:rFonts w:cs="Times New Roman"/>
                <w:b/>
                <w:sz w:val="20"/>
                <w:szCs w:val="20"/>
              </w:rPr>
              <w:instrText xml:space="preserve"> ADDIN ZOTERO_ITEM CSL_CITATION {"citationID":"muViDHDk","properties":{"formattedCitation":"[4]","plainCitation":"[4]","noteIndex":0},"citationItems":[{"id":16436,"uris":["http://zotero.org/users/4806826/items/JNJMY9XV"],"uri":["http://zotero.org/users/4806826/items/JNJMY9XV"],"itemData":{"id":16436,"type":"article-journal","abstract":"Background We sought to assess the relative effects of individual anaplastic lymphoma kinase (ALK) inhibitors for the treatment of non-small cell lung cancer (NSCLC). Methods We searched MEDLINE, Embase, Cochrane CENTRAL, and grey literature (July 23, 2019) for randomized controlled trials (RCTs) that included participants with ALK- or ROS1-positive NSCLC who received any ALK inhibitor compared with placebo, another ALK inhibitor, or the same ALK inhibitor at a different dose. The primary outcome was treatment-related death. Secondary outcomes were overall survival (OS), progression-free survival (PFS), and serious adverse events. Data were pooled via meta-analysis and network meta-analysis, and risk of bias was assessed. PROSPERO: CRD42017077046. Results Thirteen RCTs reporting outcomes of interest among participants with ALK-positive NSCLC were identified. Treatment-related deaths were rare, with 10 deaths attributed to crizotinib (risk difference v. chemotherapy: 0.49, 95% credible interval [CrI] –0.16 to 1.46; odds ratio 2.58 (0.76–11.37). All ALK inhibitors improved PSF relative to chemotherapy (hazard ratio [95% CrI]: crizotinib 0.46 [0.39–0.54]; ceritinib 0.52 [0.42–0.64]; alectinib 300 BID 0.16 [0.08–0.33]; alectinib 600 BID 0.23 [0.17–0.30]; brigatinib 0.23 [0.15–0.35]), while alectinib and brigatinib improved PFS over crizotinib and ceritinib (alectinib v. crizotinib 0.34 [0.17–0.70]; alectinib v. ceritinib 0.30 [0.14–0.64]; brigatinib v. crizotinib 0.49 [0.33–0.73]; brigatinib v. ceritinib 0.43 [0.27–0.70]). OS was improved with alectinib compared with chemotherapy (HR 0.57 [95% CrI 0.39–0.83]) and crizotinib (0.68 [0.48–0.96]). Use of crizotinib (odds ratio 2.08 [95% CrI 1.56–2.79]) and alectinib (1.60 [1.00–2.58]) but not ceritinib (1.25 [0.90–1.74), increased the risk of serious adverse events compared with chemotherapy. Results were generally consistent among treatment-experienced or naïve participants. Conclusion(s) Treatment-related deaths were infrequent among ALK-positive NSCLC. PFS may be improved by alectinib and brigatinib relative to other ALK inhibitors; however, the assessment of OS is likely confounded by treatment crossover and should be interpreted with caution.","container-title":"PLOS ONE","DOI":"10.1371/journal.pone.0229179","ISSN":"1932-6203","issue":"2","journalAbbreviation":"PLOS ONE","language":"en","note":"publisher: Public Library of Science","page":"e0229179","source":"PLoS Journals","title":"ALK inhibitors for non-small cell lung cancer: A systematic review and network meta-analysis","title-short":"ALK inhibitors for non-small cell lung cancer","volume":"15","author":[{"family":"Elliott","given":"Jesse"},{"family":"Bai","given":"Zemin"},{"family":"Hsieh","given":"Shu-Ching"},{"family":"Kelly","given":"Shannon E."},{"family":"Chen","given":"Li"},{"family":"Skidmore","given":"Becky"},{"family":"Yousef","given":"Said"},{"family":"Zheng","given":"Carine"},{"family":"Stewart","given":"David J."},{"family":"Wells","given":"George A."}],"issued":{"date-parts":[["2020",2,19]]}}}],"schema":"https://github.com/citation-style-language/schema/raw/master/csl-citation.json"} </w:instrText>
            </w:r>
            <w:r w:rsidRPr="004266EA">
              <w:rPr>
                <w:rFonts w:cs="Times New Roman"/>
                <w:b/>
                <w:sz w:val="20"/>
                <w:szCs w:val="20"/>
              </w:rPr>
              <w:fldChar w:fldCharType="separate"/>
            </w:r>
            <w:r w:rsidR="00C76858" w:rsidRPr="00C76858">
              <w:rPr>
                <w:rFonts w:cs="Times New Roman"/>
                <w:sz w:val="20"/>
              </w:rPr>
              <w:t>[4]</w:t>
            </w:r>
            <w:r w:rsidRPr="004266EA">
              <w:rPr>
                <w:rFonts w:cs="Times New Roman"/>
                <w:b/>
                <w:sz w:val="20"/>
                <w:szCs w:val="20"/>
              </w:rPr>
              <w:fldChar w:fldCharType="end"/>
            </w:r>
          </w:p>
        </w:tc>
        <w:tc>
          <w:tcPr>
            <w:tcW w:w="1591" w:type="dxa"/>
          </w:tcPr>
          <w:p w14:paraId="66F24E79"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review (NMA)</w:t>
            </w:r>
            <w:r>
              <w:rPr>
                <w:rFonts w:cs="Times New Roman"/>
                <w:sz w:val="20"/>
                <w:szCs w:val="20"/>
              </w:rPr>
              <w:t>;</w:t>
            </w:r>
          </w:p>
          <w:p w14:paraId="7BE9763D" w14:textId="22FAE3AE" w:rsidR="00E57978" w:rsidRPr="004266EA" w:rsidRDefault="00E57978" w:rsidP="00291778">
            <w:pPr>
              <w:spacing w:line="240" w:lineRule="auto"/>
              <w:jc w:val="center"/>
              <w:rPr>
                <w:rFonts w:cs="Times New Roman"/>
                <w:sz w:val="20"/>
                <w:szCs w:val="20"/>
              </w:rPr>
            </w:pPr>
            <w:r w:rsidRPr="004266EA">
              <w:rPr>
                <w:rFonts w:cs="Times New Roman"/>
                <w:sz w:val="20"/>
                <w:szCs w:val="20"/>
              </w:rPr>
              <w:t>RCTs &amp; observational</w:t>
            </w:r>
          </w:p>
        </w:tc>
        <w:tc>
          <w:tcPr>
            <w:tcW w:w="2378" w:type="dxa"/>
          </w:tcPr>
          <w:p w14:paraId="4669F088"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Pharmacological therapies</w:t>
            </w:r>
          </w:p>
        </w:tc>
        <w:tc>
          <w:tcPr>
            <w:tcW w:w="818" w:type="dxa"/>
          </w:tcPr>
          <w:p w14:paraId="71BE7EC9"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3145</w:t>
            </w:r>
          </w:p>
        </w:tc>
        <w:tc>
          <w:tcPr>
            <w:tcW w:w="1120" w:type="dxa"/>
          </w:tcPr>
          <w:p w14:paraId="3412C90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795 </w:t>
            </w:r>
          </w:p>
          <w:p w14:paraId="4FB7BE14"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(25.3%)</w:t>
            </w:r>
          </w:p>
        </w:tc>
        <w:tc>
          <w:tcPr>
            <w:tcW w:w="1073" w:type="dxa"/>
          </w:tcPr>
          <w:p w14:paraId="5703F49C"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13 </w:t>
            </w:r>
          </w:p>
          <w:p w14:paraId="4DCBDB5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(0.40%)</w:t>
            </w:r>
          </w:p>
        </w:tc>
        <w:tc>
          <w:tcPr>
            <w:tcW w:w="1073" w:type="dxa"/>
          </w:tcPr>
          <w:p w14:paraId="6C2EBE6C" w14:textId="05CDD996" w:rsidR="00E57978" w:rsidRPr="004266EA" w:rsidRDefault="00E57978" w:rsidP="00291778">
            <w:pPr>
              <w:spacing w:line="240" w:lineRule="auto"/>
              <w:jc w:val="center"/>
              <w:rPr>
                <w:rFonts w:cs="Times New Roman"/>
                <w:sz w:val="20"/>
                <w:szCs w:val="20"/>
              </w:rPr>
            </w:pPr>
            <w:r>
              <w:rPr>
                <w:rFonts w:cs="Times New Roman"/>
                <w:sz w:val="20"/>
                <w:szCs w:val="20"/>
              </w:rPr>
              <w:t>21.9</w:t>
            </w:r>
          </w:p>
        </w:tc>
        <w:tc>
          <w:tcPr>
            <w:tcW w:w="1586" w:type="dxa"/>
          </w:tcPr>
          <w:p w14:paraId="6EFE5F5C" w14:textId="2BDD6AEA" w:rsidR="00E57978" w:rsidRPr="004266EA" w:rsidRDefault="00E57978" w:rsidP="00291778">
            <w:pPr>
              <w:spacing w:line="240" w:lineRule="auto"/>
              <w:jc w:val="center"/>
              <w:rPr>
                <w:rFonts w:cs="Times New Roman"/>
                <w:sz w:val="20"/>
                <w:szCs w:val="20"/>
              </w:rPr>
            </w:pPr>
            <w:r>
              <w:rPr>
                <w:rFonts w:cs="Times New Roman"/>
                <w:sz w:val="20"/>
                <w:szCs w:val="20"/>
              </w:rPr>
              <w:t>5.9%</w:t>
            </w:r>
          </w:p>
        </w:tc>
        <w:tc>
          <w:tcPr>
            <w:tcW w:w="1134" w:type="dxa"/>
          </w:tcPr>
          <w:p w14:paraId="0F9372C7" w14:textId="7172C3F8"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rsidRPr="001451FC" w14:paraId="4E49AE09" w14:textId="26A7050D" w:rsidTr="00E57978">
        <w:tc>
          <w:tcPr>
            <w:tcW w:w="2122" w:type="dxa"/>
          </w:tcPr>
          <w:p w14:paraId="695C9952" w14:textId="77777777" w:rsidR="00E57978" w:rsidRPr="004266EA" w:rsidRDefault="00E57978" w:rsidP="00291778">
            <w:pPr>
              <w:spacing w:line="240" w:lineRule="auto"/>
              <w:rPr>
                <w:rFonts w:cs="Times New Roman"/>
                <w:sz w:val="20"/>
                <w:szCs w:val="20"/>
              </w:rPr>
            </w:pPr>
            <w:r w:rsidRPr="004266EA">
              <w:rPr>
                <w:rFonts w:cs="Times New Roman"/>
                <w:sz w:val="20"/>
                <w:szCs w:val="20"/>
              </w:rPr>
              <w:t>Influenza vaccination during pregnancy [</w:t>
            </w:r>
            <w:hyperlink r:id="rId5" w:history="1">
              <w:r w:rsidRPr="004266EA">
                <w:rPr>
                  <w:rStyle w:val="Hyperlink"/>
                  <w:rFonts w:cs="Times New Roman"/>
                  <w:sz w:val="20"/>
                  <w:szCs w:val="20"/>
                </w:rPr>
                <w:t>https://osf.io/xey2k/</w:t>
              </w:r>
            </w:hyperlink>
            <w:r w:rsidRPr="004266EA">
              <w:rPr>
                <w:rFonts w:cs="Times New Roman"/>
                <w:sz w:val="20"/>
                <w:szCs w:val="20"/>
              </w:rPr>
              <w:t>]</w:t>
            </w:r>
          </w:p>
        </w:tc>
        <w:tc>
          <w:tcPr>
            <w:tcW w:w="1591" w:type="dxa"/>
          </w:tcPr>
          <w:p w14:paraId="7370EDC4"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review</w:t>
            </w:r>
            <w:r>
              <w:rPr>
                <w:rFonts w:cs="Times New Roman"/>
                <w:sz w:val="20"/>
                <w:szCs w:val="20"/>
              </w:rPr>
              <w:t>;</w:t>
            </w:r>
          </w:p>
          <w:p w14:paraId="6DC85726" w14:textId="0DFD5AB0" w:rsidR="00E57978" w:rsidRPr="004266EA" w:rsidRDefault="00E57978" w:rsidP="00291778">
            <w:pPr>
              <w:spacing w:line="240" w:lineRule="auto"/>
              <w:jc w:val="center"/>
              <w:rPr>
                <w:rFonts w:cs="Times New Roman"/>
                <w:sz w:val="20"/>
                <w:szCs w:val="20"/>
              </w:rPr>
            </w:pPr>
            <w:r w:rsidRPr="004266EA">
              <w:rPr>
                <w:rFonts w:cs="Times New Roman"/>
                <w:sz w:val="20"/>
                <w:szCs w:val="20"/>
              </w:rPr>
              <w:t>RCTs &amp; observational</w:t>
            </w:r>
          </w:p>
        </w:tc>
        <w:tc>
          <w:tcPr>
            <w:tcW w:w="2378" w:type="dxa"/>
          </w:tcPr>
          <w:p w14:paraId="39C42E36"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Pharmacological intervention</w:t>
            </w:r>
          </w:p>
        </w:tc>
        <w:tc>
          <w:tcPr>
            <w:tcW w:w="818" w:type="dxa"/>
          </w:tcPr>
          <w:p w14:paraId="11417C62"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8278</w:t>
            </w:r>
          </w:p>
        </w:tc>
        <w:tc>
          <w:tcPr>
            <w:tcW w:w="1120" w:type="dxa"/>
          </w:tcPr>
          <w:p w14:paraId="184D894E"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395 </w:t>
            </w:r>
          </w:p>
          <w:p w14:paraId="719936AC"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(4.8%)</w:t>
            </w:r>
          </w:p>
        </w:tc>
        <w:tc>
          <w:tcPr>
            <w:tcW w:w="1073" w:type="dxa"/>
          </w:tcPr>
          <w:p w14:paraId="1DD34D50"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104 (1.26%)</w:t>
            </w:r>
          </w:p>
        </w:tc>
        <w:tc>
          <w:tcPr>
            <w:tcW w:w="1073" w:type="dxa"/>
          </w:tcPr>
          <w:p w14:paraId="7991D625" w14:textId="68B99775" w:rsidR="00E57978" w:rsidRPr="004266EA" w:rsidRDefault="00E57978" w:rsidP="00291778">
            <w:pPr>
              <w:spacing w:line="240" w:lineRule="auto"/>
              <w:jc w:val="center"/>
              <w:rPr>
                <w:rFonts w:cs="Times New Roman"/>
                <w:sz w:val="20"/>
                <w:szCs w:val="20"/>
              </w:rPr>
            </w:pPr>
            <w:r>
              <w:rPr>
                <w:rFonts w:cs="Times New Roman"/>
                <w:sz w:val="20"/>
                <w:szCs w:val="20"/>
              </w:rPr>
              <w:t>87.6</w:t>
            </w:r>
          </w:p>
        </w:tc>
        <w:tc>
          <w:tcPr>
            <w:tcW w:w="1586" w:type="dxa"/>
          </w:tcPr>
          <w:p w14:paraId="3BB79FBE" w14:textId="59D0F7FC" w:rsidR="00E57978" w:rsidRPr="004266EA" w:rsidRDefault="00E57978" w:rsidP="00291778">
            <w:pPr>
              <w:spacing w:line="240" w:lineRule="auto"/>
              <w:jc w:val="center"/>
              <w:rPr>
                <w:rFonts w:cs="Times New Roman"/>
                <w:sz w:val="20"/>
                <w:szCs w:val="20"/>
              </w:rPr>
            </w:pPr>
            <w:r>
              <w:rPr>
                <w:rFonts w:cs="Times New Roman"/>
                <w:sz w:val="20"/>
                <w:szCs w:val="20"/>
              </w:rPr>
              <w:t>4.8%</w:t>
            </w:r>
          </w:p>
        </w:tc>
        <w:tc>
          <w:tcPr>
            <w:tcW w:w="1134" w:type="dxa"/>
          </w:tcPr>
          <w:p w14:paraId="70798582" w14:textId="5AD4F070"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rsidRPr="001451FC" w14:paraId="675EC700" w14:textId="0103B881" w:rsidTr="00E57978">
        <w:tc>
          <w:tcPr>
            <w:tcW w:w="2122" w:type="dxa"/>
          </w:tcPr>
          <w:p w14:paraId="7BA65D0B" w14:textId="0BE7FF94" w:rsidR="00E57978" w:rsidRPr="004266EA" w:rsidRDefault="00E57978" w:rsidP="00291778">
            <w:pPr>
              <w:spacing w:line="240" w:lineRule="auto"/>
              <w:rPr>
                <w:rFonts w:cs="Times New Roman"/>
                <w:sz w:val="20"/>
                <w:szCs w:val="20"/>
              </w:rPr>
            </w:pPr>
            <w:r w:rsidRPr="004266EA">
              <w:rPr>
                <w:rFonts w:cs="Times New Roman"/>
                <w:sz w:val="20"/>
                <w:szCs w:val="20"/>
              </w:rPr>
              <w:t xml:space="preserve">E-cigarettes for smoking cessation </w:t>
            </w:r>
            <w:r w:rsidRPr="004266EA">
              <w:rPr>
                <w:rFonts w:cs="Times New Roman"/>
                <w:sz w:val="20"/>
                <w:szCs w:val="20"/>
              </w:rPr>
              <w:fldChar w:fldCharType="begin"/>
            </w:r>
            <w:r w:rsidR="00C76858">
              <w:rPr>
                <w:rFonts w:cs="Times New Roman"/>
                <w:sz w:val="20"/>
                <w:szCs w:val="20"/>
              </w:rPr>
              <w:instrText xml:space="preserve"> ADDIN ZOTERO_ITEM CSL_CITATION {"citationID":"7Hoe7lRG","properties":{"formattedCitation":"[5]","plainCitation":"[5]","noteIndex":0},"citationItems":[{"id":13044,"uris":["http://zotero.org/users/4806826/items/8QGQ4DEY"],"uri":["http://zotero.org/users/4806826/items/8QGQ4DEY"],"itemData":{"id":13044,"type":"article-journal","abstract":"BACKGROUND: Tobacco smoking is the leading cause of cancer, preventable death, and disability. Smoking cessation can increase life expectancy by nearly a decade if achieved in the third or fourth decades of life. Various stop smoking interventions are available including pharmacotherapies, electronic cigarettes, behavioural support, and alternative therapies. This protocol outlines an evidence review which will evaluate the benefits and harms of stop smoking interventions in adults.\nMETHODS: The evidence review will consist of two stages. First, an overview of systematic reviews evaluating the benefits and harms of various stop smoking interventions delivered in or referred from the primary care setting will be conducted. The second stage will involve updating a systematic review on electronic cigarettes identified in the overview; randomized controlled trials will be considered for outcomes relating to benefits while randomized controlled trials, non-randomized controlled trials, and comparative observational studies will be considered for evaluating harms. Search strategies will be developed and peer-reviewed by medical information specialists. The search strategy for the updated review on e-cigarettes will be developed using that of the candidate systematic review. The MEDLINE®, PsycINFO, Embase, and the Cochrane Library electronic databases will be searched as of 2008 for the overview of reviews and from the last search date of the selected review for the updated review. Organizational websites and trial registries will be searched for unpublished or ongoing reviews/studies. Two reviewers will independently screen the title and abstracts of citations using the liberal accelerated method. Full-text screening will be performed independently by two reviewers. Extracted data will be verified by a second reviewer. Disagreements regarding full-text screening and data extraction will be resolved by consensus or third-party adjudication. The methodological quality of systematic reviews, risk of bias of randomized and non-randomized trials, and methodological quality of cohort studies will be evaluated using AMSTAR 2, the Cochrane risk of bias tool, and a modified version of the Scottish Intercollegiate Guidelines Network critical appraisal tool, respectively. The GRADE framework will be used to assess the quality of the evidence for outcomes.\nDISCUSSION: The evidence review will evaluate the benefits and harms of various stop smoking interventions for adults. Findings will be used to inform a national tobacco cessation guideline by the Canadian Task Force on Preventive Health Care.\nSYSTEMATIC REVIEW REGISTRATION: PROSPERO (CRD42018099691, CRD42018099692).","container-title":"Systematic Reviews","DOI":"10.1186/s13643-018-0928-x","ISSN":"2046-4053","issue":"1","journalAbbreviation":"Syst Rev","language":"eng","note":"PMID: 30660199\nPMCID: PMC6339342","page":"28","source":"PubMed","title":"Effectiveness of stop smoking interventions among adults: protocol for an overview of systematic reviews and an updated systematic review","title-short":"Effectiveness of stop smoking interventions among adults","volume":"8","author":[{"family":"Hersi","given":"Mona"},{"family":"Traversy","given":"Gregory"},{"family":"Thombs","given":"Brett D."},{"family":"Beck","given":"Andrew"},{"family":"Skidmore","given":"Becky"},{"family":"Groulx","given":"Stéphane"},{"family":"Lang","given":"Eddy"},{"family":"Reynolds","given":"Donna L."},{"family":"Wilson","given":"Brenda"},{"family":"Bernstein","given":"Steven L."},{"family":"Selby","given":"Peter"},{"family":"Johnson-Obaseki","given":"Stephanie"},{"family":"Manuel","given":"Douglas"},{"family":"Pakhale","given":"Smita"},{"family":"Presseau","given":"Justin"},{"family":"Courage","given":"Susan"},{"family":"Hutton","given":"Brian"},{"family":"Shea","given":"Beverley J."},{"family":"Welch","given":"Vivian"},{"family":"Morrow","given":"Matt"},{"family":"Little","given":"Julian"},{"family":"Stevens","given":"Adrienne"}],"issued":{"date-parts":[["2019"]],"season":"19"}}}],"schema":"https://github.com/citation-style-language/schema/raw/master/csl-citation.json"} </w:instrText>
            </w:r>
            <w:r w:rsidRPr="004266EA">
              <w:rPr>
                <w:rFonts w:cs="Times New Roman"/>
                <w:sz w:val="20"/>
                <w:szCs w:val="20"/>
              </w:rPr>
              <w:fldChar w:fldCharType="separate"/>
            </w:r>
            <w:r w:rsidR="00C76858" w:rsidRPr="00C76858">
              <w:rPr>
                <w:rFonts w:cs="Times New Roman"/>
                <w:sz w:val="20"/>
              </w:rPr>
              <w:t>[5]</w:t>
            </w:r>
            <w:r w:rsidRPr="004266EA">
              <w:rPr>
                <w:rFonts w:cs="Times New Roman"/>
                <w:sz w:val="20"/>
                <w:szCs w:val="20"/>
              </w:rPr>
              <w:fldChar w:fldCharType="end"/>
            </w:r>
          </w:p>
        </w:tc>
        <w:tc>
          <w:tcPr>
            <w:tcW w:w="1591" w:type="dxa"/>
          </w:tcPr>
          <w:p w14:paraId="1A645CB5"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review</w:t>
            </w:r>
            <w:r>
              <w:rPr>
                <w:rFonts w:cs="Times New Roman"/>
                <w:sz w:val="20"/>
                <w:szCs w:val="20"/>
              </w:rPr>
              <w:t>;</w:t>
            </w:r>
          </w:p>
          <w:p w14:paraId="64B22789" w14:textId="4B8CC88F" w:rsidR="00E57978" w:rsidRPr="004266EA" w:rsidRDefault="00E57978" w:rsidP="00291778">
            <w:pPr>
              <w:spacing w:line="240" w:lineRule="auto"/>
              <w:jc w:val="center"/>
              <w:rPr>
                <w:rFonts w:cs="Times New Roman"/>
                <w:sz w:val="20"/>
                <w:szCs w:val="20"/>
              </w:rPr>
            </w:pPr>
            <w:r w:rsidRPr="004266EA">
              <w:rPr>
                <w:rFonts w:cs="Times New Roman"/>
                <w:sz w:val="20"/>
                <w:szCs w:val="20"/>
              </w:rPr>
              <w:t>RCTs &amp; observational</w:t>
            </w:r>
          </w:p>
        </w:tc>
        <w:tc>
          <w:tcPr>
            <w:tcW w:w="2378" w:type="dxa"/>
          </w:tcPr>
          <w:p w14:paraId="21A39860"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E-cigarette</w:t>
            </w:r>
          </w:p>
        </w:tc>
        <w:tc>
          <w:tcPr>
            <w:tcW w:w="818" w:type="dxa"/>
          </w:tcPr>
          <w:p w14:paraId="13A01032"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2250</w:t>
            </w:r>
          </w:p>
        </w:tc>
        <w:tc>
          <w:tcPr>
            <w:tcW w:w="1120" w:type="dxa"/>
          </w:tcPr>
          <w:p w14:paraId="7E9A0A7A"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881 </w:t>
            </w:r>
          </w:p>
          <w:p w14:paraId="7690F2F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(39.2%)</w:t>
            </w:r>
          </w:p>
        </w:tc>
        <w:tc>
          <w:tcPr>
            <w:tcW w:w="1073" w:type="dxa"/>
          </w:tcPr>
          <w:p w14:paraId="31C6B9B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14 </w:t>
            </w:r>
          </w:p>
          <w:p w14:paraId="2FD05BCE"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(0.62%)</w:t>
            </w:r>
          </w:p>
        </w:tc>
        <w:tc>
          <w:tcPr>
            <w:tcW w:w="1073" w:type="dxa"/>
          </w:tcPr>
          <w:p w14:paraId="79A9F49F" w14:textId="0127E8AF" w:rsidR="00E57978" w:rsidRPr="004266EA" w:rsidRDefault="00E57978" w:rsidP="00291778">
            <w:pPr>
              <w:spacing w:line="240" w:lineRule="auto"/>
              <w:jc w:val="center"/>
              <w:rPr>
                <w:rFonts w:cs="Times New Roman"/>
                <w:sz w:val="20"/>
                <w:szCs w:val="20"/>
              </w:rPr>
            </w:pPr>
            <w:r>
              <w:rPr>
                <w:rFonts w:cs="Times New Roman"/>
                <w:sz w:val="20"/>
                <w:szCs w:val="20"/>
              </w:rPr>
              <w:t>11.3</w:t>
            </w:r>
          </w:p>
        </w:tc>
        <w:tc>
          <w:tcPr>
            <w:tcW w:w="1586" w:type="dxa"/>
          </w:tcPr>
          <w:p w14:paraId="2D7BCD06" w14:textId="7ACA140A" w:rsidR="00E57978" w:rsidRPr="004266EA" w:rsidRDefault="00E57978" w:rsidP="00291778">
            <w:pPr>
              <w:spacing w:line="240" w:lineRule="auto"/>
              <w:jc w:val="center"/>
              <w:rPr>
                <w:rFonts w:cs="Times New Roman"/>
                <w:sz w:val="20"/>
                <w:szCs w:val="20"/>
              </w:rPr>
            </w:pPr>
            <w:r>
              <w:rPr>
                <w:rFonts w:cs="Times New Roman"/>
                <w:sz w:val="20"/>
                <w:szCs w:val="20"/>
              </w:rPr>
              <w:t>6.0%</w:t>
            </w:r>
          </w:p>
        </w:tc>
        <w:tc>
          <w:tcPr>
            <w:tcW w:w="1134" w:type="dxa"/>
          </w:tcPr>
          <w:p w14:paraId="06C9CC1D" w14:textId="3618CF88"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14:paraId="73B743FC" w14:textId="06A81E33" w:rsidTr="00E57978">
        <w:tc>
          <w:tcPr>
            <w:tcW w:w="2122" w:type="dxa"/>
          </w:tcPr>
          <w:p w14:paraId="3A052AAF" w14:textId="77777777" w:rsidR="00E57978" w:rsidRPr="004266EA" w:rsidRDefault="00E57978" w:rsidP="00291778">
            <w:pPr>
              <w:spacing w:line="240" w:lineRule="auto"/>
              <w:rPr>
                <w:rFonts w:cs="Times New Roman"/>
                <w:sz w:val="20"/>
                <w:szCs w:val="20"/>
              </w:rPr>
            </w:pPr>
            <w:proofErr w:type="spellStart"/>
            <w:r w:rsidRPr="004266EA">
              <w:rPr>
                <w:rFonts w:cs="Times New Roman"/>
                <w:sz w:val="20"/>
                <w:szCs w:val="20"/>
              </w:rPr>
              <w:lastRenderedPageBreak/>
              <w:t>Omalizumab</w:t>
            </w:r>
            <w:proofErr w:type="spellEnd"/>
            <w:r w:rsidRPr="004266EA">
              <w:rPr>
                <w:rFonts w:cs="Times New Roman"/>
                <w:sz w:val="20"/>
                <w:szCs w:val="20"/>
              </w:rPr>
              <w:t xml:space="preserve"> for atopic asthma and chronic idiopathic </w:t>
            </w:r>
            <w:proofErr w:type="spellStart"/>
            <w:r w:rsidRPr="004266EA">
              <w:rPr>
                <w:rFonts w:cs="Times New Roman"/>
                <w:sz w:val="20"/>
                <w:szCs w:val="20"/>
              </w:rPr>
              <w:t>urticaria</w:t>
            </w:r>
            <w:proofErr w:type="spellEnd"/>
          </w:p>
          <w:p w14:paraId="734353B0" w14:textId="3B3B9D0B" w:rsidR="00E57978" w:rsidRPr="004266EA" w:rsidRDefault="00E57978" w:rsidP="00291778">
            <w:pPr>
              <w:spacing w:line="240" w:lineRule="auto"/>
              <w:rPr>
                <w:rFonts w:cs="Times New Roman"/>
                <w:sz w:val="20"/>
                <w:szCs w:val="20"/>
              </w:rPr>
            </w:pPr>
            <w:r w:rsidRPr="004266EA">
              <w:rPr>
                <w:rFonts w:cs="Times New Roman"/>
                <w:sz w:val="20"/>
                <w:szCs w:val="20"/>
              </w:rPr>
              <w:t xml:space="preserve">[CRD42018082211] </w:t>
            </w:r>
            <w:r w:rsidRPr="004266EA">
              <w:rPr>
                <w:rFonts w:cs="Times New Roman"/>
                <w:b/>
                <w:sz w:val="20"/>
                <w:szCs w:val="20"/>
              </w:rPr>
              <w:fldChar w:fldCharType="begin"/>
            </w:r>
            <w:r w:rsidR="00C76858">
              <w:rPr>
                <w:rFonts w:cs="Times New Roman"/>
                <w:b/>
                <w:sz w:val="20"/>
                <w:szCs w:val="20"/>
              </w:rPr>
              <w:instrText xml:space="preserve"> ADDIN ZOTERO_ITEM CSL_CITATION {"citationID":"vhlHzwly","properties":{"formattedCitation":"[6]","plainCitation":"[6]","noteIndex":0},"citationItems":[{"id":16439,"uris":["http://zotero.org/users/4806826/items/MHHIIXWA"],"uri":["http://zotero.org/users/4806826/items/MHHIIXWA"],"itemData":{"id":16439,"type":"article-journal","abstract":"OBJECTIVE: We investigated whether prolonged treatment with omalizumab influences development or progression of solid epithelial cancer in patients with atopic asthma or chronic idiopathic urticaria.\nDESIGN: Systematic review and meta-analysis of intervention and observational studies. Randomized controlled trials were assessed for risk of bias using the Cochrane Risk of Bias tool, comparative observational studies were assessed using the Newcastle-Ottawa Scale, and non-comparative observational studies were assessed using the Joanna Briggs Institute Checklist for Prevalence Studies.\nDATA SOURCES: We searched MEDLINE, EMBASE, Cochrane Library and grey literature for eligible studies to November 2017. All searches were updated in January 2019.\nELIGIBILITY CRITERIA FOR INCLUDED STUDIES: Randomized, quasi-randomized, controlled clinical trials and observational studies were included if they involved patients ≥ 12 years with moderate-to-severe persistent asthma or chronic idiopathic urticaria treated with omalizumab for ≥ 40 weeks. Eligible comparators included standard of care, placebo, cromoglycate or no treatment.\nRESULTS: One hundred and sixty seven unique studies were eligible for inclusion; however, only twelve (7.2%, n = 11 758) reported any outcome of interest, none of which involved patients with urticaria. 195 cancer events were reported. We found no statistically significant increase in the odds of study-emergent solid epithelial cancer in patients randomized to long-term treatment with omalizumab compared to standard of care (Peto OR: 0.65, 95% CI: 0.11, 3.74, I2  = 41%). Less than one per cent of participants of non-comparative observational studies (n = 2350) were diagnosed with a solid epithelial tumour (meta-proportion: 0.86% [95% CI: 0.24, 1.86%, I2  = 56%]). In the only comparative observational study reporting on cancer, the proportion of study-emergent solid epithelial tumour events was nearly identical in both study groups (omalizumab: 2.3%, standard of care: 2.2%).\nCONCLUSIONS: There is insufficient evidence to determine whether long-term treatment with omalizumab influences development or progression of solid epithelial cancer in these patient populations. PROSPERO registration # CRD 42018082211.","container-title":"Clinical and Experimental Allergy: Journal of the British Society for Allergy and Clinical Immunology","DOI":"10.1111/cea.13457","ISSN":"1365-2222","issue":"10","journalAbbreviation":"Clin. Exp. Allergy","language":"eng","note":"PMID: 31295369","page":"1291-1305","source":"PubMed","title":"Influence of prolonged treatment with omalizumab on the development of solid epithelial cancer in patients with atopic asthma and chronic idiopathic urticaria: A systematic review and meta-analysis","title-short":"Influence of prolonged treatment with omalizumab on the development of solid epithelial cancer in patients with atopic asthma and chronic idiopathic urticaria","volume":"49","author":[{"family":"Johnston","given":"Amy"},{"family":"Smith","given":"Christine"},{"family":"Zheng","given":"Carine"},{"family":"Aaron","given":"Shawn D."},{"family":"Kelly","given":"Shannon E."},{"family":"Skidmore","given":"Becky"},{"family":"Wells","given":"George A."}],"issued":{"date-parts":[["2019",10]]}}}],"schema":"https://github.com/citation-style-language/schema/raw/master/csl-citation.json"} </w:instrText>
            </w:r>
            <w:r w:rsidRPr="004266EA">
              <w:rPr>
                <w:rFonts w:cs="Times New Roman"/>
                <w:b/>
                <w:sz w:val="20"/>
                <w:szCs w:val="20"/>
              </w:rPr>
              <w:fldChar w:fldCharType="separate"/>
            </w:r>
            <w:r w:rsidR="00C76858" w:rsidRPr="00C76858">
              <w:rPr>
                <w:rFonts w:cs="Times New Roman"/>
                <w:sz w:val="20"/>
              </w:rPr>
              <w:t>[6]</w:t>
            </w:r>
            <w:r w:rsidRPr="004266EA">
              <w:rPr>
                <w:rFonts w:cs="Times New Roman"/>
                <w:b/>
                <w:sz w:val="20"/>
                <w:szCs w:val="20"/>
              </w:rPr>
              <w:fldChar w:fldCharType="end"/>
            </w:r>
          </w:p>
        </w:tc>
        <w:tc>
          <w:tcPr>
            <w:tcW w:w="1591" w:type="dxa"/>
          </w:tcPr>
          <w:p w14:paraId="5F1153BD"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and safety review</w:t>
            </w:r>
            <w:r>
              <w:rPr>
                <w:rFonts w:cs="Times New Roman"/>
                <w:sz w:val="20"/>
                <w:szCs w:val="20"/>
              </w:rPr>
              <w:t>;</w:t>
            </w:r>
          </w:p>
          <w:p w14:paraId="6F845BB0" w14:textId="72F6FFBF" w:rsidR="00E57978" w:rsidRPr="004266EA" w:rsidRDefault="00E57978" w:rsidP="00291778">
            <w:pPr>
              <w:spacing w:line="240" w:lineRule="auto"/>
              <w:jc w:val="center"/>
              <w:rPr>
                <w:rFonts w:cs="Times New Roman"/>
                <w:sz w:val="20"/>
                <w:szCs w:val="20"/>
              </w:rPr>
            </w:pPr>
            <w:r w:rsidRPr="004266EA">
              <w:rPr>
                <w:rFonts w:cs="Times New Roman"/>
                <w:sz w:val="20"/>
                <w:szCs w:val="20"/>
              </w:rPr>
              <w:t>RCTs &amp; observational</w:t>
            </w:r>
          </w:p>
        </w:tc>
        <w:tc>
          <w:tcPr>
            <w:tcW w:w="2378" w:type="dxa"/>
          </w:tcPr>
          <w:p w14:paraId="43BE61F4"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Pharmacological  intervention</w:t>
            </w:r>
          </w:p>
        </w:tc>
        <w:tc>
          <w:tcPr>
            <w:tcW w:w="818" w:type="dxa"/>
          </w:tcPr>
          <w:p w14:paraId="6DDD7740"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3265</w:t>
            </w:r>
          </w:p>
        </w:tc>
        <w:tc>
          <w:tcPr>
            <w:tcW w:w="1120" w:type="dxa"/>
          </w:tcPr>
          <w:p w14:paraId="6434CDA8"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482 </w:t>
            </w:r>
          </w:p>
          <w:p w14:paraId="58C2862A"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(14.8%)</w:t>
            </w:r>
          </w:p>
        </w:tc>
        <w:tc>
          <w:tcPr>
            <w:tcW w:w="1073" w:type="dxa"/>
          </w:tcPr>
          <w:p w14:paraId="39A1D4D2"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12 </w:t>
            </w:r>
          </w:p>
          <w:p w14:paraId="106E54C8"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(0.36%)</w:t>
            </w:r>
          </w:p>
        </w:tc>
        <w:tc>
          <w:tcPr>
            <w:tcW w:w="1073" w:type="dxa"/>
          </w:tcPr>
          <w:p w14:paraId="7690BD7B" w14:textId="4A97D9B6" w:rsidR="00E57978" w:rsidRPr="004266EA" w:rsidRDefault="00E57978" w:rsidP="00291778">
            <w:pPr>
              <w:spacing w:line="240" w:lineRule="auto"/>
              <w:jc w:val="center"/>
              <w:rPr>
                <w:rFonts w:cs="Times New Roman"/>
                <w:sz w:val="20"/>
                <w:szCs w:val="20"/>
              </w:rPr>
            </w:pPr>
            <w:r>
              <w:rPr>
                <w:rFonts w:cs="Times New Roman"/>
                <w:sz w:val="20"/>
                <w:szCs w:val="20"/>
              </w:rPr>
              <w:t>29.6</w:t>
            </w:r>
          </w:p>
        </w:tc>
        <w:tc>
          <w:tcPr>
            <w:tcW w:w="1586" w:type="dxa"/>
          </w:tcPr>
          <w:p w14:paraId="051154EC" w14:textId="5454C8C6" w:rsidR="00E57978" w:rsidRPr="004266EA" w:rsidRDefault="00E57978" w:rsidP="00291778">
            <w:pPr>
              <w:spacing w:line="240" w:lineRule="auto"/>
              <w:jc w:val="center"/>
              <w:rPr>
                <w:rFonts w:cs="Times New Roman"/>
                <w:sz w:val="20"/>
                <w:szCs w:val="20"/>
              </w:rPr>
            </w:pPr>
            <w:r>
              <w:rPr>
                <w:rFonts w:cs="Times New Roman"/>
                <w:sz w:val="20"/>
                <w:szCs w:val="20"/>
              </w:rPr>
              <w:t>5.4%</w:t>
            </w:r>
          </w:p>
        </w:tc>
        <w:tc>
          <w:tcPr>
            <w:tcW w:w="1134" w:type="dxa"/>
          </w:tcPr>
          <w:p w14:paraId="7A9B4934" w14:textId="70DE5BE3"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14:paraId="276067D1" w14:textId="32543AB4" w:rsidTr="00E57978">
        <w:tc>
          <w:tcPr>
            <w:tcW w:w="2122" w:type="dxa"/>
          </w:tcPr>
          <w:p w14:paraId="58B817C0" w14:textId="17FF0566" w:rsidR="00E57978" w:rsidRPr="004266EA" w:rsidRDefault="00E57978" w:rsidP="00291778">
            <w:pPr>
              <w:spacing w:line="240" w:lineRule="auto"/>
              <w:rPr>
                <w:rFonts w:cs="Times New Roman"/>
                <w:sz w:val="20"/>
                <w:szCs w:val="20"/>
              </w:rPr>
            </w:pPr>
            <w:r w:rsidRPr="004266EA">
              <w:rPr>
                <w:rFonts w:cs="Times New Roman"/>
                <w:sz w:val="20"/>
                <w:szCs w:val="20"/>
              </w:rPr>
              <w:t xml:space="preserve">Adult depression screening </w:t>
            </w:r>
            <w:r w:rsidRPr="004266EA">
              <w:rPr>
                <w:rFonts w:cs="Times New Roman"/>
                <w:b/>
                <w:sz w:val="20"/>
                <w:szCs w:val="20"/>
              </w:rPr>
              <w:fldChar w:fldCharType="begin"/>
            </w:r>
            <w:r w:rsidR="00C76858">
              <w:rPr>
                <w:rFonts w:cs="Times New Roman"/>
                <w:b/>
                <w:sz w:val="20"/>
                <w:szCs w:val="20"/>
              </w:rPr>
              <w:instrText xml:space="preserve"> ADDIN ZOTERO_ITEM CSL_CITATION {"citationID":"OPXIS9jW","properties":{"formattedCitation":"[7]","plainCitation":"[7]","noteIndex":0},"citationItems":[{"id":5399,"uris":["http://zotero.org/users/4806826/items/LGNJLPDV"],"uri":["http://zotero.org/users/4806826/items/LGNJLPDV"],"itemData":{"id":5399,"type":"article-journal","abstract":"BACKGROUND: In 2018, the World Health Organization reported that depression is the most common cause of disability worldwide, with over 300 million people currently living with depression. Depression affects an individual's physical health and well-being, impacts psychosocial functioning, and has specific negative short- and long-term effects on maternal health, child health, developmental trajectories, and family health. The aim of these reviews is to identify evidence on the benefits and harms of screening for depression in the general adult population and in pregnant and postpartum women.\nMETHODS: Search strategies were developed and tested through an iterative process by an experienced medical information specialist in consultation with the review team. We will search MEDLINE, Embase, PsycINFO, CINAHL, and the Cochrane Library, and a randomized controlled trial filter will be used. The general adult review will be an update of a systematic review previously used by the Canadian Task Force on Preventive Health Care for their 2013 guideline recommendation. The search strategy will be updated and will start from the last search date of the previous review (May 2012). The pregnant and postpartum review will be a de novo review with no date restriction. For both reviews, we will search for unpublished documents following the CADTH Grey Matters checklist and relevant websites. Titles and abstracts will be screened using the liberal accelerated method. Two reviewers will independently screen full-text articles for relevance using pre-specified eligibility criteria and assess the risk of bias of included studies using the Cochrane Risk of Bias tool. Outcomes of interest for the general adult population review include symptoms of depression or diagnosis of major depressive disorder, health-related quality of life, day-to-day functionality, lost time at work/school, impact on lifestyle behaviour, suicidality, false-positive result, labelling/stigma, overdiagnosis or overtreatment, and harms of treatment. Outcomes of interest for the pregnant and postpartum review include mental health outcomes (e.g. diagnosis of major depressive disorder), parenting outcomes (e.g. mother-child interactions), and infant outcomes (e.g. infant health and development).\nDISCUSSION: These two systematic reviews will offer informative evaluations of depression screening. The findings will be used by the Task Force to help develop guideline recommendations on depression screening in the general adult population and in pregnant and postpartum women in Canada.\nSYSTEMATIC REVIEW REGISTRATION: PROSPERO (CRD42018099690).","container-title":"Systematic Reviews","DOI":"10.1186/s13643-018-0930-3","ISSN":"2046-4053","issue":"1","journalAbbreviation":"Syst Rev","language":"eng","note":"PMID: 30660183\nPMCID: PMC6339426","page":"27","source":"PubMed","title":"Screening for depression in women during pregnancy or the first year postpartum and in the general adult population: a protocol for two systematic reviews to update a guideline of the Canadian Task Force on Preventive Health Care","title-short":"Screening for depression in women during pregnancy or the first year postpartum and in the general adult population","volume":"8","author":[{"family":"Hamel","given":"Candyce"},{"family":"Lang","given":"Eddy"},{"family":"Morissette","given":"Kate"},{"family":"Beck","given":"Andrew"},{"family":"Stevens","given":"Adrienne"},{"family":"Skidmore","given":"Becky"},{"family":"Colquhoun","given":"Heather"},{"family":"LeBlanc","given":"John"},{"family":"Moore","given":"Ainsley"},{"family":"Riva","given":"John J."},{"family":"Thombs","given":"Brett D."},{"family":"Colman","given":"Ian"},{"family":"Grigoriadis","given":"Sophie"},{"family":"Nicholls","given":"Stuart Gordon"},{"family":"Potter","given":"Beth K."},{"family":"Ritchie","given":"Kerri"},{"family":"Robert","given":"Julie"},{"family":"Vasa","given":"Priya"},{"family":"Lauria-Horner","given":"Bianca"},{"family":"Patten","given":"Scott"},{"family":"Vigod","given":"Simone N."},{"family":"Hutton","given":"Brian"},{"family":"Shea","given":"Beverley J."},{"family":"Shanmugasegaram","given":"Shamila"},{"family":"Little","given":"Julian"},{"family":"Moher","given":"David"}],"issued":{"date-parts":[["2019",1,19]]}}}],"schema":"https://github.com/citation-style-language/schema/raw/master/csl-citation.json"} </w:instrText>
            </w:r>
            <w:r w:rsidRPr="004266EA">
              <w:rPr>
                <w:rFonts w:cs="Times New Roman"/>
                <w:b/>
                <w:sz w:val="20"/>
                <w:szCs w:val="20"/>
              </w:rPr>
              <w:fldChar w:fldCharType="separate"/>
            </w:r>
            <w:r w:rsidR="00C76858" w:rsidRPr="00C76858">
              <w:rPr>
                <w:rFonts w:cs="Times New Roman"/>
                <w:sz w:val="20"/>
              </w:rPr>
              <w:t>[7]</w:t>
            </w:r>
            <w:r w:rsidRPr="004266EA">
              <w:rPr>
                <w:rFonts w:cs="Times New Roman"/>
                <w:b/>
                <w:sz w:val="20"/>
                <w:szCs w:val="20"/>
              </w:rPr>
              <w:fldChar w:fldCharType="end"/>
            </w:r>
          </w:p>
        </w:tc>
        <w:tc>
          <w:tcPr>
            <w:tcW w:w="1591" w:type="dxa"/>
          </w:tcPr>
          <w:p w14:paraId="423CCBFF"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review</w:t>
            </w:r>
            <w:r>
              <w:rPr>
                <w:rFonts w:cs="Times New Roman"/>
                <w:sz w:val="20"/>
                <w:szCs w:val="20"/>
              </w:rPr>
              <w:t>;</w:t>
            </w:r>
          </w:p>
          <w:p w14:paraId="6463A1DE" w14:textId="37A97245" w:rsidR="00E57978" w:rsidRPr="004266EA" w:rsidRDefault="00E57978" w:rsidP="00291778">
            <w:pPr>
              <w:spacing w:line="240" w:lineRule="auto"/>
              <w:jc w:val="center"/>
              <w:rPr>
                <w:rFonts w:cs="Times New Roman"/>
                <w:sz w:val="20"/>
                <w:szCs w:val="20"/>
              </w:rPr>
            </w:pPr>
            <w:r w:rsidRPr="004266EA">
              <w:rPr>
                <w:rFonts w:cs="Times New Roman"/>
                <w:sz w:val="20"/>
                <w:szCs w:val="20"/>
              </w:rPr>
              <w:t>RCTs only</w:t>
            </w:r>
          </w:p>
        </w:tc>
        <w:tc>
          <w:tcPr>
            <w:tcW w:w="2378" w:type="dxa"/>
          </w:tcPr>
          <w:p w14:paraId="5D45A321"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Screening intervention</w:t>
            </w:r>
          </w:p>
        </w:tc>
        <w:tc>
          <w:tcPr>
            <w:tcW w:w="818" w:type="dxa"/>
          </w:tcPr>
          <w:p w14:paraId="58981BD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4174</w:t>
            </w:r>
          </w:p>
        </w:tc>
        <w:tc>
          <w:tcPr>
            <w:tcW w:w="1120" w:type="dxa"/>
          </w:tcPr>
          <w:p w14:paraId="5E71E1B9"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126 </w:t>
            </w:r>
          </w:p>
          <w:p w14:paraId="51ED5A63"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(3.0%)</w:t>
            </w:r>
          </w:p>
        </w:tc>
        <w:tc>
          <w:tcPr>
            <w:tcW w:w="1073" w:type="dxa"/>
          </w:tcPr>
          <w:p w14:paraId="19B15C30"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1 </w:t>
            </w:r>
          </w:p>
          <w:p w14:paraId="442A5735"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(0.02%)</w:t>
            </w:r>
          </w:p>
        </w:tc>
        <w:tc>
          <w:tcPr>
            <w:tcW w:w="1073" w:type="dxa"/>
          </w:tcPr>
          <w:p w14:paraId="1388EEE8" w14:textId="26B7C3E9" w:rsidR="00E57978" w:rsidRPr="004266EA" w:rsidRDefault="00E57978" w:rsidP="00291778">
            <w:pPr>
              <w:spacing w:line="240" w:lineRule="auto"/>
              <w:jc w:val="center"/>
              <w:rPr>
                <w:rFonts w:cs="Times New Roman"/>
                <w:sz w:val="20"/>
                <w:szCs w:val="20"/>
              </w:rPr>
            </w:pPr>
            <w:r>
              <w:rPr>
                <w:rFonts w:cs="Times New Roman"/>
                <w:sz w:val="20"/>
                <w:szCs w:val="20"/>
              </w:rPr>
              <w:t>35.8</w:t>
            </w:r>
          </w:p>
        </w:tc>
        <w:tc>
          <w:tcPr>
            <w:tcW w:w="1586" w:type="dxa"/>
          </w:tcPr>
          <w:p w14:paraId="0D1DD368" w14:textId="66EED2AE" w:rsidR="00E57978" w:rsidRPr="004266EA" w:rsidRDefault="00E57978" w:rsidP="00291778">
            <w:pPr>
              <w:spacing w:line="240" w:lineRule="auto"/>
              <w:jc w:val="center"/>
              <w:rPr>
                <w:rFonts w:cs="Times New Roman"/>
                <w:sz w:val="20"/>
                <w:szCs w:val="20"/>
              </w:rPr>
            </w:pPr>
            <w:r>
              <w:rPr>
                <w:rFonts w:cs="Times New Roman"/>
                <w:sz w:val="20"/>
                <w:szCs w:val="20"/>
              </w:rPr>
              <w:t>4.8%</w:t>
            </w:r>
          </w:p>
        </w:tc>
        <w:tc>
          <w:tcPr>
            <w:tcW w:w="1134" w:type="dxa"/>
          </w:tcPr>
          <w:p w14:paraId="645CCF59" w14:textId="1D77F83F"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rsidRPr="001451FC" w14:paraId="7FA4A878" w14:textId="578B7FDE" w:rsidTr="00E57978">
        <w:tc>
          <w:tcPr>
            <w:tcW w:w="2122" w:type="dxa"/>
          </w:tcPr>
          <w:p w14:paraId="387B956B" w14:textId="1440ABC1" w:rsidR="00E57978" w:rsidRPr="004266EA" w:rsidRDefault="00E57978" w:rsidP="00291778">
            <w:pPr>
              <w:spacing w:line="240" w:lineRule="auto"/>
              <w:rPr>
                <w:rFonts w:cs="Times New Roman"/>
                <w:sz w:val="20"/>
                <w:szCs w:val="20"/>
              </w:rPr>
            </w:pPr>
            <w:r w:rsidRPr="004266EA">
              <w:rPr>
                <w:rFonts w:cs="Times New Roman"/>
                <w:bCs/>
                <w:sz w:val="20"/>
                <w:szCs w:val="20"/>
                <w:shd w:val="clear" w:color="auto" w:fill="FFFFFF"/>
              </w:rPr>
              <w:t>Antiretroviral drugs and implementation strategies for HIV pre-exposure prophylaxis</w:t>
            </w:r>
            <w:r w:rsidRPr="004266EA">
              <w:rPr>
                <w:rFonts w:cs="Times New Roman"/>
                <w:sz w:val="20"/>
                <w:szCs w:val="20"/>
              </w:rPr>
              <w:t xml:space="preserve"> [CRD42017073014]</w:t>
            </w:r>
          </w:p>
        </w:tc>
        <w:tc>
          <w:tcPr>
            <w:tcW w:w="1591" w:type="dxa"/>
          </w:tcPr>
          <w:p w14:paraId="3D7EFEAA"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&amp; Etiology review</w:t>
            </w:r>
            <w:r>
              <w:rPr>
                <w:rFonts w:cs="Times New Roman"/>
                <w:sz w:val="20"/>
                <w:szCs w:val="20"/>
              </w:rPr>
              <w:t>;</w:t>
            </w:r>
          </w:p>
          <w:p w14:paraId="7C752EBB" w14:textId="08BE2E83" w:rsidR="00E57978" w:rsidRPr="004266EA" w:rsidRDefault="00E57978" w:rsidP="00291778">
            <w:pPr>
              <w:spacing w:line="240" w:lineRule="auto"/>
              <w:jc w:val="center"/>
              <w:rPr>
                <w:rFonts w:cs="Times New Roman"/>
                <w:sz w:val="20"/>
                <w:szCs w:val="20"/>
              </w:rPr>
            </w:pPr>
            <w:r w:rsidRPr="004266EA">
              <w:rPr>
                <w:rFonts w:cs="Times New Roman"/>
                <w:sz w:val="20"/>
                <w:szCs w:val="20"/>
              </w:rPr>
              <w:t>RCTs &amp; observational</w:t>
            </w:r>
          </w:p>
        </w:tc>
        <w:tc>
          <w:tcPr>
            <w:tcW w:w="2378" w:type="dxa"/>
          </w:tcPr>
          <w:p w14:paraId="368EA9DB"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Pharmacological and behavioural therapies</w:t>
            </w:r>
          </w:p>
        </w:tc>
        <w:tc>
          <w:tcPr>
            <w:tcW w:w="818" w:type="dxa"/>
          </w:tcPr>
          <w:p w14:paraId="7ECF0DE6"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4502</w:t>
            </w:r>
          </w:p>
        </w:tc>
        <w:tc>
          <w:tcPr>
            <w:tcW w:w="1120" w:type="dxa"/>
          </w:tcPr>
          <w:p w14:paraId="685538B2"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1184 </w:t>
            </w:r>
          </w:p>
          <w:p w14:paraId="286D0684"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(26.3%)</w:t>
            </w:r>
          </w:p>
        </w:tc>
        <w:tc>
          <w:tcPr>
            <w:tcW w:w="1073" w:type="dxa"/>
          </w:tcPr>
          <w:p w14:paraId="799FC779"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46 </w:t>
            </w:r>
          </w:p>
          <w:p w14:paraId="01B45EC7"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(1.02%)</w:t>
            </w:r>
          </w:p>
        </w:tc>
        <w:tc>
          <w:tcPr>
            <w:tcW w:w="1073" w:type="dxa"/>
          </w:tcPr>
          <w:p w14:paraId="07032063" w14:textId="1ED049B5" w:rsidR="00E57978" w:rsidRPr="004266EA" w:rsidRDefault="00E57978" w:rsidP="00291778">
            <w:pPr>
              <w:spacing w:line="240" w:lineRule="auto"/>
              <w:jc w:val="center"/>
              <w:rPr>
                <w:rFonts w:cs="Times New Roman"/>
                <w:sz w:val="20"/>
                <w:szCs w:val="20"/>
              </w:rPr>
            </w:pPr>
            <w:r>
              <w:rPr>
                <w:rFonts w:cs="Times New Roman"/>
                <w:sz w:val="20"/>
                <w:szCs w:val="20"/>
              </w:rPr>
              <w:t>30.0</w:t>
            </w:r>
          </w:p>
        </w:tc>
        <w:tc>
          <w:tcPr>
            <w:tcW w:w="1586" w:type="dxa"/>
          </w:tcPr>
          <w:p w14:paraId="6413AED3" w14:textId="62758DDF" w:rsidR="00E57978" w:rsidRPr="004266EA" w:rsidRDefault="00E57978" w:rsidP="00291778">
            <w:pPr>
              <w:spacing w:line="240" w:lineRule="auto"/>
              <w:jc w:val="center"/>
              <w:rPr>
                <w:rFonts w:cs="Times New Roman"/>
                <w:sz w:val="20"/>
                <w:szCs w:val="20"/>
              </w:rPr>
            </w:pPr>
            <w:r>
              <w:rPr>
                <w:rFonts w:cs="Times New Roman"/>
                <w:sz w:val="20"/>
                <w:szCs w:val="20"/>
              </w:rPr>
              <w:t>5.4%</w:t>
            </w:r>
          </w:p>
        </w:tc>
        <w:tc>
          <w:tcPr>
            <w:tcW w:w="1134" w:type="dxa"/>
          </w:tcPr>
          <w:p w14:paraId="1DB54F20" w14:textId="1E7B4834" w:rsidR="00E57978" w:rsidRPr="004266EA" w:rsidRDefault="00E57978" w:rsidP="00291778">
            <w:pPr>
              <w:spacing w:line="240" w:lineRule="auto"/>
              <w:jc w:val="center"/>
              <w:rPr>
                <w:rFonts w:cs="Times New Roman"/>
                <w:sz w:val="20"/>
                <w:szCs w:val="20"/>
              </w:rPr>
            </w:pPr>
            <w:r>
              <w:rPr>
                <w:rFonts w:cs="Times New Roman"/>
                <w:sz w:val="20"/>
                <w:szCs w:val="20"/>
              </w:rPr>
              <w:t>0</w:t>
            </w:r>
          </w:p>
        </w:tc>
      </w:tr>
      <w:tr w:rsidR="00E57978" w:rsidRPr="001451FC" w14:paraId="1760432D" w14:textId="4FA9528B" w:rsidTr="00E57978">
        <w:tc>
          <w:tcPr>
            <w:tcW w:w="2122" w:type="dxa"/>
          </w:tcPr>
          <w:p w14:paraId="6ADFFBEE" w14:textId="34F3C98D" w:rsidR="00E57978" w:rsidRPr="004266EA" w:rsidRDefault="00E57978" w:rsidP="00291778">
            <w:pPr>
              <w:spacing w:line="240" w:lineRule="auto"/>
              <w:rPr>
                <w:rFonts w:cs="Times New Roman"/>
                <w:sz w:val="20"/>
                <w:szCs w:val="20"/>
              </w:rPr>
            </w:pPr>
            <w:r w:rsidRPr="004266EA">
              <w:rPr>
                <w:rFonts w:cs="Times New Roman"/>
                <w:sz w:val="20"/>
                <w:szCs w:val="20"/>
              </w:rPr>
              <w:t xml:space="preserve">Sugar sweetened beverages and adverse health outcomes </w:t>
            </w:r>
            <w:r w:rsidRPr="004266EA">
              <w:rPr>
                <w:rFonts w:cs="Times New Roman"/>
                <w:sz w:val="20"/>
                <w:szCs w:val="20"/>
              </w:rPr>
              <w:fldChar w:fldCharType="begin"/>
            </w:r>
            <w:r w:rsidR="00C76858">
              <w:rPr>
                <w:rFonts w:cs="Times New Roman"/>
                <w:sz w:val="20"/>
                <w:szCs w:val="20"/>
              </w:rPr>
              <w:instrText xml:space="preserve"> ADDIN ZOTERO_ITEM CSL_CITATION {"citationID":"5iYz0Z3w","properties":{"formattedCitation":"[8,9]","plainCitation":"[8,9]","noteIndex":0},"citationItems":[{"id":13628,"uris":["http://zotero.org/users/4806826/items/SC5RH4AH"],"uri":["http://zotero.org/users/4806826/items/SC5RH4AH"],"itemData":{"id":13628,"type":"article-journal","abstract":"BACKGROUND: Chronic diseases, such as cardiovascular disease and type 2 diabetes, impose significant burden to public health. Most chronic diseases are associated with underlying preventable risk factors, such as elevated blood pressure, blood glucose, and lipids, physical inactivity, excessive sedentary behaviours, overweight and obesity, and tobacco usage. Sugar-sweetened beverages are known to be significant sources of additional caloric intake, and given recent attention to their contribution in the development of chronic diseases, a systematic review is warranted. We will assess whether the consumption of sugar-sweetened beverages in adults is associated with adverse health outcomes and what the potential moderating factors are.\nMETHODS/DESIGN: Of interest are studies addressing sugar-sweetened beverage consumption, taking a broad perspective. Both direct consumption studies as well as those evaluating interventions that influence consumption (e.g. school policy, educational) will be relevant. Non-specific or multi-faceted behavioural, educational, or policy interventions may also be included subject to the level of evidence that exists for the other interventions/exposures. Comparisons of interest and endpoints of interest are pre-specified. We will include randomized controlled trials, controlled clinical trials, interrupted time series studies, controlled before-after studies, prospective and retrospective comparative cohort studies, case-control studies, and nested case-control designs. The MEDLINE, Embase, The Cochrane Library, CINAHL, ERIC, and PsycINFO databases and grey literature sources will be searched. The processes for selecting studies, abstracting data, and resolving conflicts are described. We will assess risk of bias using design-specific tools. To determine sets of confounding variables that should be adjusted for, we have developed causal directed acyclic graphs and will use those to inform our risk of bias assessments. Meta-analysis will be conducted where appropriate; parameters for exploring statistical heterogeneity and effect modifiers are pre-specified. The Grading of Recommendations Assessment, Development and Evaluation (GRADE) approach will be used for determining the quality of evidence for outcomes.\nSYSTEMATIC REVIEW REGISTRATION: PROSPERO CRD42014009638.","container-title":"Systematic Reviews","DOI":"10.1186/2046-4053-3-108","ISSN":"2046-4053","journalAbbreviation":"Syst Rev","language":"eng","note":"PMID: 25248499\nPMCID: PMC4178316","page":"108","source":"PubMed","title":"Do sugar-sweetened beverages cause adverse health outcomes in adults? A systematic review protocol","title-short":"Do sugar-sweetened beverages cause adverse health outcomes in adults?","volume":"3","author":[{"family":"Hamel","given":"Candyce"},{"family":"Stevens","given":"Adrienne"},{"family":"Singh","given":"Kavita"},{"family":"Ansari","given":"Mohammed T."},{"family":"Myers","given":"Esther"},{"family":"Ziegler","given":"Paula"},{"family":"Hutton","given":"Brian"},{"family":"Sharma","given":"Arya"},{"family":"Bjerre","given":"Lise M."},{"family":"Fenton","given":"Shannon"},{"family":"Lau","given":"David C. W."},{"family":"O'Hara","given":"Kathryn"},{"family":"Reid","given":"Robert"},{"family":"Salewski","given":"Erinn"},{"family":"Shrier","given":"Ian"},{"family":"Willows","given":"Noreen"},{"family":"Tremblay","given":"Mark"},{"family":"Moher","given":"David"}],"issued":{"date-parts":[["2014",9,23]]}}},{"id":13631,"uris":["http://zotero.org/users/4806826/items/4DSW39AP"],"uri":["http://zotero.org/users/4806826/items/4DSW39AP"],"itemData":{"id":13631,"type":"article-journal","abstract":"BACKGROUND: Cardiovascular disease and type 2 diabetes are examples of chronic diseases that impose significant morbidity and mortality in the general population worldwide. Most chronic diseases are associated with underlying preventable risk factors, such as elevated blood pressure, high blood glucose or glucose intolerance, high lipid levels, physical inactivity, excessive sedentary behaviours, and overweight/obesity. The occurrence of intermediate outcomes during childhood increases the risk of disease in adulthood. Sugar-sweetened beverages are known to be significant sources of additional caloric intake, and given recent attention to their contribution in the development of chronic diseases, a systematic review is warranted. We will assess whether the consumption of sugar-sweetened beverages in children is associated with adverse health outcomes and what the potential moderating factors are.\nMETHODS/DESIGN: Of interest are studies addressing sugar-sweetened beverage consumption, taking a broad perspective. Both direct consumption studies as well as those evaluating interventions that influence consumption (e.g. school policy, educational) will be relevant. Non-specific or multi-faceted behavioural, educational, or policy interventions may also be included subject to the level of evidence that exists for the other interventions/exposures. Comparisons of interest and endpoints of interest are pre-specified. We will include randomized controlled trials, controlled clinical trials, interrupted time series studies, controlled before-after studies, prospective and retrospective comparative cohort studies, case-control studies, and nested case-control designs. The MEDLINE®, Embase, The Cochrane Library, CINAHL, ERIC, and PsycINFO® databases and grey literature sources will be searched. The processes for selecting studies, abstracting data, and resolving conflicts are described. We will assess risk of bias using design-specific tools. To determine sets of confounding variables that should be adjusted for, we have developed causal directed acyclic graphs and will use those to inform our risk of bias assessments. Meta-analysis will be conducted where appropriate; parameters for exploring statistical heterogeneity and effect modifiers are pre-specified. The Grading of Recommendations Assessment, Development and Evaluation (GRADE) approach will be used to determine the quality of evidence for outcomes.\nSYSTEMATIC REVIEW REGISTRATION: PROSPERO CRD42014009641.","container-title":"Systematic Reviews","DOI":"10.1186/2046-4053-3-96","ISSN":"2046-4053","journalAbbreviation":"Syst Rev","language":"eng","note":"PMID: 25192945\nPMCID: PMC4160918","page":"96","source":"PubMed","title":"Do sugar-sweetened beverages cause adverse health outcomes in children? A systematic review protocol","title-short":"Do sugar-sweetened beverages cause adverse health outcomes in children?","volume":"3","author":[{"family":"Stevens","given":"Adrienne"},{"family":"Hamel","given":"Candyce"},{"family":"Singh","given":"Kavita"},{"family":"Ansari","given":"Mohammed T."},{"family":"Myers","given":"Esther"},{"family":"Ziegler","given":"Paula"},{"family":"Hutton","given":"Brian"},{"family":"Sharma","given":"Arya"},{"family":"Bjerre","given":"Lise M."},{"family":"Fenton","given":"Shannon"},{"family":"Gow","given":"Robert"},{"family":"Hadjiyannakis","given":"Stasia"},{"family":"O'Hara","given":"Kathryn"},{"family":"Pound","given":"Catherine"},{"family":"Salewski","given":"Erinn"},{"family":"Shrier","given":"Ian"},{"family":"Willows","given":"Noreen"},{"family":"Moher","given":"David"},{"family":"Tremblay","given":"Mark"}],"issued":{"date-parts":[["2014",9,4]]}}}],"schema":"https://github.com/citation-style-language/schema/raw/master/csl-citation.json"} </w:instrText>
            </w:r>
            <w:r w:rsidRPr="004266EA">
              <w:rPr>
                <w:rFonts w:cs="Times New Roman"/>
                <w:sz w:val="20"/>
                <w:szCs w:val="20"/>
              </w:rPr>
              <w:fldChar w:fldCharType="separate"/>
            </w:r>
            <w:r w:rsidR="00C76858" w:rsidRPr="00C76858">
              <w:rPr>
                <w:rFonts w:cs="Times New Roman"/>
                <w:sz w:val="20"/>
              </w:rPr>
              <w:t>[8,9]</w:t>
            </w:r>
            <w:r w:rsidRPr="004266EA">
              <w:rPr>
                <w:rFonts w:cs="Times New Roman"/>
                <w:sz w:val="20"/>
                <w:szCs w:val="20"/>
              </w:rPr>
              <w:fldChar w:fldCharType="end"/>
            </w:r>
            <w:r w:rsidRPr="004266EA">
              <w:rPr>
                <w:rFonts w:cs="Times New Roman"/>
                <w:sz w:val="20"/>
                <w:szCs w:val="20"/>
              </w:rPr>
              <w:t xml:space="preserve"> ‡</w:t>
            </w:r>
          </w:p>
        </w:tc>
        <w:tc>
          <w:tcPr>
            <w:tcW w:w="1591" w:type="dxa"/>
          </w:tcPr>
          <w:p w14:paraId="26185AF7" w14:textId="77777777" w:rsidR="00E57978" w:rsidRDefault="00E57978" w:rsidP="00291778">
            <w:pPr>
              <w:spacing w:line="240" w:lineRule="auto"/>
              <w:jc w:val="center"/>
              <w:rPr>
                <w:rFonts w:cs="Times New Roman"/>
                <w:sz w:val="20"/>
                <w:szCs w:val="20"/>
              </w:rPr>
            </w:pPr>
            <w:r w:rsidRPr="004266EA">
              <w:rPr>
                <w:rFonts w:cs="Times New Roman"/>
                <w:sz w:val="20"/>
                <w:szCs w:val="20"/>
              </w:rPr>
              <w:t>Effectiveness &amp; Etiology review</w:t>
            </w:r>
            <w:r>
              <w:rPr>
                <w:rFonts w:cs="Times New Roman"/>
                <w:sz w:val="20"/>
                <w:szCs w:val="20"/>
              </w:rPr>
              <w:t>;</w:t>
            </w:r>
          </w:p>
          <w:p w14:paraId="3C4D0DC5" w14:textId="030B0F44" w:rsidR="00E57978" w:rsidRPr="004266EA" w:rsidRDefault="00E57978" w:rsidP="00291778">
            <w:pPr>
              <w:spacing w:line="240" w:lineRule="auto"/>
              <w:jc w:val="center"/>
              <w:rPr>
                <w:rFonts w:cs="Times New Roman"/>
                <w:sz w:val="20"/>
                <w:szCs w:val="20"/>
              </w:rPr>
            </w:pPr>
            <w:r w:rsidRPr="004266EA">
              <w:rPr>
                <w:rFonts w:cs="Times New Roman"/>
                <w:sz w:val="20"/>
                <w:szCs w:val="20"/>
              </w:rPr>
              <w:t>RCTs &amp; observational</w:t>
            </w:r>
          </w:p>
        </w:tc>
        <w:tc>
          <w:tcPr>
            <w:tcW w:w="2378" w:type="dxa"/>
          </w:tcPr>
          <w:p w14:paraId="73160F7C"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Interventional/ behavioural and exposure to SSBs</w:t>
            </w:r>
          </w:p>
        </w:tc>
        <w:tc>
          <w:tcPr>
            <w:tcW w:w="818" w:type="dxa"/>
          </w:tcPr>
          <w:p w14:paraId="7D0F459D"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22309</w:t>
            </w:r>
          </w:p>
        </w:tc>
        <w:tc>
          <w:tcPr>
            <w:tcW w:w="1120" w:type="dxa"/>
          </w:tcPr>
          <w:p w14:paraId="4DEE8D5F"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 xml:space="preserve">4993 </w:t>
            </w:r>
          </w:p>
          <w:p w14:paraId="53B260BC"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(22.4%)</w:t>
            </w:r>
          </w:p>
        </w:tc>
        <w:tc>
          <w:tcPr>
            <w:tcW w:w="1073" w:type="dxa"/>
          </w:tcPr>
          <w:p w14:paraId="7D35E35C" w14:textId="77777777" w:rsidR="00E57978" w:rsidRPr="004266EA" w:rsidRDefault="00E57978" w:rsidP="00291778">
            <w:pPr>
              <w:spacing w:line="240" w:lineRule="auto"/>
              <w:jc w:val="center"/>
              <w:rPr>
                <w:rFonts w:cs="Times New Roman"/>
                <w:sz w:val="20"/>
                <w:szCs w:val="20"/>
              </w:rPr>
            </w:pPr>
            <w:r w:rsidRPr="004266EA">
              <w:rPr>
                <w:rFonts w:cs="Times New Roman"/>
                <w:sz w:val="20"/>
                <w:szCs w:val="20"/>
              </w:rPr>
              <w:t>127 (0.57%)</w:t>
            </w:r>
          </w:p>
        </w:tc>
        <w:tc>
          <w:tcPr>
            <w:tcW w:w="1073" w:type="dxa"/>
          </w:tcPr>
          <w:p w14:paraId="38A89B52" w14:textId="0245BAA1" w:rsidR="00E57978" w:rsidRPr="004266EA" w:rsidRDefault="00E57978" w:rsidP="00291778">
            <w:pPr>
              <w:spacing w:line="240" w:lineRule="auto"/>
              <w:jc w:val="center"/>
              <w:rPr>
                <w:rFonts w:cs="Times New Roman"/>
                <w:sz w:val="20"/>
                <w:szCs w:val="20"/>
              </w:rPr>
            </w:pPr>
            <w:r>
              <w:rPr>
                <w:rFonts w:cs="Times New Roman"/>
                <w:sz w:val="20"/>
                <w:szCs w:val="20"/>
              </w:rPr>
              <w:t>158.6</w:t>
            </w:r>
          </w:p>
        </w:tc>
        <w:tc>
          <w:tcPr>
            <w:tcW w:w="1586" w:type="dxa"/>
          </w:tcPr>
          <w:p w14:paraId="019662B9" w14:textId="5040452F" w:rsidR="00E57978" w:rsidRPr="004266EA" w:rsidRDefault="00E57978" w:rsidP="00291778">
            <w:pPr>
              <w:spacing w:line="240" w:lineRule="auto"/>
              <w:jc w:val="center"/>
              <w:rPr>
                <w:rFonts w:cs="Times New Roman"/>
                <w:sz w:val="20"/>
                <w:szCs w:val="20"/>
              </w:rPr>
            </w:pPr>
            <w:r>
              <w:rPr>
                <w:rFonts w:cs="Times New Roman"/>
                <w:sz w:val="20"/>
                <w:szCs w:val="20"/>
              </w:rPr>
              <w:t>5.2%</w:t>
            </w:r>
          </w:p>
        </w:tc>
        <w:tc>
          <w:tcPr>
            <w:tcW w:w="1134" w:type="dxa"/>
          </w:tcPr>
          <w:p w14:paraId="2DD0891F" w14:textId="7A8DB905" w:rsidR="00E57978" w:rsidRPr="004266EA" w:rsidRDefault="00E57978" w:rsidP="00291778">
            <w:pPr>
              <w:spacing w:line="240" w:lineRule="auto"/>
              <w:jc w:val="center"/>
              <w:rPr>
                <w:rFonts w:cs="Times New Roman"/>
                <w:sz w:val="20"/>
                <w:szCs w:val="20"/>
              </w:rPr>
            </w:pPr>
            <w:r>
              <w:rPr>
                <w:rFonts w:cs="Times New Roman"/>
                <w:sz w:val="20"/>
                <w:szCs w:val="20"/>
              </w:rPr>
              <w:t>0</w:t>
            </w:r>
          </w:p>
        </w:tc>
      </w:tr>
    </w:tbl>
    <w:p w14:paraId="37F38FA2" w14:textId="77777777" w:rsidR="004266EA" w:rsidRDefault="004266EA" w:rsidP="004266EA">
      <w:pPr>
        <w:spacing w:line="240" w:lineRule="auto"/>
        <w:rPr>
          <w:rFonts w:cs="Times New Roman"/>
          <w:sz w:val="20"/>
        </w:rPr>
      </w:pPr>
      <w:r w:rsidRPr="00587E96">
        <w:rPr>
          <w:rFonts w:cs="Times New Roman"/>
          <w:sz w:val="20"/>
        </w:rPr>
        <w:t>NMA: Network Meta-analysis</w:t>
      </w:r>
      <w:r>
        <w:rPr>
          <w:rFonts w:cs="Times New Roman"/>
          <w:sz w:val="20"/>
        </w:rPr>
        <w:t>; RCT: Randomized Controlled Trial; SR: Systematic Review</w:t>
      </w:r>
    </w:p>
    <w:p w14:paraId="15DA1AF6" w14:textId="1F282656" w:rsidR="004266EA" w:rsidRDefault="004266EA" w:rsidP="004266EA">
      <w:pPr>
        <w:spacing w:line="240" w:lineRule="auto"/>
        <w:rPr>
          <w:rFonts w:cs="Times New Roman"/>
          <w:sz w:val="20"/>
        </w:rPr>
      </w:pPr>
      <w:r>
        <w:rPr>
          <w:rFonts w:cs="Times New Roman"/>
          <w:sz w:val="20"/>
        </w:rPr>
        <w:t xml:space="preserve">† Based on typology classifications from Munn 2018 </w:t>
      </w:r>
      <w:r>
        <w:rPr>
          <w:rFonts w:cs="Times New Roman"/>
          <w:sz w:val="20"/>
        </w:rPr>
        <w:fldChar w:fldCharType="begin"/>
      </w:r>
      <w:r w:rsidR="00C76858">
        <w:rPr>
          <w:rFonts w:cs="Times New Roman"/>
          <w:sz w:val="20"/>
        </w:rPr>
        <w:instrText xml:space="preserve"> ADDIN ZOTERO_ITEM CSL_CITATION {"citationID":"PjWCMu6P","properties":{"formattedCitation":"[10]","plainCitation":"[10]","noteIndex":0},"citationItems":[{"id":13636,"uris":["http://zotero.org/users/4806826/items/H5ZCLRZV"],"uri":["http://zotero.org/users/4806826/items/H5ZCLRZV"],"itemData":{"id":13636,"type":"article-journal","abstract":"BACKGROUND: Systematic reviews have been considered as the pillar on which evidence-based healthcare rests. Systematic review methodology has evolved and been modified over the years to accommodate the range of questions that may arise in the health and medical sciences. This paper explores a concept still rarely considered by novice authors and in the literature: determining the type of systematic review to undertake based on a research question or priority.\nRESULTS: Within the framework of the evidence-based healthcare paradigm, defining the question and type of systematic review to conduct is a pivotal first step that will guide the rest of the process and has the potential to impact on other aspects of the evidence-based healthcare cycle (evidence generation, transfer and implementation). It is something that novice reviewers (and others not familiar with the range of review types available) need to take account of but frequently overlook. Our aim is to provide a typology of review types and describe key elements that need to be addressed during question development for each type.\nCONCLUSIONS: In this paper a typology is proposed of various systematic review methodologies. The review types are defined and situated with regard to establishing corresponding questions and inclusion criteria. The ultimate objective is to provide clarified guidance for both novice and experienced reviewers and a unified typology with respect to review types.","container-title":"BMC medical research methodology","DOI":"10.1186/s12874-017-0468-4","ISSN":"1471-2288","issue":"1","journalAbbreviation":"BMC Med Res Methodol","language":"eng","note":"PMID: 29316881\nPMCID: PMC5761190","page":"5","source":"PubMed","title":"What kind of systematic review should I conduct? A proposed typology and guidance for systematic reviewers in the medical and health sciences","title-short":"What kind of systematic review should I conduct?","volume":"18","author":[{"family":"Munn","given":"Zachary"},{"family":"Stern","given":"Cindy"},{"family":"Aromataris","given":"Edoardo"},{"family":"Lockwood","given":"Craig"},{"family":"Jordan","given":"Zoe"}],"issued":{"date-parts":[["2018"]],"season":"10"}}}],"schema":"https://github.com/citation-style-language/schema/raw/master/csl-citation.json"} </w:instrText>
      </w:r>
      <w:r>
        <w:rPr>
          <w:rFonts w:cs="Times New Roman"/>
          <w:sz w:val="20"/>
        </w:rPr>
        <w:fldChar w:fldCharType="separate"/>
      </w:r>
      <w:r w:rsidR="00C76858" w:rsidRPr="00C76858">
        <w:rPr>
          <w:rFonts w:cs="Times New Roman"/>
          <w:sz w:val="20"/>
        </w:rPr>
        <w:t>[10]</w:t>
      </w:r>
      <w:r>
        <w:rPr>
          <w:rFonts w:cs="Times New Roman"/>
          <w:sz w:val="20"/>
        </w:rPr>
        <w:fldChar w:fldCharType="end"/>
      </w:r>
    </w:p>
    <w:p w14:paraId="6B49126D" w14:textId="77777777" w:rsidR="004266EA" w:rsidRDefault="004266EA" w:rsidP="004266EA">
      <w:pPr>
        <w:spacing w:line="240" w:lineRule="auto"/>
        <w:rPr>
          <w:rFonts w:cs="Times New Roman"/>
          <w:sz w:val="20"/>
        </w:rPr>
      </w:pPr>
      <w:r>
        <w:rPr>
          <w:rFonts w:cs="Times New Roman"/>
          <w:sz w:val="20"/>
        </w:rPr>
        <w:t xml:space="preserve">‡ Protocol published as two separate reviews, with references screened in one project silo. </w:t>
      </w:r>
    </w:p>
    <w:p w14:paraId="6D54CF3D" w14:textId="77777777" w:rsidR="004266EA" w:rsidRDefault="004266EA" w:rsidP="004266EA">
      <w:pPr>
        <w:spacing w:line="240" w:lineRule="auto"/>
        <w:rPr>
          <w:rFonts w:cs="Times New Roman"/>
          <w:sz w:val="20"/>
        </w:rPr>
      </w:pPr>
      <w:r>
        <w:rPr>
          <w:rFonts w:cs="Times New Roman"/>
          <w:sz w:val="20"/>
        </w:rPr>
        <w:t>⁑ The final included studies does not always reflect the study designs that were included in the protocol, as decisions may have been made during the process of the review. However, the study designs reflect those that were included in the search strategy and screened at title/abstract.</w:t>
      </w:r>
    </w:p>
    <w:p w14:paraId="5E2A9861" w14:textId="70BC3156" w:rsidR="0008486E" w:rsidRDefault="0008486E"/>
    <w:p w14:paraId="175D597E" w14:textId="77777777" w:rsidR="009E519B" w:rsidRDefault="009E519B">
      <w:pPr>
        <w:rPr>
          <w:b/>
          <w:bCs/>
        </w:rPr>
      </w:pPr>
    </w:p>
    <w:p w14:paraId="5BD1187A" w14:textId="77777777" w:rsidR="00603952" w:rsidRDefault="00603952">
      <w:pPr>
        <w:rPr>
          <w:b/>
          <w:bCs/>
        </w:rPr>
        <w:sectPr w:rsidR="00603952" w:rsidSect="004266EA">
          <w:pgSz w:w="15840" w:h="12240" w:orient="landscape"/>
          <w:pgMar w:top="1440" w:right="1440" w:bottom="1440" w:left="1440" w:header="708" w:footer="708" w:gutter="0"/>
          <w:cols w:space="708"/>
          <w:docGrid w:linePitch="360"/>
        </w:sectPr>
      </w:pPr>
    </w:p>
    <w:p w14:paraId="7EBDB5B0" w14:textId="7B82710D" w:rsidR="00500FF5" w:rsidRPr="00500FF5" w:rsidRDefault="00500FF5">
      <w:pPr>
        <w:rPr>
          <w:b/>
          <w:bCs/>
        </w:rPr>
      </w:pPr>
      <w:r w:rsidRPr="00500FF5">
        <w:rPr>
          <w:b/>
          <w:bCs/>
        </w:rPr>
        <w:lastRenderedPageBreak/>
        <w:t xml:space="preserve">Table 2: </w:t>
      </w:r>
      <w:r w:rsidR="00603952">
        <w:rPr>
          <w:b/>
          <w:bCs/>
        </w:rPr>
        <w:t xml:space="preserve">Knowledge Syntheses Involving Prospective use of AML in </w:t>
      </w:r>
      <w:proofErr w:type="spellStart"/>
      <w:r w:rsidR="00603952">
        <w:rPr>
          <w:b/>
          <w:bCs/>
        </w:rPr>
        <w:t>DistillerSR</w:t>
      </w:r>
      <w:proofErr w:type="spellEnd"/>
      <w:r w:rsidR="00603952">
        <w:rPr>
          <w:b/>
          <w:bCs/>
        </w:rPr>
        <w:t xml:space="preserve"> Software</w:t>
      </w:r>
    </w:p>
    <w:tbl>
      <w:tblPr>
        <w:tblStyle w:val="TableGrid"/>
        <w:tblW w:w="12748" w:type="dxa"/>
        <w:tblLook w:val="04A0" w:firstRow="1" w:lastRow="0" w:firstColumn="1" w:lastColumn="0" w:noHBand="0" w:noVBand="1"/>
      </w:tblPr>
      <w:tblGrid>
        <w:gridCol w:w="2117"/>
        <w:gridCol w:w="1989"/>
        <w:gridCol w:w="6521"/>
        <w:gridCol w:w="2121"/>
      </w:tblGrid>
      <w:tr w:rsidR="007B3317" w14:paraId="34CC7B10" w14:textId="77777777" w:rsidTr="007B3317">
        <w:trPr>
          <w:tblHeader/>
        </w:trPr>
        <w:tc>
          <w:tcPr>
            <w:tcW w:w="2117" w:type="dxa"/>
            <w:shd w:val="clear" w:color="auto" w:fill="D9D9D9" w:themeFill="background1" w:themeFillShade="D9"/>
          </w:tcPr>
          <w:p w14:paraId="5BB5BA8F" w14:textId="2127C23A" w:rsidR="007B3317" w:rsidRPr="00500FF5" w:rsidRDefault="007B3317" w:rsidP="00500FF5">
            <w:pPr>
              <w:spacing w:line="240" w:lineRule="auto"/>
              <w:jc w:val="center"/>
              <w:rPr>
                <w:b/>
                <w:bCs/>
                <w:sz w:val="22"/>
                <w:szCs w:val="20"/>
              </w:rPr>
            </w:pPr>
            <w:r w:rsidRPr="00500FF5">
              <w:rPr>
                <w:b/>
                <w:bCs/>
                <w:sz w:val="22"/>
                <w:szCs w:val="20"/>
              </w:rPr>
              <w:t>First Author; Review Type; Funder</w:t>
            </w:r>
            <w:r>
              <w:rPr>
                <w:b/>
                <w:bCs/>
                <w:sz w:val="22"/>
                <w:szCs w:val="20"/>
              </w:rPr>
              <w:t>; status</w:t>
            </w:r>
          </w:p>
        </w:tc>
        <w:tc>
          <w:tcPr>
            <w:tcW w:w="1989" w:type="dxa"/>
            <w:shd w:val="clear" w:color="auto" w:fill="D9D9D9" w:themeFill="background1" w:themeFillShade="D9"/>
          </w:tcPr>
          <w:p w14:paraId="65C2E866" w14:textId="42205CDF" w:rsidR="007B3317" w:rsidRPr="00500FF5" w:rsidRDefault="007B3317" w:rsidP="00500FF5">
            <w:pPr>
              <w:spacing w:line="240" w:lineRule="auto"/>
              <w:jc w:val="center"/>
              <w:rPr>
                <w:b/>
                <w:bCs/>
                <w:sz w:val="22"/>
                <w:szCs w:val="20"/>
              </w:rPr>
            </w:pPr>
            <w:r w:rsidRPr="00500FF5">
              <w:rPr>
                <w:b/>
                <w:bCs/>
                <w:sz w:val="22"/>
                <w:szCs w:val="20"/>
              </w:rPr>
              <w:t>Review Topic</w:t>
            </w:r>
          </w:p>
        </w:tc>
        <w:tc>
          <w:tcPr>
            <w:tcW w:w="6521" w:type="dxa"/>
            <w:shd w:val="clear" w:color="auto" w:fill="D9D9D9" w:themeFill="background1" w:themeFillShade="D9"/>
          </w:tcPr>
          <w:p w14:paraId="662ED77A" w14:textId="2685B35B" w:rsidR="007B3317" w:rsidRDefault="007B3317" w:rsidP="00500FF5">
            <w:pPr>
              <w:spacing w:line="240" w:lineRule="auto"/>
              <w:jc w:val="center"/>
              <w:rPr>
                <w:b/>
                <w:bCs/>
                <w:sz w:val="22"/>
                <w:szCs w:val="20"/>
              </w:rPr>
            </w:pPr>
            <w:r>
              <w:rPr>
                <w:b/>
                <w:bCs/>
                <w:sz w:val="22"/>
                <w:szCs w:val="20"/>
              </w:rPr>
              <w:t>Eligibility Criteria Synopsis</w:t>
            </w:r>
          </w:p>
        </w:tc>
        <w:tc>
          <w:tcPr>
            <w:tcW w:w="2121" w:type="dxa"/>
            <w:shd w:val="clear" w:color="auto" w:fill="D9D9D9" w:themeFill="background1" w:themeFillShade="D9"/>
          </w:tcPr>
          <w:p w14:paraId="05F45729" w14:textId="615071E9" w:rsidR="007B3317" w:rsidRPr="00500FF5" w:rsidRDefault="007B3317" w:rsidP="00500FF5">
            <w:pPr>
              <w:spacing w:line="240" w:lineRule="auto"/>
              <w:jc w:val="center"/>
              <w:rPr>
                <w:b/>
                <w:bCs/>
                <w:sz w:val="22"/>
                <w:szCs w:val="20"/>
              </w:rPr>
            </w:pPr>
            <w:r>
              <w:rPr>
                <w:b/>
                <w:bCs/>
                <w:sz w:val="22"/>
                <w:szCs w:val="20"/>
              </w:rPr>
              <w:t>Size of Review (initial search and # of included articles)</w:t>
            </w:r>
          </w:p>
        </w:tc>
      </w:tr>
      <w:tr w:rsidR="007B3317" w14:paraId="5BC4AE9C" w14:textId="77777777" w:rsidTr="007B3317">
        <w:tc>
          <w:tcPr>
            <w:tcW w:w="2117" w:type="dxa"/>
          </w:tcPr>
          <w:p w14:paraId="26397879" w14:textId="239F9813" w:rsidR="007B3317" w:rsidRDefault="007B3317" w:rsidP="00500FF5">
            <w:pPr>
              <w:spacing w:line="240" w:lineRule="auto"/>
              <w:jc w:val="center"/>
              <w:rPr>
                <w:sz w:val="22"/>
                <w:szCs w:val="20"/>
              </w:rPr>
            </w:pPr>
            <w:r w:rsidRPr="00500FF5">
              <w:rPr>
                <w:sz w:val="22"/>
                <w:szCs w:val="20"/>
              </w:rPr>
              <w:t>Hamel C</w:t>
            </w:r>
            <w:r>
              <w:rPr>
                <w:sz w:val="22"/>
                <w:szCs w:val="20"/>
              </w:rPr>
              <w:t xml:space="preserve"> et al</w:t>
            </w:r>
            <w:r w:rsidR="00661E5C">
              <w:rPr>
                <w:sz w:val="22"/>
                <w:szCs w:val="20"/>
              </w:rPr>
              <w:t xml:space="preserve"> </w:t>
            </w:r>
            <w:r w:rsidR="00661E5C">
              <w:rPr>
                <w:sz w:val="22"/>
                <w:szCs w:val="20"/>
              </w:rPr>
              <w:fldChar w:fldCharType="begin"/>
            </w:r>
            <w:r w:rsidR="00AA4FD4">
              <w:rPr>
                <w:sz w:val="22"/>
                <w:szCs w:val="20"/>
              </w:rPr>
              <w:instrText xml:space="preserve"> ADDIN ZOTERO_ITEM CSL_CITATION {"citationID":"KiEqNp13","properties":{"unsorted":true,"formattedCitation":"[11,12]","plainCitation":"[11,12]","noteIndex":0},"citationItems":[{"id":20204,"uris":["http://zotero.org/users/4806826/items/YI8ELKR8"],"uri":["http://zotero.org/users/4806826/items/YI8ELKR8"],"itemData":{"id":20204,"type":"report","event-place":"Ottawa","language":"English","publisher":"Ottawa Hospital Research Insitute","publisher-place":"Ottawa","title":"Effective models of provider care in long-term care homes: a rapid scoping review","URL":"https://osf.io/bpxk4/","author":[{"family":"Hamel","given":"C"},{"family":"Garritty","given":"C"},{"family":"Hersi","given":"M"},{"family":"Butler","given":"C"},{"family":"Esmaeilisaraji","given":"L"},{"family":"Rice","given":"D"},{"family":"Skidmore","given":"B"},{"family":"Hutton","given":"B"}],"issued":{"date-parts":[["2020",10,6]]}}},{"id":20194,"uris":["http://zotero.org/users/4806826/items/A2ZEFRVB"],"uri":["http://zotero.org/users/4806826/items/A2ZEFRVB"],"itemData":{"id":20194,"type":"article-journal","abstract":"INTRODUCTION: One of the current challenges in long-term care homes (LTCH) is to identify the optimal model of care, which may include specialty physicians, nursing staff, person support workers, among others. There is currently no consensus on the complement or scope of care delivered by these providers, nor is there a repository of studies that evaluate the various models of care. We conducted a rapid scoping review to identify and map what care provider models and interventions in LTCH have been evaluated to improve quality of life, quality of care, and health outcomes of residents.\nMETHODS: We conducted this review over 10-weeks of English language, peer-reviewed studies published from 2010 onward. Search strategies for databases (e.g., MEDLINE) were run on July 9, 2020. Studies that evaluated models of provider care (e.g., direct patient care), or interventions delivered to facility, staff, and residents of LTCH were included. Study selection was performed independently, in duplicate. Mapping was performed by two reviewers, and data were extracted by one reviewer, with partial verification by a second reviewer.\nRESULTS: A total of 7,574 citations were screened based on the title/abstract, 836 were reviewed at full text, and 366 studies were included. Studies were classified according to two main categories: healthcare service delivery (n = 92) and implementation strategies (n = 274). The condition/ focus of the intervention was used to further classify the interventions into subcategories. The complex nature of the interventions may have led to a study being classified in more than one category/subcategory.\nCONCLUSION: Many healthcare service interventions have been evaluated in the literature in the last decade. Well represented interventions (e.g., dementia care, exercise/mobility, optimal/appropriate medication) may present opportunities for future systematic reviews. Areas with less research (e.g., hearing care, vision care, foot care) have the potential to have an impact on balance, falls, subsequent acute care hospitalization.","container-title":"PloS One","DOI":"10.1371/journal.pone.0254527","ISSN":"1932-6203","issue":"7","journalAbbreviation":"PLoS One","language":"eng","note":"PMID: 34270578\nPMCID: PMC8284811","page":"e0254527","source":"PubMed","title":"Models of provider care in long-term care: A rapid scoping review","title-short":"Models of provider care in long-term care","volume":"16","author":[{"family":"Hamel","given":"Candyce"},{"family":"Garritty","given":"Chantelle"},{"family":"Hersi","given":"Mona"},{"family":"Butler","given":"Claire"},{"family":"Esmaeilisaraji","given":"Leila"},{"family":"Rice","given":"Danielle"},{"family":"Straus","given":"Sharon"},{"family":"Skidmore","given":"Becky"},{"family":"Hutton","given":"Brian"}],"issued":{"date-parts":[["2021"]]}}}],"schema":"https://github.com/citation-style-language/schema/raw/master/csl-citation.json"} </w:instrText>
            </w:r>
            <w:r w:rsidR="00661E5C">
              <w:rPr>
                <w:sz w:val="22"/>
                <w:szCs w:val="20"/>
              </w:rPr>
              <w:fldChar w:fldCharType="separate"/>
            </w:r>
            <w:r w:rsidR="00AA4FD4" w:rsidRPr="00AA4FD4">
              <w:rPr>
                <w:rFonts w:cs="Times New Roman"/>
                <w:sz w:val="22"/>
              </w:rPr>
              <w:t>[11,12]</w:t>
            </w:r>
            <w:r w:rsidR="00661E5C">
              <w:rPr>
                <w:sz w:val="22"/>
                <w:szCs w:val="20"/>
              </w:rPr>
              <w:fldChar w:fldCharType="end"/>
            </w:r>
            <w:r w:rsidRPr="00500FF5">
              <w:rPr>
                <w:sz w:val="22"/>
                <w:szCs w:val="20"/>
              </w:rPr>
              <w:t xml:space="preserve">; </w:t>
            </w:r>
            <w:r w:rsidR="00C76858">
              <w:rPr>
                <w:sz w:val="22"/>
                <w:szCs w:val="20"/>
              </w:rPr>
              <w:br/>
              <w:t>S</w:t>
            </w:r>
            <w:r w:rsidRPr="00500FF5">
              <w:rPr>
                <w:sz w:val="22"/>
                <w:szCs w:val="20"/>
              </w:rPr>
              <w:t xml:space="preserve">coping </w:t>
            </w:r>
            <w:r w:rsidR="00C76858">
              <w:rPr>
                <w:sz w:val="22"/>
                <w:szCs w:val="20"/>
              </w:rPr>
              <w:t>R</w:t>
            </w:r>
            <w:r w:rsidRPr="00500FF5">
              <w:rPr>
                <w:sz w:val="22"/>
                <w:szCs w:val="20"/>
              </w:rPr>
              <w:t>eview; SPOR Evidence Alliance</w:t>
            </w:r>
            <w:r>
              <w:rPr>
                <w:sz w:val="22"/>
                <w:szCs w:val="20"/>
              </w:rPr>
              <w:t>;</w:t>
            </w:r>
          </w:p>
          <w:p w14:paraId="09F208AB" w14:textId="18708A01" w:rsidR="007B3317" w:rsidRDefault="00C76858" w:rsidP="00500FF5">
            <w:pPr>
              <w:spacing w:line="240" w:lineRule="auto"/>
              <w:jc w:val="center"/>
              <w:rPr>
                <w:sz w:val="22"/>
                <w:szCs w:val="20"/>
              </w:rPr>
            </w:pPr>
            <w:r>
              <w:rPr>
                <w:sz w:val="22"/>
                <w:szCs w:val="20"/>
              </w:rPr>
              <w:t>p</w:t>
            </w:r>
            <w:r w:rsidR="007B3317">
              <w:rPr>
                <w:sz w:val="22"/>
                <w:szCs w:val="20"/>
              </w:rPr>
              <w:t>ublished</w:t>
            </w:r>
          </w:p>
          <w:p w14:paraId="2399F1EF" w14:textId="78A3DDBC" w:rsidR="00661E5C" w:rsidRPr="00500FF5" w:rsidRDefault="00661E5C" w:rsidP="00500FF5">
            <w:pPr>
              <w:spacing w:line="240" w:lineRule="auto"/>
              <w:jc w:val="center"/>
              <w:rPr>
                <w:sz w:val="22"/>
                <w:szCs w:val="20"/>
              </w:rPr>
            </w:pPr>
          </w:p>
        </w:tc>
        <w:tc>
          <w:tcPr>
            <w:tcW w:w="1989" w:type="dxa"/>
          </w:tcPr>
          <w:p w14:paraId="63E310B3" w14:textId="6D2D8624" w:rsidR="007B3317" w:rsidRPr="00500FF5" w:rsidRDefault="007B3317" w:rsidP="00500FF5">
            <w:pPr>
              <w:spacing w:line="240" w:lineRule="auto"/>
              <w:jc w:val="center"/>
              <w:rPr>
                <w:sz w:val="22"/>
                <w:szCs w:val="20"/>
              </w:rPr>
            </w:pPr>
            <w:r w:rsidRPr="00500FF5">
              <w:rPr>
                <w:sz w:val="22"/>
                <w:szCs w:val="20"/>
              </w:rPr>
              <w:t>Models of provider care in long-term care</w:t>
            </w:r>
          </w:p>
        </w:tc>
        <w:tc>
          <w:tcPr>
            <w:tcW w:w="6521" w:type="dxa"/>
          </w:tcPr>
          <w:p w14:paraId="4E82762B" w14:textId="77777777" w:rsidR="007B3317" w:rsidRDefault="007B3317" w:rsidP="007F1CE9">
            <w:pPr>
              <w:pStyle w:val="ListParagraph"/>
              <w:numPr>
                <w:ilvl w:val="0"/>
                <w:numId w:val="3"/>
              </w:numPr>
              <w:spacing w:line="240" w:lineRule="auto"/>
              <w:ind w:left="274" w:hanging="274"/>
              <w:jc w:val="both"/>
              <w:rPr>
                <w:sz w:val="22"/>
                <w:szCs w:val="20"/>
              </w:rPr>
            </w:pPr>
            <w:r>
              <w:rPr>
                <w:sz w:val="22"/>
                <w:szCs w:val="20"/>
              </w:rPr>
              <w:t xml:space="preserve">Population: </w:t>
            </w:r>
            <w:r w:rsidRPr="007F1CE9">
              <w:rPr>
                <w:sz w:val="22"/>
                <w:szCs w:val="20"/>
              </w:rPr>
              <w:t xml:space="preserve">Residents of </w:t>
            </w:r>
            <w:r>
              <w:rPr>
                <w:sz w:val="22"/>
                <w:szCs w:val="20"/>
              </w:rPr>
              <w:t>long-term care homes</w:t>
            </w:r>
            <w:r w:rsidRPr="007F1CE9">
              <w:rPr>
                <w:sz w:val="22"/>
                <w:szCs w:val="20"/>
              </w:rPr>
              <w:t xml:space="preserve"> with any condition. Palliative care was limited to within </w:t>
            </w:r>
            <w:r>
              <w:rPr>
                <w:sz w:val="22"/>
                <w:szCs w:val="20"/>
              </w:rPr>
              <w:t>long-term care homes</w:t>
            </w:r>
            <w:r w:rsidRPr="007F1CE9">
              <w:rPr>
                <w:sz w:val="22"/>
                <w:szCs w:val="20"/>
              </w:rPr>
              <w:t>; hospice settings, residential homes, and skilled nursing facilities were excluded.</w:t>
            </w:r>
          </w:p>
          <w:p w14:paraId="6094BF29" w14:textId="77777777" w:rsidR="007B3317" w:rsidRDefault="007B3317" w:rsidP="007F1CE9">
            <w:pPr>
              <w:pStyle w:val="ListParagraph"/>
              <w:numPr>
                <w:ilvl w:val="0"/>
                <w:numId w:val="3"/>
              </w:numPr>
              <w:spacing w:line="240" w:lineRule="auto"/>
              <w:ind w:left="274" w:hanging="274"/>
              <w:jc w:val="both"/>
              <w:rPr>
                <w:sz w:val="22"/>
                <w:szCs w:val="20"/>
              </w:rPr>
            </w:pPr>
            <w:r>
              <w:rPr>
                <w:sz w:val="22"/>
                <w:szCs w:val="20"/>
              </w:rPr>
              <w:t xml:space="preserve">Intervention/Comparators: </w:t>
            </w:r>
            <w:r w:rsidRPr="007F1CE9">
              <w:rPr>
                <w:sz w:val="22"/>
                <w:szCs w:val="20"/>
              </w:rPr>
              <w:t xml:space="preserve">Models of provider care, or interventions delivered to facility, staff, and residents in </w:t>
            </w:r>
            <w:r>
              <w:rPr>
                <w:sz w:val="22"/>
                <w:szCs w:val="20"/>
              </w:rPr>
              <w:t>long-term care</w:t>
            </w:r>
            <w:r w:rsidRPr="007F1CE9">
              <w:rPr>
                <w:sz w:val="22"/>
                <w:szCs w:val="20"/>
              </w:rPr>
              <w:t xml:space="preserve"> homes. Resident exposure to staffing levels/mix of staffing was of most interest. This included studies evaluating different approaches/ arrangements of staffing. Studies evaluating access to or direct services provided by relevant care providers to residents were also included. Provision of care could be delivered by any of the following</w:t>
            </w:r>
            <w:r>
              <w:rPr>
                <w:sz w:val="22"/>
                <w:szCs w:val="20"/>
              </w:rPr>
              <w:t xml:space="preserve">: medical care; direct patient care; allied health care. </w:t>
            </w:r>
            <w:r w:rsidRPr="00D45C29">
              <w:rPr>
                <w:sz w:val="22"/>
                <w:szCs w:val="20"/>
              </w:rPr>
              <w:t xml:space="preserve">Studies involving comparisons between different models of provider care </w:t>
            </w:r>
            <w:r>
              <w:rPr>
                <w:sz w:val="22"/>
                <w:szCs w:val="20"/>
              </w:rPr>
              <w:t>and</w:t>
            </w:r>
            <w:r w:rsidRPr="00D45C29">
              <w:rPr>
                <w:sz w:val="22"/>
                <w:szCs w:val="20"/>
              </w:rPr>
              <w:t xml:space="preserve"> studies wherein different models were compared over time (e.g. interrupted time series) were included. </w:t>
            </w:r>
          </w:p>
          <w:p w14:paraId="750AD009" w14:textId="77777777" w:rsidR="007B3317" w:rsidRDefault="007B3317" w:rsidP="00D45C29">
            <w:pPr>
              <w:pStyle w:val="ListParagraph"/>
              <w:numPr>
                <w:ilvl w:val="0"/>
                <w:numId w:val="3"/>
              </w:numPr>
              <w:spacing w:line="240" w:lineRule="auto"/>
              <w:ind w:left="274" w:hanging="274"/>
              <w:jc w:val="both"/>
              <w:rPr>
                <w:sz w:val="22"/>
                <w:szCs w:val="20"/>
              </w:rPr>
            </w:pPr>
            <w:r>
              <w:rPr>
                <w:sz w:val="22"/>
                <w:szCs w:val="20"/>
              </w:rPr>
              <w:t>Outcomes: q</w:t>
            </w:r>
            <w:r w:rsidRPr="00D45C29">
              <w:rPr>
                <w:sz w:val="22"/>
                <w:szCs w:val="20"/>
              </w:rPr>
              <w:t>uality of life (</w:t>
            </w:r>
            <w:proofErr w:type="spellStart"/>
            <w:r w:rsidRPr="00D45C29">
              <w:rPr>
                <w:sz w:val="22"/>
                <w:szCs w:val="20"/>
              </w:rPr>
              <w:t>QoL</w:t>
            </w:r>
            <w:proofErr w:type="spellEnd"/>
            <w:r w:rsidRPr="00D45C29">
              <w:rPr>
                <w:sz w:val="22"/>
                <w:szCs w:val="20"/>
              </w:rPr>
              <w:t>); Quality of care (</w:t>
            </w:r>
            <w:proofErr w:type="spellStart"/>
            <w:r w:rsidRPr="00D45C29">
              <w:rPr>
                <w:sz w:val="22"/>
                <w:szCs w:val="20"/>
              </w:rPr>
              <w:t>QoC</w:t>
            </w:r>
            <w:proofErr w:type="spellEnd"/>
            <w:r w:rsidRPr="00D45C29">
              <w:rPr>
                <w:sz w:val="22"/>
                <w:szCs w:val="20"/>
              </w:rPr>
              <w:t xml:space="preserve">); health outcomes (e.g., mortality; chronic disease management indicators; </w:t>
            </w:r>
            <w:proofErr w:type="spellStart"/>
            <w:r>
              <w:rPr>
                <w:sz w:val="22"/>
                <w:szCs w:val="20"/>
              </w:rPr>
              <w:t>etc</w:t>
            </w:r>
            <w:proofErr w:type="spellEnd"/>
            <w:r>
              <w:rPr>
                <w:sz w:val="22"/>
                <w:szCs w:val="20"/>
              </w:rPr>
              <w:t xml:space="preserve">); </w:t>
            </w:r>
            <w:r w:rsidRPr="00D45C29">
              <w:rPr>
                <w:sz w:val="22"/>
                <w:szCs w:val="20"/>
              </w:rPr>
              <w:t>healthcare worker (HCW) stress</w:t>
            </w:r>
            <w:r>
              <w:rPr>
                <w:sz w:val="22"/>
                <w:szCs w:val="20"/>
              </w:rPr>
              <w:t>;</w:t>
            </w:r>
            <w:r w:rsidRPr="00D45C29">
              <w:rPr>
                <w:sz w:val="22"/>
                <w:szCs w:val="20"/>
              </w:rPr>
              <w:t xml:space="preserve"> burnout or quality of work-life if reported along with a relevant primary outcome.</w:t>
            </w:r>
          </w:p>
          <w:p w14:paraId="2A37323F" w14:textId="77777777" w:rsidR="007B3317" w:rsidRDefault="007B3317" w:rsidP="00D45C29">
            <w:pPr>
              <w:pStyle w:val="ListParagraph"/>
              <w:numPr>
                <w:ilvl w:val="0"/>
                <w:numId w:val="3"/>
              </w:numPr>
              <w:spacing w:line="240" w:lineRule="auto"/>
              <w:ind w:left="274" w:hanging="274"/>
              <w:jc w:val="both"/>
              <w:rPr>
                <w:sz w:val="22"/>
                <w:szCs w:val="20"/>
              </w:rPr>
            </w:pPr>
            <w:r>
              <w:rPr>
                <w:sz w:val="22"/>
                <w:szCs w:val="20"/>
              </w:rPr>
              <w:t xml:space="preserve">Study design: </w:t>
            </w:r>
            <w:r w:rsidRPr="00D45C29">
              <w:rPr>
                <w:sz w:val="22"/>
                <w:szCs w:val="20"/>
              </w:rPr>
              <w:t>Randomized controlled trials, non-randomized controlled trials, and quasi-experimental study designs (e.g., controlled before/after studies [CBA]; interrupted time series [ITS]) were of primary interest. Cross-sectional studies, case-control studies, case reports and qualitative literature were excluded.</w:t>
            </w:r>
          </w:p>
          <w:p w14:paraId="4EC4AA7C" w14:textId="6C36D52E" w:rsidR="007B3317" w:rsidRPr="007F1CE9" w:rsidRDefault="007B3317" w:rsidP="00C76858">
            <w:pPr>
              <w:pStyle w:val="ListParagraph"/>
              <w:numPr>
                <w:ilvl w:val="0"/>
                <w:numId w:val="3"/>
              </w:numPr>
              <w:spacing w:after="120" w:line="240" w:lineRule="auto"/>
              <w:ind w:left="274" w:hanging="274"/>
              <w:jc w:val="both"/>
              <w:rPr>
                <w:sz w:val="22"/>
                <w:szCs w:val="20"/>
              </w:rPr>
            </w:pPr>
            <w:r>
              <w:rPr>
                <w:sz w:val="22"/>
                <w:szCs w:val="20"/>
              </w:rPr>
              <w:t>Time frame: 2010 - 2020</w:t>
            </w:r>
            <w:r w:rsidRPr="00D45C29">
              <w:rPr>
                <w:sz w:val="22"/>
                <w:szCs w:val="20"/>
              </w:rPr>
              <w:t xml:space="preserve"> </w:t>
            </w:r>
          </w:p>
        </w:tc>
        <w:tc>
          <w:tcPr>
            <w:tcW w:w="2121" w:type="dxa"/>
          </w:tcPr>
          <w:p w14:paraId="70F5A9CA" w14:textId="77777777" w:rsidR="007B3317" w:rsidRDefault="007B3317" w:rsidP="00500FF5">
            <w:pPr>
              <w:spacing w:line="240" w:lineRule="auto"/>
              <w:jc w:val="center"/>
              <w:rPr>
                <w:sz w:val="22"/>
                <w:szCs w:val="20"/>
              </w:rPr>
            </w:pPr>
            <w:r>
              <w:rPr>
                <w:sz w:val="22"/>
                <w:szCs w:val="20"/>
              </w:rPr>
              <w:t xml:space="preserve">7,574 citations screened; </w:t>
            </w:r>
          </w:p>
          <w:p w14:paraId="5E22AC34" w14:textId="2BEC4B8A" w:rsidR="007B3317" w:rsidRPr="00500FF5" w:rsidRDefault="007B3317" w:rsidP="00500FF5">
            <w:pPr>
              <w:spacing w:line="240" w:lineRule="auto"/>
              <w:jc w:val="center"/>
              <w:rPr>
                <w:sz w:val="22"/>
                <w:szCs w:val="20"/>
              </w:rPr>
            </w:pPr>
            <w:r>
              <w:rPr>
                <w:sz w:val="22"/>
                <w:szCs w:val="20"/>
              </w:rPr>
              <w:t>366 included after full text screening</w:t>
            </w:r>
          </w:p>
        </w:tc>
      </w:tr>
      <w:tr w:rsidR="007B3317" w14:paraId="4A145AEE" w14:textId="77777777" w:rsidTr="007B3317">
        <w:tc>
          <w:tcPr>
            <w:tcW w:w="2117" w:type="dxa"/>
          </w:tcPr>
          <w:p w14:paraId="30AF0579" w14:textId="288D5767" w:rsidR="007B3317" w:rsidRDefault="007B3317" w:rsidP="00500FF5">
            <w:pPr>
              <w:spacing w:line="240" w:lineRule="auto"/>
              <w:jc w:val="center"/>
              <w:rPr>
                <w:sz w:val="22"/>
                <w:szCs w:val="20"/>
              </w:rPr>
            </w:pPr>
            <w:r>
              <w:rPr>
                <w:sz w:val="22"/>
                <w:szCs w:val="20"/>
              </w:rPr>
              <w:t>Rice D et al</w:t>
            </w:r>
            <w:r w:rsidR="00C76858">
              <w:rPr>
                <w:sz w:val="22"/>
                <w:szCs w:val="20"/>
              </w:rPr>
              <w:t xml:space="preserve"> </w:t>
            </w:r>
            <w:r w:rsidR="00AA4FD4">
              <w:rPr>
                <w:sz w:val="22"/>
                <w:szCs w:val="20"/>
              </w:rPr>
              <w:fldChar w:fldCharType="begin"/>
            </w:r>
            <w:r w:rsidR="00AA4FD4">
              <w:rPr>
                <w:sz w:val="22"/>
                <w:szCs w:val="20"/>
              </w:rPr>
              <w:instrText xml:space="preserve"> ADDIN ZOTERO_ITEM CSL_CITATION {"citationID":"kmx8APeY","properties":{"formattedCitation":"[13]","plainCitation":"[13]","noteIndex":0},"citationItems":[{"id":20205,"uris":["http://zotero.org/users/4806826/items/FMYPRP6E"],"uri":["http://zotero.org/users/4806826/items/FMYPRP6E"],"itemData":{"id":20205,"type":"report","event-place":"Ottawa","genre":"DSEN Technical Report","language":"English","publisher":"Ottawa Hospital Research Insitute","publisher-place":"Ottawa","title":"Best Practice in Pain Management: Rapid Reviews of Guidelines and Knowledge Syntheses","URL":"https://osf.io/ksgna/","author":[{"family":"Rice","given":"D"},{"family":"Wolfe","given":"D"},{"family":"Garritty","given":"C"},{"family":"Hersi","given":"M"},{"family":"Esmaeilisaraji","given":"L"},{"family":"Butler","given":"C"},{"family":"Hamel","given":"C"},{"family":"Ahmadza","given":"N"},{"family":"Skidmore","given":"B"},{"family":"Hutton","given":"C"}],"issued":{"date-parts":[["2020",7]]}}}],"schema":"https://github.com/citation-style-language/schema/raw/master/csl-citation.json"} </w:instrText>
            </w:r>
            <w:r w:rsidR="00AA4FD4">
              <w:rPr>
                <w:sz w:val="22"/>
                <w:szCs w:val="20"/>
              </w:rPr>
              <w:fldChar w:fldCharType="separate"/>
            </w:r>
            <w:r w:rsidR="00AA4FD4" w:rsidRPr="00AA4FD4">
              <w:rPr>
                <w:rFonts w:cs="Times New Roman"/>
                <w:sz w:val="22"/>
              </w:rPr>
              <w:t>[13]</w:t>
            </w:r>
            <w:r w:rsidR="00AA4FD4">
              <w:rPr>
                <w:sz w:val="22"/>
                <w:szCs w:val="20"/>
              </w:rPr>
              <w:fldChar w:fldCharType="end"/>
            </w:r>
            <w:r>
              <w:rPr>
                <w:sz w:val="22"/>
                <w:szCs w:val="20"/>
              </w:rPr>
              <w:t xml:space="preserve">; </w:t>
            </w:r>
            <w:r w:rsidR="00C76858">
              <w:rPr>
                <w:sz w:val="22"/>
                <w:szCs w:val="20"/>
              </w:rPr>
              <w:t>R</w:t>
            </w:r>
            <w:r>
              <w:rPr>
                <w:sz w:val="22"/>
                <w:szCs w:val="20"/>
              </w:rPr>
              <w:t xml:space="preserve">apid </w:t>
            </w:r>
            <w:r w:rsidR="00C76858">
              <w:rPr>
                <w:sz w:val="22"/>
                <w:szCs w:val="20"/>
              </w:rPr>
              <w:t>R</w:t>
            </w:r>
            <w:r>
              <w:rPr>
                <w:sz w:val="22"/>
                <w:szCs w:val="20"/>
              </w:rPr>
              <w:t xml:space="preserve">eview; Canadian Institutes of Health Research; </w:t>
            </w:r>
          </w:p>
          <w:p w14:paraId="64665D90" w14:textId="77777777" w:rsidR="007B3317" w:rsidRDefault="007B3317" w:rsidP="00500FF5">
            <w:pPr>
              <w:spacing w:line="240" w:lineRule="auto"/>
              <w:jc w:val="center"/>
              <w:rPr>
                <w:sz w:val="22"/>
                <w:szCs w:val="20"/>
              </w:rPr>
            </w:pPr>
            <w:r>
              <w:rPr>
                <w:sz w:val="22"/>
                <w:szCs w:val="20"/>
              </w:rPr>
              <w:lastRenderedPageBreak/>
              <w:t>technical report available (manuscript in preparation)</w:t>
            </w:r>
          </w:p>
          <w:p w14:paraId="657EC04C" w14:textId="43606743" w:rsidR="00C76858" w:rsidRPr="00500FF5" w:rsidRDefault="00C76858" w:rsidP="00500FF5">
            <w:pPr>
              <w:spacing w:line="240" w:lineRule="auto"/>
              <w:jc w:val="center"/>
              <w:rPr>
                <w:sz w:val="22"/>
                <w:szCs w:val="20"/>
              </w:rPr>
            </w:pPr>
          </w:p>
        </w:tc>
        <w:tc>
          <w:tcPr>
            <w:tcW w:w="1989" w:type="dxa"/>
          </w:tcPr>
          <w:p w14:paraId="4AA40EFB" w14:textId="5C306280" w:rsidR="007B3317" w:rsidRPr="00500FF5" w:rsidRDefault="007B3317" w:rsidP="00500FF5">
            <w:pPr>
              <w:spacing w:line="240" w:lineRule="auto"/>
              <w:jc w:val="center"/>
              <w:rPr>
                <w:sz w:val="22"/>
                <w:szCs w:val="20"/>
              </w:rPr>
            </w:pPr>
            <w:r>
              <w:rPr>
                <w:sz w:val="22"/>
                <w:szCs w:val="20"/>
              </w:rPr>
              <w:lastRenderedPageBreak/>
              <w:t xml:space="preserve">Interventions to manage chronic pain in individuals with concurrent mental health or </w:t>
            </w:r>
            <w:r>
              <w:rPr>
                <w:sz w:val="22"/>
                <w:szCs w:val="20"/>
              </w:rPr>
              <w:lastRenderedPageBreak/>
              <w:t>substance use disorders</w:t>
            </w:r>
          </w:p>
        </w:tc>
        <w:tc>
          <w:tcPr>
            <w:tcW w:w="6521" w:type="dxa"/>
          </w:tcPr>
          <w:p w14:paraId="34A52049" w14:textId="4F60CEA4" w:rsidR="007B3317" w:rsidRDefault="007B3317" w:rsidP="003362E4">
            <w:pPr>
              <w:pStyle w:val="ListParagraph"/>
              <w:numPr>
                <w:ilvl w:val="0"/>
                <w:numId w:val="2"/>
              </w:numPr>
              <w:spacing w:line="240" w:lineRule="auto"/>
              <w:ind w:left="324" w:hanging="284"/>
              <w:jc w:val="both"/>
              <w:rPr>
                <w:sz w:val="22"/>
                <w:szCs w:val="20"/>
              </w:rPr>
            </w:pPr>
            <w:r w:rsidRPr="003362E4">
              <w:rPr>
                <w:sz w:val="22"/>
                <w:szCs w:val="20"/>
              </w:rPr>
              <w:lastRenderedPageBreak/>
              <w:t xml:space="preserve">Population: </w:t>
            </w:r>
            <w:r w:rsidR="00C76858">
              <w:rPr>
                <w:sz w:val="22"/>
                <w:szCs w:val="20"/>
              </w:rPr>
              <w:t>I</w:t>
            </w:r>
            <w:r w:rsidRPr="003362E4">
              <w:rPr>
                <w:sz w:val="22"/>
                <w:szCs w:val="20"/>
              </w:rPr>
              <w:t>ndividuals diagnosed with chronic pain (pain lasting at least three months) who have a concurrent mental health or substance use diagnosis</w:t>
            </w:r>
          </w:p>
          <w:p w14:paraId="7D629222" w14:textId="2C4512F3" w:rsidR="007B3317" w:rsidRDefault="007B3317" w:rsidP="003362E4">
            <w:pPr>
              <w:pStyle w:val="ListParagraph"/>
              <w:numPr>
                <w:ilvl w:val="0"/>
                <w:numId w:val="2"/>
              </w:numPr>
              <w:spacing w:line="240" w:lineRule="auto"/>
              <w:ind w:left="324" w:hanging="284"/>
              <w:jc w:val="both"/>
              <w:rPr>
                <w:sz w:val="22"/>
                <w:szCs w:val="20"/>
              </w:rPr>
            </w:pPr>
            <w:r>
              <w:rPr>
                <w:sz w:val="22"/>
                <w:szCs w:val="20"/>
              </w:rPr>
              <w:t xml:space="preserve">Intervention/Comparator: </w:t>
            </w:r>
            <w:r w:rsidRPr="003362E4">
              <w:rPr>
                <w:sz w:val="22"/>
                <w:szCs w:val="20"/>
              </w:rPr>
              <w:t xml:space="preserve">Pharmacological, psychological, physical (e.g., physiotherapy), and self-management interventions, including </w:t>
            </w:r>
            <w:r w:rsidRPr="003362E4">
              <w:rPr>
                <w:sz w:val="22"/>
                <w:szCs w:val="20"/>
              </w:rPr>
              <w:lastRenderedPageBreak/>
              <w:t xml:space="preserve">biopsychosocial / multidisciplinary / </w:t>
            </w:r>
            <w:proofErr w:type="spellStart"/>
            <w:r w:rsidRPr="003362E4">
              <w:rPr>
                <w:sz w:val="22"/>
                <w:szCs w:val="20"/>
              </w:rPr>
              <w:t>interprofessional</w:t>
            </w:r>
            <w:proofErr w:type="spellEnd"/>
            <w:r w:rsidRPr="003362E4">
              <w:rPr>
                <w:sz w:val="22"/>
                <w:szCs w:val="20"/>
              </w:rPr>
              <w:t xml:space="preserve"> approaches (e.g., stepped care, multidisciplinary team pain</w:t>
            </w:r>
            <w:r>
              <w:rPr>
                <w:sz w:val="22"/>
                <w:szCs w:val="20"/>
              </w:rPr>
              <w:t xml:space="preserve"> </w:t>
            </w:r>
            <w:r w:rsidRPr="003362E4">
              <w:rPr>
                <w:sz w:val="22"/>
                <w:szCs w:val="20"/>
              </w:rPr>
              <w:t>clinics</w:t>
            </w:r>
            <w:r>
              <w:rPr>
                <w:sz w:val="22"/>
                <w:szCs w:val="20"/>
              </w:rPr>
              <w:t>).</w:t>
            </w:r>
          </w:p>
          <w:p w14:paraId="70F4B696" w14:textId="590C0ADF" w:rsidR="007B3317" w:rsidRDefault="007B3317" w:rsidP="003362E4">
            <w:pPr>
              <w:pStyle w:val="ListParagraph"/>
              <w:numPr>
                <w:ilvl w:val="0"/>
                <w:numId w:val="2"/>
              </w:numPr>
              <w:spacing w:line="240" w:lineRule="auto"/>
              <w:ind w:left="324" w:hanging="284"/>
              <w:jc w:val="both"/>
              <w:rPr>
                <w:sz w:val="22"/>
                <w:szCs w:val="20"/>
              </w:rPr>
            </w:pPr>
            <w:r>
              <w:rPr>
                <w:sz w:val="22"/>
                <w:szCs w:val="20"/>
              </w:rPr>
              <w:t>Outcomes: no restrictions.</w:t>
            </w:r>
          </w:p>
          <w:p w14:paraId="521AD85D" w14:textId="77777777" w:rsidR="007B3317" w:rsidRDefault="007B3317" w:rsidP="003362E4">
            <w:pPr>
              <w:pStyle w:val="ListParagraph"/>
              <w:numPr>
                <w:ilvl w:val="0"/>
                <w:numId w:val="1"/>
              </w:numPr>
              <w:spacing w:line="240" w:lineRule="auto"/>
              <w:ind w:left="324" w:hanging="284"/>
              <w:jc w:val="both"/>
              <w:rPr>
                <w:sz w:val="22"/>
                <w:szCs w:val="20"/>
              </w:rPr>
            </w:pPr>
            <w:r>
              <w:rPr>
                <w:sz w:val="22"/>
                <w:szCs w:val="20"/>
              </w:rPr>
              <w:t xml:space="preserve">Study design: </w:t>
            </w:r>
            <w:r w:rsidRPr="003362E4">
              <w:rPr>
                <w:sz w:val="22"/>
                <w:szCs w:val="20"/>
              </w:rPr>
              <w:t>Clinical practice guidelines (CPGs), best practice recommendations, overviews of guidelines, overviews of reviews/umbrella reviews, meta-analyses (MAs), network meta-analyses (NMAs)</w:t>
            </w:r>
          </w:p>
          <w:p w14:paraId="6AEB5C26" w14:textId="77777777" w:rsidR="007B3317" w:rsidRDefault="007B3317" w:rsidP="003362E4">
            <w:pPr>
              <w:pStyle w:val="ListParagraph"/>
              <w:numPr>
                <w:ilvl w:val="0"/>
                <w:numId w:val="1"/>
              </w:numPr>
              <w:spacing w:line="240" w:lineRule="auto"/>
              <w:ind w:left="324" w:hanging="284"/>
              <w:jc w:val="both"/>
              <w:rPr>
                <w:sz w:val="22"/>
                <w:szCs w:val="20"/>
              </w:rPr>
            </w:pPr>
            <w:r>
              <w:rPr>
                <w:sz w:val="22"/>
                <w:szCs w:val="20"/>
              </w:rPr>
              <w:t xml:space="preserve">Language: </w:t>
            </w:r>
            <w:r w:rsidRPr="003362E4">
              <w:rPr>
                <w:sz w:val="22"/>
                <w:szCs w:val="20"/>
              </w:rPr>
              <w:t>English and French language documents; CPGs from Canada, USA, UK, or Australia, or from a European or international body</w:t>
            </w:r>
          </w:p>
          <w:p w14:paraId="02998675" w14:textId="4E1260F5" w:rsidR="007B3317" w:rsidRPr="00C76858" w:rsidRDefault="007B3317" w:rsidP="00C76858">
            <w:pPr>
              <w:pStyle w:val="ListParagraph"/>
              <w:numPr>
                <w:ilvl w:val="0"/>
                <w:numId w:val="2"/>
              </w:numPr>
              <w:spacing w:after="120" w:line="240" w:lineRule="auto"/>
              <w:ind w:left="324" w:hanging="284"/>
              <w:jc w:val="both"/>
              <w:rPr>
                <w:sz w:val="22"/>
                <w:szCs w:val="20"/>
              </w:rPr>
            </w:pPr>
            <w:r>
              <w:rPr>
                <w:sz w:val="22"/>
                <w:szCs w:val="20"/>
              </w:rPr>
              <w:t>Time frame: published between 2015-2020</w:t>
            </w:r>
          </w:p>
        </w:tc>
        <w:tc>
          <w:tcPr>
            <w:tcW w:w="2121" w:type="dxa"/>
          </w:tcPr>
          <w:p w14:paraId="5A1A3593" w14:textId="70A75A54" w:rsidR="007B3317" w:rsidRDefault="007B3317" w:rsidP="00500FF5">
            <w:pPr>
              <w:spacing w:line="240" w:lineRule="auto"/>
              <w:jc w:val="center"/>
              <w:rPr>
                <w:sz w:val="22"/>
                <w:szCs w:val="20"/>
              </w:rPr>
            </w:pPr>
            <w:r>
              <w:rPr>
                <w:sz w:val="22"/>
                <w:szCs w:val="20"/>
              </w:rPr>
              <w:lastRenderedPageBreak/>
              <w:t xml:space="preserve">8,676 citations screened; </w:t>
            </w:r>
          </w:p>
          <w:p w14:paraId="26DE3D95" w14:textId="63A42E37" w:rsidR="007B3317" w:rsidRPr="00500FF5" w:rsidRDefault="007B3317" w:rsidP="00500FF5">
            <w:pPr>
              <w:spacing w:line="240" w:lineRule="auto"/>
              <w:jc w:val="center"/>
              <w:rPr>
                <w:sz w:val="22"/>
                <w:szCs w:val="20"/>
              </w:rPr>
            </w:pPr>
            <w:r>
              <w:rPr>
                <w:sz w:val="22"/>
                <w:szCs w:val="20"/>
              </w:rPr>
              <w:t>7 included after full text screening</w:t>
            </w:r>
          </w:p>
        </w:tc>
      </w:tr>
      <w:tr w:rsidR="007B3317" w14:paraId="29B1C371" w14:textId="77777777" w:rsidTr="007B3317">
        <w:tc>
          <w:tcPr>
            <w:tcW w:w="2117" w:type="dxa"/>
          </w:tcPr>
          <w:p w14:paraId="09F13495" w14:textId="6B4B4A50" w:rsidR="007B3317" w:rsidRPr="00500FF5" w:rsidRDefault="007B3317" w:rsidP="00C76858">
            <w:pPr>
              <w:spacing w:line="240" w:lineRule="auto"/>
              <w:jc w:val="center"/>
              <w:rPr>
                <w:sz w:val="22"/>
                <w:szCs w:val="20"/>
              </w:rPr>
            </w:pPr>
            <w:r>
              <w:rPr>
                <w:sz w:val="22"/>
                <w:szCs w:val="20"/>
              </w:rPr>
              <w:lastRenderedPageBreak/>
              <w:t>Wolfe D et al</w:t>
            </w:r>
            <w:r w:rsidR="00C76858">
              <w:rPr>
                <w:sz w:val="22"/>
                <w:szCs w:val="20"/>
              </w:rPr>
              <w:t xml:space="preserve"> </w:t>
            </w:r>
            <w:r w:rsidR="00AA4FD4">
              <w:rPr>
                <w:sz w:val="22"/>
                <w:szCs w:val="20"/>
              </w:rPr>
              <w:t xml:space="preserve">https </w:t>
            </w:r>
            <w:r w:rsidR="00AA4FD4">
              <w:rPr>
                <w:sz w:val="22"/>
                <w:szCs w:val="20"/>
              </w:rPr>
              <w:fldChar w:fldCharType="begin"/>
            </w:r>
            <w:r w:rsidR="00AA4FD4">
              <w:rPr>
                <w:sz w:val="22"/>
                <w:szCs w:val="20"/>
              </w:rPr>
              <w:instrText xml:space="preserve"> ADDIN ZOTERO_ITEM CSL_CITATION {"citationID":"kmx8APeY","properties":{"formattedCitation":"[13]","plainCitation":"[13]","noteIndex":0},"citationItems":[{"id":20205,"uris":["http://zotero.org/users/4806826/items/FMYPRP6E"],"uri":["http://zotero.org/users/4806826/items/FMYPRP6E"],"itemData":{"id":20205,"type":"report","event-place":"Ottawa","genre":"DSEN Technical Report","language":"English","publisher":"Ottawa Hospital Research Insitute","publisher-place":"Ottawa","title":"Best Practice in Pain Management: Rapid Reviews of Guidelines and Knowledge Syntheses","URL":"https://osf.io/ksgna/","author":[{"family":"Rice","given":"D"},{"family":"Wolfe","given":"D"},{"family":"Garritty","given":"C"},{"family":"Hersi","given":"M"},{"family":"Esmaeilisaraji","given":"L"},{"family":"Butler","given":"C"},{"family":"Hamel","given":"C"},{"family":"Ahmadza","given":"N"},{"family":"Skidmore","given":"B"},{"family":"Hutton","given":"C"}],"issued":{"date-parts":[["2020",7]]}}}],"schema":"https://github.com/citation-style-language/schema/raw/master/csl-citation.json"} </w:instrText>
            </w:r>
            <w:r w:rsidR="00AA4FD4">
              <w:rPr>
                <w:sz w:val="22"/>
                <w:szCs w:val="20"/>
              </w:rPr>
              <w:fldChar w:fldCharType="separate"/>
            </w:r>
            <w:r w:rsidR="00AA4FD4" w:rsidRPr="00AA4FD4">
              <w:rPr>
                <w:rFonts w:cs="Times New Roman"/>
                <w:sz w:val="22"/>
              </w:rPr>
              <w:t>[13]</w:t>
            </w:r>
            <w:r w:rsidR="00AA4FD4">
              <w:rPr>
                <w:sz w:val="22"/>
                <w:szCs w:val="20"/>
              </w:rPr>
              <w:fldChar w:fldCharType="end"/>
            </w:r>
            <w:r>
              <w:rPr>
                <w:sz w:val="22"/>
                <w:szCs w:val="20"/>
              </w:rPr>
              <w:t xml:space="preserve">; </w:t>
            </w:r>
            <w:r w:rsidR="00C76858">
              <w:rPr>
                <w:sz w:val="22"/>
                <w:szCs w:val="20"/>
              </w:rPr>
              <w:t>R</w:t>
            </w:r>
            <w:r>
              <w:rPr>
                <w:sz w:val="22"/>
                <w:szCs w:val="20"/>
              </w:rPr>
              <w:t xml:space="preserve">apid </w:t>
            </w:r>
            <w:r w:rsidR="00C76858">
              <w:rPr>
                <w:sz w:val="22"/>
                <w:szCs w:val="20"/>
              </w:rPr>
              <w:t>R</w:t>
            </w:r>
            <w:r>
              <w:rPr>
                <w:sz w:val="22"/>
                <w:szCs w:val="20"/>
              </w:rPr>
              <w:t xml:space="preserve">eview; Canadian Institutes of Health Research; </w:t>
            </w:r>
            <w:r w:rsidR="00C76858">
              <w:rPr>
                <w:sz w:val="22"/>
                <w:szCs w:val="20"/>
              </w:rPr>
              <w:t>T</w:t>
            </w:r>
            <w:r>
              <w:rPr>
                <w:sz w:val="22"/>
                <w:szCs w:val="20"/>
              </w:rPr>
              <w:t>echnical report available (manuscript in preparation)</w:t>
            </w:r>
          </w:p>
        </w:tc>
        <w:tc>
          <w:tcPr>
            <w:tcW w:w="1989" w:type="dxa"/>
          </w:tcPr>
          <w:p w14:paraId="057ADC9F" w14:textId="0A567428" w:rsidR="007B3317" w:rsidRPr="00500FF5" w:rsidRDefault="007B3317" w:rsidP="00500FF5">
            <w:pPr>
              <w:spacing w:line="240" w:lineRule="auto"/>
              <w:jc w:val="center"/>
              <w:rPr>
                <w:sz w:val="22"/>
                <w:szCs w:val="20"/>
              </w:rPr>
            </w:pPr>
            <w:r>
              <w:rPr>
                <w:sz w:val="22"/>
                <w:szCs w:val="20"/>
              </w:rPr>
              <w:t>Interventions to reduce the risk of transitioning from acute pain to chronic pain</w:t>
            </w:r>
          </w:p>
        </w:tc>
        <w:tc>
          <w:tcPr>
            <w:tcW w:w="6521" w:type="dxa"/>
          </w:tcPr>
          <w:p w14:paraId="3B7D4F44" w14:textId="77777777" w:rsidR="007B3317" w:rsidRDefault="007B3317" w:rsidP="003362E4">
            <w:pPr>
              <w:pStyle w:val="ListParagraph"/>
              <w:numPr>
                <w:ilvl w:val="0"/>
                <w:numId w:val="1"/>
              </w:numPr>
              <w:spacing w:line="240" w:lineRule="auto"/>
              <w:ind w:left="324" w:hanging="284"/>
              <w:jc w:val="both"/>
              <w:rPr>
                <w:sz w:val="22"/>
                <w:szCs w:val="20"/>
              </w:rPr>
            </w:pPr>
            <w:r w:rsidRPr="003362E4">
              <w:rPr>
                <w:sz w:val="22"/>
                <w:szCs w:val="20"/>
              </w:rPr>
              <w:t>Population:</w:t>
            </w:r>
            <w:r>
              <w:rPr>
                <w:sz w:val="22"/>
                <w:szCs w:val="20"/>
              </w:rPr>
              <w:t xml:space="preserve"> </w:t>
            </w:r>
            <w:r w:rsidRPr="003362E4">
              <w:rPr>
                <w:sz w:val="22"/>
                <w:szCs w:val="20"/>
              </w:rPr>
              <w:t>Individuals with acute pain (less than three-month duration) due to surgery or trauma/injury as well as patients anticipated to have post-surgical pain at a future date</w:t>
            </w:r>
          </w:p>
          <w:p w14:paraId="58E08CB7" w14:textId="34AEE90C" w:rsidR="007B3317" w:rsidRDefault="007B3317" w:rsidP="003362E4">
            <w:pPr>
              <w:pStyle w:val="ListParagraph"/>
              <w:numPr>
                <w:ilvl w:val="0"/>
                <w:numId w:val="1"/>
              </w:numPr>
              <w:spacing w:line="240" w:lineRule="auto"/>
              <w:ind w:left="324" w:hanging="284"/>
              <w:jc w:val="both"/>
              <w:rPr>
                <w:sz w:val="22"/>
                <w:szCs w:val="20"/>
              </w:rPr>
            </w:pPr>
            <w:r>
              <w:rPr>
                <w:sz w:val="22"/>
                <w:szCs w:val="20"/>
              </w:rPr>
              <w:t xml:space="preserve">Intervention/Comparator: </w:t>
            </w:r>
            <w:r w:rsidRPr="003362E4">
              <w:rPr>
                <w:sz w:val="22"/>
                <w:szCs w:val="20"/>
              </w:rPr>
              <w:t xml:space="preserve">Interventions to reduce the risk of transition from acute to chronic pain, including assessment of risk factors, timely access to a multidisciplinary team post-onset of pain, pharmacologic interventions (e.g., selective serotonin reuptake inhibitors), </w:t>
            </w:r>
            <w:proofErr w:type="gramStart"/>
            <w:r w:rsidRPr="003362E4">
              <w:rPr>
                <w:sz w:val="22"/>
                <w:szCs w:val="20"/>
              </w:rPr>
              <w:t>psychological(</w:t>
            </w:r>
            <w:proofErr w:type="gramEnd"/>
            <w:r w:rsidRPr="003362E4">
              <w:rPr>
                <w:sz w:val="22"/>
                <w:szCs w:val="20"/>
              </w:rPr>
              <w:t>e.g., cognitive behavioural therapy), physical (e.g., pre-</w:t>
            </w:r>
            <w:proofErr w:type="spellStart"/>
            <w:r w:rsidRPr="003362E4">
              <w:rPr>
                <w:sz w:val="22"/>
                <w:szCs w:val="20"/>
              </w:rPr>
              <w:t>hab</w:t>
            </w:r>
            <w:proofErr w:type="spellEnd"/>
            <w:r w:rsidRPr="003362E4">
              <w:rPr>
                <w:sz w:val="22"/>
                <w:szCs w:val="20"/>
              </w:rPr>
              <w:t>), and self-management/</w:t>
            </w:r>
            <w:r>
              <w:rPr>
                <w:sz w:val="22"/>
                <w:szCs w:val="20"/>
              </w:rPr>
              <w:t xml:space="preserve"> </w:t>
            </w:r>
            <w:r w:rsidRPr="003362E4">
              <w:rPr>
                <w:sz w:val="22"/>
                <w:szCs w:val="20"/>
              </w:rPr>
              <w:t>behavioural interventions</w:t>
            </w:r>
          </w:p>
          <w:p w14:paraId="72670441" w14:textId="77777777" w:rsidR="007B3317" w:rsidRDefault="007B3317" w:rsidP="003362E4">
            <w:pPr>
              <w:pStyle w:val="ListParagraph"/>
              <w:numPr>
                <w:ilvl w:val="0"/>
                <w:numId w:val="1"/>
              </w:numPr>
              <w:spacing w:line="240" w:lineRule="auto"/>
              <w:ind w:left="324" w:hanging="284"/>
              <w:jc w:val="both"/>
              <w:rPr>
                <w:sz w:val="22"/>
                <w:szCs w:val="20"/>
              </w:rPr>
            </w:pPr>
            <w:r>
              <w:rPr>
                <w:sz w:val="22"/>
                <w:szCs w:val="20"/>
              </w:rPr>
              <w:t xml:space="preserve">Outcomes: </w:t>
            </w:r>
            <w:r w:rsidRPr="003362E4">
              <w:rPr>
                <w:sz w:val="22"/>
                <w:szCs w:val="20"/>
              </w:rPr>
              <w:t>transition to chronic pain, which may have been measured as the presence or intensity of pain at three months or beyond the pain-inciting event</w:t>
            </w:r>
            <w:r>
              <w:rPr>
                <w:sz w:val="22"/>
                <w:szCs w:val="20"/>
              </w:rPr>
              <w:t xml:space="preserve">; </w:t>
            </w:r>
            <w:r w:rsidRPr="003362E4">
              <w:rPr>
                <w:sz w:val="22"/>
                <w:szCs w:val="20"/>
              </w:rPr>
              <w:t>composite outcomes with a pain component</w:t>
            </w:r>
            <w:r>
              <w:rPr>
                <w:sz w:val="22"/>
                <w:szCs w:val="20"/>
              </w:rPr>
              <w:t xml:space="preserve">; </w:t>
            </w:r>
            <w:r w:rsidRPr="003362E4">
              <w:rPr>
                <w:sz w:val="22"/>
                <w:szCs w:val="20"/>
              </w:rPr>
              <w:t>continuous/ persistent opioid use beyond three months of initial prescription</w:t>
            </w:r>
            <w:r>
              <w:rPr>
                <w:sz w:val="22"/>
                <w:szCs w:val="20"/>
              </w:rPr>
              <w:t>.</w:t>
            </w:r>
          </w:p>
          <w:p w14:paraId="74870A1C" w14:textId="77777777" w:rsidR="007B3317" w:rsidRDefault="007B3317" w:rsidP="003362E4">
            <w:pPr>
              <w:pStyle w:val="ListParagraph"/>
              <w:numPr>
                <w:ilvl w:val="0"/>
                <w:numId w:val="1"/>
              </w:numPr>
              <w:spacing w:line="240" w:lineRule="auto"/>
              <w:ind w:left="324" w:hanging="284"/>
              <w:jc w:val="both"/>
              <w:rPr>
                <w:sz w:val="22"/>
                <w:szCs w:val="20"/>
              </w:rPr>
            </w:pPr>
            <w:r>
              <w:rPr>
                <w:sz w:val="22"/>
                <w:szCs w:val="20"/>
              </w:rPr>
              <w:t xml:space="preserve">Study design: </w:t>
            </w:r>
            <w:r w:rsidRPr="003362E4">
              <w:rPr>
                <w:sz w:val="22"/>
                <w:szCs w:val="20"/>
              </w:rPr>
              <w:t>Clinical practice guidelines (CPGs), best practice recommendations, overviews of guidelines, overviews of reviews/umbrella reviews, meta-analyses (MAs), network meta-analyses (NMAs)</w:t>
            </w:r>
          </w:p>
          <w:p w14:paraId="63B7B73E" w14:textId="77777777" w:rsidR="007B3317" w:rsidRDefault="007B3317" w:rsidP="003362E4">
            <w:pPr>
              <w:pStyle w:val="ListParagraph"/>
              <w:numPr>
                <w:ilvl w:val="0"/>
                <w:numId w:val="1"/>
              </w:numPr>
              <w:spacing w:line="240" w:lineRule="auto"/>
              <w:ind w:left="324" w:hanging="284"/>
              <w:jc w:val="both"/>
              <w:rPr>
                <w:sz w:val="22"/>
                <w:szCs w:val="20"/>
              </w:rPr>
            </w:pPr>
            <w:r>
              <w:rPr>
                <w:sz w:val="22"/>
                <w:szCs w:val="20"/>
              </w:rPr>
              <w:lastRenderedPageBreak/>
              <w:t xml:space="preserve">Language: </w:t>
            </w:r>
            <w:r w:rsidRPr="003362E4">
              <w:rPr>
                <w:sz w:val="22"/>
                <w:szCs w:val="20"/>
              </w:rPr>
              <w:t>English and French language documents; CPGs from Canada, USA, UK, or Australia, or from a European or international body</w:t>
            </w:r>
          </w:p>
          <w:p w14:paraId="4C8249B7" w14:textId="19A89616" w:rsidR="007B3317" w:rsidRPr="003362E4" w:rsidRDefault="007B3317" w:rsidP="00C76858">
            <w:pPr>
              <w:pStyle w:val="ListParagraph"/>
              <w:numPr>
                <w:ilvl w:val="0"/>
                <w:numId w:val="1"/>
              </w:numPr>
              <w:spacing w:after="120" w:line="240" w:lineRule="auto"/>
              <w:ind w:left="324" w:hanging="284"/>
              <w:jc w:val="both"/>
              <w:rPr>
                <w:sz w:val="22"/>
                <w:szCs w:val="20"/>
              </w:rPr>
            </w:pPr>
            <w:r>
              <w:rPr>
                <w:sz w:val="22"/>
                <w:szCs w:val="20"/>
              </w:rPr>
              <w:t>Time frame: published between 2015-2020</w:t>
            </w:r>
          </w:p>
        </w:tc>
        <w:tc>
          <w:tcPr>
            <w:tcW w:w="2121" w:type="dxa"/>
          </w:tcPr>
          <w:p w14:paraId="2EE6250D" w14:textId="77777777" w:rsidR="007B3317" w:rsidRDefault="007B3317" w:rsidP="00500FF5">
            <w:pPr>
              <w:spacing w:line="240" w:lineRule="auto"/>
              <w:jc w:val="center"/>
              <w:rPr>
                <w:sz w:val="22"/>
                <w:szCs w:val="20"/>
              </w:rPr>
            </w:pPr>
            <w:r>
              <w:rPr>
                <w:sz w:val="22"/>
                <w:szCs w:val="20"/>
              </w:rPr>
              <w:lastRenderedPageBreak/>
              <w:t>10,188 citations screened;</w:t>
            </w:r>
          </w:p>
          <w:p w14:paraId="0BEB3E72" w14:textId="0DCDDF85" w:rsidR="007B3317" w:rsidRPr="00500FF5" w:rsidRDefault="007B3317" w:rsidP="00500FF5">
            <w:pPr>
              <w:spacing w:line="240" w:lineRule="auto"/>
              <w:jc w:val="center"/>
              <w:rPr>
                <w:sz w:val="22"/>
                <w:szCs w:val="20"/>
              </w:rPr>
            </w:pPr>
            <w:r>
              <w:rPr>
                <w:sz w:val="22"/>
                <w:szCs w:val="20"/>
              </w:rPr>
              <w:t>44 included after full text screening</w:t>
            </w:r>
          </w:p>
        </w:tc>
      </w:tr>
      <w:tr w:rsidR="007B3317" w14:paraId="3AE18D91" w14:textId="77777777" w:rsidTr="007B3317">
        <w:tc>
          <w:tcPr>
            <w:tcW w:w="2117" w:type="dxa"/>
          </w:tcPr>
          <w:p w14:paraId="55AC84BB" w14:textId="7DCA40DB" w:rsidR="007B3317" w:rsidRDefault="007B3317" w:rsidP="009E519B">
            <w:pPr>
              <w:spacing w:line="240" w:lineRule="auto"/>
              <w:jc w:val="center"/>
              <w:rPr>
                <w:sz w:val="22"/>
                <w:szCs w:val="20"/>
              </w:rPr>
            </w:pPr>
            <w:r>
              <w:rPr>
                <w:sz w:val="22"/>
                <w:szCs w:val="20"/>
              </w:rPr>
              <w:lastRenderedPageBreak/>
              <w:t>Wolfe D et al</w:t>
            </w:r>
            <w:r w:rsidR="00C76858">
              <w:rPr>
                <w:sz w:val="22"/>
                <w:szCs w:val="20"/>
              </w:rPr>
              <w:t xml:space="preserve"> </w:t>
            </w:r>
            <w:r w:rsidR="00C76858">
              <w:rPr>
                <w:sz w:val="22"/>
                <w:szCs w:val="20"/>
              </w:rPr>
              <w:fldChar w:fldCharType="begin"/>
            </w:r>
            <w:r w:rsidR="00AA4FD4">
              <w:rPr>
                <w:sz w:val="22"/>
                <w:szCs w:val="20"/>
              </w:rPr>
              <w:instrText xml:space="preserve"> ADDIN ZOTERO_ITEM CSL_CITATION {"citationID":"kHRvcF6a","properties":{"formattedCitation":"[14]","plainCitation":"[14]","noteIndex":0},"citationItems":[{"id":20197,"uris":["http://zotero.org/users/4806826/items/P4XERMPD"],"uri":["http://zotero.org/users/4806826/items/P4XERMPD"],"itemData":{"id":20197,"type":"article-journal","abstract":"Introduction With its legalisation and regulation in Canada in 2018, the proportion of Canadians reporting cannabis use in 2019 increased substantially over the previous year, with half of new users being aged 45+ years. While use in older adults has been low historically, as those born in the 1950s and 1960s continue to age, this demographic will progressively have more liberal attitudes, prior cannabis exposure and higher use rates. However, older adults experience slower metabolism, increased likelihood of polypharmacy, cognitive decline and chronic physical/mental health problems. There is a need to enhance knowledge of the effects of cannabis use in older adults. The following question will be addressed using a scoping review approach: what evidence exists regarding beneficial and harmful effects of medical and non-medical cannabis use in adults &gt;50 years of age? Given that beneficial and harmful effects of cannabis may be mediated by patient-level (eg, age, sex and race) and cannabis-related factors (eg, natural vs synthetic, consumption method), subgroup effects related to these and additional factors will be explored.\nMethods and analysis Methods for scoping reviews outlined by Arksey &amp; O’Malley and the Joanna Briggs Institute will be used. A librarian designed a systematic search of the literature from database inception to June 2019. Using the OVID platform, Ovid MEDLINE will be searched, including Epub Ahead of Print and In-Process and Other Non-Indexed Citations, Embase Classic+Embase, and PsycINFO for reviews, randomised trials, non-randomised trials and observational studies of cannabis use. The Cochrane Library on Wiley will also be searched. Eligibility criteria will be older adult participants, currently using cannabis (medical or non-medical), with studies required to report a cannabis-related health outcome to be eligible. Two reviewers will screen citations and full texts, with support from artificial intelligence. Two reviewers will chart data. Tables/graphics will be used to map evidence and identify evidence gaps.\nEthics and dissemination This research will enhance awareness of existing evidence addressing the health effects of medical and non-medical cannabis use in older adults. Findings will be disseminated through a peer-reviewed publication, conference presentations and a stakeholder meeting.\nTrial registration number DOI 10.17605/OSF.IO/5JTAQ.","container-title":"BMJ Open","DOI":"10.1136/bmjopen-2019-034301","ISSN":"2044-6055, 2044-6055","issue":"2","language":"en","note":"publisher: British Medical Journal Publishing Group\nsection: Public health\nPMID: 32114474","page":"e034301","source":"bmjopen.bmj.com","title":"Effects of medical and non-medical cannabis use in older adults: protocol for a scoping review","title-short":"Effects of medical and non-medical cannabis use in older adults","volume":"10","author":[{"family":"Wolfe","given":"Dianna"},{"family":"Corace","given":"Kimberly"},{"family":"Rice","given":"Danielle"},{"family":"Smith","given":"Andra"},{"family":"Kanji","given":"Salmaan"},{"family":"Conn","given":"David"},{"family":"Willows","given":"Melanie"},{"family":"Garber","given":"Gary E."},{"family":"Puxty","given":"John"},{"family":"Moghadam","given":"Esther"},{"family":"Skidmore","given":"Becky"},{"family":"Garritty","given":"Chantelle"},{"family":"Thavorn","given":"Kednapa"},{"family":"Moher","given":"David"},{"family":"Hutton","given":"Brian"}],"issued":{"date-parts":[["2020",2,1]]}}}],"schema":"https://github.com/citation-style-language/schema/raw/master/csl-citation.json"} </w:instrText>
            </w:r>
            <w:r w:rsidR="00C76858">
              <w:rPr>
                <w:sz w:val="22"/>
                <w:szCs w:val="20"/>
              </w:rPr>
              <w:fldChar w:fldCharType="separate"/>
            </w:r>
            <w:r w:rsidR="00AA4FD4" w:rsidRPr="00AA4FD4">
              <w:rPr>
                <w:rFonts w:cs="Times New Roman"/>
                <w:sz w:val="22"/>
              </w:rPr>
              <w:t>[14]</w:t>
            </w:r>
            <w:r w:rsidR="00C76858">
              <w:rPr>
                <w:sz w:val="22"/>
                <w:szCs w:val="20"/>
              </w:rPr>
              <w:fldChar w:fldCharType="end"/>
            </w:r>
            <w:bookmarkStart w:id="0" w:name="_GoBack"/>
            <w:bookmarkEnd w:id="0"/>
            <w:r w:rsidR="00C76858">
              <w:rPr>
                <w:sz w:val="22"/>
                <w:szCs w:val="20"/>
              </w:rPr>
              <w:t>; Scoping R</w:t>
            </w:r>
            <w:r>
              <w:rPr>
                <w:sz w:val="22"/>
                <w:szCs w:val="20"/>
              </w:rPr>
              <w:t>eview; Canadian Institutes of Health Research; manuscript in preparation</w:t>
            </w:r>
          </w:p>
        </w:tc>
        <w:tc>
          <w:tcPr>
            <w:tcW w:w="1989" w:type="dxa"/>
          </w:tcPr>
          <w:p w14:paraId="566CF03F" w14:textId="307F9E9E" w:rsidR="007B3317" w:rsidRDefault="007B3317" w:rsidP="009E519B">
            <w:pPr>
              <w:spacing w:line="240" w:lineRule="auto"/>
              <w:jc w:val="center"/>
              <w:rPr>
                <w:sz w:val="22"/>
                <w:szCs w:val="20"/>
              </w:rPr>
            </w:pPr>
            <w:r>
              <w:rPr>
                <w:sz w:val="22"/>
                <w:szCs w:val="20"/>
              </w:rPr>
              <w:t>Health effects of cannabis consumption in older adults</w:t>
            </w:r>
          </w:p>
        </w:tc>
        <w:tc>
          <w:tcPr>
            <w:tcW w:w="6521" w:type="dxa"/>
          </w:tcPr>
          <w:p w14:paraId="370627FD" w14:textId="16CA7E93" w:rsidR="007B3317" w:rsidRDefault="007B3317" w:rsidP="007D50BE">
            <w:pPr>
              <w:pStyle w:val="ListParagraph"/>
              <w:numPr>
                <w:ilvl w:val="0"/>
                <w:numId w:val="4"/>
              </w:numPr>
              <w:spacing w:line="240" w:lineRule="auto"/>
              <w:ind w:left="274" w:hanging="274"/>
              <w:jc w:val="both"/>
              <w:rPr>
                <w:sz w:val="22"/>
                <w:szCs w:val="20"/>
              </w:rPr>
            </w:pPr>
            <w:r>
              <w:rPr>
                <w:sz w:val="22"/>
                <w:szCs w:val="20"/>
              </w:rPr>
              <w:t>Population: Older adults (e.g.</w:t>
            </w:r>
            <w:r w:rsidR="00C76858">
              <w:rPr>
                <w:sz w:val="22"/>
                <w:szCs w:val="20"/>
              </w:rPr>
              <w:t>,</w:t>
            </w:r>
            <w:r>
              <w:rPr>
                <w:sz w:val="22"/>
                <w:szCs w:val="20"/>
              </w:rPr>
              <w:t xml:space="preserve"> a</w:t>
            </w:r>
            <w:r w:rsidRPr="007D50BE">
              <w:rPr>
                <w:sz w:val="22"/>
                <w:szCs w:val="20"/>
              </w:rPr>
              <w:t xml:space="preserve">t least 80% of participants must have been </w:t>
            </w:r>
            <w:r>
              <w:rPr>
                <w:sz w:val="22"/>
                <w:szCs w:val="20"/>
              </w:rPr>
              <w:t>&gt;</w:t>
            </w:r>
            <w:r w:rsidRPr="007D50BE">
              <w:rPr>
                <w:sz w:val="22"/>
                <w:szCs w:val="20"/>
              </w:rPr>
              <w:t xml:space="preserve"> 50 years of age, or if age data were not reported, &gt;80% of participants must have had end-stage cancer, Alzheimer’s disease, dementia, or Parkinson’s disease, or an age- or condition-stratified analysis must have been reported for an age group over 50 years or one of the identified conditions</w:t>
            </w:r>
            <w:r>
              <w:rPr>
                <w:sz w:val="22"/>
                <w:szCs w:val="20"/>
              </w:rPr>
              <w:t>). Current cannabis use was of interest, defined as use within the past year.</w:t>
            </w:r>
          </w:p>
          <w:p w14:paraId="3C323066" w14:textId="7C91EE06" w:rsidR="007B3317" w:rsidRDefault="007B3317" w:rsidP="007D50BE">
            <w:pPr>
              <w:pStyle w:val="ListParagraph"/>
              <w:numPr>
                <w:ilvl w:val="0"/>
                <w:numId w:val="4"/>
              </w:numPr>
              <w:spacing w:line="240" w:lineRule="auto"/>
              <w:ind w:left="274" w:hanging="274"/>
              <w:jc w:val="both"/>
              <w:rPr>
                <w:sz w:val="22"/>
                <w:szCs w:val="20"/>
              </w:rPr>
            </w:pPr>
            <w:r>
              <w:rPr>
                <w:sz w:val="22"/>
                <w:szCs w:val="20"/>
              </w:rPr>
              <w:t xml:space="preserve">Interventions/exposures: </w:t>
            </w:r>
            <w:r w:rsidRPr="007D50BE">
              <w:rPr>
                <w:sz w:val="22"/>
                <w:szCs w:val="20"/>
              </w:rPr>
              <w:t>medical or non-medical cannabis of any type, with any mode of consumption, or dosage.</w:t>
            </w:r>
          </w:p>
          <w:p w14:paraId="056561DB" w14:textId="53B394F5" w:rsidR="007B3317" w:rsidRDefault="007B3317" w:rsidP="007D50BE">
            <w:pPr>
              <w:pStyle w:val="ListParagraph"/>
              <w:numPr>
                <w:ilvl w:val="0"/>
                <w:numId w:val="4"/>
              </w:numPr>
              <w:spacing w:line="240" w:lineRule="auto"/>
              <w:ind w:left="274" w:hanging="274"/>
              <w:jc w:val="both"/>
              <w:rPr>
                <w:sz w:val="22"/>
                <w:szCs w:val="20"/>
              </w:rPr>
            </w:pPr>
            <w:r>
              <w:rPr>
                <w:sz w:val="22"/>
                <w:szCs w:val="20"/>
              </w:rPr>
              <w:t xml:space="preserve">Outcomes: </w:t>
            </w:r>
            <w:r w:rsidRPr="007D50BE">
              <w:rPr>
                <w:sz w:val="22"/>
                <w:szCs w:val="20"/>
              </w:rPr>
              <w:t xml:space="preserve">both beneficial and harmful cannabis-related effects on physical and mental health and </w:t>
            </w:r>
            <w:proofErr w:type="spellStart"/>
            <w:r w:rsidRPr="007D50BE">
              <w:rPr>
                <w:sz w:val="22"/>
                <w:szCs w:val="20"/>
              </w:rPr>
              <w:t>behaviour</w:t>
            </w:r>
            <w:proofErr w:type="spellEnd"/>
            <w:r>
              <w:rPr>
                <w:sz w:val="22"/>
                <w:szCs w:val="20"/>
              </w:rPr>
              <w:t xml:space="preserve"> were of interest. </w:t>
            </w:r>
          </w:p>
          <w:p w14:paraId="7157110A" w14:textId="77777777" w:rsidR="007B3317" w:rsidRDefault="007B3317" w:rsidP="007D50BE">
            <w:pPr>
              <w:pStyle w:val="ListParagraph"/>
              <w:numPr>
                <w:ilvl w:val="0"/>
                <w:numId w:val="4"/>
              </w:numPr>
              <w:spacing w:line="240" w:lineRule="auto"/>
              <w:ind w:left="274" w:hanging="274"/>
              <w:jc w:val="both"/>
              <w:rPr>
                <w:sz w:val="22"/>
                <w:szCs w:val="20"/>
              </w:rPr>
            </w:pPr>
            <w:r>
              <w:rPr>
                <w:sz w:val="22"/>
                <w:szCs w:val="20"/>
              </w:rPr>
              <w:t xml:space="preserve">Study design: </w:t>
            </w:r>
            <w:r w:rsidRPr="007D50BE">
              <w:rPr>
                <w:sz w:val="22"/>
                <w:szCs w:val="20"/>
              </w:rPr>
              <w:t>Study design: overviews of reviews, systematic reviews, RCTs, non-randomized studies (NRSs), and observational studies</w:t>
            </w:r>
            <w:r>
              <w:rPr>
                <w:sz w:val="22"/>
                <w:szCs w:val="20"/>
              </w:rPr>
              <w:t>.</w:t>
            </w:r>
          </w:p>
          <w:p w14:paraId="2AD36B89" w14:textId="23696E91" w:rsidR="007B3317" w:rsidRPr="007D50BE" w:rsidRDefault="007B3317" w:rsidP="00C76858">
            <w:pPr>
              <w:pStyle w:val="ListParagraph"/>
              <w:numPr>
                <w:ilvl w:val="0"/>
                <w:numId w:val="4"/>
              </w:numPr>
              <w:spacing w:after="120" w:line="240" w:lineRule="auto"/>
              <w:ind w:left="274" w:hanging="274"/>
              <w:jc w:val="both"/>
              <w:rPr>
                <w:sz w:val="22"/>
                <w:szCs w:val="20"/>
              </w:rPr>
            </w:pPr>
            <w:r>
              <w:rPr>
                <w:sz w:val="22"/>
                <w:szCs w:val="20"/>
              </w:rPr>
              <w:t>Time frame: from the year 2000</w:t>
            </w:r>
          </w:p>
        </w:tc>
        <w:tc>
          <w:tcPr>
            <w:tcW w:w="2121" w:type="dxa"/>
          </w:tcPr>
          <w:p w14:paraId="0369FDAE" w14:textId="7C86A16A" w:rsidR="007B3317" w:rsidRDefault="007B3317" w:rsidP="009E519B">
            <w:pPr>
              <w:spacing w:line="240" w:lineRule="auto"/>
              <w:jc w:val="center"/>
              <w:rPr>
                <w:sz w:val="22"/>
                <w:szCs w:val="20"/>
              </w:rPr>
            </w:pPr>
            <w:r>
              <w:rPr>
                <w:sz w:val="22"/>
                <w:szCs w:val="20"/>
              </w:rPr>
              <w:t xml:space="preserve">31,393 citations screened; </w:t>
            </w:r>
          </w:p>
          <w:p w14:paraId="18DF2FCA" w14:textId="385593AE" w:rsidR="007B3317" w:rsidRPr="00500FF5" w:rsidRDefault="007B3317" w:rsidP="009E519B">
            <w:pPr>
              <w:spacing w:line="240" w:lineRule="auto"/>
              <w:jc w:val="center"/>
              <w:rPr>
                <w:sz w:val="22"/>
                <w:szCs w:val="20"/>
              </w:rPr>
            </w:pPr>
            <w:r>
              <w:rPr>
                <w:sz w:val="22"/>
                <w:szCs w:val="20"/>
              </w:rPr>
              <w:t>133 included after full text screening</w:t>
            </w:r>
          </w:p>
        </w:tc>
      </w:tr>
      <w:tr w:rsidR="007B3317" w14:paraId="5A9C852E" w14:textId="77777777" w:rsidTr="007B3317">
        <w:tc>
          <w:tcPr>
            <w:tcW w:w="2117" w:type="dxa"/>
          </w:tcPr>
          <w:p w14:paraId="23A3A237" w14:textId="1C975411" w:rsidR="007B3317" w:rsidRPr="00500FF5" w:rsidRDefault="007B3317" w:rsidP="00C76858">
            <w:pPr>
              <w:spacing w:line="240" w:lineRule="auto"/>
              <w:jc w:val="center"/>
              <w:rPr>
                <w:sz w:val="22"/>
                <w:szCs w:val="20"/>
              </w:rPr>
            </w:pPr>
            <w:r>
              <w:rPr>
                <w:sz w:val="22"/>
                <w:szCs w:val="20"/>
              </w:rPr>
              <w:t>Hamel C</w:t>
            </w:r>
            <w:r w:rsidR="00C76858">
              <w:rPr>
                <w:sz w:val="22"/>
                <w:szCs w:val="20"/>
              </w:rPr>
              <w:t xml:space="preserve"> et al </w:t>
            </w:r>
            <w:r w:rsidR="00C76858">
              <w:rPr>
                <w:sz w:val="22"/>
                <w:szCs w:val="20"/>
              </w:rPr>
              <w:fldChar w:fldCharType="begin"/>
            </w:r>
            <w:r w:rsidR="00AA4FD4">
              <w:rPr>
                <w:sz w:val="22"/>
                <w:szCs w:val="20"/>
              </w:rPr>
              <w:instrText xml:space="preserve"> ADDIN ZOTERO_ITEM CSL_CITATION {"citationID":"0fmcpwxZ","properties":{"formattedCitation":"[15]","plainCitation":"[15]","noteIndex":0},"citationItems":[{"id":20201,"uris":["http://zotero.org/users/4806826/items/BK5SR76Z"],"uri":["http://zotero.org/users/4806826/items/BK5SR76Z"],"itemData":{"id":20201,"type":"article-journal","abstract":"BACKGROUND: Methamphetamine use and harms are rising rapidly. Management of patients with methamphetamine use disorder (MUD) and problematic methamphetamine use (PMU) is challenging, with no clearly established best approach; both psychosocial and pharmacologic interventions have been described. Furthermore, given the diversity of individuals that use methamphetamines, there is a need to assess evidence for treatments for subgroups including youths; gay, bisexual, and other men who have sex with men; individuals with mental health comorbidities; and individuals in correction services. Establishing awareness of the messages regarding treatment from recent clinical practice guidelines (CPG) in the field is also of value. The first study objective will be to establish a greater understanding of the methods, populations, and findings of controlled studies for psychosocial and pharmacologic treatments for MUD and PMU. Investigation of this information can help establish the potential for advanced syntheses of the evidence (such as network meta-analysis) to compare therapies for this condition and to identify gaps related to key populations where more primary research is needed. Summarizing the recommendations regarding treatment of MUD/PMU from recent CPGs and systematic reviews will be an important secondary objective.\nMETHODS: A scoping review will be performed. Using the OVID platform, MEDLINE, Embase, PsycINFO, and relevant Cochrane databases from EBM Reviews will be searched (from databases' inception onwards). Eligibility criteria will include individuals described as having MUD or PMU, with designs of interest including randomized trials, non-randomized trials, and controlled cohort studies with three or more months of follow-up; systematic reviews and CPGs will also be sought. Two reviewers (with support from automation tools) will independently screen all citations, full-text articles, and chart data. Different approaches to handling and summarizing the data will be implemented for each type of study design. Tables and graphics will be used to map evidence sources and identify evidence gaps.\nDISCUSSION: This research will enhance awareness of evidence addressing the effects of psychosocial and pharmacologic interventions for MUD/PMU overall and in sub-populations, both in terms of recent CPGs/reviews and primary studies; inspection of the latter will also help establish the feasibility of future syntheses to compare treatments, such as network meta-analysis. SYSTEMATIC REVIEW PROTOCOL REGISTRATION: Open Science Framework ( https://osf.io/9wy8p ).","container-title":"Systematic Reviews","DOI":"10.1186/s13643-020-01499-z","ISSN":"2046-4053","issue":"1","journalAbbreviation":"Syst Rev","language":"eng","note":"PMID: 33099314\nPMCID: PMC7585172","page":"245","source":"PubMed","title":"Psychosocial and pharmacologic interventions for methamphetamine addiction: protocol for a scoping review of the literature","title-short":"Psychosocial and pharmacologic interventions for methamphetamine addiction","volume":"9","author":[{"family":"Hamel","given":"C."},{"family":"Corace","given":"K."},{"family":"Hersi","given":"M."},{"family":"Rice","given":"D."},{"family":"Willows","given":"M."},{"family":"Macpherson","given":"P."},{"family":"Sproule","given":"B."},{"family":"Flores-Aranda","given":"J."},{"family":"Garber","given":"G."},{"family":"Esmaeilisaraji","given":"L."},{"family":"Skidmore","given":"B."},{"family":"Porath","given":"A."},{"family":"Ortiz Nunez","given":"R."},{"family":"Hutton","given":"B."}],"issued":{"date-parts":[["2020",10,24]]}}}],"schema":"https://github.com/citation-style-language/schema/raw/master/csl-citation.json"} </w:instrText>
            </w:r>
            <w:r w:rsidR="00C76858">
              <w:rPr>
                <w:sz w:val="22"/>
                <w:szCs w:val="20"/>
              </w:rPr>
              <w:fldChar w:fldCharType="separate"/>
            </w:r>
            <w:r w:rsidR="00AA4FD4" w:rsidRPr="00AA4FD4">
              <w:rPr>
                <w:rFonts w:cs="Times New Roman"/>
                <w:sz w:val="22"/>
              </w:rPr>
              <w:t>[15]</w:t>
            </w:r>
            <w:r w:rsidR="00C76858">
              <w:rPr>
                <w:sz w:val="22"/>
                <w:szCs w:val="20"/>
              </w:rPr>
              <w:fldChar w:fldCharType="end"/>
            </w:r>
            <w:r>
              <w:rPr>
                <w:sz w:val="22"/>
                <w:szCs w:val="20"/>
              </w:rPr>
              <w:t xml:space="preserve">; </w:t>
            </w:r>
            <w:r w:rsidR="00C76858">
              <w:rPr>
                <w:sz w:val="22"/>
                <w:szCs w:val="20"/>
              </w:rPr>
              <w:t>S</w:t>
            </w:r>
            <w:r>
              <w:rPr>
                <w:sz w:val="22"/>
                <w:szCs w:val="20"/>
              </w:rPr>
              <w:t xml:space="preserve">coping </w:t>
            </w:r>
            <w:r w:rsidR="00C76858">
              <w:rPr>
                <w:sz w:val="22"/>
                <w:szCs w:val="20"/>
              </w:rPr>
              <w:t>R</w:t>
            </w:r>
            <w:r>
              <w:rPr>
                <w:sz w:val="22"/>
                <w:szCs w:val="20"/>
              </w:rPr>
              <w:t>eview; Canadian Institutes of Health Research</w:t>
            </w:r>
            <w:r w:rsidR="00C76858">
              <w:rPr>
                <w:sz w:val="22"/>
                <w:szCs w:val="20"/>
              </w:rPr>
              <w:t>; manuscript in preparation</w:t>
            </w:r>
          </w:p>
        </w:tc>
        <w:tc>
          <w:tcPr>
            <w:tcW w:w="1989" w:type="dxa"/>
          </w:tcPr>
          <w:p w14:paraId="5792DB7D" w14:textId="25E09EC5" w:rsidR="007B3317" w:rsidRPr="00500FF5" w:rsidRDefault="007B3317" w:rsidP="009E519B">
            <w:pPr>
              <w:spacing w:line="240" w:lineRule="auto"/>
              <w:jc w:val="center"/>
              <w:rPr>
                <w:sz w:val="22"/>
                <w:szCs w:val="20"/>
              </w:rPr>
            </w:pPr>
            <w:r>
              <w:rPr>
                <w:sz w:val="22"/>
                <w:szCs w:val="20"/>
              </w:rPr>
              <w:t>Psychosocial and pharmacologic interventions for methamphetamine disorder</w:t>
            </w:r>
          </w:p>
        </w:tc>
        <w:tc>
          <w:tcPr>
            <w:tcW w:w="6521" w:type="dxa"/>
          </w:tcPr>
          <w:p w14:paraId="54F20D79" w14:textId="77777777" w:rsidR="007B3317" w:rsidRDefault="007B3317" w:rsidP="007D50BE">
            <w:pPr>
              <w:pStyle w:val="ListParagraph"/>
              <w:numPr>
                <w:ilvl w:val="0"/>
                <w:numId w:val="5"/>
              </w:numPr>
              <w:spacing w:line="240" w:lineRule="auto"/>
              <w:ind w:left="274" w:hanging="274"/>
              <w:jc w:val="both"/>
              <w:rPr>
                <w:sz w:val="22"/>
                <w:szCs w:val="20"/>
              </w:rPr>
            </w:pPr>
            <w:r>
              <w:rPr>
                <w:sz w:val="22"/>
                <w:szCs w:val="20"/>
              </w:rPr>
              <w:t xml:space="preserve">Population: Individuals with methamphetamine use disorder or problematic methamphetamine use (per </w:t>
            </w:r>
            <w:r w:rsidRPr="007D50BE">
              <w:rPr>
                <w:sz w:val="22"/>
                <w:szCs w:val="20"/>
              </w:rPr>
              <w:t>DSM, ICD-10, or earlier ICD versions</w:t>
            </w:r>
            <w:r>
              <w:rPr>
                <w:sz w:val="22"/>
                <w:szCs w:val="20"/>
              </w:rPr>
              <w:t>)</w:t>
            </w:r>
          </w:p>
          <w:p w14:paraId="680BBBF2" w14:textId="77777777" w:rsidR="007B3317" w:rsidRDefault="007B3317" w:rsidP="007B3317">
            <w:pPr>
              <w:pStyle w:val="ListParagraph"/>
              <w:numPr>
                <w:ilvl w:val="0"/>
                <w:numId w:val="5"/>
              </w:numPr>
              <w:spacing w:line="240" w:lineRule="auto"/>
              <w:ind w:left="320" w:hanging="283"/>
              <w:jc w:val="both"/>
              <w:rPr>
                <w:sz w:val="22"/>
                <w:szCs w:val="20"/>
              </w:rPr>
            </w:pPr>
            <w:r w:rsidRPr="007B3317">
              <w:rPr>
                <w:sz w:val="22"/>
                <w:szCs w:val="20"/>
              </w:rPr>
              <w:t xml:space="preserve">Interventions / Comparators: both psychosocial and pharmacologic interventions were of interest. </w:t>
            </w:r>
            <w:r w:rsidRPr="007B3317">
              <w:rPr>
                <w:b/>
                <w:bCs/>
                <w:i/>
                <w:iCs/>
                <w:sz w:val="22"/>
                <w:szCs w:val="20"/>
              </w:rPr>
              <w:t>Psychosocial interventions:</w:t>
            </w:r>
            <w:r w:rsidRPr="007B3317">
              <w:rPr>
                <w:sz w:val="22"/>
                <w:szCs w:val="20"/>
              </w:rPr>
              <w:t xml:space="preserve"> cognitive behavioral therapy, motivational enhancement therapy, contingency management, motivational interviewing, community reinforcement approach, support programs, acceptance and commitment therapy, dialectical behavioral therapy, mindfulness therapy, other psychosocial treatments, and combinations of these strategies.</w:t>
            </w:r>
            <w:r>
              <w:rPr>
                <w:sz w:val="22"/>
                <w:szCs w:val="20"/>
              </w:rPr>
              <w:t xml:space="preserve"> </w:t>
            </w:r>
            <w:r w:rsidRPr="007B3317">
              <w:rPr>
                <w:b/>
                <w:bCs/>
                <w:i/>
                <w:iCs/>
                <w:sz w:val="22"/>
                <w:szCs w:val="20"/>
              </w:rPr>
              <w:t>Pharmacologic interventions:</w:t>
            </w:r>
            <w:r w:rsidRPr="007B3317">
              <w:rPr>
                <w:sz w:val="22"/>
                <w:szCs w:val="20"/>
              </w:rPr>
              <w:t xml:space="preserve"> dopamine agonists (e.g., amantadine), psychostimulants (e.g., </w:t>
            </w:r>
            <w:proofErr w:type="spellStart"/>
            <w:r w:rsidRPr="007B3317">
              <w:rPr>
                <w:sz w:val="22"/>
                <w:szCs w:val="20"/>
              </w:rPr>
              <w:t>dextroamphetamine</w:t>
            </w:r>
            <w:proofErr w:type="spellEnd"/>
            <w:r w:rsidRPr="007B3317">
              <w:rPr>
                <w:sz w:val="22"/>
                <w:szCs w:val="20"/>
              </w:rPr>
              <w:t xml:space="preserve">, methylphenidate), GABA (e.g., baclofen, </w:t>
            </w:r>
            <w:proofErr w:type="spellStart"/>
            <w:r w:rsidRPr="007B3317">
              <w:rPr>
                <w:sz w:val="22"/>
                <w:szCs w:val="20"/>
              </w:rPr>
              <w:t>acamprosate</w:t>
            </w:r>
            <w:proofErr w:type="spellEnd"/>
            <w:r w:rsidRPr="007B3317">
              <w:rPr>
                <w:sz w:val="22"/>
                <w:szCs w:val="20"/>
              </w:rPr>
              <w:t xml:space="preserve">, gabapentin), </w:t>
            </w:r>
            <w:r w:rsidRPr="007B3317">
              <w:rPr>
                <w:sz w:val="22"/>
                <w:szCs w:val="20"/>
              </w:rPr>
              <w:lastRenderedPageBreak/>
              <w:t xml:space="preserve">antipsychotics (e.g. aripiprazole), opioid antagonists (e.g., naltrexone), antidepressants (e.g. sertraline, bupropion, mirtazapine, imipramine), cognitive enhancers (e.g., </w:t>
            </w:r>
            <w:proofErr w:type="spellStart"/>
            <w:r w:rsidRPr="007B3317">
              <w:rPr>
                <w:sz w:val="22"/>
                <w:szCs w:val="20"/>
              </w:rPr>
              <w:t>rivastigmine</w:t>
            </w:r>
            <w:proofErr w:type="spellEnd"/>
            <w:r w:rsidRPr="007B3317">
              <w:rPr>
                <w:sz w:val="22"/>
                <w:szCs w:val="20"/>
              </w:rPr>
              <w:t xml:space="preserve">, </w:t>
            </w:r>
            <w:proofErr w:type="spellStart"/>
            <w:r w:rsidRPr="007B3317">
              <w:rPr>
                <w:sz w:val="22"/>
                <w:szCs w:val="20"/>
              </w:rPr>
              <w:t>galantamine</w:t>
            </w:r>
            <w:proofErr w:type="spellEnd"/>
            <w:r w:rsidRPr="007B3317">
              <w:rPr>
                <w:sz w:val="22"/>
                <w:szCs w:val="20"/>
              </w:rPr>
              <w:t xml:space="preserve">, </w:t>
            </w:r>
            <w:proofErr w:type="spellStart"/>
            <w:r w:rsidRPr="007B3317">
              <w:rPr>
                <w:sz w:val="22"/>
                <w:szCs w:val="20"/>
              </w:rPr>
              <w:t>varenicline</w:t>
            </w:r>
            <w:proofErr w:type="spellEnd"/>
            <w:r w:rsidRPr="007B3317">
              <w:rPr>
                <w:sz w:val="22"/>
                <w:szCs w:val="20"/>
              </w:rPr>
              <w:t xml:space="preserve">, </w:t>
            </w:r>
            <w:proofErr w:type="spellStart"/>
            <w:r w:rsidRPr="007B3317">
              <w:rPr>
                <w:sz w:val="22"/>
                <w:szCs w:val="20"/>
              </w:rPr>
              <w:t>modafinil</w:t>
            </w:r>
            <w:proofErr w:type="spellEnd"/>
            <w:r w:rsidRPr="007B3317">
              <w:rPr>
                <w:sz w:val="22"/>
                <w:szCs w:val="20"/>
              </w:rPr>
              <w:t xml:space="preserve">), </w:t>
            </w:r>
            <w:proofErr w:type="spellStart"/>
            <w:r w:rsidRPr="007B3317">
              <w:rPr>
                <w:sz w:val="22"/>
                <w:szCs w:val="20"/>
              </w:rPr>
              <w:t>topiramate</w:t>
            </w:r>
            <w:proofErr w:type="spellEnd"/>
            <w:r w:rsidRPr="007B3317">
              <w:rPr>
                <w:sz w:val="22"/>
                <w:szCs w:val="20"/>
              </w:rPr>
              <w:t xml:space="preserve">, oxytocin, vaccines, other </w:t>
            </w:r>
            <w:proofErr w:type="spellStart"/>
            <w:r w:rsidRPr="007B3317">
              <w:rPr>
                <w:sz w:val="22"/>
                <w:szCs w:val="20"/>
              </w:rPr>
              <w:t>pharmacologics</w:t>
            </w:r>
            <w:proofErr w:type="spellEnd"/>
            <w:r w:rsidRPr="007B3317">
              <w:rPr>
                <w:sz w:val="22"/>
                <w:szCs w:val="20"/>
              </w:rPr>
              <w:t xml:space="preserve">, and combinations of </w:t>
            </w:r>
            <w:proofErr w:type="spellStart"/>
            <w:r w:rsidRPr="007B3317">
              <w:rPr>
                <w:sz w:val="22"/>
                <w:szCs w:val="20"/>
              </w:rPr>
              <w:t>pharmacologics</w:t>
            </w:r>
            <w:proofErr w:type="spellEnd"/>
            <w:r w:rsidRPr="007B3317">
              <w:rPr>
                <w:sz w:val="22"/>
                <w:szCs w:val="20"/>
              </w:rPr>
              <w:t xml:space="preserve">. </w:t>
            </w:r>
          </w:p>
          <w:p w14:paraId="2219A057" w14:textId="4A95A469" w:rsidR="007B3317" w:rsidRDefault="007B3317" w:rsidP="007B3317">
            <w:pPr>
              <w:pStyle w:val="ListParagraph"/>
              <w:numPr>
                <w:ilvl w:val="0"/>
                <w:numId w:val="5"/>
              </w:numPr>
              <w:spacing w:line="240" w:lineRule="auto"/>
              <w:ind w:left="320" w:hanging="283"/>
              <w:jc w:val="both"/>
              <w:rPr>
                <w:sz w:val="22"/>
                <w:szCs w:val="20"/>
              </w:rPr>
            </w:pPr>
            <w:r>
              <w:rPr>
                <w:sz w:val="22"/>
                <w:szCs w:val="20"/>
              </w:rPr>
              <w:t xml:space="preserve">Outcomes: </w:t>
            </w:r>
            <w:r w:rsidRPr="007B3317">
              <w:rPr>
                <w:sz w:val="22"/>
                <w:szCs w:val="20"/>
              </w:rPr>
              <w:t xml:space="preserve">Changes in methamphetamine (and other substance) use, study retention, treatment retention, acceptability of intervention, mental and physical health, self-efficacy, withdrawal symptoms, legal/employment outcomes, harms </w:t>
            </w:r>
          </w:p>
          <w:p w14:paraId="70DFE96F" w14:textId="0AAE0AEF" w:rsidR="007B3317" w:rsidRPr="007B3317" w:rsidRDefault="007B3317" w:rsidP="00C76858">
            <w:pPr>
              <w:pStyle w:val="ListParagraph"/>
              <w:numPr>
                <w:ilvl w:val="0"/>
                <w:numId w:val="5"/>
              </w:numPr>
              <w:spacing w:after="120" w:line="240" w:lineRule="auto"/>
              <w:ind w:left="320" w:hanging="283"/>
              <w:jc w:val="both"/>
              <w:rPr>
                <w:sz w:val="22"/>
                <w:szCs w:val="20"/>
              </w:rPr>
            </w:pPr>
            <w:r>
              <w:rPr>
                <w:sz w:val="22"/>
                <w:szCs w:val="20"/>
              </w:rPr>
              <w:t>Study design: systematic reviews, guidelines, randomized controlled trials</w:t>
            </w:r>
          </w:p>
        </w:tc>
        <w:tc>
          <w:tcPr>
            <w:tcW w:w="2121" w:type="dxa"/>
          </w:tcPr>
          <w:p w14:paraId="298A7682" w14:textId="77777777" w:rsidR="007B3317" w:rsidRDefault="007B3317" w:rsidP="00EC5927">
            <w:pPr>
              <w:spacing w:line="240" w:lineRule="auto"/>
              <w:jc w:val="center"/>
              <w:rPr>
                <w:sz w:val="22"/>
                <w:szCs w:val="20"/>
              </w:rPr>
            </w:pPr>
            <w:r>
              <w:rPr>
                <w:sz w:val="22"/>
                <w:szCs w:val="20"/>
              </w:rPr>
              <w:lastRenderedPageBreak/>
              <w:t xml:space="preserve">14,129 citations screened; </w:t>
            </w:r>
          </w:p>
          <w:p w14:paraId="3C733157" w14:textId="1F868FC9" w:rsidR="007B3317" w:rsidRPr="00500FF5" w:rsidRDefault="007B3317" w:rsidP="00EC5927">
            <w:pPr>
              <w:spacing w:line="240" w:lineRule="auto"/>
              <w:jc w:val="center"/>
              <w:rPr>
                <w:sz w:val="22"/>
                <w:szCs w:val="20"/>
              </w:rPr>
            </w:pPr>
            <w:r>
              <w:rPr>
                <w:sz w:val="22"/>
                <w:szCs w:val="20"/>
              </w:rPr>
              <w:t>61 included after full text screening</w:t>
            </w:r>
            <w:r w:rsidRPr="00500FF5">
              <w:rPr>
                <w:sz w:val="22"/>
                <w:szCs w:val="20"/>
              </w:rPr>
              <w:t xml:space="preserve"> </w:t>
            </w:r>
          </w:p>
        </w:tc>
      </w:tr>
    </w:tbl>
    <w:p w14:paraId="74DB6338" w14:textId="77777777" w:rsidR="00500FF5" w:rsidRDefault="00500FF5"/>
    <w:p w14:paraId="3614A09A" w14:textId="77777777" w:rsidR="00BC348D" w:rsidRDefault="00BC348D">
      <w:pPr>
        <w:sectPr w:rsidR="00BC348D" w:rsidSect="004266EA">
          <w:pgSz w:w="15840" w:h="12240" w:orient="landscape"/>
          <w:pgMar w:top="1440" w:right="1440" w:bottom="1440" w:left="1440" w:header="708" w:footer="708" w:gutter="0"/>
          <w:cols w:space="708"/>
          <w:docGrid w:linePitch="360"/>
        </w:sectPr>
      </w:pPr>
    </w:p>
    <w:p w14:paraId="23FCD7B1" w14:textId="7674A80F" w:rsidR="00500FF5" w:rsidRDefault="00BC348D" w:rsidP="00BC348D">
      <w:pPr>
        <w:pStyle w:val="Heading1"/>
      </w:pPr>
      <w:r>
        <w:lastRenderedPageBreak/>
        <w:t>References for Table 1 and 2</w:t>
      </w:r>
    </w:p>
    <w:p w14:paraId="577D0973" w14:textId="77777777" w:rsidR="00AA4FD4" w:rsidRPr="00AA4FD4" w:rsidRDefault="00BC348D" w:rsidP="00AA4FD4">
      <w:pPr>
        <w:pStyle w:val="Bibliography"/>
        <w:rPr>
          <w:rFonts w:cs="Times New Roman"/>
        </w:rPr>
      </w:pPr>
      <w:r>
        <w:fldChar w:fldCharType="begin"/>
      </w:r>
      <w:r>
        <w:instrText xml:space="preserve"> ADDIN ZOTERO_BIBL {"uncited":[],"omitted":[],"custom":[]} CSL_BIBLIOGRAPHY </w:instrText>
      </w:r>
      <w:r>
        <w:fldChar w:fldCharType="separate"/>
      </w:r>
      <w:r w:rsidR="00AA4FD4" w:rsidRPr="00AA4FD4">
        <w:rPr>
          <w:rFonts w:cs="Times New Roman"/>
        </w:rPr>
        <w:t>[1]</w:t>
      </w:r>
      <w:r w:rsidR="00AA4FD4" w:rsidRPr="00AA4FD4">
        <w:rPr>
          <w:rFonts w:cs="Times New Roman"/>
        </w:rPr>
        <w:tab/>
        <w:t xml:space="preserve">Hutton B, Yazdi F, </w:t>
      </w:r>
      <w:proofErr w:type="spellStart"/>
      <w:r w:rsidR="00AA4FD4" w:rsidRPr="00AA4FD4">
        <w:rPr>
          <w:rFonts w:cs="Times New Roman"/>
        </w:rPr>
        <w:t>Bordeleau</w:t>
      </w:r>
      <w:proofErr w:type="spellEnd"/>
      <w:r w:rsidR="00AA4FD4" w:rsidRPr="00AA4FD4">
        <w:rPr>
          <w:rFonts w:cs="Times New Roman"/>
        </w:rPr>
        <w:t xml:space="preserve"> L, Morgan S, Cameron C, Kanji S, et al. Comparison of physical interventions, behavioral interventions, natural health products, and </w:t>
      </w:r>
      <w:proofErr w:type="spellStart"/>
      <w:r w:rsidR="00AA4FD4" w:rsidRPr="00AA4FD4">
        <w:rPr>
          <w:rFonts w:cs="Times New Roman"/>
        </w:rPr>
        <w:t>pharmacologics</w:t>
      </w:r>
      <w:proofErr w:type="spellEnd"/>
      <w:r w:rsidR="00AA4FD4" w:rsidRPr="00AA4FD4">
        <w:rPr>
          <w:rFonts w:cs="Times New Roman"/>
        </w:rPr>
        <w:t xml:space="preserve"> to manage hot flashes in patients with breast or prostate cancer: protocol for a systematic review incorporating network meta-analyses. </w:t>
      </w:r>
      <w:proofErr w:type="spellStart"/>
      <w:r w:rsidR="00AA4FD4" w:rsidRPr="00AA4FD4">
        <w:rPr>
          <w:rFonts w:cs="Times New Roman"/>
        </w:rPr>
        <w:t>Syst</w:t>
      </w:r>
      <w:proofErr w:type="spellEnd"/>
      <w:r w:rsidR="00AA4FD4" w:rsidRPr="00AA4FD4">
        <w:rPr>
          <w:rFonts w:cs="Times New Roman"/>
        </w:rPr>
        <w:t xml:space="preserve"> Rev </w:t>
      </w:r>
      <w:proofErr w:type="gramStart"/>
      <w:r w:rsidR="00AA4FD4" w:rsidRPr="00AA4FD4">
        <w:rPr>
          <w:rFonts w:cs="Times New Roman"/>
        </w:rPr>
        <w:t>2015;4:114</w:t>
      </w:r>
      <w:proofErr w:type="gramEnd"/>
      <w:r w:rsidR="00AA4FD4" w:rsidRPr="00AA4FD4">
        <w:rPr>
          <w:rFonts w:cs="Times New Roman"/>
        </w:rPr>
        <w:t>. https://doi.org/10.1186/s13643-015-0099-y.</w:t>
      </w:r>
    </w:p>
    <w:p w14:paraId="72E07331" w14:textId="77777777" w:rsidR="00AA4FD4" w:rsidRPr="00AA4FD4" w:rsidRDefault="00AA4FD4" w:rsidP="00AA4FD4">
      <w:pPr>
        <w:pStyle w:val="Bibliography"/>
        <w:rPr>
          <w:rFonts w:cs="Times New Roman"/>
        </w:rPr>
      </w:pPr>
      <w:r w:rsidRPr="00AA4FD4">
        <w:rPr>
          <w:rFonts w:cs="Times New Roman"/>
        </w:rPr>
        <w:t>[2]</w:t>
      </w:r>
      <w:r w:rsidRPr="00AA4FD4">
        <w:rPr>
          <w:rFonts w:cs="Times New Roman"/>
        </w:rPr>
        <w:tab/>
        <w:t xml:space="preserve">Rice DB, Hutton B, </w:t>
      </w:r>
      <w:proofErr w:type="spellStart"/>
      <w:r w:rsidRPr="00AA4FD4">
        <w:rPr>
          <w:rFonts w:cs="Times New Roman"/>
        </w:rPr>
        <w:t>Poulin</w:t>
      </w:r>
      <w:proofErr w:type="spellEnd"/>
      <w:r w:rsidRPr="00AA4FD4">
        <w:rPr>
          <w:rFonts w:cs="Times New Roman"/>
        </w:rPr>
        <w:t xml:space="preserve"> P, </w:t>
      </w:r>
      <w:proofErr w:type="spellStart"/>
      <w:r w:rsidRPr="00AA4FD4">
        <w:rPr>
          <w:rFonts w:cs="Times New Roman"/>
        </w:rPr>
        <w:t>Sproule</w:t>
      </w:r>
      <w:proofErr w:type="spellEnd"/>
      <w:r w:rsidRPr="00AA4FD4">
        <w:rPr>
          <w:rFonts w:cs="Times New Roman"/>
        </w:rPr>
        <w:t xml:space="preserve"> BA, Wolfe D, Moher D, et al. Evaluating comparative effectiveness of psychosocial interventions for persons receiving opioid agonist therapy for opioid use disorder: protocol for a systematic review. BMJ Open 2018;</w:t>
      </w:r>
      <w:proofErr w:type="gramStart"/>
      <w:r w:rsidRPr="00AA4FD4">
        <w:rPr>
          <w:rFonts w:cs="Times New Roman"/>
        </w:rPr>
        <w:t>8:e</w:t>
      </w:r>
      <w:proofErr w:type="gramEnd"/>
      <w:r w:rsidRPr="00AA4FD4">
        <w:rPr>
          <w:rFonts w:cs="Times New Roman"/>
        </w:rPr>
        <w:t>023902. https://doi.org/10.1136/bmjopen-2018-023902.</w:t>
      </w:r>
    </w:p>
    <w:p w14:paraId="27B006A7" w14:textId="77777777" w:rsidR="00AA4FD4" w:rsidRPr="00AA4FD4" w:rsidRDefault="00AA4FD4" w:rsidP="00AA4FD4">
      <w:pPr>
        <w:pStyle w:val="Bibliography"/>
        <w:rPr>
          <w:rFonts w:cs="Times New Roman"/>
        </w:rPr>
      </w:pPr>
      <w:r w:rsidRPr="00AA4FD4">
        <w:rPr>
          <w:rFonts w:cs="Times New Roman"/>
        </w:rPr>
        <w:t>[3]</w:t>
      </w:r>
      <w:r w:rsidRPr="00AA4FD4">
        <w:rPr>
          <w:rFonts w:cs="Times New Roman"/>
        </w:rPr>
        <w:tab/>
        <w:t xml:space="preserve">Ahmadzai N, Cheng W, Wolfe D, Bonaparte J, Schramm D, Fitzpatrick E, et al. Pharmacologic and surgical therapies for patients with Meniere’s disease: a protocol for a systematic review and meta-analysis. </w:t>
      </w:r>
      <w:proofErr w:type="spellStart"/>
      <w:r w:rsidRPr="00AA4FD4">
        <w:rPr>
          <w:rFonts w:cs="Times New Roman"/>
        </w:rPr>
        <w:t>Syst</w:t>
      </w:r>
      <w:proofErr w:type="spellEnd"/>
      <w:r w:rsidRPr="00AA4FD4">
        <w:rPr>
          <w:rFonts w:cs="Times New Roman"/>
        </w:rPr>
        <w:t xml:space="preserve"> Rev </w:t>
      </w:r>
      <w:proofErr w:type="gramStart"/>
      <w:r w:rsidRPr="00AA4FD4">
        <w:rPr>
          <w:rFonts w:cs="Times New Roman"/>
        </w:rPr>
        <w:t>2019;8:341</w:t>
      </w:r>
      <w:proofErr w:type="gramEnd"/>
      <w:r w:rsidRPr="00AA4FD4">
        <w:rPr>
          <w:rFonts w:cs="Times New Roman"/>
        </w:rPr>
        <w:t>. https://doi.org/10.1186/s13643-019-1195-1.</w:t>
      </w:r>
    </w:p>
    <w:p w14:paraId="26FC0538" w14:textId="77777777" w:rsidR="00AA4FD4" w:rsidRPr="00AA4FD4" w:rsidRDefault="00AA4FD4" w:rsidP="00AA4FD4">
      <w:pPr>
        <w:pStyle w:val="Bibliography"/>
        <w:rPr>
          <w:rFonts w:cs="Times New Roman"/>
        </w:rPr>
      </w:pPr>
      <w:r w:rsidRPr="00AA4FD4">
        <w:rPr>
          <w:rFonts w:cs="Times New Roman"/>
        </w:rPr>
        <w:t>[4]</w:t>
      </w:r>
      <w:r w:rsidRPr="00AA4FD4">
        <w:rPr>
          <w:rFonts w:cs="Times New Roman"/>
        </w:rPr>
        <w:tab/>
        <w:t>Elliott J, Bai Z, Hsieh S-C, Kelly SE, Chen L, Skidmore B, et al. ALK inhibitors for non-small cell lung cancer: A systematic review and network meta-analysis. PLOS ONE 2020;</w:t>
      </w:r>
      <w:proofErr w:type="gramStart"/>
      <w:r w:rsidRPr="00AA4FD4">
        <w:rPr>
          <w:rFonts w:cs="Times New Roman"/>
        </w:rPr>
        <w:t>15:e</w:t>
      </w:r>
      <w:proofErr w:type="gramEnd"/>
      <w:r w:rsidRPr="00AA4FD4">
        <w:rPr>
          <w:rFonts w:cs="Times New Roman"/>
        </w:rPr>
        <w:t>0229179. https://doi.org/10.1371/journal.pone.0229179.</w:t>
      </w:r>
    </w:p>
    <w:p w14:paraId="2D60F2F0" w14:textId="77777777" w:rsidR="00AA4FD4" w:rsidRPr="00AA4FD4" w:rsidRDefault="00AA4FD4" w:rsidP="00AA4FD4">
      <w:pPr>
        <w:pStyle w:val="Bibliography"/>
        <w:rPr>
          <w:rFonts w:cs="Times New Roman"/>
        </w:rPr>
      </w:pPr>
      <w:r w:rsidRPr="00AA4FD4">
        <w:rPr>
          <w:rFonts w:cs="Times New Roman"/>
        </w:rPr>
        <w:t>[5]</w:t>
      </w:r>
      <w:r w:rsidRPr="00AA4FD4">
        <w:rPr>
          <w:rFonts w:cs="Times New Roman"/>
        </w:rPr>
        <w:tab/>
        <w:t xml:space="preserve">Hersi M, Traversy G, </w:t>
      </w:r>
      <w:proofErr w:type="spellStart"/>
      <w:r w:rsidRPr="00AA4FD4">
        <w:rPr>
          <w:rFonts w:cs="Times New Roman"/>
        </w:rPr>
        <w:t>Thombs</w:t>
      </w:r>
      <w:proofErr w:type="spellEnd"/>
      <w:r w:rsidRPr="00AA4FD4">
        <w:rPr>
          <w:rFonts w:cs="Times New Roman"/>
        </w:rPr>
        <w:t xml:space="preserve"> BD, Beck A, Skidmore B, Groulx S, et al. Effectiveness of stop smoking interventions among adults: protocol for an overview of systematic reviews and an updated systematic review. </w:t>
      </w:r>
      <w:proofErr w:type="spellStart"/>
      <w:r w:rsidRPr="00AA4FD4">
        <w:rPr>
          <w:rFonts w:cs="Times New Roman"/>
        </w:rPr>
        <w:t>Syst</w:t>
      </w:r>
      <w:proofErr w:type="spellEnd"/>
      <w:r w:rsidRPr="00AA4FD4">
        <w:rPr>
          <w:rFonts w:cs="Times New Roman"/>
        </w:rPr>
        <w:t xml:space="preserve"> Rev </w:t>
      </w:r>
      <w:proofErr w:type="gramStart"/>
      <w:r w:rsidRPr="00AA4FD4">
        <w:rPr>
          <w:rFonts w:cs="Times New Roman"/>
        </w:rPr>
        <w:t>2019;8:28</w:t>
      </w:r>
      <w:proofErr w:type="gramEnd"/>
      <w:r w:rsidRPr="00AA4FD4">
        <w:rPr>
          <w:rFonts w:cs="Times New Roman"/>
        </w:rPr>
        <w:t>. https://doi.org/10.1186/s13643-018-0928-x.</w:t>
      </w:r>
    </w:p>
    <w:p w14:paraId="7B54A080" w14:textId="77777777" w:rsidR="00AA4FD4" w:rsidRPr="00AA4FD4" w:rsidRDefault="00AA4FD4" w:rsidP="00AA4FD4">
      <w:pPr>
        <w:pStyle w:val="Bibliography"/>
        <w:rPr>
          <w:rFonts w:cs="Times New Roman"/>
        </w:rPr>
      </w:pPr>
      <w:r w:rsidRPr="00AA4FD4">
        <w:rPr>
          <w:rFonts w:cs="Times New Roman"/>
        </w:rPr>
        <w:t>[6]</w:t>
      </w:r>
      <w:r w:rsidRPr="00AA4FD4">
        <w:rPr>
          <w:rFonts w:cs="Times New Roman"/>
        </w:rPr>
        <w:tab/>
        <w:t xml:space="preserve">Johnston A, Smith C, Zheng C, Aaron SD, Kelly SE, Skidmore B, et al. Influence of prolonged treatment with </w:t>
      </w:r>
      <w:proofErr w:type="spellStart"/>
      <w:r w:rsidRPr="00AA4FD4">
        <w:rPr>
          <w:rFonts w:cs="Times New Roman"/>
        </w:rPr>
        <w:t>omalizumab</w:t>
      </w:r>
      <w:proofErr w:type="spellEnd"/>
      <w:r w:rsidRPr="00AA4FD4">
        <w:rPr>
          <w:rFonts w:cs="Times New Roman"/>
        </w:rPr>
        <w:t xml:space="preserve"> on the development of solid epithelial cancer in patients with atopic asthma and chronic idiopathic </w:t>
      </w:r>
      <w:proofErr w:type="spellStart"/>
      <w:r w:rsidRPr="00AA4FD4">
        <w:rPr>
          <w:rFonts w:cs="Times New Roman"/>
        </w:rPr>
        <w:t>urticaria</w:t>
      </w:r>
      <w:proofErr w:type="spellEnd"/>
      <w:r w:rsidRPr="00AA4FD4">
        <w:rPr>
          <w:rFonts w:cs="Times New Roman"/>
        </w:rPr>
        <w:t xml:space="preserve">: A systematic review and meta-analysis. </w:t>
      </w:r>
      <w:proofErr w:type="spellStart"/>
      <w:r w:rsidRPr="00AA4FD4">
        <w:rPr>
          <w:rFonts w:cs="Times New Roman"/>
        </w:rPr>
        <w:t>Clin</w:t>
      </w:r>
      <w:proofErr w:type="spellEnd"/>
      <w:r w:rsidRPr="00AA4FD4">
        <w:rPr>
          <w:rFonts w:cs="Times New Roman"/>
        </w:rPr>
        <w:t xml:space="preserve"> </w:t>
      </w:r>
      <w:proofErr w:type="spellStart"/>
      <w:r w:rsidRPr="00AA4FD4">
        <w:rPr>
          <w:rFonts w:cs="Times New Roman"/>
        </w:rPr>
        <w:t>Exp</w:t>
      </w:r>
      <w:proofErr w:type="spellEnd"/>
      <w:r w:rsidRPr="00AA4FD4">
        <w:rPr>
          <w:rFonts w:cs="Times New Roman"/>
        </w:rPr>
        <w:t xml:space="preserve"> Allergy </w:t>
      </w:r>
      <w:proofErr w:type="gramStart"/>
      <w:r w:rsidRPr="00AA4FD4">
        <w:rPr>
          <w:rFonts w:cs="Times New Roman"/>
        </w:rPr>
        <w:t>2019;49:1291</w:t>
      </w:r>
      <w:proofErr w:type="gramEnd"/>
      <w:r w:rsidRPr="00AA4FD4">
        <w:rPr>
          <w:rFonts w:cs="Times New Roman"/>
        </w:rPr>
        <w:t>–305. https://doi.org/10.1111/cea.13457.</w:t>
      </w:r>
    </w:p>
    <w:p w14:paraId="789E3AFE" w14:textId="77777777" w:rsidR="00AA4FD4" w:rsidRPr="00AA4FD4" w:rsidRDefault="00AA4FD4" w:rsidP="00AA4FD4">
      <w:pPr>
        <w:pStyle w:val="Bibliography"/>
        <w:rPr>
          <w:rFonts w:cs="Times New Roman"/>
        </w:rPr>
      </w:pPr>
      <w:r w:rsidRPr="00AA4FD4">
        <w:rPr>
          <w:rFonts w:cs="Times New Roman"/>
        </w:rPr>
        <w:t>[7]</w:t>
      </w:r>
      <w:r w:rsidRPr="00AA4FD4">
        <w:rPr>
          <w:rFonts w:cs="Times New Roman"/>
        </w:rPr>
        <w:tab/>
        <w:t xml:space="preserve">Hamel C, Lang E, </w:t>
      </w:r>
      <w:proofErr w:type="spellStart"/>
      <w:r w:rsidRPr="00AA4FD4">
        <w:rPr>
          <w:rFonts w:cs="Times New Roman"/>
        </w:rPr>
        <w:t>Morissette</w:t>
      </w:r>
      <w:proofErr w:type="spellEnd"/>
      <w:r w:rsidRPr="00AA4FD4">
        <w:rPr>
          <w:rFonts w:cs="Times New Roman"/>
        </w:rPr>
        <w:t xml:space="preserve"> K, Beck A, Stevens A, Skidmore B, et al. Screening for depression in women during pregnancy or the first year postpartum and in the general adult population: a protocol for two systematic reviews to update a guideline of the Canadian Task Force on Preventive Health Care. </w:t>
      </w:r>
      <w:proofErr w:type="spellStart"/>
      <w:r w:rsidRPr="00AA4FD4">
        <w:rPr>
          <w:rFonts w:cs="Times New Roman"/>
        </w:rPr>
        <w:t>Syst</w:t>
      </w:r>
      <w:proofErr w:type="spellEnd"/>
      <w:r w:rsidRPr="00AA4FD4">
        <w:rPr>
          <w:rFonts w:cs="Times New Roman"/>
        </w:rPr>
        <w:t xml:space="preserve"> Rev </w:t>
      </w:r>
      <w:proofErr w:type="gramStart"/>
      <w:r w:rsidRPr="00AA4FD4">
        <w:rPr>
          <w:rFonts w:cs="Times New Roman"/>
        </w:rPr>
        <w:t>2019;8:27</w:t>
      </w:r>
      <w:proofErr w:type="gramEnd"/>
      <w:r w:rsidRPr="00AA4FD4">
        <w:rPr>
          <w:rFonts w:cs="Times New Roman"/>
        </w:rPr>
        <w:t>. https://doi.org/10.1186/s13643-018-0930-3.</w:t>
      </w:r>
    </w:p>
    <w:p w14:paraId="694A2313" w14:textId="77777777" w:rsidR="00AA4FD4" w:rsidRPr="00AA4FD4" w:rsidRDefault="00AA4FD4" w:rsidP="00AA4FD4">
      <w:pPr>
        <w:pStyle w:val="Bibliography"/>
        <w:rPr>
          <w:rFonts w:cs="Times New Roman"/>
        </w:rPr>
      </w:pPr>
      <w:r w:rsidRPr="00AA4FD4">
        <w:rPr>
          <w:rFonts w:cs="Times New Roman"/>
        </w:rPr>
        <w:t>[8]</w:t>
      </w:r>
      <w:r w:rsidRPr="00AA4FD4">
        <w:rPr>
          <w:rFonts w:cs="Times New Roman"/>
        </w:rPr>
        <w:tab/>
        <w:t xml:space="preserve">Hamel C, Stevens A, Singh K, Ansari MT, Myers E, Ziegler P, et al. Do sugar-sweetened beverages cause adverse health outcomes in adults? A systematic review protocol. </w:t>
      </w:r>
      <w:proofErr w:type="spellStart"/>
      <w:r w:rsidRPr="00AA4FD4">
        <w:rPr>
          <w:rFonts w:cs="Times New Roman"/>
        </w:rPr>
        <w:t>Syst</w:t>
      </w:r>
      <w:proofErr w:type="spellEnd"/>
      <w:r w:rsidRPr="00AA4FD4">
        <w:rPr>
          <w:rFonts w:cs="Times New Roman"/>
        </w:rPr>
        <w:t xml:space="preserve"> Rev </w:t>
      </w:r>
      <w:proofErr w:type="gramStart"/>
      <w:r w:rsidRPr="00AA4FD4">
        <w:rPr>
          <w:rFonts w:cs="Times New Roman"/>
        </w:rPr>
        <w:t>2014;3:108</w:t>
      </w:r>
      <w:proofErr w:type="gramEnd"/>
      <w:r w:rsidRPr="00AA4FD4">
        <w:rPr>
          <w:rFonts w:cs="Times New Roman"/>
        </w:rPr>
        <w:t>. https://doi.org/10.1186/2046-4053-3-108.</w:t>
      </w:r>
    </w:p>
    <w:p w14:paraId="5C307308" w14:textId="77777777" w:rsidR="00AA4FD4" w:rsidRPr="00AA4FD4" w:rsidRDefault="00AA4FD4" w:rsidP="00AA4FD4">
      <w:pPr>
        <w:pStyle w:val="Bibliography"/>
        <w:rPr>
          <w:rFonts w:cs="Times New Roman"/>
        </w:rPr>
      </w:pPr>
      <w:r w:rsidRPr="00AA4FD4">
        <w:rPr>
          <w:rFonts w:cs="Times New Roman"/>
        </w:rPr>
        <w:t>[9]</w:t>
      </w:r>
      <w:r w:rsidRPr="00AA4FD4">
        <w:rPr>
          <w:rFonts w:cs="Times New Roman"/>
        </w:rPr>
        <w:tab/>
        <w:t xml:space="preserve">Stevens A, Hamel C, Singh K, Ansari MT, Myers E, Ziegler P, et al. Do sugar-sweetened beverages cause adverse health outcomes in children? A systematic review protocol. </w:t>
      </w:r>
      <w:proofErr w:type="spellStart"/>
      <w:r w:rsidRPr="00AA4FD4">
        <w:rPr>
          <w:rFonts w:cs="Times New Roman"/>
        </w:rPr>
        <w:t>Syst</w:t>
      </w:r>
      <w:proofErr w:type="spellEnd"/>
      <w:r w:rsidRPr="00AA4FD4">
        <w:rPr>
          <w:rFonts w:cs="Times New Roman"/>
        </w:rPr>
        <w:t xml:space="preserve"> Rev </w:t>
      </w:r>
      <w:proofErr w:type="gramStart"/>
      <w:r w:rsidRPr="00AA4FD4">
        <w:rPr>
          <w:rFonts w:cs="Times New Roman"/>
        </w:rPr>
        <w:t>2014;3:96</w:t>
      </w:r>
      <w:proofErr w:type="gramEnd"/>
      <w:r w:rsidRPr="00AA4FD4">
        <w:rPr>
          <w:rFonts w:cs="Times New Roman"/>
        </w:rPr>
        <w:t>. https://doi.org/10.1186/2046-4053-3-96.</w:t>
      </w:r>
    </w:p>
    <w:p w14:paraId="49B9DFA9" w14:textId="77777777" w:rsidR="00AA4FD4" w:rsidRPr="00AA4FD4" w:rsidRDefault="00AA4FD4" w:rsidP="00AA4FD4">
      <w:pPr>
        <w:pStyle w:val="Bibliography"/>
        <w:rPr>
          <w:rFonts w:cs="Times New Roman"/>
        </w:rPr>
      </w:pPr>
      <w:r w:rsidRPr="00AA4FD4">
        <w:rPr>
          <w:rFonts w:cs="Times New Roman"/>
        </w:rPr>
        <w:t>[10]</w:t>
      </w:r>
      <w:r w:rsidRPr="00AA4FD4">
        <w:rPr>
          <w:rFonts w:cs="Times New Roman"/>
        </w:rPr>
        <w:tab/>
        <w:t xml:space="preserve">Munn Z, Stern C, </w:t>
      </w:r>
      <w:proofErr w:type="spellStart"/>
      <w:r w:rsidRPr="00AA4FD4">
        <w:rPr>
          <w:rFonts w:cs="Times New Roman"/>
        </w:rPr>
        <w:t>Aromataris</w:t>
      </w:r>
      <w:proofErr w:type="spellEnd"/>
      <w:r w:rsidRPr="00AA4FD4">
        <w:rPr>
          <w:rFonts w:cs="Times New Roman"/>
        </w:rPr>
        <w:t xml:space="preserve"> E, Lockwood C, Jordan Z. What kind of systematic review should I conduct? A proposed typology and guidance for systematic reviewers in the medical and health sciences. BMC Med Res </w:t>
      </w:r>
      <w:proofErr w:type="spellStart"/>
      <w:r w:rsidRPr="00AA4FD4">
        <w:rPr>
          <w:rFonts w:cs="Times New Roman"/>
        </w:rPr>
        <w:t>Methodol</w:t>
      </w:r>
      <w:proofErr w:type="spellEnd"/>
      <w:r w:rsidRPr="00AA4FD4">
        <w:rPr>
          <w:rFonts w:cs="Times New Roman"/>
        </w:rPr>
        <w:t xml:space="preserve"> </w:t>
      </w:r>
      <w:proofErr w:type="gramStart"/>
      <w:r w:rsidRPr="00AA4FD4">
        <w:rPr>
          <w:rFonts w:cs="Times New Roman"/>
        </w:rPr>
        <w:t>2018;18:5</w:t>
      </w:r>
      <w:proofErr w:type="gramEnd"/>
      <w:r w:rsidRPr="00AA4FD4">
        <w:rPr>
          <w:rFonts w:cs="Times New Roman"/>
        </w:rPr>
        <w:t>. https://doi.org/10.1186/s12874-017-0468-4.</w:t>
      </w:r>
    </w:p>
    <w:p w14:paraId="7AC6237E" w14:textId="77777777" w:rsidR="00AA4FD4" w:rsidRPr="00AA4FD4" w:rsidRDefault="00AA4FD4" w:rsidP="00AA4FD4">
      <w:pPr>
        <w:pStyle w:val="Bibliography"/>
        <w:rPr>
          <w:rFonts w:cs="Times New Roman"/>
        </w:rPr>
      </w:pPr>
      <w:r w:rsidRPr="00AA4FD4">
        <w:rPr>
          <w:rFonts w:cs="Times New Roman"/>
        </w:rPr>
        <w:t>[11]</w:t>
      </w:r>
      <w:r w:rsidRPr="00AA4FD4">
        <w:rPr>
          <w:rFonts w:cs="Times New Roman"/>
        </w:rPr>
        <w:tab/>
        <w:t xml:space="preserve">Hamel C, Garritty C, Hersi M, Butler C, Esmaeilisaraji L, Rice D, et al. Effective models of provider care in long-term care homes: a rapid scoping review. Ottawa: Ottawa Hospital Research </w:t>
      </w:r>
      <w:proofErr w:type="spellStart"/>
      <w:r w:rsidRPr="00AA4FD4">
        <w:rPr>
          <w:rFonts w:cs="Times New Roman"/>
        </w:rPr>
        <w:t>Insitute</w:t>
      </w:r>
      <w:proofErr w:type="spellEnd"/>
      <w:r w:rsidRPr="00AA4FD4">
        <w:rPr>
          <w:rFonts w:cs="Times New Roman"/>
        </w:rPr>
        <w:t>; 2020.</w:t>
      </w:r>
    </w:p>
    <w:p w14:paraId="1E4C9575" w14:textId="77777777" w:rsidR="00AA4FD4" w:rsidRPr="00AA4FD4" w:rsidRDefault="00AA4FD4" w:rsidP="00AA4FD4">
      <w:pPr>
        <w:pStyle w:val="Bibliography"/>
        <w:rPr>
          <w:rFonts w:cs="Times New Roman"/>
        </w:rPr>
      </w:pPr>
      <w:r w:rsidRPr="00AA4FD4">
        <w:rPr>
          <w:rFonts w:cs="Times New Roman"/>
        </w:rPr>
        <w:lastRenderedPageBreak/>
        <w:t>[12]</w:t>
      </w:r>
      <w:r w:rsidRPr="00AA4FD4">
        <w:rPr>
          <w:rFonts w:cs="Times New Roman"/>
        </w:rPr>
        <w:tab/>
        <w:t xml:space="preserve">Hamel C, Garritty C, Hersi M, Butler C, Esmaeilisaraji L, Rice D, et al. Models of provider care in long-term care: A rapid scoping review. </w:t>
      </w:r>
      <w:proofErr w:type="spellStart"/>
      <w:r w:rsidRPr="00AA4FD4">
        <w:rPr>
          <w:rFonts w:cs="Times New Roman"/>
        </w:rPr>
        <w:t>PLoS</w:t>
      </w:r>
      <w:proofErr w:type="spellEnd"/>
      <w:r w:rsidRPr="00AA4FD4">
        <w:rPr>
          <w:rFonts w:cs="Times New Roman"/>
        </w:rPr>
        <w:t xml:space="preserve"> One 2021;</w:t>
      </w:r>
      <w:proofErr w:type="gramStart"/>
      <w:r w:rsidRPr="00AA4FD4">
        <w:rPr>
          <w:rFonts w:cs="Times New Roman"/>
        </w:rPr>
        <w:t>16:e</w:t>
      </w:r>
      <w:proofErr w:type="gramEnd"/>
      <w:r w:rsidRPr="00AA4FD4">
        <w:rPr>
          <w:rFonts w:cs="Times New Roman"/>
        </w:rPr>
        <w:t>0254527. https://doi.org/10.1371/journal.pone.0254527.</w:t>
      </w:r>
    </w:p>
    <w:p w14:paraId="7B0E6691" w14:textId="77777777" w:rsidR="00AA4FD4" w:rsidRPr="00AA4FD4" w:rsidRDefault="00AA4FD4" w:rsidP="00AA4FD4">
      <w:pPr>
        <w:pStyle w:val="Bibliography"/>
        <w:rPr>
          <w:rFonts w:cs="Times New Roman"/>
        </w:rPr>
      </w:pPr>
      <w:r w:rsidRPr="00AA4FD4">
        <w:rPr>
          <w:rFonts w:cs="Times New Roman"/>
        </w:rPr>
        <w:t>[13]</w:t>
      </w:r>
      <w:r w:rsidRPr="00AA4FD4">
        <w:rPr>
          <w:rFonts w:cs="Times New Roman"/>
        </w:rPr>
        <w:tab/>
        <w:t xml:space="preserve">Rice D, Wolfe D, Garritty C, Hersi M, Esmaeilisaraji L, Butler C, et al. Best Practice in Pain Management: Rapid Reviews of Guidelines and Knowledge Syntheses. Ottawa: Ottawa Hospital Research </w:t>
      </w:r>
      <w:proofErr w:type="spellStart"/>
      <w:r w:rsidRPr="00AA4FD4">
        <w:rPr>
          <w:rFonts w:cs="Times New Roman"/>
        </w:rPr>
        <w:t>Insitute</w:t>
      </w:r>
      <w:proofErr w:type="spellEnd"/>
      <w:r w:rsidRPr="00AA4FD4">
        <w:rPr>
          <w:rFonts w:cs="Times New Roman"/>
        </w:rPr>
        <w:t>; 2020.</w:t>
      </w:r>
    </w:p>
    <w:p w14:paraId="7281CA4D" w14:textId="77777777" w:rsidR="00AA4FD4" w:rsidRPr="00AA4FD4" w:rsidRDefault="00AA4FD4" w:rsidP="00AA4FD4">
      <w:pPr>
        <w:pStyle w:val="Bibliography"/>
        <w:rPr>
          <w:rFonts w:cs="Times New Roman"/>
        </w:rPr>
      </w:pPr>
      <w:r w:rsidRPr="00AA4FD4">
        <w:rPr>
          <w:rFonts w:cs="Times New Roman"/>
        </w:rPr>
        <w:t>[14]</w:t>
      </w:r>
      <w:r w:rsidRPr="00AA4FD4">
        <w:rPr>
          <w:rFonts w:cs="Times New Roman"/>
        </w:rPr>
        <w:tab/>
        <w:t xml:space="preserve">Wolfe D, </w:t>
      </w:r>
      <w:proofErr w:type="spellStart"/>
      <w:r w:rsidRPr="00AA4FD4">
        <w:rPr>
          <w:rFonts w:cs="Times New Roman"/>
        </w:rPr>
        <w:t>Corace</w:t>
      </w:r>
      <w:proofErr w:type="spellEnd"/>
      <w:r w:rsidRPr="00AA4FD4">
        <w:rPr>
          <w:rFonts w:cs="Times New Roman"/>
        </w:rPr>
        <w:t xml:space="preserve"> K, Rice D, Smith A, Kanji S, Conn D, et al. Effects of medical and non-medical cannabis use in older adults: protocol for a scoping review. BMJ Open 2020;</w:t>
      </w:r>
      <w:proofErr w:type="gramStart"/>
      <w:r w:rsidRPr="00AA4FD4">
        <w:rPr>
          <w:rFonts w:cs="Times New Roman"/>
        </w:rPr>
        <w:t>10:e</w:t>
      </w:r>
      <w:proofErr w:type="gramEnd"/>
      <w:r w:rsidRPr="00AA4FD4">
        <w:rPr>
          <w:rFonts w:cs="Times New Roman"/>
        </w:rPr>
        <w:t>034301. https://doi.org/10.1136/bmjopen-2019-034301.</w:t>
      </w:r>
    </w:p>
    <w:p w14:paraId="783ACF1A" w14:textId="77777777" w:rsidR="00AA4FD4" w:rsidRPr="00AA4FD4" w:rsidRDefault="00AA4FD4" w:rsidP="00AA4FD4">
      <w:pPr>
        <w:pStyle w:val="Bibliography"/>
        <w:rPr>
          <w:rFonts w:cs="Times New Roman"/>
        </w:rPr>
      </w:pPr>
      <w:r w:rsidRPr="00AA4FD4">
        <w:rPr>
          <w:rFonts w:cs="Times New Roman"/>
        </w:rPr>
        <w:t>[15]</w:t>
      </w:r>
      <w:r w:rsidRPr="00AA4FD4">
        <w:rPr>
          <w:rFonts w:cs="Times New Roman"/>
        </w:rPr>
        <w:tab/>
        <w:t xml:space="preserve">Hamel C, </w:t>
      </w:r>
      <w:proofErr w:type="spellStart"/>
      <w:r w:rsidRPr="00AA4FD4">
        <w:rPr>
          <w:rFonts w:cs="Times New Roman"/>
        </w:rPr>
        <w:t>Corace</w:t>
      </w:r>
      <w:proofErr w:type="spellEnd"/>
      <w:r w:rsidRPr="00AA4FD4">
        <w:rPr>
          <w:rFonts w:cs="Times New Roman"/>
        </w:rPr>
        <w:t xml:space="preserve"> K, Hersi M, Rice D, Willows M, Macpherson P, et al. Psychosocial and pharmacologic interventions for methamphetamine addiction: protocol for a scoping review of the literature. </w:t>
      </w:r>
      <w:proofErr w:type="spellStart"/>
      <w:r w:rsidRPr="00AA4FD4">
        <w:rPr>
          <w:rFonts w:cs="Times New Roman"/>
        </w:rPr>
        <w:t>Syst</w:t>
      </w:r>
      <w:proofErr w:type="spellEnd"/>
      <w:r w:rsidRPr="00AA4FD4">
        <w:rPr>
          <w:rFonts w:cs="Times New Roman"/>
        </w:rPr>
        <w:t xml:space="preserve"> Rev </w:t>
      </w:r>
      <w:proofErr w:type="gramStart"/>
      <w:r w:rsidRPr="00AA4FD4">
        <w:rPr>
          <w:rFonts w:cs="Times New Roman"/>
        </w:rPr>
        <w:t>2020;9:245</w:t>
      </w:r>
      <w:proofErr w:type="gramEnd"/>
      <w:r w:rsidRPr="00AA4FD4">
        <w:rPr>
          <w:rFonts w:cs="Times New Roman"/>
        </w:rPr>
        <w:t>. https://doi.org/10.1186/s13643-020-01499-z.</w:t>
      </w:r>
    </w:p>
    <w:p w14:paraId="746044E0" w14:textId="30529793" w:rsidR="00BC348D" w:rsidRDefault="00BC348D">
      <w:r>
        <w:fldChar w:fldCharType="end"/>
      </w:r>
    </w:p>
    <w:sectPr w:rsidR="00BC348D" w:rsidSect="00BC348D">
      <w:pgSz w:w="12240" w:h="15840"/>
      <w:pgMar w:top="1440"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8D1DBF" w16cid:durableId="250E9C30"/>
  <w16cid:commentId w16cid:paraId="7A6786FF" w16cid:durableId="250E9C46"/>
  <w16cid:commentId w16cid:paraId="79823567" w16cid:durableId="250E9C4E"/>
  <w16cid:commentId w16cid:paraId="783A10D2" w16cid:durableId="250E9C22"/>
  <w16cid:commentId w16cid:paraId="662436D3" w16cid:durableId="250E9C5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31552"/>
    <w:multiLevelType w:val="hybridMultilevel"/>
    <w:tmpl w:val="211C7C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27D6EB2"/>
    <w:multiLevelType w:val="hybridMultilevel"/>
    <w:tmpl w:val="CDD624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7374523"/>
    <w:multiLevelType w:val="hybridMultilevel"/>
    <w:tmpl w:val="3FFC357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CFC0A1B"/>
    <w:multiLevelType w:val="hybridMultilevel"/>
    <w:tmpl w:val="A7005FD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0E177B"/>
    <w:multiLevelType w:val="hybridMultilevel"/>
    <w:tmpl w:val="F3FCB4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EA"/>
    <w:rsid w:val="0003687F"/>
    <w:rsid w:val="00070C44"/>
    <w:rsid w:val="0008486E"/>
    <w:rsid w:val="000B0037"/>
    <w:rsid w:val="002709B0"/>
    <w:rsid w:val="003362E4"/>
    <w:rsid w:val="004266EA"/>
    <w:rsid w:val="00500FF5"/>
    <w:rsid w:val="00603952"/>
    <w:rsid w:val="00661E5C"/>
    <w:rsid w:val="00711C1B"/>
    <w:rsid w:val="007B3317"/>
    <w:rsid w:val="007D50BE"/>
    <w:rsid w:val="007F1CE9"/>
    <w:rsid w:val="009E519B"/>
    <w:rsid w:val="00AA4FD4"/>
    <w:rsid w:val="00AC1B4D"/>
    <w:rsid w:val="00AE018C"/>
    <w:rsid w:val="00BC348D"/>
    <w:rsid w:val="00C60453"/>
    <w:rsid w:val="00C76858"/>
    <w:rsid w:val="00CB100B"/>
    <w:rsid w:val="00D45C29"/>
    <w:rsid w:val="00DB0FAA"/>
    <w:rsid w:val="00E1634D"/>
    <w:rsid w:val="00E57978"/>
    <w:rsid w:val="00EA0761"/>
    <w:rsid w:val="00EC5927"/>
    <w:rsid w:val="00FF18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1182"/>
  <w15:chartTrackingRefBased/>
  <w15:docId w15:val="{79CA6441-328E-4B57-B162-F503603C7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6EA"/>
    <w:pPr>
      <w:spacing w:after="0" w:line="480" w:lineRule="auto"/>
    </w:pPr>
    <w:rPr>
      <w:rFonts w:ascii="Times New Roman" w:hAnsi="Times New Roman" w:cs="Calibri"/>
      <w:sz w:val="24"/>
      <w:lang w:val="en-US"/>
    </w:rPr>
  </w:style>
  <w:style w:type="paragraph" w:styleId="Heading1">
    <w:name w:val="heading 1"/>
    <w:basedOn w:val="Normal"/>
    <w:next w:val="Normal"/>
    <w:link w:val="Heading1Char"/>
    <w:uiPriority w:val="9"/>
    <w:qFormat/>
    <w:rsid w:val="00BC348D"/>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266E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66EA"/>
    <w:rPr>
      <w:color w:val="0000FF"/>
      <w:u w:val="single"/>
    </w:rPr>
  </w:style>
  <w:style w:type="paragraph" w:styleId="BalloonText">
    <w:name w:val="Balloon Text"/>
    <w:basedOn w:val="Normal"/>
    <w:link w:val="BalloonTextChar"/>
    <w:uiPriority w:val="99"/>
    <w:semiHidden/>
    <w:unhideWhenUsed/>
    <w:rsid w:val="00500FF5"/>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0FF5"/>
    <w:rPr>
      <w:rFonts w:ascii="Segoe UI" w:hAnsi="Segoe UI" w:cs="Segoe UI"/>
      <w:sz w:val="18"/>
      <w:szCs w:val="18"/>
      <w:lang w:val="en-US"/>
    </w:rPr>
  </w:style>
  <w:style w:type="character" w:styleId="CommentReference">
    <w:name w:val="annotation reference"/>
    <w:basedOn w:val="DefaultParagraphFont"/>
    <w:uiPriority w:val="99"/>
    <w:semiHidden/>
    <w:unhideWhenUsed/>
    <w:rsid w:val="00EA0761"/>
    <w:rPr>
      <w:sz w:val="16"/>
      <w:szCs w:val="16"/>
    </w:rPr>
  </w:style>
  <w:style w:type="paragraph" w:styleId="CommentText">
    <w:name w:val="annotation text"/>
    <w:basedOn w:val="Normal"/>
    <w:link w:val="CommentTextChar"/>
    <w:uiPriority w:val="99"/>
    <w:unhideWhenUsed/>
    <w:rsid w:val="00EA0761"/>
    <w:pPr>
      <w:spacing w:line="240" w:lineRule="auto"/>
    </w:pPr>
    <w:rPr>
      <w:sz w:val="20"/>
      <w:szCs w:val="20"/>
    </w:rPr>
  </w:style>
  <w:style w:type="character" w:customStyle="1" w:styleId="CommentTextChar">
    <w:name w:val="Comment Text Char"/>
    <w:basedOn w:val="DefaultParagraphFont"/>
    <w:link w:val="CommentText"/>
    <w:uiPriority w:val="99"/>
    <w:rsid w:val="00EA0761"/>
    <w:rPr>
      <w:rFonts w:ascii="Times New Roman" w:hAnsi="Times New Roman" w:cs="Calibri"/>
      <w:sz w:val="20"/>
      <w:szCs w:val="20"/>
      <w:lang w:val="en-US"/>
    </w:rPr>
  </w:style>
  <w:style w:type="paragraph" w:styleId="CommentSubject">
    <w:name w:val="annotation subject"/>
    <w:basedOn w:val="CommentText"/>
    <w:next w:val="CommentText"/>
    <w:link w:val="CommentSubjectChar"/>
    <w:uiPriority w:val="99"/>
    <w:semiHidden/>
    <w:unhideWhenUsed/>
    <w:rsid w:val="00EA0761"/>
    <w:rPr>
      <w:b/>
      <w:bCs/>
    </w:rPr>
  </w:style>
  <w:style w:type="character" w:customStyle="1" w:styleId="CommentSubjectChar">
    <w:name w:val="Comment Subject Char"/>
    <w:basedOn w:val="CommentTextChar"/>
    <w:link w:val="CommentSubject"/>
    <w:uiPriority w:val="99"/>
    <w:semiHidden/>
    <w:rsid w:val="00EA0761"/>
    <w:rPr>
      <w:rFonts w:ascii="Times New Roman" w:hAnsi="Times New Roman" w:cs="Calibri"/>
      <w:b/>
      <w:bCs/>
      <w:sz w:val="20"/>
      <w:szCs w:val="20"/>
      <w:lang w:val="en-US"/>
    </w:rPr>
  </w:style>
  <w:style w:type="paragraph" w:styleId="ListParagraph">
    <w:name w:val="List Paragraph"/>
    <w:basedOn w:val="Normal"/>
    <w:uiPriority w:val="34"/>
    <w:qFormat/>
    <w:rsid w:val="003362E4"/>
    <w:pPr>
      <w:ind w:left="720"/>
      <w:contextualSpacing/>
    </w:pPr>
  </w:style>
  <w:style w:type="character" w:customStyle="1" w:styleId="Heading1Char">
    <w:name w:val="Heading 1 Char"/>
    <w:basedOn w:val="DefaultParagraphFont"/>
    <w:link w:val="Heading1"/>
    <w:uiPriority w:val="9"/>
    <w:rsid w:val="00BC348D"/>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BC348D"/>
    <w:pPr>
      <w:tabs>
        <w:tab w:val="left" w:pos="504"/>
      </w:tabs>
      <w:spacing w:line="240" w:lineRule="auto"/>
      <w:ind w:left="504" w:hanging="5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https://osf.io/xey2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8</Pages>
  <Words>10073</Words>
  <Characters>57420</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Hutton</dc:creator>
  <cp:keywords/>
  <dc:description/>
  <cp:lastModifiedBy>Candyce Hamel</cp:lastModifiedBy>
  <cp:revision>5</cp:revision>
  <dcterms:created xsi:type="dcterms:W3CDTF">2021-10-11T17:42:00Z</dcterms:created>
  <dcterms:modified xsi:type="dcterms:W3CDTF">2021-10-11T18:17:00Z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zotero-version="5.0.96.2"&gt;&lt;session id="J5qF2bX2"/&gt;&lt;style id="http://www.zotero.org/styles/elsevier-vancouver" hasBibliography="1" bibliographyStyleHasBeenSet="1"/&gt;&lt;prefs&gt;&lt;pref name="fieldType" value="Field"/&gt;&lt;/prefs&gt;&lt;/data&gt;</vt:lpwstr>
  </property>
</Properties>
</file>