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CBC3A" w14:textId="351F6E2B" w:rsidR="00F35F6F" w:rsidRDefault="00F35F6F" w:rsidP="00F35F6F">
      <w:pPr>
        <w:pStyle w:val="NoSpacing"/>
        <w:spacing w:line="360" w:lineRule="auto"/>
        <w:jc w:val="center"/>
        <w:rPr>
          <w:rFonts w:ascii="Segoe UI" w:hAnsi="Segoe UI" w:cs="Segoe UI"/>
          <w:sz w:val="24"/>
          <w:szCs w:val="24"/>
          <w:lang w:val="en-GB"/>
        </w:rPr>
      </w:pPr>
      <w:r w:rsidRPr="00943933">
        <w:rPr>
          <w:rFonts w:ascii="Segoe UI" w:hAnsi="Segoe UI" w:cs="Segoe UI"/>
          <w:sz w:val="24"/>
          <w:szCs w:val="24"/>
          <w:lang w:val="en-GB"/>
        </w:rPr>
        <w:t xml:space="preserve">Supplementary </w:t>
      </w:r>
      <w:r w:rsidR="00943933" w:rsidRPr="00943933">
        <w:rPr>
          <w:rFonts w:ascii="Segoe UI" w:hAnsi="Segoe UI" w:cs="Segoe UI"/>
          <w:sz w:val="24"/>
          <w:szCs w:val="24"/>
          <w:lang w:val="en-GB"/>
        </w:rPr>
        <w:t>Material</w:t>
      </w:r>
    </w:p>
    <w:p w14:paraId="11D241C3" w14:textId="77777777" w:rsidR="00943933" w:rsidRPr="00943933" w:rsidRDefault="00943933" w:rsidP="00F35F6F">
      <w:pPr>
        <w:pStyle w:val="NoSpacing"/>
        <w:spacing w:line="360" w:lineRule="auto"/>
        <w:jc w:val="center"/>
        <w:rPr>
          <w:rFonts w:ascii="Segoe UI" w:hAnsi="Segoe UI" w:cs="Segoe UI"/>
          <w:sz w:val="24"/>
          <w:szCs w:val="24"/>
          <w:lang w:val="en-GB"/>
        </w:rPr>
      </w:pPr>
    </w:p>
    <w:p w14:paraId="1FBDFB07" w14:textId="4BAE0CC5" w:rsidR="00F35F6F" w:rsidRPr="00943933" w:rsidRDefault="00F35F6F" w:rsidP="00F35F6F">
      <w:pPr>
        <w:pStyle w:val="NoSpacing"/>
        <w:spacing w:line="360" w:lineRule="auto"/>
        <w:jc w:val="center"/>
        <w:rPr>
          <w:rFonts w:ascii="Segoe UI" w:hAnsi="Segoe UI" w:cs="Segoe UI"/>
          <w:b/>
          <w:sz w:val="28"/>
          <w:szCs w:val="24"/>
          <w:lang w:val="en-GB"/>
        </w:rPr>
      </w:pPr>
      <w:r w:rsidRPr="00943933">
        <w:rPr>
          <w:rFonts w:ascii="Segoe UI" w:hAnsi="Segoe UI" w:cs="Segoe UI"/>
          <w:b/>
          <w:sz w:val="28"/>
          <w:szCs w:val="24"/>
          <w:lang w:val="en-GB"/>
        </w:rPr>
        <w:t xml:space="preserve">Completeness of reporting of clinical prediction models developed using supervised machine learning: A systematic review </w:t>
      </w:r>
    </w:p>
    <w:p w14:paraId="7B665453" w14:textId="780E8DAE" w:rsidR="00F35F6F" w:rsidRPr="00943933" w:rsidRDefault="00F35F6F">
      <w:pPr>
        <w:rPr>
          <w:rFonts w:ascii="Segoe UI" w:hAnsi="Segoe UI" w:cs="Segoe UI"/>
          <w:sz w:val="24"/>
          <w:szCs w:val="24"/>
          <w:lang w:val="en-GB"/>
        </w:rPr>
      </w:pPr>
    </w:p>
    <w:p w14:paraId="615E4F55" w14:textId="4A72C26D" w:rsidR="0008087C" w:rsidRPr="00943933" w:rsidRDefault="0008087C">
      <w:pPr>
        <w:rPr>
          <w:rFonts w:ascii="Segoe UI" w:hAnsi="Segoe UI" w:cs="Segoe UI"/>
          <w:sz w:val="24"/>
          <w:szCs w:val="24"/>
          <w:lang w:val="en-GB"/>
        </w:rPr>
      </w:pPr>
      <w:r w:rsidRPr="00943933">
        <w:rPr>
          <w:rFonts w:ascii="Segoe UI" w:hAnsi="Segoe UI" w:cs="Segoe UI"/>
          <w:sz w:val="24"/>
          <w:szCs w:val="24"/>
          <w:lang w:val="en-GB"/>
        </w:rPr>
        <w:t xml:space="preserve">Contents </w:t>
      </w:r>
    </w:p>
    <w:p w14:paraId="2F999D86" w14:textId="2141CE57" w:rsidR="0008087C" w:rsidRPr="00943933" w:rsidRDefault="0008087C">
      <w:pPr>
        <w:rPr>
          <w:rFonts w:ascii="Segoe UI" w:hAnsi="Segoe UI" w:cs="Segoe UI"/>
          <w:bCs/>
          <w:sz w:val="24"/>
          <w:szCs w:val="24"/>
          <w:lang w:val="en-GB"/>
        </w:rPr>
      </w:pPr>
      <w:r w:rsidRPr="00943933">
        <w:rPr>
          <w:rFonts w:ascii="Segoe UI" w:hAnsi="Segoe UI" w:cs="Segoe UI"/>
          <w:bCs/>
          <w:sz w:val="24"/>
          <w:szCs w:val="24"/>
          <w:lang w:val="en-GB"/>
        </w:rPr>
        <w:t>Section 1: Search strategy……………………………………………………………</w:t>
      </w:r>
      <w:r w:rsidR="00943933">
        <w:rPr>
          <w:rFonts w:ascii="Segoe UI" w:hAnsi="Segoe UI" w:cs="Segoe UI"/>
          <w:bCs/>
          <w:sz w:val="24"/>
          <w:szCs w:val="24"/>
          <w:lang w:val="en-GB"/>
        </w:rPr>
        <w:t>……………………..</w:t>
      </w:r>
      <w:r w:rsidRPr="00943933">
        <w:rPr>
          <w:rFonts w:ascii="Segoe UI" w:hAnsi="Segoe UI" w:cs="Segoe UI"/>
          <w:bCs/>
          <w:sz w:val="24"/>
          <w:szCs w:val="24"/>
          <w:lang w:val="en-GB"/>
        </w:rPr>
        <w:t>…</w:t>
      </w:r>
      <w:r w:rsidR="00F84728" w:rsidRPr="00943933">
        <w:rPr>
          <w:rFonts w:ascii="Segoe UI" w:hAnsi="Segoe UI" w:cs="Segoe UI"/>
          <w:bCs/>
          <w:sz w:val="24"/>
          <w:szCs w:val="24"/>
          <w:lang w:val="en-GB"/>
        </w:rPr>
        <w:t>……...</w:t>
      </w:r>
      <w:r w:rsidR="00EF4D19">
        <w:rPr>
          <w:rFonts w:ascii="Segoe UI" w:hAnsi="Segoe UI" w:cs="Segoe UI"/>
          <w:bCs/>
          <w:sz w:val="24"/>
          <w:szCs w:val="24"/>
          <w:lang w:val="en-GB"/>
        </w:rPr>
        <w:t>2</w:t>
      </w:r>
    </w:p>
    <w:p w14:paraId="4686F3BC" w14:textId="64C62B01" w:rsidR="0008087C" w:rsidRPr="00943933" w:rsidRDefault="0008087C">
      <w:pPr>
        <w:rPr>
          <w:rFonts w:ascii="Segoe UI" w:hAnsi="Segoe UI" w:cs="Segoe UI"/>
          <w:bCs/>
          <w:sz w:val="24"/>
          <w:szCs w:val="24"/>
          <w:lang w:val="en-GB"/>
        </w:rPr>
      </w:pPr>
      <w:r w:rsidRPr="00943933">
        <w:rPr>
          <w:rFonts w:ascii="Segoe UI" w:hAnsi="Segoe UI" w:cs="Segoe UI"/>
          <w:bCs/>
          <w:sz w:val="24"/>
          <w:szCs w:val="24"/>
          <w:lang w:val="en-GB"/>
        </w:rPr>
        <w:t>Section 2: Definitions…………………………………………………………………</w:t>
      </w:r>
      <w:r w:rsidR="00F84728" w:rsidRPr="00943933">
        <w:rPr>
          <w:rFonts w:ascii="Segoe UI" w:hAnsi="Segoe UI" w:cs="Segoe UI"/>
          <w:bCs/>
          <w:sz w:val="24"/>
          <w:szCs w:val="24"/>
          <w:lang w:val="en-GB"/>
        </w:rPr>
        <w:t>…</w:t>
      </w:r>
      <w:r w:rsidR="004B75FA" w:rsidRPr="00943933">
        <w:rPr>
          <w:rFonts w:ascii="Segoe UI" w:hAnsi="Segoe UI" w:cs="Segoe UI"/>
          <w:bCs/>
          <w:sz w:val="24"/>
          <w:szCs w:val="24"/>
          <w:lang w:val="en-GB"/>
        </w:rPr>
        <w:t>.…</w:t>
      </w:r>
      <w:r w:rsidR="00943933">
        <w:rPr>
          <w:rFonts w:ascii="Segoe UI" w:hAnsi="Segoe UI" w:cs="Segoe UI"/>
          <w:bCs/>
          <w:sz w:val="24"/>
          <w:szCs w:val="24"/>
          <w:lang w:val="en-GB"/>
        </w:rPr>
        <w:t>……………………….</w:t>
      </w:r>
      <w:r w:rsidR="004B75FA" w:rsidRPr="00943933">
        <w:rPr>
          <w:rFonts w:ascii="Segoe UI" w:hAnsi="Segoe UI" w:cs="Segoe UI"/>
          <w:bCs/>
          <w:sz w:val="24"/>
          <w:szCs w:val="24"/>
          <w:lang w:val="en-GB"/>
        </w:rPr>
        <w:t>.</w:t>
      </w:r>
      <w:r w:rsidR="00F84728" w:rsidRPr="00943933">
        <w:rPr>
          <w:rFonts w:ascii="Segoe UI" w:hAnsi="Segoe UI" w:cs="Segoe UI"/>
          <w:bCs/>
          <w:sz w:val="24"/>
          <w:szCs w:val="24"/>
          <w:lang w:val="en-GB"/>
        </w:rPr>
        <w:t>….</w:t>
      </w:r>
      <w:r w:rsidR="00EF4D19">
        <w:rPr>
          <w:rFonts w:ascii="Segoe UI" w:hAnsi="Segoe UI" w:cs="Segoe UI"/>
          <w:bCs/>
          <w:sz w:val="24"/>
          <w:szCs w:val="24"/>
          <w:lang w:val="en-GB"/>
        </w:rPr>
        <w:t>4</w:t>
      </w:r>
    </w:p>
    <w:p w14:paraId="719E9BD6" w14:textId="4548B10C" w:rsidR="0008087C" w:rsidRDefault="0008087C">
      <w:pPr>
        <w:rPr>
          <w:rFonts w:ascii="Segoe UI" w:hAnsi="Segoe UI" w:cs="Segoe UI"/>
          <w:sz w:val="24"/>
          <w:szCs w:val="24"/>
          <w:lang w:val="en-GB"/>
        </w:rPr>
      </w:pPr>
      <w:r w:rsidRPr="00943933">
        <w:rPr>
          <w:rFonts w:ascii="Segoe UI" w:hAnsi="Segoe UI" w:cs="Segoe UI"/>
          <w:bCs/>
          <w:sz w:val="24"/>
          <w:szCs w:val="24"/>
          <w:lang w:val="en-GB"/>
        </w:rPr>
        <w:t xml:space="preserve">Section 3: </w:t>
      </w:r>
      <w:r w:rsidR="00943933" w:rsidRPr="00943933">
        <w:rPr>
          <w:rFonts w:ascii="Segoe UI" w:hAnsi="Segoe UI" w:cs="Segoe UI"/>
          <w:bCs/>
          <w:sz w:val="24"/>
          <w:szCs w:val="24"/>
          <w:lang w:val="en-GB"/>
        </w:rPr>
        <w:t>Characteristics of included studies …..</w:t>
      </w:r>
      <w:r w:rsidRPr="00943933">
        <w:rPr>
          <w:rFonts w:ascii="Segoe UI" w:hAnsi="Segoe UI" w:cs="Segoe UI"/>
          <w:bCs/>
          <w:sz w:val="24"/>
          <w:szCs w:val="24"/>
          <w:lang w:val="en-GB"/>
        </w:rPr>
        <w:t>……………………</w:t>
      </w:r>
      <w:r w:rsidR="00943933">
        <w:rPr>
          <w:rFonts w:ascii="Segoe UI" w:hAnsi="Segoe UI" w:cs="Segoe UI"/>
          <w:bCs/>
          <w:sz w:val="24"/>
          <w:szCs w:val="24"/>
          <w:lang w:val="en-GB"/>
        </w:rPr>
        <w:t>…………….</w:t>
      </w:r>
      <w:r w:rsidRPr="00943933">
        <w:rPr>
          <w:rFonts w:ascii="Segoe UI" w:hAnsi="Segoe UI" w:cs="Segoe UI"/>
          <w:bCs/>
          <w:sz w:val="24"/>
          <w:szCs w:val="24"/>
          <w:lang w:val="en-GB"/>
        </w:rPr>
        <w:t>………………………</w:t>
      </w:r>
      <w:r w:rsidR="00EF4D19">
        <w:rPr>
          <w:rFonts w:ascii="Segoe UI" w:hAnsi="Segoe UI" w:cs="Segoe UI"/>
          <w:sz w:val="24"/>
          <w:szCs w:val="24"/>
          <w:lang w:val="en-GB"/>
        </w:rPr>
        <w:t>5</w:t>
      </w:r>
    </w:p>
    <w:p w14:paraId="10BCE21E" w14:textId="450C2735" w:rsidR="00F60439" w:rsidRDefault="00F60439">
      <w:pPr>
        <w:rPr>
          <w:rFonts w:ascii="Segoe UI" w:hAnsi="Segoe UI" w:cs="Segoe UI"/>
          <w:sz w:val="24"/>
          <w:szCs w:val="24"/>
          <w:lang w:val="en-GB"/>
        </w:rPr>
      </w:pPr>
      <w:r>
        <w:rPr>
          <w:rFonts w:ascii="Segoe UI" w:hAnsi="Segoe UI" w:cs="Segoe UI"/>
          <w:sz w:val="24"/>
          <w:szCs w:val="24"/>
          <w:lang w:val="en-GB"/>
        </w:rPr>
        <w:t>Section 4: List of assessed techniques…………………………………………………………………………22</w:t>
      </w:r>
      <w:bookmarkStart w:id="0" w:name="_GoBack"/>
      <w:bookmarkEnd w:id="0"/>
    </w:p>
    <w:p w14:paraId="393BA88F" w14:textId="40BE3869" w:rsidR="00F35F6F" w:rsidRDefault="00F35F6F">
      <w:pPr>
        <w:rPr>
          <w:rFonts w:ascii="Times New Roman" w:hAnsi="Times New Roman" w:cs="Times New Roman"/>
          <w:sz w:val="24"/>
          <w:szCs w:val="24"/>
          <w:lang w:val="en-GB"/>
        </w:rPr>
      </w:pPr>
    </w:p>
    <w:p w14:paraId="5C86F267" w14:textId="400E4697" w:rsidR="00F35F6F" w:rsidRDefault="00F35F6F">
      <w:pPr>
        <w:rPr>
          <w:rFonts w:ascii="Times New Roman" w:hAnsi="Times New Roman" w:cs="Times New Roman"/>
          <w:sz w:val="24"/>
          <w:szCs w:val="24"/>
          <w:lang w:val="en-GB"/>
        </w:rPr>
      </w:pPr>
    </w:p>
    <w:p w14:paraId="7EB6DB47" w14:textId="48073D7C" w:rsidR="00F35F6F" w:rsidRDefault="00F35F6F">
      <w:pPr>
        <w:rPr>
          <w:rFonts w:ascii="Times New Roman" w:hAnsi="Times New Roman" w:cs="Times New Roman"/>
          <w:sz w:val="24"/>
          <w:szCs w:val="24"/>
          <w:lang w:val="en-GB"/>
        </w:rPr>
      </w:pPr>
    </w:p>
    <w:p w14:paraId="58CEA047" w14:textId="09E7A2A8" w:rsidR="00F35F6F" w:rsidRDefault="00F35F6F">
      <w:pPr>
        <w:rPr>
          <w:rFonts w:ascii="Times New Roman" w:hAnsi="Times New Roman" w:cs="Times New Roman"/>
          <w:sz w:val="24"/>
          <w:szCs w:val="24"/>
          <w:lang w:val="en-GB"/>
        </w:rPr>
      </w:pPr>
    </w:p>
    <w:p w14:paraId="1657B8DD" w14:textId="3E5BA1BE" w:rsidR="00F35F6F" w:rsidRDefault="00F35F6F">
      <w:pPr>
        <w:rPr>
          <w:rFonts w:ascii="Times New Roman" w:hAnsi="Times New Roman" w:cs="Times New Roman"/>
          <w:sz w:val="24"/>
          <w:szCs w:val="24"/>
          <w:lang w:val="en-GB"/>
        </w:rPr>
      </w:pPr>
    </w:p>
    <w:p w14:paraId="5C58DD59" w14:textId="58308BAD" w:rsidR="00F35F6F" w:rsidRDefault="00F35F6F">
      <w:pPr>
        <w:rPr>
          <w:rFonts w:ascii="Times New Roman" w:hAnsi="Times New Roman" w:cs="Times New Roman"/>
          <w:sz w:val="24"/>
          <w:szCs w:val="24"/>
          <w:lang w:val="en-GB"/>
        </w:rPr>
      </w:pPr>
    </w:p>
    <w:p w14:paraId="596B5EB6" w14:textId="071D576B" w:rsidR="00F35F6F" w:rsidRDefault="00F35F6F">
      <w:pPr>
        <w:rPr>
          <w:rFonts w:ascii="Times New Roman" w:hAnsi="Times New Roman" w:cs="Times New Roman"/>
          <w:sz w:val="24"/>
          <w:szCs w:val="24"/>
          <w:lang w:val="en-GB"/>
        </w:rPr>
      </w:pPr>
    </w:p>
    <w:p w14:paraId="0BAF5B8C" w14:textId="6157BBC3" w:rsidR="00F35F6F" w:rsidRDefault="00F35F6F">
      <w:pPr>
        <w:rPr>
          <w:rFonts w:ascii="Times New Roman" w:hAnsi="Times New Roman" w:cs="Times New Roman"/>
          <w:sz w:val="24"/>
          <w:szCs w:val="24"/>
          <w:lang w:val="en-GB"/>
        </w:rPr>
      </w:pPr>
    </w:p>
    <w:p w14:paraId="7DCB00A0" w14:textId="6FE403B1" w:rsidR="00F35F6F" w:rsidRDefault="00F35F6F">
      <w:pPr>
        <w:rPr>
          <w:rFonts w:ascii="Times New Roman" w:hAnsi="Times New Roman" w:cs="Times New Roman"/>
          <w:sz w:val="24"/>
          <w:szCs w:val="24"/>
          <w:lang w:val="en-GB"/>
        </w:rPr>
      </w:pPr>
    </w:p>
    <w:p w14:paraId="196E8A06" w14:textId="40B1D13C" w:rsidR="00F35F6F" w:rsidRDefault="00F35F6F">
      <w:pPr>
        <w:rPr>
          <w:rFonts w:ascii="Times New Roman" w:hAnsi="Times New Roman" w:cs="Times New Roman"/>
          <w:sz w:val="24"/>
          <w:szCs w:val="24"/>
          <w:lang w:val="en-GB"/>
        </w:rPr>
      </w:pPr>
    </w:p>
    <w:p w14:paraId="00B4C876" w14:textId="327B0C4B" w:rsidR="00F35F6F" w:rsidRDefault="00F35F6F">
      <w:pPr>
        <w:rPr>
          <w:rFonts w:ascii="Times New Roman" w:hAnsi="Times New Roman" w:cs="Times New Roman"/>
          <w:sz w:val="24"/>
          <w:szCs w:val="24"/>
          <w:lang w:val="en-GB"/>
        </w:rPr>
      </w:pPr>
    </w:p>
    <w:p w14:paraId="35936048" w14:textId="71E170A0" w:rsidR="00F35F6F" w:rsidRDefault="00F35F6F">
      <w:pPr>
        <w:rPr>
          <w:rFonts w:ascii="Times New Roman" w:hAnsi="Times New Roman" w:cs="Times New Roman"/>
          <w:sz w:val="24"/>
          <w:szCs w:val="24"/>
          <w:lang w:val="en-GB"/>
        </w:rPr>
      </w:pPr>
    </w:p>
    <w:p w14:paraId="70AA90C6" w14:textId="5A80F670" w:rsidR="00F35F6F" w:rsidRDefault="00F35F6F">
      <w:pPr>
        <w:rPr>
          <w:rFonts w:ascii="Times New Roman" w:hAnsi="Times New Roman" w:cs="Times New Roman"/>
          <w:sz w:val="24"/>
          <w:szCs w:val="24"/>
          <w:lang w:val="en-GB"/>
        </w:rPr>
      </w:pPr>
    </w:p>
    <w:p w14:paraId="207AFFEE" w14:textId="29B90DC0" w:rsidR="00F35F6F" w:rsidRDefault="00F35F6F">
      <w:pPr>
        <w:rPr>
          <w:rFonts w:ascii="Times New Roman" w:hAnsi="Times New Roman" w:cs="Times New Roman"/>
          <w:sz w:val="24"/>
          <w:szCs w:val="24"/>
          <w:lang w:val="en-GB"/>
        </w:rPr>
      </w:pPr>
    </w:p>
    <w:p w14:paraId="3B5152BF" w14:textId="39E0349E" w:rsidR="00F35F6F" w:rsidRDefault="00F35F6F">
      <w:pPr>
        <w:rPr>
          <w:rFonts w:ascii="Times New Roman" w:hAnsi="Times New Roman" w:cs="Times New Roman"/>
          <w:sz w:val="24"/>
          <w:szCs w:val="24"/>
          <w:lang w:val="en-GB"/>
        </w:rPr>
      </w:pPr>
    </w:p>
    <w:p w14:paraId="694F52F5" w14:textId="232E7EBC" w:rsidR="00F35F6F" w:rsidRDefault="00F35F6F">
      <w:pPr>
        <w:rPr>
          <w:rFonts w:ascii="Times New Roman" w:hAnsi="Times New Roman" w:cs="Times New Roman"/>
          <w:sz w:val="24"/>
          <w:szCs w:val="24"/>
          <w:lang w:val="en-GB"/>
        </w:rPr>
      </w:pPr>
    </w:p>
    <w:p w14:paraId="49C0C431" w14:textId="03337A19" w:rsidR="00F35F6F" w:rsidRDefault="00F35F6F">
      <w:pPr>
        <w:rPr>
          <w:rFonts w:ascii="Times New Roman" w:hAnsi="Times New Roman" w:cs="Times New Roman"/>
          <w:sz w:val="24"/>
          <w:szCs w:val="24"/>
          <w:lang w:val="en-GB"/>
        </w:rPr>
      </w:pPr>
    </w:p>
    <w:p w14:paraId="7F35DBAB" w14:textId="77777777" w:rsidR="00EF4D19" w:rsidRDefault="00EF4D19">
      <w:pPr>
        <w:rPr>
          <w:rFonts w:ascii="Segoe UI" w:hAnsi="Segoe UI" w:cs="Segoe UI"/>
          <w:b/>
          <w:bCs/>
          <w:szCs w:val="20"/>
          <w:lang w:val="en-GB"/>
        </w:rPr>
        <w:sectPr w:rsidR="00EF4D19">
          <w:footerReference w:type="default" r:id="rId8"/>
          <w:pgSz w:w="12240" w:h="15840"/>
          <w:pgMar w:top="1440" w:right="1440" w:bottom="1440" w:left="1440" w:header="720" w:footer="720" w:gutter="0"/>
          <w:cols w:space="720"/>
          <w:docGrid w:linePitch="360"/>
        </w:sectPr>
      </w:pPr>
    </w:p>
    <w:p w14:paraId="4CB930A6" w14:textId="7711C169" w:rsidR="00F35F6F" w:rsidRPr="00943933" w:rsidRDefault="00F35F6F">
      <w:pPr>
        <w:rPr>
          <w:rFonts w:ascii="Segoe UI" w:hAnsi="Segoe UI" w:cs="Segoe UI"/>
          <w:sz w:val="28"/>
          <w:szCs w:val="24"/>
          <w:lang w:val="en-GB"/>
        </w:rPr>
      </w:pPr>
      <w:r w:rsidRPr="00943933">
        <w:rPr>
          <w:rFonts w:ascii="Segoe UI" w:hAnsi="Segoe UI" w:cs="Segoe UI"/>
          <w:b/>
          <w:bCs/>
          <w:szCs w:val="20"/>
          <w:lang w:val="en-GB"/>
        </w:rPr>
        <w:lastRenderedPageBreak/>
        <w:t>Section 1: Search strategy</w:t>
      </w:r>
    </w:p>
    <w:p w14:paraId="2E483382" w14:textId="77777777" w:rsidR="002634A6" w:rsidRPr="00943933" w:rsidRDefault="002634A6" w:rsidP="002634A6">
      <w:pPr>
        <w:rPr>
          <w:rFonts w:ascii="Segoe UI" w:hAnsi="Segoe UI" w:cs="Segoe UI"/>
          <w:sz w:val="20"/>
          <w:szCs w:val="20"/>
        </w:rPr>
      </w:pPr>
      <w:r w:rsidRPr="00943933">
        <w:rPr>
          <w:rFonts w:ascii="Segoe UI" w:hAnsi="Segoe UI" w:cs="Segoe UI"/>
          <w:sz w:val="20"/>
          <w:szCs w:val="20"/>
        </w:rPr>
        <w:t>Search date: 19 November 2019</w:t>
      </w:r>
    </w:p>
    <w:p w14:paraId="22ECDBB1" w14:textId="77777777" w:rsidR="002634A6" w:rsidRPr="00943933" w:rsidRDefault="002634A6" w:rsidP="002634A6">
      <w:pPr>
        <w:pStyle w:val="ListParagraph"/>
        <w:numPr>
          <w:ilvl w:val="0"/>
          <w:numId w:val="2"/>
        </w:numPr>
        <w:suppressAutoHyphens/>
        <w:autoSpaceDN w:val="0"/>
        <w:spacing w:line="276" w:lineRule="auto"/>
        <w:contextualSpacing w:val="0"/>
        <w:textAlignment w:val="baseline"/>
        <w:rPr>
          <w:rFonts w:ascii="Segoe UI" w:hAnsi="Segoe UI" w:cs="Segoe UI"/>
          <w:sz w:val="20"/>
          <w:szCs w:val="20"/>
        </w:rPr>
      </w:pPr>
      <w:r w:rsidRPr="00943933">
        <w:rPr>
          <w:rFonts w:ascii="Segoe UI" w:hAnsi="Segoe UI" w:cs="Segoe UI"/>
          <w:sz w:val="20"/>
          <w:szCs w:val="20"/>
        </w:rPr>
        <w:t xml:space="preserve">Machine Learning[MeSH Terms] </w:t>
      </w:r>
    </w:p>
    <w:p w14:paraId="73B4EA7E" w14:textId="77777777" w:rsidR="002634A6" w:rsidRPr="00943933" w:rsidRDefault="002634A6" w:rsidP="002634A6">
      <w:pPr>
        <w:pStyle w:val="ListParagraph"/>
        <w:numPr>
          <w:ilvl w:val="0"/>
          <w:numId w:val="2"/>
        </w:numPr>
        <w:suppressAutoHyphens/>
        <w:autoSpaceDN w:val="0"/>
        <w:spacing w:line="276" w:lineRule="auto"/>
        <w:contextualSpacing w:val="0"/>
        <w:textAlignment w:val="baseline"/>
        <w:rPr>
          <w:rFonts w:ascii="Segoe UI" w:hAnsi="Segoe UI" w:cs="Segoe UI"/>
          <w:sz w:val="20"/>
          <w:szCs w:val="20"/>
        </w:rPr>
      </w:pPr>
      <w:r w:rsidRPr="00943933">
        <w:rPr>
          <w:rFonts w:ascii="Segoe UI" w:hAnsi="Segoe UI" w:cs="Segoe UI"/>
          <w:sz w:val="20"/>
          <w:szCs w:val="20"/>
        </w:rPr>
        <w:t>Deep learning[MeSH Terms]</w:t>
      </w:r>
    </w:p>
    <w:p w14:paraId="7E94D1C4" w14:textId="77777777" w:rsidR="002634A6" w:rsidRPr="00943933" w:rsidRDefault="002634A6" w:rsidP="002634A6">
      <w:pPr>
        <w:pStyle w:val="ListParagraph"/>
        <w:numPr>
          <w:ilvl w:val="0"/>
          <w:numId w:val="2"/>
        </w:numPr>
        <w:suppressAutoHyphens/>
        <w:autoSpaceDN w:val="0"/>
        <w:spacing w:line="276" w:lineRule="auto"/>
        <w:contextualSpacing w:val="0"/>
        <w:textAlignment w:val="baseline"/>
        <w:rPr>
          <w:rFonts w:ascii="Segoe UI" w:hAnsi="Segoe UI" w:cs="Segoe UI"/>
          <w:sz w:val="20"/>
          <w:szCs w:val="20"/>
        </w:rPr>
      </w:pPr>
      <w:r w:rsidRPr="00943933">
        <w:rPr>
          <w:rFonts w:ascii="Segoe UI" w:hAnsi="Segoe UI" w:cs="Segoe UI"/>
          <w:bCs/>
          <w:color w:val="000000"/>
          <w:sz w:val="20"/>
          <w:szCs w:val="20"/>
          <w:shd w:val="clear" w:color="auto" w:fill="FFFFFF"/>
        </w:rPr>
        <w:t>supervised machine learning[MeSH Terms]</w:t>
      </w:r>
    </w:p>
    <w:p w14:paraId="2E403EEB" w14:textId="77777777" w:rsidR="002634A6" w:rsidRPr="00943933" w:rsidRDefault="002634A6" w:rsidP="002634A6">
      <w:pPr>
        <w:pStyle w:val="ListParagraph"/>
        <w:numPr>
          <w:ilvl w:val="0"/>
          <w:numId w:val="2"/>
        </w:numPr>
        <w:suppressAutoHyphens/>
        <w:autoSpaceDN w:val="0"/>
        <w:spacing w:line="276" w:lineRule="auto"/>
        <w:contextualSpacing w:val="0"/>
        <w:textAlignment w:val="baseline"/>
        <w:rPr>
          <w:rFonts w:ascii="Segoe UI" w:hAnsi="Segoe UI" w:cs="Segoe UI"/>
          <w:sz w:val="20"/>
          <w:szCs w:val="20"/>
        </w:rPr>
      </w:pPr>
      <w:r w:rsidRPr="00943933">
        <w:rPr>
          <w:rFonts w:ascii="Segoe UI" w:hAnsi="Segoe UI" w:cs="Segoe UI"/>
          <w:bCs/>
          <w:color w:val="000000"/>
          <w:sz w:val="20"/>
          <w:szCs w:val="20"/>
          <w:shd w:val="clear" w:color="auto" w:fill="FFFFFF"/>
        </w:rPr>
        <w:t>"Neural Networks, Computer"[Mesh]</w:t>
      </w:r>
    </w:p>
    <w:p w14:paraId="71BA9ACE" w14:textId="77777777" w:rsidR="002634A6" w:rsidRPr="00943933" w:rsidRDefault="002634A6" w:rsidP="002634A6">
      <w:pPr>
        <w:pStyle w:val="ListParagraph"/>
        <w:numPr>
          <w:ilvl w:val="0"/>
          <w:numId w:val="2"/>
        </w:numPr>
        <w:suppressAutoHyphens/>
        <w:autoSpaceDN w:val="0"/>
        <w:spacing w:line="276" w:lineRule="auto"/>
        <w:contextualSpacing w:val="0"/>
        <w:textAlignment w:val="baseline"/>
        <w:rPr>
          <w:rFonts w:ascii="Segoe UI" w:hAnsi="Segoe UI" w:cs="Segoe UI"/>
          <w:sz w:val="20"/>
          <w:szCs w:val="20"/>
        </w:rPr>
      </w:pPr>
      <w:r w:rsidRPr="00943933">
        <w:rPr>
          <w:rFonts w:ascii="Segoe UI" w:hAnsi="Segoe UI" w:cs="Segoe UI"/>
          <w:bCs/>
          <w:color w:val="000000"/>
          <w:sz w:val="20"/>
          <w:szCs w:val="20"/>
          <w:shd w:val="clear" w:color="auto" w:fill="FFFFFF"/>
        </w:rPr>
        <w:t>data mining[MeSH Terms]</w:t>
      </w:r>
    </w:p>
    <w:p w14:paraId="1ED1BE15" w14:textId="77777777" w:rsidR="002634A6" w:rsidRPr="00943933" w:rsidRDefault="002634A6" w:rsidP="002634A6">
      <w:pPr>
        <w:pStyle w:val="ListParagraph"/>
        <w:numPr>
          <w:ilvl w:val="0"/>
          <w:numId w:val="2"/>
        </w:numPr>
        <w:suppressAutoHyphens/>
        <w:autoSpaceDN w:val="0"/>
        <w:spacing w:line="276" w:lineRule="auto"/>
        <w:contextualSpacing w:val="0"/>
        <w:textAlignment w:val="baseline"/>
        <w:rPr>
          <w:rFonts w:ascii="Segoe UI" w:hAnsi="Segoe UI" w:cs="Segoe UI"/>
          <w:sz w:val="20"/>
          <w:szCs w:val="20"/>
        </w:rPr>
      </w:pPr>
      <w:r w:rsidRPr="00943933">
        <w:rPr>
          <w:rFonts w:ascii="Segoe UI" w:hAnsi="Segoe UI" w:cs="Segoe UI"/>
          <w:bCs/>
          <w:color w:val="000000"/>
          <w:sz w:val="20"/>
          <w:szCs w:val="20"/>
          <w:shd w:val="clear" w:color="auto" w:fill="FFFFFF"/>
        </w:rPr>
        <w:t>machine[tiab] AND (learn* OR model*)</w:t>
      </w:r>
    </w:p>
    <w:p w14:paraId="6F75FF2C" w14:textId="02C0507C" w:rsidR="002634A6" w:rsidRPr="00943933" w:rsidRDefault="002634A6" w:rsidP="002634A6">
      <w:pPr>
        <w:pStyle w:val="ListParagraph"/>
        <w:numPr>
          <w:ilvl w:val="0"/>
          <w:numId w:val="2"/>
        </w:numPr>
        <w:suppressAutoHyphens/>
        <w:autoSpaceDN w:val="0"/>
        <w:spacing w:line="276" w:lineRule="auto"/>
        <w:contextualSpacing w:val="0"/>
        <w:textAlignment w:val="baseline"/>
        <w:rPr>
          <w:rFonts w:ascii="Segoe UI" w:hAnsi="Segoe UI" w:cs="Segoe UI"/>
          <w:sz w:val="20"/>
          <w:szCs w:val="20"/>
        </w:rPr>
      </w:pPr>
      <w:r w:rsidRPr="00943933">
        <w:rPr>
          <w:rFonts w:ascii="Segoe UI" w:hAnsi="Segoe UI" w:cs="Segoe UI"/>
          <w:bCs/>
          <w:color w:val="000000"/>
          <w:sz w:val="20"/>
          <w:szCs w:val="20"/>
          <w:shd w:val="clear" w:color="auto" w:fill="FFFFFF"/>
        </w:rPr>
        <w:t>(statistical[tiab] OR "statistical</w:t>
      </w:r>
      <w:r w:rsidR="00240C69" w:rsidRPr="00943933">
        <w:rPr>
          <w:rFonts w:ascii="Segoe UI" w:hAnsi="Segoe UI" w:cs="Segoe UI"/>
          <w:bCs/>
          <w:color w:val="000000"/>
          <w:sz w:val="20"/>
          <w:szCs w:val="20"/>
          <w:shd w:val="clear" w:color="auto" w:fill="FFFFFF"/>
        </w:rPr>
        <w:t xml:space="preserve"> to </w:t>
      </w:r>
      <w:r w:rsidRPr="00943933">
        <w:rPr>
          <w:rFonts w:ascii="Segoe UI" w:hAnsi="Segoe UI" w:cs="Segoe UI"/>
          <w:bCs/>
          <w:color w:val="000000"/>
          <w:sz w:val="20"/>
          <w:szCs w:val="20"/>
          <w:shd w:val="clear" w:color="auto" w:fill="FFFFFF"/>
        </w:rPr>
        <w:t>learning"[tiab]) AND ( strateg*[tiab])</w:t>
      </w:r>
    </w:p>
    <w:p w14:paraId="1CCB2922" w14:textId="77777777" w:rsidR="002634A6" w:rsidRPr="00943933" w:rsidRDefault="002634A6" w:rsidP="002634A6">
      <w:pPr>
        <w:pStyle w:val="ListParagraph"/>
        <w:numPr>
          <w:ilvl w:val="0"/>
          <w:numId w:val="2"/>
        </w:numPr>
        <w:suppressAutoHyphens/>
        <w:autoSpaceDN w:val="0"/>
        <w:spacing w:line="276" w:lineRule="auto"/>
        <w:contextualSpacing w:val="0"/>
        <w:textAlignment w:val="baseline"/>
        <w:rPr>
          <w:rFonts w:ascii="Segoe UI" w:hAnsi="Segoe UI" w:cs="Segoe UI"/>
          <w:sz w:val="20"/>
          <w:szCs w:val="20"/>
        </w:rPr>
      </w:pPr>
      <w:r w:rsidRPr="00943933">
        <w:rPr>
          <w:rFonts w:ascii="Segoe UI" w:hAnsi="Segoe UI" w:cs="Segoe UI"/>
          <w:bCs/>
          <w:color w:val="000000"/>
          <w:sz w:val="20"/>
          <w:szCs w:val="20"/>
          <w:shd w:val="clear" w:color="auto" w:fill="FFFFFF"/>
        </w:rPr>
        <w:t xml:space="preserve">multilayer perceptron*[tiab]  OR random forest*[tiab]  OR bayes* network*[tiab]  OR support vector machine*[tiab]  OR nearest neighbor*[tiab]  OR k nearest neighbor*[tiab]  OR elastic net[tiab]  OR naive bayes*[tiab] </w:t>
      </w:r>
    </w:p>
    <w:p w14:paraId="38F5B16D" w14:textId="77777777" w:rsidR="002634A6" w:rsidRPr="00943933" w:rsidRDefault="002634A6" w:rsidP="002634A6">
      <w:pPr>
        <w:pStyle w:val="ListParagraph"/>
        <w:numPr>
          <w:ilvl w:val="0"/>
          <w:numId w:val="2"/>
        </w:numPr>
        <w:suppressAutoHyphens/>
        <w:autoSpaceDN w:val="0"/>
        <w:spacing w:line="276" w:lineRule="auto"/>
        <w:contextualSpacing w:val="0"/>
        <w:textAlignment w:val="baseline"/>
        <w:rPr>
          <w:rFonts w:ascii="Segoe UI" w:hAnsi="Segoe UI" w:cs="Segoe UI"/>
          <w:sz w:val="20"/>
          <w:szCs w:val="20"/>
        </w:rPr>
      </w:pPr>
      <w:r w:rsidRPr="00943933">
        <w:rPr>
          <w:rFonts w:ascii="Segoe UI" w:hAnsi="Segoe UI" w:cs="Segoe UI"/>
          <w:bCs/>
          <w:color w:val="000000"/>
          <w:sz w:val="20"/>
          <w:szCs w:val="20"/>
          <w:shd w:val="clear" w:color="auto" w:fill="FFFFFF"/>
        </w:rPr>
        <w:t>(classification[tiab]  OR regression[tiab]  OR estimation[tiab]  OR decision[tiab]) AND tree[tiab]</w:t>
      </w:r>
    </w:p>
    <w:p w14:paraId="44A485A7" w14:textId="77777777" w:rsidR="002634A6" w:rsidRPr="00943933" w:rsidRDefault="002634A6" w:rsidP="002634A6">
      <w:pPr>
        <w:pStyle w:val="ListParagraph"/>
        <w:numPr>
          <w:ilvl w:val="0"/>
          <w:numId w:val="2"/>
        </w:numPr>
        <w:suppressAutoHyphens/>
        <w:autoSpaceDN w:val="0"/>
        <w:spacing w:line="276" w:lineRule="auto"/>
        <w:contextualSpacing w:val="0"/>
        <w:textAlignment w:val="baseline"/>
        <w:rPr>
          <w:rFonts w:ascii="Segoe UI" w:hAnsi="Segoe UI" w:cs="Segoe UI"/>
          <w:sz w:val="20"/>
          <w:szCs w:val="20"/>
        </w:rPr>
      </w:pPr>
      <w:r w:rsidRPr="00943933">
        <w:rPr>
          <w:rFonts w:ascii="Segoe UI" w:hAnsi="Segoe UI" w:cs="Segoe UI"/>
          <w:bCs/>
          <w:color w:val="000000"/>
          <w:sz w:val="20"/>
          <w:szCs w:val="20"/>
          <w:shd w:val="clear" w:color="auto" w:fill="FFFFFF"/>
        </w:rPr>
        <w:t>ridge[tiab] OR kernel[tiab]  OR ensemble[tiab]  OR bagging[tiab]  OR bagged[tiab]  OR boosting[tiab]  OR boosted[tiab]  OR fuzzy[tiab]</w:t>
      </w:r>
    </w:p>
    <w:p w14:paraId="76A83673" w14:textId="77777777" w:rsidR="002634A6" w:rsidRPr="00943933" w:rsidRDefault="002634A6" w:rsidP="002634A6">
      <w:pPr>
        <w:pStyle w:val="ListParagraph"/>
        <w:numPr>
          <w:ilvl w:val="0"/>
          <w:numId w:val="2"/>
        </w:numPr>
        <w:suppressAutoHyphens/>
        <w:autoSpaceDN w:val="0"/>
        <w:spacing w:line="276" w:lineRule="auto"/>
        <w:contextualSpacing w:val="0"/>
        <w:textAlignment w:val="baseline"/>
        <w:rPr>
          <w:rFonts w:ascii="Segoe UI" w:hAnsi="Segoe UI" w:cs="Segoe UI"/>
          <w:sz w:val="20"/>
          <w:szCs w:val="20"/>
        </w:rPr>
      </w:pPr>
      <w:r w:rsidRPr="00943933">
        <w:rPr>
          <w:rFonts w:ascii="Segoe UI" w:hAnsi="Segoe UI" w:cs="Segoe UI"/>
          <w:bCs/>
          <w:noProof/>
          <w:color w:val="000000"/>
          <w:sz w:val="20"/>
          <w:szCs w:val="20"/>
          <w:lang w:val="nl-NL" w:eastAsia="nl-NL"/>
        </w:rPr>
        <mc:AlternateContent>
          <mc:Choice Requires="wps">
            <w:drawing>
              <wp:anchor distT="0" distB="0" distL="114300" distR="114300" simplePos="0" relativeHeight="251659264" behindDoc="0" locked="0" layoutInCell="1" allowOverlap="1" wp14:anchorId="29EA53F9" wp14:editId="1DA44649">
                <wp:simplePos x="0" y="0"/>
                <wp:positionH relativeFrom="column">
                  <wp:posOffset>237487</wp:posOffset>
                </wp:positionH>
                <wp:positionV relativeFrom="paragraph">
                  <wp:posOffset>170178</wp:posOffset>
                </wp:positionV>
                <wp:extent cx="5613401" cy="0"/>
                <wp:effectExtent l="0" t="0" r="0" b="0"/>
                <wp:wrapNone/>
                <wp:docPr id="1" name="Straight Connector 6"/>
                <wp:cNvGraphicFramePr/>
                <a:graphic xmlns:a="http://schemas.openxmlformats.org/drawingml/2006/main">
                  <a:graphicData uri="http://schemas.microsoft.com/office/word/2010/wordprocessingShape">
                    <wps:wsp>
                      <wps:cNvCnPr/>
                      <wps:spPr>
                        <a:xfrm>
                          <a:off x="0" y="0"/>
                          <a:ext cx="5613401" cy="0"/>
                        </a:xfrm>
                        <a:prstGeom prst="straightConnector1">
                          <a:avLst/>
                        </a:prstGeom>
                        <a:noFill/>
                        <a:ln w="9528">
                          <a:solidFill>
                            <a:srgbClr val="000000"/>
                          </a:solidFill>
                          <a:prstDash val="solid"/>
                        </a:ln>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68865C41" id="_x0000_t32" coordsize="21600,21600" o:spt="32" o:oned="t" path="m,l21600,21600e" filled="f">
                <v:path arrowok="t" fillok="f" o:connecttype="none"/>
                <o:lock v:ext="edit" shapetype="t"/>
              </v:shapetype>
              <v:shape id="Straight Connector 6" o:spid="_x0000_s1026" type="#_x0000_t32" style="position:absolute;margin-left:18.7pt;margin-top:13.4pt;width:442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" strokeweight=".26467mm"/>
            </w:pict>
          </mc:Fallback>
        </mc:AlternateContent>
      </w:r>
      <w:r w:rsidRPr="00943933">
        <w:rPr>
          <w:rFonts w:ascii="Segoe UI" w:hAnsi="Segoe UI" w:cs="Segoe UI"/>
          <w:bCs/>
          <w:color w:val="000000"/>
          <w:sz w:val="20"/>
          <w:szCs w:val="20"/>
          <w:shd w:val="clear" w:color="auto" w:fill="FFFFFF"/>
        </w:rPr>
        <w:t>#1 OR #2 OR #3 OR #4 OR #5 OR #6 OR #7 OR #8 OR #9 OR #10</w:t>
      </w:r>
    </w:p>
    <w:p w14:paraId="2E3DD15D" w14:textId="50A420A3" w:rsidR="002634A6" w:rsidRPr="00943933" w:rsidRDefault="002634A6" w:rsidP="002634A6">
      <w:pPr>
        <w:pStyle w:val="ListParagraph"/>
        <w:numPr>
          <w:ilvl w:val="0"/>
          <w:numId w:val="2"/>
        </w:numPr>
        <w:suppressAutoHyphens/>
        <w:autoSpaceDN w:val="0"/>
        <w:spacing w:line="276" w:lineRule="auto"/>
        <w:contextualSpacing w:val="0"/>
        <w:textAlignment w:val="baseline"/>
        <w:rPr>
          <w:rFonts w:ascii="Segoe UI" w:hAnsi="Segoe UI" w:cs="Segoe UI"/>
          <w:sz w:val="20"/>
          <w:szCs w:val="20"/>
        </w:rPr>
      </w:pPr>
      <w:r w:rsidRPr="00943933">
        <w:rPr>
          <w:rFonts w:ascii="Segoe UI" w:hAnsi="Segoe UI" w:cs="Segoe UI"/>
          <w:bCs/>
          <w:color w:val="000000"/>
          <w:sz w:val="20"/>
          <w:szCs w:val="20"/>
          <w:shd w:val="clear" w:color="auto" w:fill="FFFFFF"/>
        </w:rPr>
        <w:t>(Validat* OR Predict* OR Rule*)</w:t>
      </w:r>
      <w:r w:rsidR="00F84728" w:rsidRPr="00943933">
        <w:rPr>
          <w:rFonts w:ascii="Segoe UI" w:hAnsi="Segoe UI" w:cs="Segoe UI"/>
          <w:bCs/>
          <w:color w:val="000000"/>
          <w:sz w:val="20"/>
          <w:szCs w:val="20"/>
          <w:shd w:val="clear" w:color="auto" w:fill="FFFFFF"/>
        </w:rPr>
        <w:t>.</w:t>
      </w:r>
      <w:r w:rsidRPr="00943933">
        <w:rPr>
          <w:rFonts w:ascii="Segoe UI" w:hAnsi="Segoe UI" w:cs="Segoe UI"/>
          <w:bCs/>
          <w:color w:val="000000"/>
          <w:sz w:val="20"/>
          <w:szCs w:val="20"/>
          <w:shd w:val="clear" w:color="auto" w:fill="FFFFFF"/>
        </w:rPr>
        <w:t xml:space="preserve"> [tiab]</w:t>
      </w:r>
    </w:p>
    <w:p w14:paraId="1495B2BB" w14:textId="66E9A867" w:rsidR="002634A6" w:rsidRPr="00943933" w:rsidRDefault="002634A6" w:rsidP="002634A6">
      <w:pPr>
        <w:pStyle w:val="ListParagraph"/>
        <w:numPr>
          <w:ilvl w:val="0"/>
          <w:numId w:val="2"/>
        </w:numPr>
        <w:suppressAutoHyphens/>
        <w:autoSpaceDN w:val="0"/>
        <w:spacing w:line="276" w:lineRule="auto"/>
        <w:contextualSpacing w:val="0"/>
        <w:textAlignment w:val="baseline"/>
        <w:rPr>
          <w:rFonts w:ascii="Segoe UI" w:hAnsi="Segoe UI" w:cs="Segoe UI"/>
          <w:sz w:val="20"/>
          <w:szCs w:val="20"/>
        </w:rPr>
      </w:pPr>
      <w:r w:rsidRPr="00943933">
        <w:rPr>
          <w:rFonts w:ascii="Segoe UI" w:hAnsi="Segoe UI" w:cs="Segoe UI"/>
          <w:bCs/>
          <w:color w:val="000000"/>
          <w:sz w:val="20"/>
          <w:szCs w:val="20"/>
          <w:shd w:val="clear" w:color="auto" w:fill="FFFFFF"/>
        </w:rPr>
        <w:t>(Predict* AND (Outcome* OR Risk* OR Model*)</w:t>
      </w:r>
      <w:r w:rsidR="00F84728" w:rsidRPr="00943933">
        <w:rPr>
          <w:rFonts w:ascii="Segoe UI" w:hAnsi="Segoe UI" w:cs="Segoe UI"/>
          <w:bCs/>
          <w:color w:val="000000"/>
          <w:sz w:val="20"/>
          <w:szCs w:val="20"/>
          <w:shd w:val="clear" w:color="auto" w:fill="FFFFFF"/>
        </w:rPr>
        <w:t>.</w:t>
      </w:r>
      <w:r w:rsidRPr="00943933">
        <w:rPr>
          <w:rFonts w:ascii="Segoe UI" w:hAnsi="Segoe UI" w:cs="Segoe UI"/>
          <w:bCs/>
          <w:color w:val="000000"/>
          <w:sz w:val="20"/>
          <w:szCs w:val="20"/>
          <w:shd w:val="clear" w:color="auto" w:fill="FFFFFF"/>
        </w:rPr>
        <w:t xml:space="preserve"> [tiab] </w:t>
      </w:r>
    </w:p>
    <w:p w14:paraId="4DF67085" w14:textId="5B1CC737" w:rsidR="002634A6" w:rsidRPr="00943933" w:rsidRDefault="002634A6" w:rsidP="002634A6">
      <w:pPr>
        <w:pStyle w:val="ListParagraph"/>
        <w:numPr>
          <w:ilvl w:val="0"/>
          <w:numId w:val="2"/>
        </w:numPr>
        <w:suppressAutoHyphens/>
        <w:autoSpaceDN w:val="0"/>
        <w:spacing w:line="276" w:lineRule="auto"/>
        <w:contextualSpacing w:val="0"/>
        <w:textAlignment w:val="baseline"/>
        <w:rPr>
          <w:rFonts w:ascii="Segoe UI" w:hAnsi="Segoe UI" w:cs="Segoe UI"/>
          <w:sz w:val="20"/>
          <w:szCs w:val="20"/>
        </w:rPr>
      </w:pPr>
      <w:r w:rsidRPr="00943933">
        <w:rPr>
          <w:rFonts w:ascii="Segoe UI" w:hAnsi="Segoe UI" w:cs="Segoe UI"/>
          <w:bCs/>
          <w:color w:val="000000"/>
          <w:sz w:val="20"/>
          <w:szCs w:val="20"/>
          <w:shd w:val="clear" w:color="auto" w:fill="FFFFFF"/>
        </w:rPr>
        <w:t>((History OR Variable* OR Criteria OR Scor* OR Characteristic* OR Finding* OR Factor*) AND (Predict* OR Model* OR Decision* OR Identif* OR Prognos*))</w:t>
      </w:r>
      <w:r w:rsidR="00F84728" w:rsidRPr="00943933">
        <w:rPr>
          <w:rFonts w:ascii="Segoe UI" w:hAnsi="Segoe UI" w:cs="Segoe UI"/>
          <w:bCs/>
          <w:color w:val="000000"/>
          <w:sz w:val="20"/>
          <w:szCs w:val="20"/>
          <w:shd w:val="clear" w:color="auto" w:fill="FFFFFF"/>
        </w:rPr>
        <w:t>.</w:t>
      </w:r>
      <w:r w:rsidRPr="00943933">
        <w:rPr>
          <w:rFonts w:ascii="Segoe UI" w:hAnsi="Segoe UI" w:cs="Segoe UI"/>
          <w:bCs/>
          <w:color w:val="000000"/>
          <w:sz w:val="20"/>
          <w:szCs w:val="20"/>
          <w:shd w:val="clear" w:color="auto" w:fill="FFFFFF"/>
        </w:rPr>
        <w:t xml:space="preserve"> [tiab]</w:t>
      </w:r>
    </w:p>
    <w:p w14:paraId="02478E30" w14:textId="57946380" w:rsidR="002634A6" w:rsidRPr="00943933" w:rsidRDefault="002634A6" w:rsidP="002634A6">
      <w:pPr>
        <w:pStyle w:val="ListParagraph"/>
        <w:numPr>
          <w:ilvl w:val="0"/>
          <w:numId w:val="2"/>
        </w:numPr>
        <w:suppressAutoHyphens/>
        <w:autoSpaceDN w:val="0"/>
        <w:spacing w:line="276" w:lineRule="auto"/>
        <w:contextualSpacing w:val="0"/>
        <w:textAlignment w:val="baseline"/>
        <w:rPr>
          <w:rFonts w:ascii="Segoe UI" w:hAnsi="Segoe UI" w:cs="Segoe UI"/>
          <w:sz w:val="20"/>
          <w:szCs w:val="20"/>
        </w:rPr>
      </w:pPr>
      <w:r w:rsidRPr="00943933">
        <w:rPr>
          <w:rFonts w:ascii="Segoe UI" w:hAnsi="Segoe UI" w:cs="Segoe UI"/>
          <w:bCs/>
          <w:color w:val="000000"/>
          <w:sz w:val="20"/>
          <w:szCs w:val="20"/>
          <w:shd w:val="clear" w:color="auto" w:fill="FFFFFF"/>
        </w:rPr>
        <w:t>(Decision* AND (Model* OR Clinical*)</w:t>
      </w:r>
      <w:r w:rsidR="00F84728" w:rsidRPr="00943933">
        <w:rPr>
          <w:rFonts w:ascii="Segoe UI" w:hAnsi="Segoe UI" w:cs="Segoe UI"/>
          <w:bCs/>
          <w:color w:val="000000"/>
          <w:sz w:val="20"/>
          <w:szCs w:val="20"/>
          <w:shd w:val="clear" w:color="auto" w:fill="FFFFFF"/>
        </w:rPr>
        <w:t>.</w:t>
      </w:r>
      <w:r w:rsidRPr="00943933">
        <w:rPr>
          <w:rFonts w:ascii="Segoe UI" w:hAnsi="Segoe UI" w:cs="Segoe UI"/>
          <w:bCs/>
          <w:color w:val="000000"/>
          <w:sz w:val="20"/>
          <w:szCs w:val="20"/>
          <w:shd w:val="clear" w:color="auto" w:fill="FFFFFF"/>
        </w:rPr>
        <w:t xml:space="preserve"> [tiab]</w:t>
      </w:r>
    </w:p>
    <w:p w14:paraId="0E26822F" w14:textId="64ADBC77" w:rsidR="002634A6" w:rsidRPr="00943933" w:rsidRDefault="002634A6" w:rsidP="002634A6">
      <w:pPr>
        <w:pStyle w:val="ListParagraph"/>
        <w:numPr>
          <w:ilvl w:val="0"/>
          <w:numId w:val="2"/>
        </w:numPr>
        <w:suppressAutoHyphens/>
        <w:autoSpaceDN w:val="0"/>
        <w:spacing w:line="276" w:lineRule="auto"/>
        <w:contextualSpacing w:val="0"/>
        <w:textAlignment w:val="baseline"/>
        <w:rPr>
          <w:rFonts w:ascii="Segoe UI" w:hAnsi="Segoe UI" w:cs="Segoe UI"/>
          <w:sz w:val="20"/>
          <w:szCs w:val="20"/>
        </w:rPr>
      </w:pPr>
      <w:r w:rsidRPr="00943933">
        <w:rPr>
          <w:rFonts w:ascii="Segoe UI" w:hAnsi="Segoe UI" w:cs="Segoe UI"/>
          <w:bCs/>
          <w:color w:val="000000"/>
          <w:sz w:val="20"/>
          <w:szCs w:val="20"/>
          <w:shd w:val="clear" w:color="auto" w:fill="FFFFFF"/>
        </w:rPr>
        <w:t>(Prognostic AND (History OR Variable* OR Criteria OR Scor* OR Characteristic* OR Finding* OR Factor* OR Model*)</w:t>
      </w:r>
      <w:r w:rsidR="00F84728" w:rsidRPr="00943933">
        <w:rPr>
          <w:rFonts w:ascii="Segoe UI" w:hAnsi="Segoe UI" w:cs="Segoe UI"/>
          <w:bCs/>
          <w:color w:val="000000"/>
          <w:sz w:val="20"/>
          <w:szCs w:val="20"/>
          <w:shd w:val="clear" w:color="auto" w:fill="FFFFFF"/>
        </w:rPr>
        <w:t>.</w:t>
      </w:r>
      <w:r w:rsidRPr="00943933">
        <w:rPr>
          <w:rFonts w:ascii="Segoe UI" w:hAnsi="Segoe UI" w:cs="Segoe UI"/>
          <w:bCs/>
          <w:color w:val="000000"/>
          <w:sz w:val="20"/>
          <w:szCs w:val="20"/>
          <w:shd w:val="clear" w:color="auto" w:fill="FFFFFF"/>
        </w:rPr>
        <w:t xml:space="preserve"> [tiab]</w:t>
      </w:r>
    </w:p>
    <w:p w14:paraId="765D0822" w14:textId="77777777" w:rsidR="002634A6" w:rsidRPr="00943933" w:rsidRDefault="002634A6" w:rsidP="002634A6">
      <w:pPr>
        <w:pStyle w:val="ListParagraph"/>
        <w:numPr>
          <w:ilvl w:val="0"/>
          <w:numId w:val="2"/>
        </w:numPr>
        <w:suppressAutoHyphens/>
        <w:autoSpaceDN w:val="0"/>
        <w:spacing w:line="276" w:lineRule="auto"/>
        <w:contextualSpacing w:val="0"/>
        <w:textAlignment w:val="baseline"/>
        <w:rPr>
          <w:rFonts w:ascii="Segoe UI" w:hAnsi="Segoe UI" w:cs="Segoe UI"/>
          <w:sz w:val="20"/>
          <w:szCs w:val="20"/>
        </w:rPr>
      </w:pPr>
      <w:r w:rsidRPr="00943933">
        <w:rPr>
          <w:rFonts w:ascii="Segoe UI" w:hAnsi="Segoe UI" w:cs="Segoe UI"/>
          <w:bCs/>
          <w:noProof/>
          <w:color w:val="000000"/>
          <w:sz w:val="20"/>
          <w:szCs w:val="20"/>
          <w:lang w:val="nl-NL" w:eastAsia="nl-NL"/>
        </w:rPr>
        <mc:AlternateContent>
          <mc:Choice Requires="wps">
            <w:drawing>
              <wp:anchor distT="0" distB="0" distL="114300" distR="114300" simplePos="0" relativeHeight="251661312" behindDoc="0" locked="0" layoutInCell="1" allowOverlap="1" wp14:anchorId="4229154B" wp14:editId="3D22AF9E">
                <wp:simplePos x="0" y="0"/>
                <wp:positionH relativeFrom="column">
                  <wp:posOffset>198753</wp:posOffset>
                </wp:positionH>
                <wp:positionV relativeFrom="paragraph">
                  <wp:posOffset>146688</wp:posOffset>
                </wp:positionV>
                <wp:extent cx="5613402" cy="0"/>
                <wp:effectExtent l="0" t="0" r="0" b="0"/>
                <wp:wrapNone/>
                <wp:docPr id="2" name="Straight Connector 7"/>
                <wp:cNvGraphicFramePr/>
                <a:graphic xmlns:a="http://schemas.openxmlformats.org/drawingml/2006/main">
                  <a:graphicData uri="http://schemas.microsoft.com/office/word/2010/wordprocessingShape">
                    <wps:wsp>
                      <wps:cNvCnPr/>
                      <wps:spPr>
                        <a:xfrm>
                          <a:off x="0" y="0"/>
                          <a:ext cx="5613402" cy="0"/>
                        </a:xfrm>
                        <a:prstGeom prst="straightConnector1">
                          <a:avLst/>
                        </a:prstGeom>
                        <a:noFill/>
                        <a:ln w="9528">
                          <a:solidFill>
                            <a:srgbClr val="000000"/>
                          </a:solidFill>
                          <a:prstDash val="solid"/>
                        </a:ln>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14AD6C2B" id="Straight Connector 7" o:spid="_x0000_s1026" type="#_x0000_t32" style="position:absolute;margin-left:15.65pt;margin-top:11.55pt;width:442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" strokeweight=".26467mm"/>
            </w:pict>
          </mc:Fallback>
        </mc:AlternateContent>
      </w:r>
      <w:r w:rsidRPr="00943933">
        <w:rPr>
          <w:rFonts w:ascii="Segoe UI" w:hAnsi="Segoe UI" w:cs="Segoe UI"/>
          <w:bCs/>
          <w:color w:val="000000"/>
          <w:sz w:val="20"/>
          <w:szCs w:val="20"/>
          <w:shd w:val="clear" w:color="auto" w:fill="FFFFFF"/>
        </w:rPr>
        <w:t xml:space="preserve">#12 OR #13 OR #14 OR #15 OR #16 </w:t>
      </w:r>
    </w:p>
    <w:p w14:paraId="6A0E06FF" w14:textId="77777777" w:rsidR="002634A6" w:rsidRPr="00943933" w:rsidRDefault="002634A6" w:rsidP="002634A6">
      <w:pPr>
        <w:pStyle w:val="ListParagraph"/>
        <w:numPr>
          <w:ilvl w:val="0"/>
          <w:numId w:val="2"/>
        </w:numPr>
        <w:suppressAutoHyphens/>
        <w:autoSpaceDN w:val="0"/>
        <w:spacing w:line="276" w:lineRule="auto"/>
        <w:contextualSpacing w:val="0"/>
        <w:textAlignment w:val="baseline"/>
        <w:rPr>
          <w:rFonts w:ascii="Segoe UI" w:hAnsi="Segoe UI" w:cs="Segoe UI"/>
          <w:sz w:val="20"/>
          <w:szCs w:val="20"/>
        </w:rPr>
      </w:pPr>
      <w:r w:rsidRPr="00943933">
        <w:rPr>
          <w:rFonts w:ascii="Segoe UI" w:hAnsi="Segoe UI" w:cs="Segoe UI"/>
          <w:bCs/>
          <w:color w:val="000000"/>
          <w:sz w:val="20"/>
          <w:szCs w:val="20"/>
          <w:shd w:val="clear" w:color="auto" w:fill="FFFFFF"/>
        </w:rPr>
        <w:t>(discrimination[tiab]  OR discriminative[tiab]  OR discriminatory[tiab]) AND (accuracy[tiab]  OR ability[tiab]  OR performance[tiab]  OR value[tiab] OR model[tiab]  OR models[tiab]  OR power[tiab]  OR capacity[tiab]  OR capabilit*[tiab]  OR efficiency[tiab])</w:t>
      </w:r>
    </w:p>
    <w:p w14:paraId="372F4E36" w14:textId="3A458A55" w:rsidR="002634A6" w:rsidRPr="00943933" w:rsidRDefault="002634A6" w:rsidP="002634A6">
      <w:pPr>
        <w:pStyle w:val="ListParagraph"/>
        <w:numPr>
          <w:ilvl w:val="0"/>
          <w:numId w:val="2"/>
        </w:numPr>
        <w:suppressAutoHyphens/>
        <w:autoSpaceDN w:val="0"/>
        <w:spacing w:line="276" w:lineRule="auto"/>
        <w:contextualSpacing w:val="0"/>
        <w:textAlignment w:val="baseline"/>
        <w:rPr>
          <w:rFonts w:ascii="Segoe UI" w:hAnsi="Segoe UI" w:cs="Segoe UI"/>
          <w:sz w:val="20"/>
          <w:szCs w:val="20"/>
        </w:rPr>
      </w:pPr>
      <w:r w:rsidRPr="00943933">
        <w:rPr>
          <w:rFonts w:ascii="Segoe UI" w:hAnsi="Segoe UI" w:cs="Segoe UI"/>
          <w:bCs/>
          <w:color w:val="000000"/>
          <w:sz w:val="20"/>
          <w:szCs w:val="20"/>
          <w:shd w:val="clear" w:color="auto" w:fill="FFFFFF"/>
        </w:rPr>
        <w:t>(discriminability[tiab] OR c</w:t>
      </w:r>
      <w:r w:rsidR="00240C69" w:rsidRPr="00943933">
        <w:rPr>
          <w:rFonts w:ascii="Segoe UI" w:hAnsi="Segoe UI" w:cs="Segoe UI"/>
          <w:bCs/>
          <w:color w:val="000000"/>
          <w:sz w:val="20"/>
          <w:szCs w:val="20"/>
          <w:shd w:val="clear" w:color="auto" w:fill="FFFFFF"/>
        </w:rPr>
        <w:t xml:space="preserve"> to </w:t>
      </w:r>
      <w:r w:rsidRPr="00943933">
        <w:rPr>
          <w:rFonts w:ascii="Segoe UI" w:hAnsi="Segoe UI" w:cs="Segoe UI"/>
          <w:bCs/>
          <w:color w:val="000000"/>
          <w:sz w:val="20"/>
          <w:szCs w:val="20"/>
          <w:shd w:val="clear" w:color="auto" w:fill="FFFFFF"/>
        </w:rPr>
        <w:t>index[tiab]  OR c</w:t>
      </w:r>
      <w:r w:rsidR="00240C69" w:rsidRPr="00943933">
        <w:rPr>
          <w:rFonts w:ascii="Segoe UI" w:hAnsi="Segoe UI" w:cs="Segoe UI"/>
          <w:bCs/>
          <w:color w:val="000000"/>
          <w:sz w:val="20"/>
          <w:szCs w:val="20"/>
          <w:shd w:val="clear" w:color="auto" w:fill="FFFFFF"/>
        </w:rPr>
        <w:t xml:space="preserve"> to </w:t>
      </w:r>
      <w:r w:rsidRPr="00943933">
        <w:rPr>
          <w:rFonts w:ascii="Segoe UI" w:hAnsi="Segoe UI" w:cs="Segoe UI"/>
          <w:bCs/>
          <w:color w:val="000000"/>
          <w:sz w:val="20"/>
          <w:szCs w:val="20"/>
          <w:shd w:val="clear" w:color="auto" w:fill="FFFFFF"/>
        </w:rPr>
        <w:t>statistic[tiab]  OR concordance[tiab]  OR DCA[tiab])</w:t>
      </w:r>
    </w:p>
    <w:p w14:paraId="2CD844D6" w14:textId="77777777" w:rsidR="002634A6" w:rsidRPr="00943933" w:rsidRDefault="002634A6" w:rsidP="002634A6">
      <w:pPr>
        <w:pStyle w:val="ListParagraph"/>
        <w:numPr>
          <w:ilvl w:val="0"/>
          <w:numId w:val="2"/>
        </w:numPr>
        <w:suppressAutoHyphens/>
        <w:autoSpaceDN w:val="0"/>
        <w:spacing w:line="276" w:lineRule="auto"/>
        <w:contextualSpacing w:val="0"/>
        <w:textAlignment w:val="baseline"/>
        <w:rPr>
          <w:rFonts w:ascii="Segoe UI" w:hAnsi="Segoe UI" w:cs="Segoe UI"/>
          <w:sz w:val="20"/>
          <w:szCs w:val="20"/>
        </w:rPr>
      </w:pPr>
      <w:r w:rsidRPr="00943933">
        <w:rPr>
          <w:rFonts w:ascii="Segoe UI" w:hAnsi="Segoe UI" w:cs="Segoe UI"/>
          <w:color w:val="000000"/>
          <w:sz w:val="20"/>
          <w:szCs w:val="20"/>
          <w:shd w:val="clear" w:color="auto" w:fill="FFFFFF"/>
        </w:rPr>
        <w:t> </w:t>
      </w:r>
      <w:r w:rsidRPr="00943933">
        <w:rPr>
          <w:rFonts w:ascii="Segoe UI" w:hAnsi="Segoe UI" w:cs="Segoe UI"/>
          <w:bCs/>
          <w:color w:val="000000"/>
          <w:sz w:val="20"/>
          <w:szCs w:val="20"/>
          <w:shd w:val="clear" w:color="auto" w:fill="FFFFFF"/>
        </w:rPr>
        <w:t>"decision curve"[tiab]</w:t>
      </w:r>
    </w:p>
    <w:p w14:paraId="7FD589B3" w14:textId="77777777" w:rsidR="002634A6" w:rsidRPr="00943933" w:rsidRDefault="002634A6" w:rsidP="002634A6">
      <w:pPr>
        <w:pStyle w:val="ListParagraph"/>
        <w:numPr>
          <w:ilvl w:val="0"/>
          <w:numId w:val="2"/>
        </w:numPr>
        <w:suppressAutoHyphens/>
        <w:autoSpaceDN w:val="0"/>
        <w:spacing w:line="276" w:lineRule="auto"/>
        <w:contextualSpacing w:val="0"/>
        <w:textAlignment w:val="baseline"/>
        <w:rPr>
          <w:rFonts w:ascii="Segoe UI" w:hAnsi="Segoe UI" w:cs="Segoe UI"/>
          <w:sz w:val="20"/>
          <w:szCs w:val="20"/>
        </w:rPr>
      </w:pPr>
      <w:r w:rsidRPr="00943933">
        <w:rPr>
          <w:rFonts w:ascii="Segoe UI" w:hAnsi="Segoe UI" w:cs="Segoe UI"/>
          <w:bCs/>
          <w:color w:val="000000"/>
          <w:sz w:val="20"/>
          <w:szCs w:val="20"/>
          <w:shd w:val="clear" w:color="auto" w:fill="FFFFFF"/>
        </w:rPr>
        <w:lastRenderedPageBreak/>
        <w:t>calibrat*[tiab]  AND (plot*[tiab]  OR curve*[tiab]  OR slope*[tiab]  OR model[tiab]  OR models[tiab])</w:t>
      </w:r>
    </w:p>
    <w:p w14:paraId="3E108E90" w14:textId="77777777" w:rsidR="002634A6" w:rsidRPr="00943933" w:rsidRDefault="002634A6" w:rsidP="002634A6">
      <w:pPr>
        <w:pStyle w:val="ListParagraph"/>
        <w:numPr>
          <w:ilvl w:val="0"/>
          <w:numId w:val="2"/>
        </w:numPr>
        <w:suppressAutoHyphens/>
        <w:autoSpaceDN w:val="0"/>
        <w:spacing w:line="276" w:lineRule="auto"/>
        <w:contextualSpacing w:val="0"/>
        <w:textAlignment w:val="baseline"/>
        <w:rPr>
          <w:rFonts w:ascii="Segoe UI" w:hAnsi="Segoe UI" w:cs="Segoe UI"/>
          <w:sz w:val="20"/>
          <w:szCs w:val="20"/>
        </w:rPr>
      </w:pPr>
      <w:r w:rsidRPr="00943933">
        <w:rPr>
          <w:rFonts w:ascii="Segoe UI" w:hAnsi="Segoe UI" w:cs="Segoe UI"/>
          <w:bCs/>
          <w:color w:val="000000"/>
          <w:sz w:val="20"/>
          <w:szCs w:val="20"/>
          <w:shd w:val="clear" w:color="auto" w:fill="FFFFFF"/>
        </w:rPr>
        <w:t>performance[tiab]  AND (classification[tiab]  OR classifier[tiab]  OR clinical[tiab]  OR accuracy[tiab]  OR validation[tiab]  OR metrics[tiab]  OR diagnostic[tiab]  OR AUC[tiab])</w:t>
      </w:r>
    </w:p>
    <w:p w14:paraId="1C3A11F1" w14:textId="77777777" w:rsidR="002634A6" w:rsidRPr="00943933" w:rsidRDefault="002634A6" w:rsidP="002634A6">
      <w:pPr>
        <w:pStyle w:val="ListParagraph"/>
        <w:numPr>
          <w:ilvl w:val="0"/>
          <w:numId w:val="2"/>
        </w:numPr>
        <w:suppressAutoHyphens/>
        <w:autoSpaceDN w:val="0"/>
        <w:spacing w:line="276" w:lineRule="auto"/>
        <w:contextualSpacing w:val="0"/>
        <w:textAlignment w:val="baseline"/>
        <w:rPr>
          <w:rFonts w:ascii="Segoe UI" w:hAnsi="Segoe UI" w:cs="Segoe UI"/>
          <w:sz w:val="20"/>
          <w:szCs w:val="20"/>
        </w:rPr>
      </w:pPr>
      <w:r w:rsidRPr="00943933">
        <w:rPr>
          <w:rFonts w:ascii="Segoe UI" w:hAnsi="Segoe UI" w:cs="Segoe UI"/>
          <w:bCs/>
          <w:color w:val="000000"/>
          <w:sz w:val="20"/>
          <w:szCs w:val="20"/>
          <w:shd w:val="clear" w:color="auto" w:fill="FFFFFF"/>
        </w:rPr>
        <w:t>(sensitivity[tiab]  OR specificity[tiab]  OR PPV[tiab]  OR NPV[tiab])</w:t>
      </w:r>
    </w:p>
    <w:p w14:paraId="7ACF060A" w14:textId="77777777" w:rsidR="002634A6" w:rsidRPr="00943933" w:rsidRDefault="002634A6" w:rsidP="002634A6">
      <w:pPr>
        <w:pStyle w:val="ListParagraph"/>
        <w:numPr>
          <w:ilvl w:val="0"/>
          <w:numId w:val="2"/>
        </w:numPr>
        <w:suppressAutoHyphens/>
        <w:autoSpaceDN w:val="0"/>
        <w:spacing w:line="276" w:lineRule="auto"/>
        <w:contextualSpacing w:val="0"/>
        <w:textAlignment w:val="baseline"/>
        <w:rPr>
          <w:rFonts w:ascii="Segoe UI" w:hAnsi="Segoe UI" w:cs="Segoe UI"/>
          <w:sz w:val="20"/>
          <w:szCs w:val="20"/>
        </w:rPr>
      </w:pPr>
      <w:r w:rsidRPr="00943933">
        <w:rPr>
          <w:rFonts w:ascii="Segoe UI" w:hAnsi="Segoe UI" w:cs="Segoe UI"/>
          <w:color w:val="000000"/>
          <w:sz w:val="20"/>
          <w:szCs w:val="20"/>
          <w:shd w:val="clear" w:color="auto" w:fill="FFFFFF"/>
        </w:rPr>
        <w:t> </w:t>
      </w:r>
      <w:r w:rsidRPr="00943933">
        <w:rPr>
          <w:rFonts w:ascii="Segoe UI" w:hAnsi="Segoe UI" w:cs="Segoe UI"/>
          <w:bCs/>
          <w:color w:val="000000"/>
          <w:sz w:val="20"/>
          <w:szCs w:val="20"/>
          <w:shd w:val="clear" w:color="auto" w:fill="FFFFFF"/>
        </w:rPr>
        <w:t>"correctly classified"[tiab]</w:t>
      </w:r>
    </w:p>
    <w:p w14:paraId="7327B660" w14:textId="77777777" w:rsidR="002634A6" w:rsidRPr="00943933" w:rsidRDefault="002634A6" w:rsidP="002634A6">
      <w:pPr>
        <w:pStyle w:val="ListParagraph"/>
        <w:numPr>
          <w:ilvl w:val="0"/>
          <w:numId w:val="2"/>
        </w:numPr>
        <w:suppressAutoHyphens/>
        <w:autoSpaceDN w:val="0"/>
        <w:spacing w:line="276" w:lineRule="auto"/>
        <w:contextualSpacing w:val="0"/>
        <w:textAlignment w:val="baseline"/>
        <w:rPr>
          <w:rFonts w:ascii="Segoe UI" w:hAnsi="Segoe UI" w:cs="Segoe UI"/>
          <w:sz w:val="20"/>
          <w:szCs w:val="20"/>
        </w:rPr>
      </w:pPr>
      <w:r w:rsidRPr="00943933">
        <w:rPr>
          <w:rFonts w:ascii="Segoe UI" w:hAnsi="Segoe UI" w:cs="Segoe UI"/>
          <w:color w:val="000000"/>
          <w:sz w:val="20"/>
          <w:szCs w:val="20"/>
          <w:shd w:val="clear" w:color="auto" w:fill="FFFFFF"/>
        </w:rPr>
        <w:t> </w:t>
      </w:r>
      <w:r w:rsidRPr="00943933">
        <w:rPr>
          <w:rFonts w:ascii="Segoe UI" w:hAnsi="Segoe UI" w:cs="Segoe UI"/>
          <w:bCs/>
          <w:color w:val="000000"/>
          <w:sz w:val="20"/>
          <w:szCs w:val="20"/>
          <w:shd w:val="clear" w:color="auto" w:fill="FFFFFF"/>
        </w:rPr>
        <w:t>"clinical accuracy"[tiab]</w:t>
      </w:r>
    </w:p>
    <w:p w14:paraId="558C6DBF" w14:textId="77777777" w:rsidR="002634A6" w:rsidRPr="00943933" w:rsidRDefault="002634A6" w:rsidP="002634A6">
      <w:pPr>
        <w:pStyle w:val="ListParagraph"/>
        <w:numPr>
          <w:ilvl w:val="0"/>
          <w:numId w:val="2"/>
        </w:numPr>
        <w:suppressAutoHyphens/>
        <w:autoSpaceDN w:val="0"/>
        <w:spacing w:line="276" w:lineRule="auto"/>
        <w:contextualSpacing w:val="0"/>
        <w:textAlignment w:val="baseline"/>
        <w:rPr>
          <w:rFonts w:ascii="Segoe UI" w:hAnsi="Segoe UI" w:cs="Segoe UI"/>
          <w:sz w:val="20"/>
          <w:szCs w:val="20"/>
        </w:rPr>
      </w:pPr>
      <w:r w:rsidRPr="00943933">
        <w:rPr>
          <w:rFonts w:ascii="Segoe UI" w:hAnsi="Segoe UI" w:cs="Segoe UI"/>
          <w:bCs/>
          <w:color w:val="000000"/>
          <w:sz w:val="20"/>
          <w:szCs w:val="20"/>
          <w:shd w:val="clear" w:color="auto" w:fill="FFFFFF"/>
        </w:rPr>
        <w:t xml:space="preserve">positive predictive value*[tiab] </w:t>
      </w:r>
    </w:p>
    <w:p w14:paraId="075B0F62" w14:textId="77777777" w:rsidR="002634A6" w:rsidRPr="00943933" w:rsidRDefault="002634A6" w:rsidP="002634A6">
      <w:pPr>
        <w:pStyle w:val="ListParagraph"/>
        <w:numPr>
          <w:ilvl w:val="0"/>
          <w:numId w:val="2"/>
        </w:numPr>
        <w:suppressAutoHyphens/>
        <w:autoSpaceDN w:val="0"/>
        <w:spacing w:line="276" w:lineRule="auto"/>
        <w:contextualSpacing w:val="0"/>
        <w:textAlignment w:val="baseline"/>
        <w:rPr>
          <w:rFonts w:ascii="Segoe UI" w:hAnsi="Segoe UI" w:cs="Segoe UI"/>
          <w:sz w:val="20"/>
          <w:szCs w:val="20"/>
        </w:rPr>
      </w:pPr>
      <w:r w:rsidRPr="00943933">
        <w:rPr>
          <w:rFonts w:ascii="Segoe UI" w:hAnsi="Segoe UI" w:cs="Segoe UI"/>
          <w:bCs/>
          <w:color w:val="000000"/>
          <w:sz w:val="20"/>
          <w:szCs w:val="20"/>
          <w:shd w:val="clear" w:color="auto" w:fill="FFFFFF"/>
        </w:rPr>
        <w:t xml:space="preserve">negative predictive value*[tiab] </w:t>
      </w:r>
    </w:p>
    <w:p w14:paraId="4B69D1A8" w14:textId="77777777" w:rsidR="002634A6" w:rsidRPr="00943933" w:rsidRDefault="002634A6" w:rsidP="002634A6">
      <w:pPr>
        <w:pStyle w:val="ListParagraph"/>
        <w:numPr>
          <w:ilvl w:val="0"/>
          <w:numId w:val="2"/>
        </w:numPr>
        <w:suppressAutoHyphens/>
        <w:autoSpaceDN w:val="0"/>
        <w:spacing w:line="276" w:lineRule="auto"/>
        <w:contextualSpacing w:val="0"/>
        <w:textAlignment w:val="baseline"/>
        <w:rPr>
          <w:rFonts w:ascii="Segoe UI" w:hAnsi="Segoe UI" w:cs="Segoe UI"/>
          <w:sz w:val="20"/>
          <w:szCs w:val="20"/>
        </w:rPr>
      </w:pPr>
      <w:r w:rsidRPr="00943933">
        <w:rPr>
          <w:rFonts w:ascii="Segoe UI" w:hAnsi="Segoe UI" w:cs="Segoe UI"/>
          <w:bCs/>
          <w:color w:val="000000"/>
          <w:sz w:val="20"/>
          <w:szCs w:val="20"/>
          <w:shd w:val="clear" w:color="auto" w:fill="FFFFFF"/>
        </w:rPr>
        <w:t>classification[tiab]  OR classifier[tiab]</w:t>
      </w:r>
    </w:p>
    <w:p w14:paraId="359CF692" w14:textId="77777777" w:rsidR="002634A6" w:rsidRPr="00943933" w:rsidRDefault="002634A6" w:rsidP="002634A6">
      <w:pPr>
        <w:pStyle w:val="ListParagraph"/>
        <w:numPr>
          <w:ilvl w:val="0"/>
          <w:numId w:val="2"/>
        </w:numPr>
        <w:suppressAutoHyphens/>
        <w:autoSpaceDN w:val="0"/>
        <w:spacing w:line="276" w:lineRule="auto"/>
        <w:contextualSpacing w:val="0"/>
        <w:textAlignment w:val="baseline"/>
        <w:rPr>
          <w:rFonts w:ascii="Segoe UI" w:hAnsi="Segoe UI" w:cs="Segoe UI"/>
          <w:sz w:val="20"/>
          <w:szCs w:val="20"/>
        </w:rPr>
      </w:pPr>
      <w:r w:rsidRPr="00943933">
        <w:rPr>
          <w:rFonts w:ascii="Segoe UI" w:hAnsi="Segoe UI" w:cs="Segoe UI"/>
          <w:color w:val="000000"/>
          <w:sz w:val="20"/>
          <w:szCs w:val="20"/>
          <w:shd w:val="clear" w:color="auto" w:fill="FFFFFF"/>
        </w:rPr>
        <w:t> </w:t>
      </w:r>
      <w:r w:rsidRPr="00943933">
        <w:rPr>
          <w:rFonts w:ascii="Segoe UI" w:hAnsi="Segoe UI" w:cs="Segoe UI"/>
          <w:bCs/>
          <w:color w:val="000000"/>
          <w:sz w:val="20"/>
          <w:szCs w:val="20"/>
          <w:shd w:val="clear" w:color="auto" w:fill="FFFFFF"/>
        </w:rPr>
        <w:t>Area Under Curve[Mesh]</w:t>
      </w:r>
    </w:p>
    <w:p w14:paraId="61ABFF07" w14:textId="77777777" w:rsidR="002634A6" w:rsidRPr="00943933" w:rsidRDefault="002634A6" w:rsidP="002634A6">
      <w:pPr>
        <w:pStyle w:val="ListParagraph"/>
        <w:numPr>
          <w:ilvl w:val="0"/>
          <w:numId w:val="2"/>
        </w:numPr>
        <w:suppressAutoHyphens/>
        <w:autoSpaceDN w:val="0"/>
        <w:spacing w:line="276" w:lineRule="auto"/>
        <w:contextualSpacing w:val="0"/>
        <w:textAlignment w:val="baseline"/>
        <w:rPr>
          <w:rFonts w:ascii="Segoe UI" w:hAnsi="Segoe UI" w:cs="Segoe UI"/>
          <w:sz w:val="20"/>
          <w:szCs w:val="20"/>
        </w:rPr>
      </w:pPr>
      <w:r w:rsidRPr="00943933">
        <w:rPr>
          <w:rFonts w:ascii="Segoe UI" w:hAnsi="Segoe UI" w:cs="Segoe UI"/>
          <w:bCs/>
          <w:color w:val="000000"/>
          <w:sz w:val="20"/>
          <w:szCs w:val="20"/>
          <w:shd w:val="clear" w:color="auto" w:fill="FFFFFF"/>
        </w:rPr>
        <w:t>"Area under the curve"[tiab]</w:t>
      </w:r>
    </w:p>
    <w:p w14:paraId="1E638E08" w14:textId="77777777" w:rsidR="002634A6" w:rsidRPr="00943933" w:rsidRDefault="002634A6" w:rsidP="002634A6">
      <w:pPr>
        <w:pStyle w:val="ListParagraph"/>
        <w:numPr>
          <w:ilvl w:val="0"/>
          <w:numId w:val="2"/>
        </w:numPr>
        <w:suppressAutoHyphens/>
        <w:autoSpaceDN w:val="0"/>
        <w:spacing w:line="276" w:lineRule="auto"/>
        <w:contextualSpacing w:val="0"/>
        <w:textAlignment w:val="baseline"/>
        <w:rPr>
          <w:rFonts w:ascii="Segoe UI" w:hAnsi="Segoe UI" w:cs="Segoe UI"/>
          <w:sz w:val="20"/>
          <w:szCs w:val="20"/>
        </w:rPr>
      </w:pPr>
      <w:r w:rsidRPr="00943933">
        <w:rPr>
          <w:rFonts w:ascii="Segoe UI" w:hAnsi="Segoe UI" w:cs="Segoe UI"/>
          <w:bCs/>
          <w:color w:val="000000"/>
          <w:sz w:val="20"/>
          <w:szCs w:val="20"/>
          <w:shd w:val="clear" w:color="auto" w:fill="FFFFFF"/>
        </w:rPr>
        <w:t>"Area under the ROC"[tiab]</w:t>
      </w:r>
    </w:p>
    <w:p w14:paraId="6C4C7E41" w14:textId="77777777" w:rsidR="002634A6" w:rsidRPr="00943933" w:rsidRDefault="002634A6" w:rsidP="002634A6">
      <w:pPr>
        <w:pStyle w:val="ListParagraph"/>
        <w:numPr>
          <w:ilvl w:val="0"/>
          <w:numId w:val="2"/>
        </w:numPr>
        <w:suppressAutoHyphens/>
        <w:autoSpaceDN w:val="0"/>
        <w:spacing w:line="276" w:lineRule="auto"/>
        <w:contextualSpacing w:val="0"/>
        <w:textAlignment w:val="baseline"/>
        <w:rPr>
          <w:rFonts w:ascii="Segoe UI" w:hAnsi="Segoe UI" w:cs="Segoe UI"/>
          <w:sz w:val="20"/>
          <w:szCs w:val="20"/>
        </w:rPr>
      </w:pPr>
      <w:r w:rsidRPr="00943933">
        <w:rPr>
          <w:rFonts w:ascii="Segoe UI" w:hAnsi="Segoe UI" w:cs="Segoe UI"/>
          <w:bCs/>
          <w:color w:val="000000"/>
          <w:sz w:val="20"/>
          <w:szCs w:val="20"/>
          <w:shd w:val="clear" w:color="auto" w:fill="FFFFFF"/>
        </w:rPr>
        <w:t>“Area Under the Receiver”[tiab]</w:t>
      </w:r>
    </w:p>
    <w:p w14:paraId="4D946A0A" w14:textId="77777777" w:rsidR="002634A6" w:rsidRPr="00943933" w:rsidRDefault="002634A6" w:rsidP="002634A6">
      <w:pPr>
        <w:pStyle w:val="ListParagraph"/>
        <w:numPr>
          <w:ilvl w:val="0"/>
          <w:numId w:val="2"/>
        </w:numPr>
        <w:suppressAutoHyphens/>
        <w:autoSpaceDN w:val="0"/>
        <w:spacing w:line="276" w:lineRule="auto"/>
        <w:contextualSpacing w:val="0"/>
        <w:textAlignment w:val="baseline"/>
        <w:rPr>
          <w:rFonts w:ascii="Segoe UI" w:hAnsi="Segoe UI" w:cs="Segoe UI"/>
          <w:sz w:val="20"/>
          <w:szCs w:val="20"/>
        </w:rPr>
      </w:pPr>
      <w:r w:rsidRPr="00943933">
        <w:rPr>
          <w:rFonts w:ascii="Segoe UI" w:hAnsi="Segoe UI" w:cs="Segoe UI"/>
          <w:color w:val="000000"/>
          <w:sz w:val="20"/>
          <w:szCs w:val="20"/>
          <w:shd w:val="clear" w:color="auto" w:fill="FFFFFF"/>
        </w:rPr>
        <w:t> </w:t>
      </w:r>
      <w:r w:rsidRPr="00943933">
        <w:rPr>
          <w:rFonts w:ascii="Segoe UI" w:hAnsi="Segoe UI" w:cs="Segoe UI"/>
          <w:bCs/>
          <w:color w:val="000000"/>
          <w:sz w:val="20"/>
          <w:szCs w:val="20"/>
          <w:shd w:val="clear" w:color="auto" w:fill="FFFFFF"/>
        </w:rPr>
        <w:t>(ROC[tiab]  OR AUC[tiab]  OR AUROC[tiab])</w:t>
      </w:r>
    </w:p>
    <w:p w14:paraId="51B4E729" w14:textId="77777777" w:rsidR="002634A6" w:rsidRPr="00943933" w:rsidRDefault="002634A6" w:rsidP="002634A6">
      <w:pPr>
        <w:pStyle w:val="ListParagraph"/>
        <w:numPr>
          <w:ilvl w:val="0"/>
          <w:numId w:val="2"/>
        </w:numPr>
        <w:suppressAutoHyphens/>
        <w:autoSpaceDN w:val="0"/>
        <w:spacing w:line="276" w:lineRule="auto"/>
        <w:contextualSpacing w:val="0"/>
        <w:textAlignment w:val="baseline"/>
        <w:rPr>
          <w:rFonts w:ascii="Segoe UI" w:hAnsi="Segoe UI" w:cs="Segoe UI"/>
          <w:sz w:val="20"/>
          <w:szCs w:val="20"/>
        </w:rPr>
      </w:pPr>
      <w:r w:rsidRPr="00943933">
        <w:rPr>
          <w:rFonts w:ascii="Segoe UI" w:hAnsi="Segoe UI" w:cs="Segoe UI"/>
          <w:bCs/>
          <w:color w:val="000000"/>
          <w:sz w:val="20"/>
          <w:szCs w:val="20"/>
          <w:shd w:val="clear" w:color="auto" w:fill="FFFFFF"/>
        </w:rPr>
        <w:t>ROC Curve [Mesh]</w:t>
      </w:r>
    </w:p>
    <w:p w14:paraId="2414EE75" w14:textId="734EAEA8" w:rsidR="002634A6" w:rsidRPr="00943933" w:rsidRDefault="002634A6" w:rsidP="002634A6">
      <w:pPr>
        <w:pStyle w:val="ListParagraph"/>
        <w:numPr>
          <w:ilvl w:val="0"/>
          <w:numId w:val="2"/>
        </w:numPr>
        <w:suppressAutoHyphens/>
        <w:autoSpaceDN w:val="0"/>
        <w:spacing w:line="276" w:lineRule="auto"/>
        <w:contextualSpacing w:val="0"/>
        <w:textAlignment w:val="baseline"/>
        <w:rPr>
          <w:rFonts w:ascii="Segoe UI" w:hAnsi="Segoe UI" w:cs="Segoe UI"/>
          <w:sz w:val="20"/>
          <w:szCs w:val="20"/>
        </w:rPr>
      </w:pPr>
      <w:r w:rsidRPr="00943933">
        <w:rPr>
          <w:rFonts w:ascii="Segoe UI" w:hAnsi="Segoe UI" w:cs="Segoe UI"/>
          <w:bCs/>
          <w:color w:val="000000"/>
          <w:sz w:val="20"/>
          <w:szCs w:val="20"/>
          <w:shd w:val="clear" w:color="auto" w:fill="FFFFFF"/>
        </w:rPr>
        <w:t>"Hosmer</w:t>
      </w:r>
      <w:r w:rsidR="00240C69" w:rsidRPr="00943933">
        <w:rPr>
          <w:rFonts w:ascii="Segoe UI" w:hAnsi="Segoe UI" w:cs="Segoe UI"/>
          <w:bCs/>
          <w:color w:val="000000"/>
          <w:sz w:val="20"/>
          <w:szCs w:val="20"/>
          <w:shd w:val="clear" w:color="auto" w:fill="FFFFFF"/>
        </w:rPr>
        <w:t xml:space="preserve"> to </w:t>
      </w:r>
      <w:r w:rsidRPr="00943933">
        <w:rPr>
          <w:rFonts w:ascii="Segoe UI" w:hAnsi="Segoe UI" w:cs="Segoe UI"/>
          <w:bCs/>
          <w:color w:val="000000"/>
          <w:sz w:val="20"/>
          <w:szCs w:val="20"/>
          <w:shd w:val="clear" w:color="auto" w:fill="FFFFFF"/>
        </w:rPr>
        <w:t>Lemeshow"[tiab]  OR "H</w:t>
      </w:r>
      <w:r w:rsidR="00240C69" w:rsidRPr="00943933">
        <w:rPr>
          <w:rFonts w:ascii="Segoe UI" w:hAnsi="Segoe UI" w:cs="Segoe UI"/>
          <w:bCs/>
          <w:color w:val="000000"/>
          <w:sz w:val="20"/>
          <w:szCs w:val="20"/>
          <w:shd w:val="clear" w:color="auto" w:fill="FFFFFF"/>
        </w:rPr>
        <w:t xml:space="preserve"> to </w:t>
      </w:r>
      <w:r w:rsidRPr="00943933">
        <w:rPr>
          <w:rFonts w:ascii="Segoe UI" w:hAnsi="Segoe UI" w:cs="Segoe UI"/>
          <w:bCs/>
          <w:color w:val="000000"/>
          <w:sz w:val="20"/>
          <w:szCs w:val="20"/>
          <w:shd w:val="clear" w:color="auto" w:fill="FFFFFF"/>
        </w:rPr>
        <w:t>L test"[tiab]</w:t>
      </w:r>
    </w:p>
    <w:p w14:paraId="520CBAD2" w14:textId="77777777" w:rsidR="002634A6" w:rsidRPr="00943933" w:rsidRDefault="002634A6" w:rsidP="002634A6">
      <w:pPr>
        <w:pStyle w:val="ListParagraph"/>
        <w:numPr>
          <w:ilvl w:val="0"/>
          <w:numId w:val="2"/>
        </w:numPr>
        <w:suppressAutoHyphens/>
        <w:autoSpaceDN w:val="0"/>
        <w:spacing w:line="276" w:lineRule="auto"/>
        <w:contextualSpacing w:val="0"/>
        <w:textAlignment w:val="baseline"/>
        <w:rPr>
          <w:rFonts w:ascii="Segoe UI" w:hAnsi="Segoe UI" w:cs="Segoe UI"/>
          <w:sz w:val="20"/>
          <w:szCs w:val="20"/>
        </w:rPr>
      </w:pPr>
      <w:r w:rsidRPr="00943933">
        <w:rPr>
          <w:rFonts w:ascii="Segoe UI" w:hAnsi="Segoe UI" w:cs="Segoe UI"/>
          <w:bCs/>
          <w:color w:val="000000"/>
          <w:sz w:val="20"/>
          <w:szCs w:val="20"/>
          <w:shd w:val="clear" w:color="auto" w:fill="FFFFFF"/>
        </w:rPr>
        <w:t>"expected ratio"[tiab]  OR "observed ratio"[tiab]  OR "E:O ratio"[tiab]</w:t>
      </w:r>
    </w:p>
    <w:p w14:paraId="4D67EC98" w14:textId="77777777" w:rsidR="002634A6" w:rsidRPr="00943933" w:rsidRDefault="002634A6" w:rsidP="002634A6">
      <w:pPr>
        <w:pStyle w:val="ListParagraph"/>
        <w:numPr>
          <w:ilvl w:val="0"/>
          <w:numId w:val="2"/>
        </w:numPr>
        <w:suppressAutoHyphens/>
        <w:autoSpaceDN w:val="0"/>
        <w:spacing w:line="276" w:lineRule="auto"/>
        <w:contextualSpacing w:val="0"/>
        <w:textAlignment w:val="baseline"/>
        <w:rPr>
          <w:rFonts w:ascii="Segoe UI" w:hAnsi="Segoe UI" w:cs="Segoe UI"/>
          <w:sz w:val="20"/>
          <w:szCs w:val="20"/>
        </w:rPr>
      </w:pPr>
      <w:r w:rsidRPr="00943933">
        <w:rPr>
          <w:rFonts w:ascii="Segoe UI" w:hAnsi="Segoe UI" w:cs="Segoe UI"/>
          <w:sz w:val="20"/>
          <w:szCs w:val="20"/>
        </w:rPr>
        <w:t xml:space="preserve">#18 OR #19 OR #20 OR #21 OR #22 OR #23 OR #24 OR #25 OR #26 OR #27 OR #28 OR #29 OR #30 OR #31 OR #32 OR #33 OR #34 OR #35 OR #36 </w:t>
      </w:r>
    </w:p>
    <w:p w14:paraId="26EC690C" w14:textId="77777777" w:rsidR="002634A6" w:rsidRPr="00943933" w:rsidRDefault="002634A6" w:rsidP="002634A6">
      <w:pPr>
        <w:pStyle w:val="ListParagraph"/>
        <w:numPr>
          <w:ilvl w:val="0"/>
          <w:numId w:val="2"/>
        </w:numPr>
        <w:suppressAutoHyphens/>
        <w:autoSpaceDN w:val="0"/>
        <w:spacing w:line="276" w:lineRule="auto"/>
        <w:contextualSpacing w:val="0"/>
        <w:textAlignment w:val="baseline"/>
        <w:rPr>
          <w:rFonts w:ascii="Segoe UI" w:hAnsi="Segoe UI" w:cs="Segoe UI"/>
          <w:sz w:val="20"/>
          <w:szCs w:val="20"/>
        </w:rPr>
      </w:pPr>
      <w:r w:rsidRPr="00943933">
        <w:rPr>
          <w:rFonts w:ascii="Segoe UI" w:hAnsi="Segoe UI" w:cs="Segoe UI"/>
          <w:bCs/>
          <w:noProof/>
          <w:color w:val="000000"/>
          <w:sz w:val="20"/>
          <w:szCs w:val="20"/>
          <w:lang w:val="nl-NL" w:eastAsia="nl-NL"/>
        </w:rPr>
        <mc:AlternateContent>
          <mc:Choice Requires="wps">
            <w:drawing>
              <wp:anchor distT="0" distB="0" distL="114300" distR="114300" simplePos="0" relativeHeight="251660288" behindDoc="0" locked="0" layoutInCell="1" allowOverlap="1" wp14:anchorId="76B82446" wp14:editId="11549681">
                <wp:simplePos x="0" y="0"/>
                <wp:positionH relativeFrom="column">
                  <wp:posOffset>221284</wp:posOffset>
                </wp:positionH>
                <wp:positionV relativeFrom="paragraph">
                  <wp:posOffset>5084</wp:posOffset>
                </wp:positionV>
                <wp:extent cx="5613401" cy="0"/>
                <wp:effectExtent l="0" t="0" r="0" b="0"/>
                <wp:wrapNone/>
                <wp:docPr id="3" name="Straight Connector 8"/>
                <wp:cNvGraphicFramePr/>
                <a:graphic xmlns:a="http://schemas.openxmlformats.org/drawingml/2006/main">
                  <a:graphicData uri="http://schemas.microsoft.com/office/word/2010/wordprocessingShape">
                    <wps:wsp>
                      <wps:cNvCnPr/>
                      <wps:spPr>
                        <a:xfrm>
                          <a:off x="0" y="0"/>
                          <a:ext cx="5613401" cy="0"/>
                        </a:xfrm>
                        <a:prstGeom prst="straightConnector1">
                          <a:avLst/>
                        </a:prstGeom>
                        <a:noFill/>
                        <a:ln w="9528">
                          <a:solidFill>
                            <a:srgbClr val="000000"/>
                          </a:solidFill>
                          <a:prstDash val="solid"/>
                        </a:ln>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164CDB5F" id="Straight Connector 8" o:spid="_x0000_s1026" type="#_x0000_t32" style="position:absolute;margin-left:17.4pt;margin-top:.4pt;width:442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" strokeweight=".26467mm"/>
            </w:pict>
          </mc:Fallback>
        </mc:AlternateContent>
      </w:r>
      <w:r w:rsidRPr="00943933">
        <w:rPr>
          <w:rFonts w:ascii="Segoe UI" w:hAnsi="Segoe UI" w:cs="Segoe UI"/>
          <w:sz w:val="20"/>
          <w:szCs w:val="20"/>
        </w:rPr>
        <w:t>#11 AND #17</w:t>
      </w:r>
    </w:p>
    <w:p w14:paraId="5686C56E" w14:textId="77777777" w:rsidR="002634A6" w:rsidRPr="00943933" w:rsidRDefault="002634A6" w:rsidP="002634A6">
      <w:pPr>
        <w:pStyle w:val="ListParagraph"/>
        <w:numPr>
          <w:ilvl w:val="0"/>
          <w:numId w:val="2"/>
        </w:numPr>
        <w:suppressAutoHyphens/>
        <w:autoSpaceDN w:val="0"/>
        <w:spacing w:line="276" w:lineRule="auto"/>
        <w:contextualSpacing w:val="0"/>
        <w:textAlignment w:val="baseline"/>
        <w:rPr>
          <w:rFonts w:ascii="Segoe UI" w:hAnsi="Segoe UI" w:cs="Segoe UI"/>
          <w:sz w:val="20"/>
          <w:szCs w:val="20"/>
        </w:rPr>
      </w:pPr>
      <w:r w:rsidRPr="00943933">
        <w:rPr>
          <w:rFonts w:ascii="Segoe UI" w:hAnsi="Segoe UI" w:cs="Segoe UI"/>
          <w:sz w:val="20"/>
          <w:szCs w:val="20"/>
        </w:rPr>
        <w:t xml:space="preserve">#11 AND (#17 OR #37) </w:t>
      </w:r>
    </w:p>
    <w:p w14:paraId="0B50DF29" w14:textId="77777777" w:rsidR="002634A6" w:rsidRPr="00943933" w:rsidRDefault="002634A6" w:rsidP="002634A6">
      <w:pPr>
        <w:pStyle w:val="ListParagraph"/>
        <w:numPr>
          <w:ilvl w:val="0"/>
          <w:numId w:val="2"/>
        </w:numPr>
        <w:suppressAutoHyphens/>
        <w:autoSpaceDN w:val="0"/>
        <w:spacing w:line="276" w:lineRule="auto"/>
        <w:contextualSpacing w:val="0"/>
        <w:textAlignment w:val="baseline"/>
        <w:rPr>
          <w:rFonts w:ascii="Segoe UI" w:hAnsi="Segoe UI" w:cs="Segoe UI"/>
          <w:sz w:val="20"/>
          <w:szCs w:val="20"/>
        </w:rPr>
      </w:pPr>
      <w:r w:rsidRPr="00943933">
        <w:rPr>
          <w:rFonts w:ascii="Segoe UI" w:hAnsi="Segoe UI" w:cs="Segoe UI"/>
          <w:sz w:val="20"/>
          <w:szCs w:val="20"/>
        </w:rPr>
        <w:t>#39 AND (“2018/01/01”[PDat]: “2019/12/31”[PDat])</w:t>
      </w:r>
    </w:p>
    <w:p w14:paraId="388DE556" w14:textId="77777777" w:rsidR="002634A6" w:rsidRPr="00943933" w:rsidRDefault="002634A6" w:rsidP="002634A6">
      <w:pPr>
        <w:pStyle w:val="ListParagraph"/>
        <w:numPr>
          <w:ilvl w:val="0"/>
          <w:numId w:val="2"/>
        </w:numPr>
        <w:suppressAutoHyphens/>
        <w:autoSpaceDN w:val="0"/>
        <w:spacing w:line="276" w:lineRule="auto"/>
        <w:contextualSpacing w:val="0"/>
        <w:textAlignment w:val="baseline"/>
        <w:rPr>
          <w:rFonts w:ascii="Segoe UI" w:hAnsi="Segoe UI" w:cs="Segoe UI"/>
          <w:sz w:val="20"/>
          <w:szCs w:val="20"/>
        </w:rPr>
      </w:pPr>
      <w:r w:rsidRPr="00943933">
        <w:rPr>
          <w:rFonts w:ascii="Segoe UI" w:hAnsi="Segoe UI" w:cs="Segoe UI"/>
          <w:sz w:val="20"/>
          <w:szCs w:val="20"/>
        </w:rPr>
        <w:t xml:space="preserve">#40 NOT “review”[pt] </w:t>
      </w:r>
    </w:p>
    <w:p w14:paraId="36A3EBFC" w14:textId="77777777" w:rsidR="002634A6" w:rsidRPr="00943933" w:rsidRDefault="002634A6" w:rsidP="002634A6">
      <w:pPr>
        <w:pStyle w:val="ListParagraph"/>
        <w:numPr>
          <w:ilvl w:val="0"/>
          <w:numId w:val="2"/>
        </w:numPr>
        <w:suppressAutoHyphens/>
        <w:autoSpaceDN w:val="0"/>
        <w:spacing w:line="276" w:lineRule="auto"/>
        <w:contextualSpacing w:val="0"/>
        <w:textAlignment w:val="baseline"/>
        <w:rPr>
          <w:rFonts w:ascii="Segoe UI" w:hAnsi="Segoe UI" w:cs="Segoe UI"/>
          <w:sz w:val="20"/>
          <w:szCs w:val="20"/>
        </w:rPr>
      </w:pPr>
      <w:r w:rsidRPr="00943933">
        <w:rPr>
          <w:rFonts w:ascii="Segoe UI" w:hAnsi="Segoe UI" w:cs="Segoe UI"/>
          <w:sz w:val="20"/>
          <w:szCs w:val="20"/>
        </w:rPr>
        <w:t xml:space="preserve">#39 AND (“2019/01/01”[PDat]: “2019/12/31”[PDat]) </w:t>
      </w:r>
    </w:p>
    <w:p w14:paraId="49A0F0EC" w14:textId="77777777" w:rsidR="002634A6" w:rsidRPr="00943933" w:rsidRDefault="002634A6" w:rsidP="002634A6">
      <w:pPr>
        <w:pStyle w:val="ListParagraph"/>
        <w:numPr>
          <w:ilvl w:val="0"/>
          <w:numId w:val="2"/>
        </w:numPr>
        <w:suppressAutoHyphens/>
        <w:autoSpaceDN w:val="0"/>
        <w:spacing w:line="276" w:lineRule="auto"/>
        <w:contextualSpacing w:val="0"/>
        <w:textAlignment w:val="baseline"/>
        <w:rPr>
          <w:rFonts w:ascii="Segoe UI" w:hAnsi="Segoe UI" w:cs="Segoe UI"/>
          <w:sz w:val="20"/>
          <w:szCs w:val="20"/>
        </w:rPr>
      </w:pPr>
      <w:r w:rsidRPr="00943933">
        <w:rPr>
          <w:rFonts w:ascii="Segoe UI" w:hAnsi="Segoe UI" w:cs="Segoe UI"/>
          <w:sz w:val="20"/>
          <w:szCs w:val="20"/>
        </w:rPr>
        <w:t xml:space="preserve">#42 NOT “review”[pt] </w:t>
      </w:r>
    </w:p>
    <w:p w14:paraId="3E47676D" w14:textId="77777777" w:rsidR="002634A6" w:rsidRPr="00943933" w:rsidRDefault="002634A6" w:rsidP="002634A6">
      <w:pPr>
        <w:pStyle w:val="ListParagraph"/>
        <w:spacing w:line="276" w:lineRule="auto"/>
        <w:rPr>
          <w:rFonts w:ascii="Segoe UI" w:hAnsi="Segoe UI" w:cs="Segoe UI"/>
          <w:sz w:val="20"/>
          <w:szCs w:val="20"/>
        </w:rPr>
      </w:pPr>
    </w:p>
    <w:p w14:paraId="54578455" w14:textId="77777777" w:rsidR="002634A6" w:rsidRPr="00943933" w:rsidRDefault="002634A6" w:rsidP="002634A6">
      <w:pPr>
        <w:pStyle w:val="ListParagraph"/>
        <w:spacing w:line="276" w:lineRule="auto"/>
        <w:rPr>
          <w:rFonts w:ascii="Segoe UI" w:hAnsi="Segoe UI" w:cs="Segoe UI"/>
          <w:sz w:val="20"/>
          <w:szCs w:val="20"/>
        </w:rPr>
      </w:pPr>
      <w:r w:rsidRPr="00943933">
        <w:rPr>
          <w:rFonts w:ascii="Segoe UI" w:hAnsi="Segoe UI" w:cs="Segoe UI"/>
          <w:sz w:val="20"/>
          <w:szCs w:val="20"/>
        </w:rPr>
        <w:t xml:space="preserve">Results #41= </w:t>
      </w:r>
      <w:r w:rsidRPr="00943933">
        <w:rPr>
          <w:rFonts w:ascii="Segoe UI" w:hAnsi="Segoe UI" w:cs="Segoe UI"/>
          <w:b/>
          <w:sz w:val="20"/>
          <w:szCs w:val="20"/>
        </w:rPr>
        <w:t>24732</w:t>
      </w:r>
    </w:p>
    <w:p w14:paraId="3C7C9283" w14:textId="77777777" w:rsidR="002634A6" w:rsidRPr="00943933" w:rsidRDefault="002634A6" w:rsidP="002634A6">
      <w:pPr>
        <w:pStyle w:val="ListParagraph"/>
        <w:spacing w:line="276" w:lineRule="auto"/>
        <w:rPr>
          <w:rFonts w:ascii="Segoe UI" w:hAnsi="Segoe UI" w:cs="Segoe UI"/>
          <w:sz w:val="20"/>
          <w:szCs w:val="20"/>
        </w:rPr>
      </w:pPr>
      <w:r w:rsidRPr="00943933">
        <w:rPr>
          <w:rFonts w:ascii="Segoe UI" w:hAnsi="Segoe UI" w:cs="Segoe UI"/>
          <w:sz w:val="20"/>
          <w:szCs w:val="20"/>
        </w:rPr>
        <w:t>Results #43=</w:t>
      </w:r>
      <w:r w:rsidRPr="00943933">
        <w:rPr>
          <w:rFonts w:ascii="Segoe UI" w:hAnsi="Segoe UI" w:cs="Segoe UI"/>
          <w:b/>
          <w:sz w:val="20"/>
          <w:szCs w:val="20"/>
        </w:rPr>
        <w:t>12977</w:t>
      </w:r>
    </w:p>
    <w:p w14:paraId="5EA225D7" w14:textId="77777777" w:rsidR="00943933" w:rsidRDefault="00943933" w:rsidP="002634A6">
      <w:pPr>
        <w:rPr>
          <w:rFonts w:ascii="Segoe UI" w:hAnsi="Segoe UI" w:cs="Segoe UI"/>
        </w:rPr>
      </w:pPr>
    </w:p>
    <w:p w14:paraId="11401349" w14:textId="4316D97B" w:rsidR="002634A6" w:rsidRPr="00943933" w:rsidRDefault="002634A6" w:rsidP="00943933">
      <w:pPr>
        <w:jc w:val="both"/>
        <w:rPr>
          <w:rFonts w:ascii="Segoe UI" w:hAnsi="Segoe UI" w:cs="Segoe UI"/>
          <w:b/>
          <w:bCs/>
          <w:szCs w:val="20"/>
          <w:lang w:val="en-GB"/>
        </w:rPr>
      </w:pPr>
      <w:r w:rsidRPr="00943933">
        <w:rPr>
          <w:rFonts w:ascii="Segoe UI" w:hAnsi="Segoe UI" w:cs="Segoe UI"/>
          <w:b/>
          <w:bCs/>
          <w:szCs w:val="20"/>
          <w:lang w:val="en-GB"/>
        </w:rPr>
        <w:t xml:space="preserve">Section 2: </w:t>
      </w:r>
      <w:r w:rsidR="0008087C" w:rsidRPr="00943933">
        <w:rPr>
          <w:rFonts w:ascii="Segoe UI" w:hAnsi="Segoe UI" w:cs="Segoe UI"/>
          <w:b/>
          <w:bCs/>
          <w:szCs w:val="20"/>
          <w:lang w:val="en-GB"/>
        </w:rPr>
        <w:t>Definitions</w:t>
      </w:r>
    </w:p>
    <w:p w14:paraId="378CA68A" w14:textId="55A47673" w:rsidR="00C125C1" w:rsidRPr="00943933" w:rsidRDefault="0008087C" w:rsidP="00943933">
      <w:pPr>
        <w:jc w:val="both"/>
        <w:rPr>
          <w:rFonts w:ascii="Segoe UI" w:eastAsia="Times New Roman" w:hAnsi="Segoe UI" w:cs="Segoe UI"/>
          <w:i/>
          <w:iCs/>
          <w:szCs w:val="20"/>
        </w:rPr>
      </w:pPr>
      <w:r w:rsidRPr="00943933">
        <w:rPr>
          <w:rFonts w:ascii="Segoe UI" w:eastAsia="Times New Roman" w:hAnsi="Segoe UI" w:cs="Segoe UI"/>
          <w:i/>
          <w:iCs/>
          <w:szCs w:val="20"/>
        </w:rPr>
        <w:t xml:space="preserve">Definition of research aim </w:t>
      </w:r>
    </w:p>
    <w:p w14:paraId="3CCE557E" w14:textId="09E3CFBD" w:rsidR="00C125C1" w:rsidRPr="00943933" w:rsidRDefault="00C125C1" w:rsidP="00943933">
      <w:pPr>
        <w:jc w:val="both"/>
        <w:rPr>
          <w:rFonts w:ascii="Segoe UI" w:hAnsi="Segoe UI" w:cs="Segoe UI"/>
          <w:szCs w:val="20"/>
          <w:lang w:val="en"/>
        </w:rPr>
      </w:pPr>
      <w:r w:rsidRPr="00943933">
        <w:rPr>
          <w:rFonts w:ascii="Segoe UI" w:hAnsi="Segoe UI" w:cs="Segoe UI"/>
          <w:i/>
          <w:iCs/>
          <w:szCs w:val="20"/>
          <w:lang w:val="en"/>
        </w:rPr>
        <w:t>Model development studies</w:t>
      </w:r>
      <w:r w:rsidRPr="00943933">
        <w:rPr>
          <w:rFonts w:ascii="Segoe UI" w:hAnsi="Segoe UI" w:cs="Segoe UI"/>
          <w:szCs w:val="20"/>
          <w:lang w:val="en"/>
        </w:rPr>
        <w:t xml:space="preserve"> aim to develop a prediction model to be used for individualized predictions where its predictive performance is directly evaluated using exactly the same data, either directly (apparent performance) or by resampling participant data or random/non</w:t>
      </w:r>
      <w:r w:rsidR="00240C69" w:rsidRPr="00943933">
        <w:rPr>
          <w:rFonts w:ascii="Segoe UI" w:hAnsi="Segoe UI" w:cs="Segoe UI"/>
          <w:szCs w:val="20"/>
          <w:lang w:val="en"/>
        </w:rPr>
        <w:t xml:space="preserve"> to </w:t>
      </w:r>
      <w:r w:rsidRPr="00943933">
        <w:rPr>
          <w:rFonts w:ascii="Segoe UI" w:hAnsi="Segoe UI" w:cs="Segoe UI"/>
          <w:szCs w:val="20"/>
          <w:lang w:val="en"/>
        </w:rPr>
        <w:t>random split of the data (internal validation)</w:t>
      </w:r>
      <w:r w:rsidR="00F84728" w:rsidRPr="00943933">
        <w:rPr>
          <w:rFonts w:ascii="Segoe UI" w:hAnsi="Segoe UI" w:cs="Segoe UI"/>
          <w:szCs w:val="20"/>
          <w:lang w:val="en"/>
        </w:rPr>
        <w:t>.</w:t>
      </w:r>
      <w:r w:rsidRPr="00943933">
        <w:rPr>
          <w:rFonts w:ascii="Segoe UI" w:hAnsi="Segoe UI" w:cs="Segoe UI"/>
          <w:szCs w:val="20"/>
          <w:lang w:val="en"/>
        </w:rPr>
        <w:t xml:space="preserve"> </w:t>
      </w:r>
      <w:r w:rsidRPr="00943933">
        <w:rPr>
          <w:rFonts w:ascii="Segoe UI" w:hAnsi="Segoe UI" w:cs="Segoe UI"/>
          <w:i/>
          <w:iCs/>
          <w:szCs w:val="20"/>
          <w:lang w:val="en"/>
        </w:rPr>
        <w:t>Model development studies with external validation (same model)</w:t>
      </w:r>
      <w:r w:rsidRPr="00943933">
        <w:rPr>
          <w:rFonts w:ascii="Segoe UI" w:hAnsi="Segoe UI" w:cs="Segoe UI"/>
          <w:szCs w:val="20"/>
          <w:lang w:val="en"/>
        </w:rPr>
        <w:t xml:space="preserve"> also describe the development of a model, but this is followed by quantifying its predictive performance in different participants, i</w:t>
      </w:r>
      <w:r w:rsidR="00F84728" w:rsidRPr="00943933">
        <w:rPr>
          <w:rFonts w:ascii="Segoe UI" w:hAnsi="Segoe UI" w:cs="Segoe UI"/>
          <w:szCs w:val="20"/>
          <w:lang w:val="en"/>
        </w:rPr>
        <w:t>.</w:t>
      </w:r>
      <w:r w:rsidRPr="00943933">
        <w:rPr>
          <w:rFonts w:ascii="Segoe UI" w:hAnsi="Segoe UI" w:cs="Segoe UI"/>
          <w:szCs w:val="20"/>
          <w:lang w:val="en"/>
        </w:rPr>
        <w:t>e</w:t>
      </w:r>
      <w:r w:rsidR="00F84728" w:rsidRPr="00943933">
        <w:rPr>
          <w:rFonts w:ascii="Segoe UI" w:hAnsi="Segoe UI" w:cs="Segoe UI"/>
          <w:szCs w:val="20"/>
          <w:lang w:val="en"/>
        </w:rPr>
        <w:t>.</w:t>
      </w:r>
      <w:r w:rsidRPr="00943933">
        <w:rPr>
          <w:rFonts w:ascii="Segoe UI" w:hAnsi="Segoe UI" w:cs="Segoe UI"/>
          <w:szCs w:val="20"/>
          <w:lang w:val="en"/>
        </w:rPr>
        <w:t xml:space="preserve"> external to the development sample</w:t>
      </w:r>
      <w:r w:rsidR="00F84728" w:rsidRPr="00943933">
        <w:rPr>
          <w:rFonts w:ascii="Segoe UI" w:hAnsi="Segoe UI" w:cs="Segoe UI"/>
          <w:szCs w:val="20"/>
          <w:lang w:val="en"/>
        </w:rPr>
        <w:t>.</w:t>
      </w:r>
      <w:r w:rsidRPr="00943933">
        <w:rPr>
          <w:rFonts w:ascii="Segoe UI" w:hAnsi="Segoe UI" w:cs="Segoe UI"/>
          <w:szCs w:val="20"/>
          <w:lang w:val="en"/>
        </w:rPr>
        <w:t xml:space="preserve"> </w:t>
      </w:r>
      <w:r w:rsidRPr="00943933">
        <w:rPr>
          <w:rFonts w:ascii="Segoe UI" w:hAnsi="Segoe UI" w:cs="Segoe UI"/>
          <w:i/>
          <w:iCs/>
          <w:szCs w:val="20"/>
          <w:lang w:val="en"/>
        </w:rPr>
        <w:t>Model development studies with external validation (different model)</w:t>
      </w:r>
      <w:r w:rsidRPr="00943933">
        <w:rPr>
          <w:rFonts w:ascii="Segoe UI" w:hAnsi="Segoe UI" w:cs="Segoe UI"/>
          <w:szCs w:val="20"/>
          <w:lang w:val="en"/>
        </w:rPr>
        <w:t xml:space="preserve"> either aim to develop a prediction model and compare it to the performance of existing models that were developed previously, or to update or adjust an existing model that performs poorly by recalibrating or extending the model</w:t>
      </w:r>
      <w:r w:rsidR="00F84728" w:rsidRPr="00943933">
        <w:rPr>
          <w:rFonts w:ascii="Segoe UI" w:hAnsi="Segoe UI" w:cs="Segoe UI"/>
          <w:szCs w:val="20"/>
          <w:lang w:val="en"/>
        </w:rPr>
        <w:t>.</w:t>
      </w:r>
      <w:r w:rsidRPr="00943933">
        <w:rPr>
          <w:rFonts w:ascii="Segoe UI" w:hAnsi="Segoe UI" w:cs="Segoe UI"/>
          <w:szCs w:val="20"/>
          <w:lang w:val="en"/>
        </w:rPr>
        <w:t xml:space="preserve"> </w:t>
      </w:r>
      <w:r w:rsidRPr="00943933">
        <w:rPr>
          <w:rFonts w:ascii="Segoe UI" w:hAnsi="Segoe UI" w:cs="Segoe UI"/>
          <w:i/>
          <w:iCs/>
          <w:szCs w:val="20"/>
          <w:lang w:val="en"/>
        </w:rPr>
        <w:t>External validation only</w:t>
      </w:r>
      <w:r w:rsidRPr="00943933">
        <w:rPr>
          <w:rFonts w:ascii="Segoe UI" w:hAnsi="Segoe UI" w:cs="Segoe UI"/>
          <w:szCs w:val="20"/>
          <w:lang w:val="en"/>
        </w:rPr>
        <w:t xml:space="preserve"> studies aim to assess only the predictive performance of existing prediction models using data external to the development sample</w:t>
      </w:r>
      <w:r w:rsidR="00F84728" w:rsidRPr="00943933">
        <w:rPr>
          <w:rFonts w:ascii="Segoe UI" w:hAnsi="Segoe UI" w:cs="Segoe UI"/>
          <w:szCs w:val="20"/>
          <w:lang w:val="en"/>
        </w:rPr>
        <w:t>.</w:t>
      </w:r>
      <w:r w:rsidR="0008087C" w:rsidRPr="00943933">
        <w:rPr>
          <w:rFonts w:ascii="Segoe UI" w:hAnsi="Segoe UI" w:cs="Segoe UI"/>
          <w:szCs w:val="20"/>
          <w:lang w:val="en"/>
        </w:rPr>
        <w:t xml:space="preserve"> </w:t>
      </w:r>
      <w:r w:rsidR="00F84728" w:rsidRPr="00943933">
        <w:rPr>
          <w:rFonts w:ascii="Segoe UI" w:hAnsi="Segoe UI" w:cs="Segoe UI"/>
          <w:szCs w:val="20"/>
        </w:rPr>
        <w:fldChar w:fldCharType="begin" w:fldLock="1"/>
      </w:r>
      <w:r w:rsidR="00F84728" w:rsidRPr="00943933">
        <w:rPr>
          <w:rFonts w:ascii="Segoe UI" w:hAnsi="Segoe UI" w:cs="Segoe UI"/>
          <w:szCs w:val="20"/>
        </w:rPr>
        <w:instrText>ADDIN CSL_CITATION {"citationItems":[{"id":"ITEM-1","itemData":{"DOI":"10.7326/M14-0697","ISSN":"0003-4819","author":[{"dropping-particle":"","family":"Collins","given":"Gary S.","non-dropping-particle":"","parse-names":false,"suffix":""},{"dropping-particle":"","family":"Reitsma","given":"Johannes B.","non-dropping-particle":"","parse-names":false,"suffix":""},{"dropping-particle":"","family":"Altman","given":"Douglas G.","non-dropping-particle":"","parse-names":false,"suffix":""},{"dropping-particle":"","family":"Moons","given":"Karel G.M.","non-dropping-particle":"","parse-names":false,"suffix":""}],"container-title":"Annals of Internal Medicine","id":"ITEM-1","issue":"1","issued":{"date-parts":[["2015","1","6"]]},"page":"55","title":"Transparent Reporting of a multivariable prediction model for Individual Prognosis Or Diagnosis (TRIPOD): The TRIPOD Statement","type":"article-journal","volume":"162"},"uris":["http://www.mendeley.com/documents/?uuid=70b91ff9-57f5-3caf-9afd-5faffc64ab97"]},{"id":"ITEM-2","itemData":{"DOI":"10.7326/M14-0698","ISSN":"15393704","abstract":"© 2015 American College of Physicians. The TRIPOD (Transparent Reporting of a multivariable prediction model for Individual Prognosis Or Diagnosis) Statement includes a 22-item checklist, which aims to improve the reporting of studies developing, validating, or updating a prediction model, whether for diagnostic or prognostic purposes. The TRIPOD Statement aims to improve the transparency of the reporting of a prediction model study regardless of the study methods used. This explanation and elaboration document describes the rationale; clarifies the meaning of each item; and discusses why transparent reporting is important, with a view to assessing risk of bias and clinical usefulness of the prediction model. Each checklist item of the TRIPOD Statement is explained in detail and accompanied by published examples of good reporting. The document also provides a valuable reference of issues to consider when designing, conducting, and analyzing prediction model studies. To aid the editorial process and help peer reviewers and, ultimately, readers and systematic reviewers of prediction model studies, it is recommended that authors include a completed checklist in their submission. The TRIPOD checklist can also be downloaded from www.tripod-statement.org.","author":[{"dropping-particle":"","family":"Moons","given":"Karel G.M.","non-dropping-particle":"","parse-names":false,"suffix":""},{"dropping-particle":"","family":"Altman","given":"Douglas G.","non-dropping-particle":"","parse-names":false,"suffix":""},{"dropping-particle":"","family":"Reitsma","given":"Johannes B.","non-dropping-particle":"","parse-names":false,"suffix":""},{"dropping-particle":"","family":"Ioannidis","given":"John P.A.","non-dropping-particle":"","parse-names":false,"suffix":""},{"dropping-particle":"","family":"Macaskill","given":"Petra","non-dropping-particle":"","parse-names":false,"suffix":""},{"dropping-particle":"","family":"Steyerberg","given":"Ewout W.","non-dropping-particle":"","parse-names":false,"suffix":""},{"dropping-particle":"","family":"Vickers","given":"Andrew J.","non-dropping-particle":"","parse-names":false,"suffix":""},{"dropping-particle":"","family":"Ransohoff","given":"David F.","non-dropping-particle":"","parse-names":false,"suffix":""},{"dropping-particle":"","family":"Collins","given":"Gary S.","non-dropping-particle":"","parse-names":false,"suffix":""}],"container-title":"Annals of Internal Medicine","id":"ITEM-2","issue":"1","issued":{"date-parts":[["2015","1","6"]]},"page":"W1-W73","publisher":"American College of Physicians","title":"Transparent reporting of a multivariable prediction model for individual prognosis or diagnosis (TRIPOD): Explanation and elaboration","type":"article-journal","volume":"162"},"uris":["http://www.mendeley.com/documents/?uuid=cd3766a3-e205-3a00-b1e9-d841f555e946"]}],"mendeley":{"formattedCitation":"(1,2)","plainTextFormattedCitation":"(1,2)","previouslyFormattedCitation":"(1,2)"},"properties":{"noteIndex":0},"schema":"https://github.com/citation-style-language/schema/raw/master/csl-citation.json"}</w:instrText>
      </w:r>
      <w:r w:rsidR="00F84728" w:rsidRPr="00943933">
        <w:rPr>
          <w:rFonts w:ascii="Segoe UI" w:hAnsi="Segoe UI" w:cs="Segoe UI"/>
          <w:szCs w:val="20"/>
        </w:rPr>
        <w:fldChar w:fldCharType="separate"/>
      </w:r>
      <w:r w:rsidR="00F84728" w:rsidRPr="00943933">
        <w:rPr>
          <w:rFonts w:ascii="Segoe UI" w:hAnsi="Segoe UI" w:cs="Segoe UI"/>
          <w:noProof/>
          <w:szCs w:val="20"/>
        </w:rPr>
        <w:t>(1,2)</w:t>
      </w:r>
      <w:r w:rsidR="00F84728" w:rsidRPr="00943933">
        <w:rPr>
          <w:rFonts w:ascii="Segoe UI" w:hAnsi="Segoe UI" w:cs="Segoe UI"/>
          <w:szCs w:val="20"/>
        </w:rPr>
        <w:fldChar w:fldCharType="end"/>
      </w:r>
    </w:p>
    <w:p w14:paraId="0489169E" w14:textId="1A3562C6" w:rsidR="008172B1" w:rsidRPr="00943933" w:rsidRDefault="008172B1" w:rsidP="00943933">
      <w:pPr>
        <w:jc w:val="both"/>
        <w:rPr>
          <w:rFonts w:ascii="Segoe UI" w:hAnsi="Segoe UI" w:cs="Segoe UI"/>
          <w:szCs w:val="20"/>
          <w:lang w:val="en"/>
        </w:rPr>
      </w:pPr>
    </w:p>
    <w:p w14:paraId="0D1B0253" w14:textId="26C71A2F" w:rsidR="008172B1" w:rsidRPr="00943933" w:rsidRDefault="00F95B94" w:rsidP="00943933">
      <w:pPr>
        <w:jc w:val="both"/>
        <w:rPr>
          <w:rFonts w:ascii="Segoe UI" w:hAnsi="Segoe UI" w:cs="Segoe UI"/>
          <w:i/>
          <w:iCs/>
          <w:szCs w:val="20"/>
          <w:lang w:val="en"/>
        </w:rPr>
      </w:pPr>
      <w:r w:rsidRPr="00943933">
        <w:rPr>
          <w:rFonts w:ascii="Segoe UI" w:hAnsi="Segoe UI" w:cs="Segoe UI"/>
          <w:i/>
          <w:iCs/>
          <w:szCs w:val="20"/>
          <w:lang w:val="en"/>
        </w:rPr>
        <w:t>Definition of p</w:t>
      </w:r>
      <w:r w:rsidR="0008087C" w:rsidRPr="00943933">
        <w:rPr>
          <w:rFonts w:ascii="Segoe UI" w:hAnsi="Segoe UI" w:cs="Segoe UI"/>
          <w:i/>
          <w:iCs/>
          <w:szCs w:val="20"/>
          <w:lang w:val="en"/>
        </w:rPr>
        <w:t>erformance measures</w:t>
      </w:r>
    </w:p>
    <w:p w14:paraId="77E03CAE" w14:textId="5E42FC96" w:rsidR="00AF3463" w:rsidRPr="00943933" w:rsidRDefault="00AF3463" w:rsidP="00943933">
      <w:pPr>
        <w:jc w:val="both"/>
        <w:rPr>
          <w:rFonts w:ascii="Segoe UI" w:hAnsi="Segoe UI" w:cs="Segoe UI"/>
          <w:szCs w:val="20"/>
        </w:rPr>
      </w:pPr>
      <w:r w:rsidRPr="00943933">
        <w:rPr>
          <w:rFonts w:ascii="Segoe UI" w:hAnsi="Segoe UI" w:cs="Segoe UI"/>
          <w:szCs w:val="20"/>
        </w:rPr>
        <w:t>Discrimination refers to the ability of a prediction model to differentiate between those who do or do not experience the outcome event</w:t>
      </w:r>
      <w:r w:rsidR="00F84728" w:rsidRPr="00943933">
        <w:rPr>
          <w:rFonts w:ascii="Segoe UI" w:hAnsi="Segoe UI" w:cs="Segoe UI"/>
          <w:szCs w:val="20"/>
        </w:rPr>
        <w:t>.</w:t>
      </w:r>
      <w:r w:rsidRPr="00943933">
        <w:rPr>
          <w:rFonts w:ascii="Segoe UI" w:hAnsi="Segoe UI" w:cs="Segoe UI"/>
          <w:szCs w:val="20"/>
        </w:rPr>
        <w:t xml:space="preserve"> The most common reported measure for discrimination </w:t>
      </w:r>
      <w:r w:rsidR="0008087C" w:rsidRPr="00943933">
        <w:rPr>
          <w:rFonts w:ascii="Segoe UI" w:hAnsi="Segoe UI" w:cs="Segoe UI"/>
          <w:szCs w:val="20"/>
        </w:rPr>
        <w:t>is</w:t>
      </w:r>
      <w:r w:rsidRPr="00943933">
        <w:rPr>
          <w:rFonts w:ascii="Segoe UI" w:hAnsi="Segoe UI" w:cs="Segoe UI"/>
          <w:szCs w:val="20"/>
        </w:rPr>
        <w:t xml:space="preserve"> the concordance index (c</w:t>
      </w:r>
      <w:r w:rsidR="00240C69" w:rsidRPr="00943933">
        <w:rPr>
          <w:rFonts w:ascii="Segoe UI" w:hAnsi="Segoe UI" w:cs="Segoe UI"/>
          <w:szCs w:val="20"/>
        </w:rPr>
        <w:t xml:space="preserve"> to </w:t>
      </w:r>
      <w:r w:rsidRPr="00943933">
        <w:rPr>
          <w:rFonts w:ascii="Segoe UI" w:hAnsi="Segoe UI" w:cs="Segoe UI"/>
          <w:szCs w:val="20"/>
        </w:rPr>
        <w:t>index) and the area under the receiver</w:t>
      </w:r>
      <w:r w:rsidR="00240C69" w:rsidRPr="00943933">
        <w:rPr>
          <w:rFonts w:ascii="Segoe UI" w:hAnsi="Segoe UI" w:cs="Segoe UI"/>
          <w:szCs w:val="20"/>
        </w:rPr>
        <w:t xml:space="preserve"> to </w:t>
      </w:r>
      <w:r w:rsidRPr="00943933">
        <w:rPr>
          <w:rFonts w:ascii="Segoe UI" w:hAnsi="Segoe UI" w:cs="Segoe UI"/>
          <w:szCs w:val="20"/>
        </w:rPr>
        <w:t>operating characteristic curve</w:t>
      </w:r>
      <w:r w:rsidR="0008087C" w:rsidRPr="00943933">
        <w:rPr>
          <w:rFonts w:ascii="Segoe UI" w:hAnsi="Segoe UI" w:cs="Segoe UI"/>
          <w:szCs w:val="20"/>
        </w:rPr>
        <w:t>s</w:t>
      </w:r>
      <w:r w:rsidR="00F84728" w:rsidRPr="00943933">
        <w:rPr>
          <w:rFonts w:ascii="Segoe UI" w:hAnsi="Segoe UI" w:cs="Segoe UI"/>
          <w:szCs w:val="20"/>
        </w:rPr>
        <w:t>.</w:t>
      </w:r>
      <w:r w:rsidRPr="00943933">
        <w:rPr>
          <w:rFonts w:ascii="Segoe UI" w:hAnsi="Segoe UI" w:cs="Segoe UI"/>
          <w:szCs w:val="20"/>
        </w:rPr>
        <w:t xml:space="preserve"> Calibration reflects the agreement between predictions made by the model and observed outcomes</w:t>
      </w:r>
      <w:r w:rsidR="00F84728" w:rsidRPr="00943933">
        <w:rPr>
          <w:rFonts w:ascii="Segoe UI" w:hAnsi="Segoe UI" w:cs="Segoe UI"/>
          <w:szCs w:val="20"/>
        </w:rPr>
        <w:t>.</w:t>
      </w:r>
      <w:r w:rsidRPr="00943933">
        <w:rPr>
          <w:rFonts w:ascii="Segoe UI" w:hAnsi="Segoe UI" w:cs="Segoe UI"/>
          <w:szCs w:val="20"/>
        </w:rPr>
        <w:t xml:space="preserve"> Calibration is preferably reported graphically, with observed risk plotted on the y</w:t>
      </w:r>
      <w:r w:rsidR="00240C69" w:rsidRPr="00943933">
        <w:rPr>
          <w:rFonts w:ascii="Segoe UI" w:hAnsi="Segoe UI" w:cs="Segoe UI"/>
          <w:szCs w:val="20"/>
        </w:rPr>
        <w:t xml:space="preserve"> to </w:t>
      </w:r>
      <w:r w:rsidRPr="00943933">
        <w:rPr>
          <w:rFonts w:ascii="Segoe UI" w:hAnsi="Segoe UI" w:cs="Segoe UI"/>
          <w:szCs w:val="20"/>
        </w:rPr>
        <w:t>axis against predicted risk on the x</w:t>
      </w:r>
      <w:r w:rsidR="00240C69" w:rsidRPr="00943933">
        <w:rPr>
          <w:rFonts w:ascii="Segoe UI" w:hAnsi="Segoe UI" w:cs="Segoe UI"/>
          <w:szCs w:val="20"/>
        </w:rPr>
        <w:t xml:space="preserve"> to </w:t>
      </w:r>
      <w:r w:rsidRPr="00943933">
        <w:rPr>
          <w:rFonts w:ascii="Segoe UI" w:hAnsi="Segoe UI" w:cs="Segoe UI"/>
          <w:szCs w:val="20"/>
        </w:rPr>
        <w:t>axis</w:t>
      </w:r>
      <w:r w:rsidR="00F84728" w:rsidRPr="00943933">
        <w:rPr>
          <w:rFonts w:ascii="Segoe UI" w:hAnsi="Segoe UI" w:cs="Segoe UI"/>
          <w:szCs w:val="20"/>
        </w:rPr>
        <w:t>.</w:t>
      </w:r>
      <w:r w:rsidRPr="00943933">
        <w:rPr>
          <w:rFonts w:ascii="Segoe UI" w:hAnsi="Segoe UI" w:cs="Segoe UI"/>
          <w:szCs w:val="20"/>
        </w:rPr>
        <w:t xml:space="preserve"> </w:t>
      </w:r>
      <w:r w:rsidR="00F84728" w:rsidRPr="00943933">
        <w:rPr>
          <w:rFonts w:ascii="Segoe UI" w:hAnsi="Segoe UI" w:cs="Segoe UI"/>
          <w:szCs w:val="20"/>
        </w:rPr>
        <w:fldChar w:fldCharType="begin" w:fldLock="1"/>
      </w:r>
      <w:r w:rsidR="00F84728" w:rsidRPr="00943933">
        <w:rPr>
          <w:rFonts w:ascii="Segoe UI" w:hAnsi="Segoe UI" w:cs="Segoe UI"/>
          <w:szCs w:val="20"/>
        </w:rPr>
        <w:instrText>ADDIN CSL_CITATION {"citationItems":[{"id":"ITEM-1","itemData":{"DOI":"10.7326/M14-0697","ISSN":"0003-4819","author":[{"dropping-particle":"","family":"Collins","given":"Gary S.","non-dropping-particle":"","parse-names":false,"suffix":""},{"dropping-particle":"","family":"Reitsma","given":"Johannes B.","non-dropping-particle":"","parse-names":false,"suffix":""},{"dropping-particle":"","family":"Altman","given":"Douglas G.","non-dropping-particle":"","parse-names":false,"suffix":""},{"dropping-particle":"","family":"Moons","given":"Karel G.M.","non-dropping-particle":"","parse-names":false,"suffix":""}],"container-title":"Annals of Internal Medicine","id":"ITEM-1","issue":"1","issued":{"date-parts":[["2015","1","6"]]},"page":"55","title":"Transparent Reporting of a multivariable prediction model for Individual Prognosis Or Diagnosis (TRIPOD): The TRIPOD Statement","type":"article-journal","volume":"162"},"uris":["http://www.mendeley.com/documents/?uuid=70b91ff9-57f5-3caf-9afd-5faffc64ab97"]},{"id":"ITEM-2","itemData":{"DOI":"10.7326/M14-0698","ISSN":"15393704","abstract":"© 2015 American College of Physicians. The TRIPOD (Transparent Reporting of a multivariable prediction model for Individual Prognosis Or Diagnosis) Statement includes a 22-item checklist, which aims to improve the reporting of studies developing, validating, or updating a prediction model, whether for diagnostic or prognostic purposes. The TRIPOD Statement aims to improve the transparency of the reporting of a prediction model study regardless of the study methods used. This explanation and elaboration document describes the rationale; clarifies the meaning of each item; and discusses why transparent reporting is important, with a view to assessing risk of bias and clinical usefulness of the prediction model. Each checklist item of the TRIPOD Statement is explained in detail and accompanied by published examples of good reporting. The document also provides a valuable reference of issues to consider when designing, conducting, and analyzing prediction model studies. To aid the editorial process and help peer reviewers and, ultimately, readers and systematic reviewers of prediction model studies, it is recommended that authors include a completed checklist in their submission. The TRIPOD checklist can also be downloaded from www.tripod-statement.org.","author":[{"dropping-particle":"","family":"Moons","given":"Karel G.M.","non-dropping-particle":"","parse-names":false,"suffix":""},{"dropping-particle":"","family":"Altman","given":"Douglas G.","non-dropping-particle":"","parse-names":false,"suffix":""},{"dropping-particle":"","family":"Reitsma","given":"Johannes B.","non-dropping-particle":"","parse-names":false,"suffix":""},{"dropping-particle":"","family":"Ioannidis","given":"John P.A.","non-dropping-particle":"","parse-names":false,"suffix":""},{"dropping-particle":"","family":"Macaskill","given":"Petra","non-dropping-particle":"","parse-names":false,"suffix":""},{"dropping-particle":"","family":"Steyerberg","given":"Ewout W.","non-dropping-particle":"","parse-names":false,"suffix":""},{"dropping-particle":"","family":"Vickers","given":"Andrew J.","non-dropping-particle":"","parse-names":false,"suffix":""},{"dropping-particle":"","family":"Ransohoff","given":"David F.","non-dropping-particle":"","parse-names":false,"suffix":""},{"dropping-particle":"","family":"Collins","given":"Gary S.","non-dropping-particle":"","parse-names":false,"suffix":""}],"container-title":"Annals of Internal Medicine","id":"ITEM-2","issue":"1","issued":{"date-parts":[["2015","1","6"]]},"page":"W1-W73","publisher":"American College of Physicians","title":"Transparent reporting of a multivariable prediction model for individual prognosis or diagnosis (TRIPOD): Explanation and elaboration","type":"article-journal","volume":"162"},"uris":["http://www.mendeley.com/documents/?uuid=cd3766a3-e205-3a00-b1e9-d841f555e946"]}],"mendeley":{"formattedCitation":"(1,2)","plainTextFormattedCitation":"(1,2)","previouslyFormattedCitation":"(1,2)"},"properties":{"noteIndex":0},"schema":"https://github.com/citation-style-language/schema/raw/master/csl-citation.json"}</w:instrText>
      </w:r>
      <w:r w:rsidR="00F84728" w:rsidRPr="00943933">
        <w:rPr>
          <w:rFonts w:ascii="Segoe UI" w:hAnsi="Segoe UI" w:cs="Segoe UI"/>
          <w:szCs w:val="20"/>
        </w:rPr>
        <w:fldChar w:fldCharType="separate"/>
      </w:r>
      <w:r w:rsidR="00F84728" w:rsidRPr="00943933">
        <w:rPr>
          <w:rFonts w:ascii="Segoe UI" w:hAnsi="Segoe UI" w:cs="Segoe UI"/>
          <w:noProof/>
          <w:szCs w:val="20"/>
        </w:rPr>
        <w:t>(1,2)</w:t>
      </w:r>
      <w:r w:rsidR="00F84728" w:rsidRPr="00943933">
        <w:rPr>
          <w:rFonts w:ascii="Segoe UI" w:hAnsi="Segoe UI" w:cs="Segoe UI"/>
          <w:szCs w:val="20"/>
        </w:rPr>
        <w:fldChar w:fldCharType="end"/>
      </w:r>
      <w:r w:rsidRPr="00943933">
        <w:rPr>
          <w:rFonts w:ascii="Segoe UI" w:hAnsi="Segoe UI" w:cs="Segoe UI"/>
          <w:szCs w:val="20"/>
        </w:rPr>
        <w:fldChar w:fldCharType="begin" w:fldLock="1"/>
      </w:r>
      <w:r w:rsidR="00F84728" w:rsidRPr="00943933">
        <w:rPr>
          <w:rFonts w:ascii="Segoe UI" w:hAnsi="Segoe UI" w:cs="Segoe UI"/>
          <w:szCs w:val="20"/>
        </w:rPr>
        <w:instrText>ADDIN CSL_CITATION {"citationItems":[{"id":"ITEM-1","itemData":{"DOI":"10.7326/M14-0698","ISSN":"15393704","abstract":"© 2015 American College of Physicians. The TRIPOD (Transparent Reporting of a multivariable prediction model for Individual Prognosis Or Diagnosis) Statement includes a 22-item checklist, which aims to improve the reporting of studies developing, validating, or updating a prediction model, whether for diagnostic or prognostic purposes. The TRIPOD Statement aims to improve the transparency of the reporting of a prediction model study regardless of the study methods used. This explanation and elaboration document describes the rationale; clarifies the meaning of each item; and discusses why transparent reporting is important, with a view to assessing risk of bias and clinical usefulness of the prediction model. Each checklist item of the TRIPOD Statement is explained in detail and accompanied by published examples of good reporting. The document also provides a valuable reference of issues to consider when designing, conducting, and analyzing prediction model studies. To aid the editorial process and help peer reviewers and, ultimately, readers and systematic reviewers of prediction model studies, it is recommended that authors include a completed checklist in their submission. The TRIPOD checklist can also be downloaded from www.tripod-statement.org.","author":[{"dropping-particle":"","family":"Moons","given":"Karel G.M.","non-dropping-particle":"","parse-names":false,"suffix":""},{"dropping-particle":"","family":"Altman","given":"Douglas G.","non-dropping-particle":"","parse-names":false,"suffix":""},{"dropping-particle":"","family":"Reitsma","given":"Johannes B.","non-dropping-particle":"","parse-names":false,"suffix":""},{"dropping-particle":"","family":"Ioannidis","given":"John P.A.","non-dropping-particle":"","parse-names":false,"suffix":""},{"dropping-particle":"","family":"Macaskill","given":"Petra","non-dropping-particle":"","parse-names":false,"suffix":""},{"dropping-particle":"","family":"Steyerberg","given":"Ewout W.","non-dropping-particle":"","parse-names":false,"suffix":""},{"dropping-particle":"","family":"Vickers","given":"Andrew J.","non-dropping-particle":"","parse-names":false,"suffix":""},{"dropping-particle":"","family":"Ransohoff","given":"David F.","non-dropping-particle":"","parse-names":false,"suffix":""},{"dropping-particle":"","family":"Collins","given":"Gary S.","non-dropping-particle":"","parse-names":false,"suffix":""}],"container-title":"Annals of Internal Medicine","id":"ITEM-1","issue":"1","issued":{"date-parts":[["2015","1","6"]]},"page":"W1-W73","publisher":"American College of Physicians","title":"Transparent reporting of a multivariable prediction model for individual prognosis or diagnosis (TRIPOD): Explanation and elaboration","type":"article-journal","volume":"162"},"uris":["http://www.mendeley.com/documents/?uuid=cd3766a3-e205-3a00-b1e9-d841f555e946"]},{"id":"ITEM-2","itemData":{"DOI":"10.7326/M14-0697","ISSN":"0003-4819","author":[{"dropping-particle":"","family":"Collins","given":"Gary S.","non-dropping-particle":"","parse-names":false,"suffix":""},{"dropping-particle":"","family":"Reitsma","given":"Johannes B.","non-dropping-particle":"","parse-names":false,"suffix":""},{"dropping-particle":"","family":"Altman","given":"Douglas G.","non-dropping-particle":"","parse-names":false,"suffix":""},{"dropping-particle":"","family":"Moons","given":"Karel G.M.","non-dropping-particle":"","parse-names":false,"suffix":""}],"container-title":"Annals of Internal Medicine","id":"ITEM-2","issue":"1","issued":{"date-parts":[["2015","1","6"]]},"page":"55","title":"Transparent Reporting of a multivariable prediction model for Individual Prognosis Or Diagnosis (TRIPOD): The TRIPOD Statement","type":"article-journal","volume":"162"},"uris":["http://www.mendeley.com/documents/?uuid=70b91ff9-57f5-3caf-9afd-5faffc64ab97"]}],"mendeley":{"formattedCitation":"(1,2)","plainTextFormattedCitation":"(1,2)","previouslyFormattedCitation":"(1,2)"},"properties":{"noteIndex":0},"schema":"https://github.com/citation-style-language/schema/raw/master/csl-citation.json"}</w:instrText>
      </w:r>
      <w:r w:rsidRPr="00943933">
        <w:rPr>
          <w:rFonts w:ascii="Segoe UI" w:hAnsi="Segoe UI" w:cs="Segoe UI"/>
          <w:szCs w:val="20"/>
        </w:rPr>
        <w:fldChar w:fldCharType="end"/>
      </w:r>
    </w:p>
    <w:p w14:paraId="3A0A4427" w14:textId="36E568B5" w:rsidR="00F35F6F" w:rsidRPr="006E69CE" w:rsidRDefault="00F35F6F">
      <w:pPr>
        <w:rPr>
          <w:rFonts w:ascii="Times New Roman" w:hAnsi="Times New Roman" w:cs="Times New Roman"/>
          <w:sz w:val="20"/>
          <w:szCs w:val="20"/>
        </w:rPr>
      </w:pPr>
    </w:p>
    <w:p w14:paraId="3638B7FD" w14:textId="77777777" w:rsidR="006E69CE" w:rsidRPr="006E69CE" w:rsidRDefault="006E69CE" w:rsidP="00F35F6F">
      <w:pPr>
        <w:rPr>
          <w:rFonts w:ascii="Times New Roman" w:hAnsi="Times New Roman" w:cs="Times New Roman"/>
          <w:b/>
          <w:bCs/>
          <w:sz w:val="20"/>
          <w:szCs w:val="20"/>
          <w:lang w:val="en-GB"/>
        </w:rPr>
      </w:pPr>
    </w:p>
    <w:p w14:paraId="26945720" w14:textId="3DF723E4" w:rsidR="00943933" w:rsidRPr="00943933" w:rsidRDefault="00943933" w:rsidP="00943933">
      <w:pPr>
        <w:rPr>
          <w:rFonts w:ascii="Segoe UI" w:hAnsi="Segoe UI" w:cs="Segoe UI"/>
          <w:b/>
          <w:bCs/>
          <w:sz w:val="20"/>
          <w:szCs w:val="24"/>
        </w:rPr>
      </w:pPr>
      <w:r>
        <w:rPr>
          <w:rFonts w:ascii="Segoe UI" w:hAnsi="Segoe UI" w:cs="Segoe UI"/>
          <w:b/>
          <w:bCs/>
          <w:sz w:val="20"/>
          <w:szCs w:val="24"/>
        </w:rPr>
        <w:t>References</w:t>
      </w:r>
    </w:p>
    <w:p w14:paraId="23DF2AA9" w14:textId="77777777" w:rsidR="00943933" w:rsidRPr="00943933" w:rsidRDefault="00943933" w:rsidP="00943933">
      <w:pPr>
        <w:widowControl w:val="0"/>
        <w:autoSpaceDE w:val="0"/>
        <w:autoSpaceDN w:val="0"/>
        <w:adjustRightInd w:val="0"/>
        <w:spacing w:line="240" w:lineRule="auto"/>
        <w:ind w:left="640" w:hanging="640"/>
        <w:rPr>
          <w:rFonts w:ascii="Segoe UI" w:hAnsi="Segoe UI" w:cs="Segoe UI"/>
          <w:noProof/>
          <w:sz w:val="20"/>
          <w:szCs w:val="24"/>
        </w:rPr>
      </w:pPr>
      <w:r w:rsidRPr="00943933">
        <w:rPr>
          <w:rFonts w:ascii="Segoe UI" w:hAnsi="Segoe UI" w:cs="Segoe UI"/>
          <w:b/>
          <w:bCs/>
          <w:sz w:val="20"/>
          <w:szCs w:val="24"/>
        </w:rPr>
        <w:fldChar w:fldCharType="begin" w:fldLock="1"/>
      </w:r>
      <w:r w:rsidRPr="00943933">
        <w:rPr>
          <w:rFonts w:ascii="Segoe UI" w:hAnsi="Segoe UI" w:cs="Segoe UI"/>
          <w:b/>
          <w:bCs/>
          <w:sz w:val="20"/>
          <w:szCs w:val="24"/>
        </w:rPr>
        <w:instrText xml:space="preserve">ADDIN Mendeley Bibliography CSL_BIBLIOGRAPHY </w:instrText>
      </w:r>
      <w:r w:rsidRPr="00943933">
        <w:rPr>
          <w:rFonts w:ascii="Segoe UI" w:hAnsi="Segoe UI" w:cs="Segoe UI"/>
          <w:b/>
          <w:bCs/>
          <w:sz w:val="20"/>
          <w:szCs w:val="24"/>
        </w:rPr>
        <w:fldChar w:fldCharType="separate"/>
      </w:r>
      <w:r w:rsidRPr="00943933">
        <w:rPr>
          <w:rFonts w:ascii="Segoe UI" w:hAnsi="Segoe UI" w:cs="Segoe UI"/>
          <w:noProof/>
          <w:sz w:val="20"/>
          <w:szCs w:val="24"/>
        </w:rPr>
        <w:t xml:space="preserve">1. </w:t>
      </w:r>
      <w:r w:rsidRPr="00943933">
        <w:rPr>
          <w:rFonts w:ascii="Segoe UI" w:hAnsi="Segoe UI" w:cs="Segoe UI"/>
          <w:noProof/>
          <w:sz w:val="20"/>
          <w:szCs w:val="24"/>
        </w:rPr>
        <w:tab/>
        <w:t xml:space="preserve">Collins GS, Reitsma JB, Altman DG, Moons KGM. Transparent Reporting of a multivariable prediction model for Individual Prognosis Or Diagnosis (TRIPOD): The TRIPOD Statement. Ann Intern Med. 2015 Jan 6;162(1):55. </w:t>
      </w:r>
    </w:p>
    <w:p w14:paraId="43746C89" w14:textId="4D8C528D" w:rsidR="00943933" w:rsidRDefault="00943933" w:rsidP="00943933">
      <w:pPr>
        <w:widowControl w:val="0"/>
        <w:autoSpaceDE w:val="0"/>
        <w:autoSpaceDN w:val="0"/>
        <w:adjustRightInd w:val="0"/>
        <w:spacing w:line="240" w:lineRule="auto"/>
        <w:ind w:left="640" w:hanging="640"/>
        <w:rPr>
          <w:rFonts w:ascii="Segoe UI" w:hAnsi="Segoe UI" w:cs="Segoe UI"/>
          <w:noProof/>
          <w:sz w:val="20"/>
          <w:szCs w:val="24"/>
        </w:rPr>
      </w:pPr>
      <w:r w:rsidRPr="00943933">
        <w:rPr>
          <w:rFonts w:ascii="Segoe UI" w:hAnsi="Segoe UI" w:cs="Segoe UI"/>
          <w:noProof/>
          <w:sz w:val="20"/>
          <w:szCs w:val="24"/>
        </w:rPr>
        <w:t xml:space="preserve">2. </w:t>
      </w:r>
      <w:r w:rsidRPr="00943933">
        <w:rPr>
          <w:rFonts w:ascii="Segoe UI" w:hAnsi="Segoe UI" w:cs="Segoe UI"/>
          <w:noProof/>
          <w:sz w:val="20"/>
          <w:szCs w:val="24"/>
        </w:rPr>
        <w:tab/>
        <w:t>Moons KGM, Altman DG, Reitsma JB, Ioannidis JPA, Macaskill P, Steyerberg EW, et al. Transparent reporting of a multivariable prediction model for individual prognosis or diagnosis (TRIPOD): Explanation and elaboration. Ann Intern Med. 2015 Jan 6;162(1):W1 to 73.</w:t>
      </w:r>
    </w:p>
    <w:p w14:paraId="1B47D9E5" w14:textId="4FD4636A" w:rsidR="00F35DF8" w:rsidRDefault="00F35DF8" w:rsidP="00943933">
      <w:pPr>
        <w:widowControl w:val="0"/>
        <w:autoSpaceDE w:val="0"/>
        <w:autoSpaceDN w:val="0"/>
        <w:adjustRightInd w:val="0"/>
        <w:spacing w:line="240" w:lineRule="auto"/>
        <w:ind w:left="640" w:hanging="640"/>
        <w:rPr>
          <w:rFonts w:ascii="Segoe UI" w:hAnsi="Segoe UI" w:cs="Segoe UI"/>
          <w:noProof/>
          <w:sz w:val="20"/>
          <w:szCs w:val="24"/>
        </w:rPr>
      </w:pPr>
    </w:p>
    <w:p w14:paraId="21F6B034" w14:textId="7CF97BD6" w:rsidR="00F35DF8" w:rsidRDefault="00F35DF8" w:rsidP="00943933">
      <w:pPr>
        <w:widowControl w:val="0"/>
        <w:autoSpaceDE w:val="0"/>
        <w:autoSpaceDN w:val="0"/>
        <w:adjustRightInd w:val="0"/>
        <w:spacing w:line="240" w:lineRule="auto"/>
        <w:ind w:left="640" w:hanging="640"/>
        <w:rPr>
          <w:rFonts w:ascii="Segoe UI" w:hAnsi="Segoe UI" w:cs="Segoe UI"/>
          <w:noProof/>
          <w:sz w:val="20"/>
          <w:szCs w:val="24"/>
        </w:rPr>
      </w:pPr>
    </w:p>
    <w:p w14:paraId="0A10AA2B" w14:textId="120391FD" w:rsidR="00F35DF8" w:rsidRDefault="00F35DF8" w:rsidP="00943933">
      <w:pPr>
        <w:widowControl w:val="0"/>
        <w:autoSpaceDE w:val="0"/>
        <w:autoSpaceDN w:val="0"/>
        <w:adjustRightInd w:val="0"/>
        <w:spacing w:line="240" w:lineRule="auto"/>
        <w:ind w:left="640" w:hanging="640"/>
        <w:rPr>
          <w:rFonts w:ascii="Segoe UI" w:hAnsi="Segoe UI" w:cs="Segoe UI"/>
          <w:noProof/>
          <w:sz w:val="20"/>
          <w:szCs w:val="24"/>
        </w:rPr>
      </w:pPr>
    </w:p>
    <w:p w14:paraId="2E045879" w14:textId="4ABDB155" w:rsidR="00F35DF8" w:rsidRDefault="00F35DF8" w:rsidP="00943933">
      <w:pPr>
        <w:widowControl w:val="0"/>
        <w:autoSpaceDE w:val="0"/>
        <w:autoSpaceDN w:val="0"/>
        <w:adjustRightInd w:val="0"/>
        <w:spacing w:line="240" w:lineRule="auto"/>
        <w:ind w:left="640" w:hanging="640"/>
        <w:rPr>
          <w:rFonts w:ascii="Segoe UI" w:hAnsi="Segoe UI" w:cs="Segoe UI"/>
          <w:noProof/>
          <w:sz w:val="20"/>
          <w:szCs w:val="24"/>
        </w:rPr>
      </w:pPr>
    </w:p>
    <w:p w14:paraId="06BD9206" w14:textId="6474A71F" w:rsidR="006E69CE" w:rsidRDefault="00943933" w:rsidP="00943933">
      <w:pPr>
        <w:rPr>
          <w:rFonts w:ascii="Times New Roman" w:hAnsi="Times New Roman" w:cs="Times New Roman"/>
          <w:b/>
          <w:bCs/>
          <w:sz w:val="24"/>
          <w:szCs w:val="24"/>
          <w:lang w:val="en-GB"/>
        </w:rPr>
        <w:sectPr w:rsidR="006E69CE">
          <w:pgSz w:w="12240" w:h="15840"/>
          <w:pgMar w:top="1440" w:right="1440" w:bottom="1440" w:left="1440" w:header="720" w:footer="720" w:gutter="0"/>
          <w:cols w:space="720"/>
          <w:docGrid w:linePitch="360"/>
        </w:sectPr>
      </w:pPr>
      <w:r w:rsidRPr="00943933">
        <w:rPr>
          <w:rFonts w:ascii="Segoe UI" w:hAnsi="Segoe UI" w:cs="Segoe UI"/>
          <w:b/>
          <w:bCs/>
          <w:sz w:val="20"/>
          <w:szCs w:val="24"/>
        </w:rPr>
        <w:fldChar w:fldCharType="end"/>
      </w:r>
    </w:p>
    <w:p w14:paraId="769E805C" w14:textId="53577BE0" w:rsidR="00EC67E1" w:rsidRDefault="00A427B2">
      <w:pPr>
        <w:rPr>
          <w:rFonts w:ascii="Segoe UI" w:hAnsi="Segoe UI" w:cs="Segoe UI"/>
          <w:b/>
          <w:bCs/>
          <w:sz w:val="20"/>
          <w:szCs w:val="24"/>
        </w:rPr>
      </w:pPr>
      <w:r>
        <w:rPr>
          <w:rFonts w:ascii="Segoe UI" w:hAnsi="Segoe UI" w:cs="Segoe UI"/>
          <w:b/>
          <w:bCs/>
          <w:sz w:val="20"/>
          <w:szCs w:val="24"/>
        </w:rPr>
        <w:lastRenderedPageBreak/>
        <w:t>Section 3. Characteristics of included studies</w:t>
      </w:r>
    </w:p>
    <w:tbl>
      <w:tblPr>
        <w:tblStyle w:val="TableGridLight"/>
        <w:tblW w:w="14390" w:type="dxa"/>
        <w:tblLayout w:type="fixed"/>
        <w:tblLook w:val="04A0" w:firstRow="1" w:lastRow="0" w:firstColumn="1" w:lastColumn="0" w:noHBand="0" w:noVBand="1"/>
      </w:tblPr>
      <w:tblGrid>
        <w:gridCol w:w="1701"/>
        <w:gridCol w:w="2122"/>
        <w:gridCol w:w="850"/>
        <w:gridCol w:w="1276"/>
        <w:gridCol w:w="1559"/>
        <w:gridCol w:w="1541"/>
        <w:gridCol w:w="2481"/>
        <w:gridCol w:w="2860"/>
      </w:tblGrid>
      <w:tr w:rsidR="00A427B2" w:rsidRPr="00A427B2" w14:paraId="744FE6D1" w14:textId="77777777" w:rsidTr="001B1FC9">
        <w:trPr>
          <w:trHeight w:val="454"/>
        </w:trPr>
        <w:tc>
          <w:tcPr>
            <w:tcW w:w="14390" w:type="dxa"/>
            <w:gridSpan w:val="8"/>
            <w:tcBorders>
              <w:top w:val="nil"/>
              <w:left w:val="nil"/>
              <w:bottom w:val="single" w:sz="8" w:space="0" w:color="auto"/>
              <w:right w:val="nil"/>
            </w:tcBorders>
            <w:noWrap/>
            <w:vAlign w:val="center"/>
          </w:tcPr>
          <w:p w14:paraId="29F9EEEE" w14:textId="77777777" w:rsidR="00A427B2" w:rsidRPr="00A427B2" w:rsidRDefault="00A427B2" w:rsidP="001B1FC9">
            <w:pPr>
              <w:rPr>
                <w:rFonts w:ascii="Segoe UI" w:eastAsia="Times New Roman" w:hAnsi="Segoe UI" w:cs="Segoe UI"/>
                <w:b/>
                <w:bCs/>
                <w:color w:val="000000"/>
                <w:sz w:val="16"/>
                <w:szCs w:val="16"/>
              </w:rPr>
            </w:pPr>
            <w:r w:rsidRPr="00A427B2">
              <w:rPr>
                <w:rFonts w:ascii="Segoe UI" w:eastAsia="Times New Roman" w:hAnsi="Segoe UI" w:cs="Segoe UI"/>
                <w:b/>
                <w:bCs/>
                <w:color w:val="000000"/>
                <w:sz w:val="16"/>
                <w:szCs w:val="16"/>
              </w:rPr>
              <w:t xml:space="preserve">Table S1. </w:t>
            </w:r>
            <w:r w:rsidRPr="00A427B2">
              <w:rPr>
                <w:rFonts w:ascii="Segoe UI" w:eastAsia="Times New Roman" w:hAnsi="Segoe UI" w:cs="Segoe UI"/>
                <w:bCs/>
                <w:color w:val="000000"/>
                <w:sz w:val="16"/>
                <w:szCs w:val="16"/>
              </w:rPr>
              <w:t>Characteristics of the included studies (n=152)</w:t>
            </w:r>
          </w:p>
        </w:tc>
      </w:tr>
      <w:tr w:rsidR="00A427B2" w:rsidRPr="00A427B2" w14:paraId="3FCEE238" w14:textId="77777777" w:rsidTr="001B1FC9">
        <w:trPr>
          <w:trHeight w:val="624"/>
        </w:trPr>
        <w:tc>
          <w:tcPr>
            <w:tcW w:w="1701" w:type="dxa"/>
            <w:tcBorders>
              <w:top w:val="single" w:sz="8" w:space="0" w:color="auto"/>
              <w:left w:val="nil"/>
              <w:bottom w:val="single" w:sz="8" w:space="0" w:color="auto"/>
              <w:right w:val="nil"/>
            </w:tcBorders>
            <w:noWrap/>
            <w:vAlign w:val="center"/>
            <w:hideMark/>
          </w:tcPr>
          <w:p w14:paraId="3856CF45" w14:textId="77777777" w:rsidR="00A427B2" w:rsidRPr="00A427B2" w:rsidRDefault="00A427B2" w:rsidP="001B1FC9">
            <w:pPr>
              <w:jc w:val="center"/>
              <w:rPr>
                <w:rFonts w:ascii="Segoe UI" w:eastAsia="Times New Roman" w:hAnsi="Segoe UI" w:cs="Segoe UI"/>
                <w:b/>
                <w:color w:val="000000"/>
                <w:sz w:val="16"/>
                <w:szCs w:val="16"/>
              </w:rPr>
            </w:pPr>
            <w:r w:rsidRPr="00A427B2">
              <w:rPr>
                <w:rFonts w:ascii="Segoe UI" w:eastAsia="Times New Roman" w:hAnsi="Segoe UI" w:cs="Segoe UI"/>
                <w:b/>
                <w:color w:val="000000"/>
                <w:sz w:val="16"/>
                <w:szCs w:val="16"/>
              </w:rPr>
              <w:t>First Author</w:t>
            </w:r>
          </w:p>
        </w:tc>
        <w:tc>
          <w:tcPr>
            <w:tcW w:w="2122" w:type="dxa"/>
            <w:tcBorders>
              <w:top w:val="single" w:sz="8" w:space="0" w:color="auto"/>
              <w:left w:val="nil"/>
              <w:bottom w:val="single" w:sz="8" w:space="0" w:color="auto"/>
              <w:right w:val="nil"/>
            </w:tcBorders>
            <w:vAlign w:val="center"/>
          </w:tcPr>
          <w:p w14:paraId="755A60E8" w14:textId="77777777" w:rsidR="00A427B2" w:rsidRPr="00A427B2" w:rsidRDefault="00A427B2" w:rsidP="001B1FC9">
            <w:pPr>
              <w:jc w:val="center"/>
              <w:rPr>
                <w:rFonts w:ascii="Segoe UI" w:eastAsia="Times New Roman" w:hAnsi="Segoe UI" w:cs="Segoe UI"/>
                <w:b/>
                <w:bCs/>
                <w:color w:val="000000"/>
                <w:sz w:val="16"/>
                <w:szCs w:val="16"/>
              </w:rPr>
            </w:pPr>
            <w:r w:rsidRPr="00A427B2">
              <w:rPr>
                <w:rFonts w:ascii="Segoe UI" w:hAnsi="Segoe UI" w:cs="Segoe UI"/>
                <w:b/>
                <w:bCs/>
                <w:color w:val="000000"/>
                <w:sz w:val="16"/>
                <w:szCs w:val="16"/>
              </w:rPr>
              <w:t>Journal</w:t>
            </w:r>
          </w:p>
        </w:tc>
        <w:tc>
          <w:tcPr>
            <w:tcW w:w="850" w:type="dxa"/>
            <w:tcBorders>
              <w:top w:val="single" w:sz="8" w:space="0" w:color="auto"/>
              <w:left w:val="nil"/>
              <w:bottom w:val="single" w:sz="8" w:space="0" w:color="auto"/>
              <w:right w:val="nil"/>
            </w:tcBorders>
            <w:vAlign w:val="center"/>
          </w:tcPr>
          <w:p w14:paraId="27449221" w14:textId="77777777" w:rsidR="00A427B2" w:rsidRPr="00A427B2" w:rsidRDefault="00A427B2" w:rsidP="001B1FC9">
            <w:pPr>
              <w:jc w:val="center"/>
              <w:rPr>
                <w:rFonts w:ascii="Segoe UI" w:eastAsia="Times New Roman" w:hAnsi="Segoe UI" w:cs="Segoe UI"/>
                <w:b/>
                <w:bCs/>
                <w:color w:val="000000"/>
                <w:sz w:val="16"/>
                <w:szCs w:val="16"/>
              </w:rPr>
            </w:pPr>
            <w:r w:rsidRPr="00A427B2">
              <w:rPr>
                <w:rFonts w:ascii="Segoe UI" w:eastAsia="Times New Roman" w:hAnsi="Segoe UI" w:cs="Segoe UI"/>
                <w:b/>
                <w:bCs/>
                <w:color w:val="000000"/>
                <w:sz w:val="16"/>
                <w:szCs w:val="16"/>
              </w:rPr>
              <w:t>Impact factor</w:t>
            </w:r>
            <w:r w:rsidRPr="00A427B2">
              <w:rPr>
                <w:rFonts w:ascii="Segoe UI" w:eastAsia="Times New Roman" w:hAnsi="Segoe UI" w:cs="Segoe UI"/>
                <w:color w:val="000000"/>
                <w:sz w:val="16"/>
                <w:szCs w:val="16"/>
                <w:vertAlign w:val="superscript"/>
              </w:rPr>
              <w:t xml:space="preserve"> a</w:t>
            </w:r>
          </w:p>
        </w:tc>
        <w:tc>
          <w:tcPr>
            <w:tcW w:w="1276" w:type="dxa"/>
            <w:tcBorders>
              <w:top w:val="single" w:sz="8" w:space="0" w:color="auto"/>
              <w:left w:val="nil"/>
              <w:bottom w:val="single" w:sz="8" w:space="0" w:color="auto"/>
              <w:right w:val="nil"/>
            </w:tcBorders>
            <w:vAlign w:val="center"/>
          </w:tcPr>
          <w:p w14:paraId="0CA6BA8F" w14:textId="77777777" w:rsidR="00A427B2" w:rsidRPr="00A427B2" w:rsidRDefault="00A427B2" w:rsidP="001B1FC9">
            <w:pPr>
              <w:jc w:val="center"/>
              <w:rPr>
                <w:rFonts w:ascii="Segoe UI" w:eastAsia="Times New Roman" w:hAnsi="Segoe UI" w:cs="Segoe UI"/>
                <w:b/>
                <w:bCs/>
                <w:color w:val="000000"/>
                <w:sz w:val="16"/>
                <w:szCs w:val="16"/>
              </w:rPr>
            </w:pPr>
            <w:r w:rsidRPr="00A427B2">
              <w:rPr>
                <w:rFonts w:ascii="Segoe UI" w:eastAsia="Times New Roman" w:hAnsi="Segoe UI" w:cs="Segoe UI"/>
                <w:b/>
                <w:bCs/>
                <w:color w:val="000000"/>
                <w:sz w:val="16"/>
                <w:szCs w:val="16"/>
              </w:rPr>
              <w:t>Publication year</w:t>
            </w:r>
          </w:p>
        </w:tc>
        <w:tc>
          <w:tcPr>
            <w:tcW w:w="1559" w:type="dxa"/>
            <w:tcBorders>
              <w:top w:val="single" w:sz="8" w:space="0" w:color="auto"/>
              <w:left w:val="nil"/>
              <w:bottom w:val="single" w:sz="8" w:space="0" w:color="auto"/>
              <w:right w:val="nil"/>
            </w:tcBorders>
            <w:noWrap/>
            <w:vAlign w:val="center"/>
            <w:hideMark/>
          </w:tcPr>
          <w:p w14:paraId="734FA6C2" w14:textId="77777777" w:rsidR="00A427B2" w:rsidRPr="00A427B2" w:rsidRDefault="00A427B2" w:rsidP="001B1FC9">
            <w:pPr>
              <w:jc w:val="center"/>
              <w:rPr>
                <w:rFonts w:ascii="Segoe UI" w:eastAsia="Times New Roman" w:hAnsi="Segoe UI" w:cs="Segoe UI"/>
                <w:b/>
                <w:bCs/>
                <w:color w:val="000000"/>
                <w:sz w:val="16"/>
                <w:szCs w:val="16"/>
              </w:rPr>
            </w:pPr>
            <w:r w:rsidRPr="00A427B2">
              <w:rPr>
                <w:rFonts w:ascii="Segoe UI" w:eastAsia="Times New Roman" w:hAnsi="Segoe UI" w:cs="Segoe UI"/>
                <w:b/>
                <w:bCs/>
                <w:color w:val="000000"/>
                <w:sz w:val="16"/>
                <w:szCs w:val="16"/>
              </w:rPr>
              <w:t>Clinical field</w:t>
            </w:r>
          </w:p>
        </w:tc>
        <w:tc>
          <w:tcPr>
            <w:tcW w:w="1541" w:type="dxa"/>
            <w:tcBorders>
              <w:top w:val="single" w:sz="8" w:space="0" w:color="auto"/>
              <w:left w:val="nil"/>
              <w:bottom w:val="single" w:sz="8" w:space="0" w:color="auto"/>
              <w:right w:val="nil"/>
            </w:tcBorders>
            <w:noWrap/>
            <w:vAlign w:val="center"/>
            <w:hideMark/>
          </w:tcPr>
          <w:p w14:paraId="51BD6420" w14:textId="77777777" w:rsidR="00A427B2" w:rsidRPr="00A427B2" w:rsidRDefault="00A427B2" w:rsidP="001B1FC9">
            <w:pPr>
              <w:jc w:val="center"/>
              <w:rPr>
                <w:rFonts w:ascii="Segoe UI" w:eastAsia="Times New Roman" w:hAnsi="Segoe UI" w:cs="Segoe UI"/>
                <w:b/>
                <w:bCs/>
                <w:color w:val="000000"/>
                <w:sz w:val="16"/>
                <w:szCs w:val="16"/>
              </w:rPr>
            </w:pPr>
            <w:r w:rsidRPr="00A427B2">
              <w:rPr>
                <w:rFonts w:ascii="Segoe UI" w:eastAsia="Times New Roman" w:hAnsi="Segoe UI" w:cs="Segoe UI"/>
                <w:b/>
                <w:bCs/>
                <w:color w:val="000000"/>
                <w:sz w:val="16"/>
                <w:szCs w:val="16"/>
              </w:rPr>
              <w:t>Study type</w:t>
            </w:r>
          </w:p>
        </w:tc>
        <w:tc>
          <w:tcPr>
            <w:tcW w:w="2481" w:type="dxa"/>
            <w:tcBorders>
              <w:top w:val="single" w:sz="8" w:space="0" w:color="auto"/>
              <w:left w:val="nil"/>
              <w:bottom w:val="single" w:sz="8" w:space="0" w:color="auto"/>
              <w:right w:val="nil"/>
            </w:tcBorders>
            <w:noWrap/>
            <w:vAlign w:val="center"/>
            <w:hideMark/>
          </w:tcPr>
          <w:p w14:paraId="69B6FF02" w14:textId="77777777" w:rsidR="00A427B2" w:rsidRPr="00A427B2" w:rsidRDefault="00A427B2" w:rsidP="001B1FC9">
            <w:pPr>
              <w:jc w:val="center"/>
              <w:rPr>
                <w:rFonts w:ascii="Segoe UI" w:eastAsia="Times New Roman" w:hAnsi="Segoe UI" w:cs="Segoe UI"/>
                <w:b/>
                <w:bCs/>
                <w:color w:val="000000"/>
                <w:sz w:val="16"/>
                <w:szCs w:val="16"/>
              </w:rPr>
            </w:pPr>
            <w:r w:rsidRPr="00A427B2">
              <w:rPr>
                <w:rFonts w:ascii="Segoe UI" w:eastAsia="Times New Roman" w:hAnsi="Segoe UI" w:cs="Segoe UI"/>
                <w:b/>
                <w:bCs/>
                <w:color w:val="000000"/>
                <w:sz w:val="16"/>
                <w:szCs w:val="16"/>
              </w:rPr>
              <w:t>Study design</w:t>
            </w:r>
          </w:p>
        </w:tc>
        <w:tc>
          <w:tcPr>
            <w:tcW w:w="2860" w:type="dxa"/>
            <w:tcBorders>
              <w:top w:val="single" w:sz="8" w:space="0" w:color="auto"/>
              <w:left w:val="nil"/>
              <w:bottom w:val="single" w:sz="8" w:space="0" w:color="auto"/>
              <w:right w:val="nil"/>
            </w:tcBorders>
            <w:noWrap/>
            <w:vAlign w:val="center"/>
            <w:hideMark/>
          </w:tcPr>
          <w:p w14:paraId="2C61D255" w14:textId="77777777" w:rsidR="00A427B2" w:rsidRPr="00A427B2" w:rsidRDefault="00A427B2" w:rsidP="001B1FC9">
            <w:pPr>
              <w:jc w:val="center"/>
              <w:rPr>
                <w:rFonts w:ascii="Segoe UI" w:eastAsia="Times New Roman" w:hAnsi="Segoe UI" w:cs="Segoe UI"/>
                <w:b/>
                <w:bCs/>
                <w:color w:val="000000"/>
                <w:sz w:val="16"/>
                <w:szCs w:val="16"/>
              </w:rPr>
            </w:pPr>
            <w:r w:rsidRPr="00A427B2">
              <w:rPr>
                <w:rFonts w:ascii="Segoe UI" w:eastAsia="Times New Roman" w:hAnsi="Segoe UI" w:cs="Segoe UI"/>
                <w:b/>
                <w:bCs/>
                <w:color w:val="000000"/>
                <w:sz w:val="16"/>
                <w:szCs w:val="16"/>
              </w:rPr>
              <w:t>Outcome</w:t>
            </w:r>
          </w:p>
        </w:tc>
      </w:tr>
      <w:tr w:rsidR="00A427B2" w:rsidRPr="00A427B2" w14:paraId="1DBAE80E" w14:textId="77777777" w:rsidTr="001B1FC9">
        <w:trPr>
          <w:trHeight w:val="510"/>
        </w:trPr>
        <w:tc>
          <w:tcPr>
            <w:tcW w:w="1701" w:type="dxa"/>
            <w:tcBorders>
              <w:top w:val="single" w:sz="8" w:space="0" w:color="auto"/>
            </w:tcBorders>
            <w:noWrap/>
            <w:vAlign w:val="center"/>
            <w:hideMark/>
          </w:tcPr>
          <w:p w14:paraId="7EC941E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X Jiang</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{"citationItems":[{"id":"ITEM-1","itemData":{"DOI":"10.1371/journal.pone.0213292","ISBN":"1111111111","ISSN":"19326203","PMID":"30849111","abstract":"Objective A Clinical Decision Support System (CDSS) that can amass Electronic Health Record (EHR) and other patient data holds promise to provide accurate classification and guide treatment choices. Our objective is to develop the Decision Support System for Making Personalized Assessments and Recommendations Concerning Breast Cancer Patients (DPAC), which is a CDSS learned from data that recommends the optimal treatment decisions based on a patient's features. Method We developed a Bayesian network architecture called Causal Modeling with Internal Layers (CAMIL), and an algorithm called Treatment Feature Interactions (TFI), which learns from data the interactions needed in a CAMIL model. Using the TFI algorithm, we learned interactions for six treatments from the LSDS-5YDM dataset. We created a CAMIL model using these interactions, resulting in a DPAC which recommends treatments towards preventing 5-year breast cancer metastasis. Results In a 5-fold cross-validation analysis, we compared the probability of being metastasis free in 5 years for patients who made decisions recommended by DPAC to those who did not. These probabilities are (the probability for those making the decisions appears first): Chemotherapy (.938, .872); breast/chest wall radiation (.939, .902); nodal field radiation (.940, .784); antihormone (.941, .906); HER2 inhibitors (.934, .880); neadjuvant therapy (.931, .837). In an application of DPAC to the independent METABRIC dataset, the probabilities for chemotherapy were (.845, .788). Discussion Patients who took the advice of DPAC had, as a group, notably better outcomes than those who did not. We conclude that DPAC is effective at amassing and analyzing data towards treatment recommendations. Some of the findings in DPAC are controversial. For example, DPAC says that chemotherapy increases the chances of metastasis for many node negative patients. This controversy shows the importance of developing a conclusive version of DPAC to ensure we provide patients with the best patient-specific treatment recommendations.","author":[{"dropping-particle":"","family":"Jiang","given":"Xia","non-dropping-particle":"","parse-names":false,"suffix":""},{"dropping-particle":"","family":"Wells","given":"Alan","non-dropping-particle":"","parse-names":false,"suffix":""},{"dropping-particle":"","family":"Brufsky","given":"Adam","non-dropping-particle":"","parse-names":false,"suffix":""},{"dropping-particle":"","family":"Neapolitan","given":"Richard","non-dropping-particle":"","parse-names":false,"suffix":""}],"container-title":"PLoS ONE","id":"ITEM-1","issue":"3","issued":{"date-parts":[["2019"]]},"page":"1-18","title":"A clinical decision support system learned from data to personalize treatment recommendations towards preventing breast cancer metastasis","type":"article-journal","volume":"14"},"uris":["http://www.mendeley.com/documents/?uuid=c14a0f59-9852-4532-9779-4ad834d61b94"]}],"mendeley":{"formattedCitation":"&lt;sup&gt;1&lt;/sup&gt;","plainTextFormattedCitation":"1","previouslyFormattedCitation":"&lt;sup&gt;1&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1</w:t>
            </w:r>
            <w:r w:rsidRPr="00A427B2">
              <w:rPr>
                <w:rFonts w:ascii="Segoe UI" w:eastAsia="Times New Roman" w:hAnsi="Segoe UI" w:cs="Segoe UI"/>
                <w:color w:val="000000"/>
                <w:sz w:val="16"/>
                <w:szCs w:val="16"/>
              </w:rPr>
              <w:fldChar w:fldCharType="end"/>
            </w:r>
          </w:p>
        </w:tc>
        <w:tc>
          <w:tcPr>
            <w:tcW w:w="2122" w:type="dxa"/>
            <w:tcBorders>
              <w:top w:val="single" w:sz="8" w:space="0" w:color="auto"/>
            </w:tcBorders>
            <w:vAlign w:val="center"/>
          </w:tcPr>
          <w:p w14:paraId="09F31B29"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PLoS ONE</w:t>
            </w:r>
          </w:p>
        </w:tc>
        <w:tc>
          <w:tcPr>
            <w:tcW w:w="850" w:type="dxa"/>
            <w:tcBorders>
              <w:top w:val="single" w:sz="8" w:space="0" w:color="auto"/>
            </w:tcBorders>
            <w:vAlign w:val="center"/>
          </w:tcPr>
          <w:p w14:paraId="4E65A353"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2.740</w:t>
            </w:r>
          </w:p>
        </w:tc>
        <w:tc>
          <w:tcPr>
            <w:tcW w:w="1276" w:type="dxa"/>
            <w:tcBorders>
              <w:top w:val="single" w:sz="8" w:space="0" w:color="auto"/>
            </w:tcBorders>
            <w:vAlign w:val="center"/>
          </w:tcPr>
          <w:p w14:paraId="2C37802B"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tcBorders>
              <w:top w:val="single" w:sz="8" w:space="0" w:color="auto"/>
            </w:tcBorders>
            <w:noWrap/>
            <w:vAlign w:val="center"/>
            <w:hideMark/>
          </w:tcPr>
          <w:p w14:paraId="683CC35E"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Oncology</w:t>
            </w:r>
          </w:p>
        </w:tc>
        <w:tc>
          <w:tcPr>
            <w:tcW w:w="1541" w:type="dxa"/>
            <w:tcBorders>
              <w:top w:val="single" w:sz="8" w:space="0" w:color="auto"/>
            </w:tcBorders>
            <w:noWrap/>
            <w:vAlign w:val="center"/>
            <w:hideMark/>
          </w:tcPr>
          <w:p w14:paraId="7E1FCD81"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tcBorders>
              <w:top w:val="single" w:sz="8" w:space="0" w:color="auto"/>
            </w:tcBorders>
            <w:noWrap/>
            <w:vAlign w:val="center"/>
            <w:hideMark/>
          </w:tcPr>
          <w:p w14:paraId="251BBE5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with external validation (same model)</w:t>
            </w:r>
          </w:p>
        </w:tc>
        <w:tc>
          <w:tcPr>
            <w:tcW w:w="2860" w:type="dxa"/>
            <w:tcBorders>
              <w:top w:val="single" w:sz="8" w:space="0" w:color="auto"/>
            </w:tcBorders>
            <w:noWrap/>
            <w:vAlign w:val="center"/>
            <w:hideMark/>
          </w:tcPr>
          <w:p w14:paraId="34618F1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5-year breast cancer metastasis</w:t>
            </w:r>
          </w:p>
        </w:tc>
      </w:tr>
      <w:tr w:rsidR="00A427B2" w:rsidRPr="00A427B2" w14:paraId="372DF330" w14:textId="77777777" w:rsidTr="001B1FC9">
        <w:trPr>
          <w:trHeight w:val="510"/>
        </w:trPr>
        <w:tc>
          <w:tcPr>
            <w:tcW w:w="1701" w:type="dxa"/>
            <w:noWrap/>
            <w:vAlign w:val="center"/>
            <w:hideMark/>
          </w:tcPr>
          <w:p w14:paraId="2665293E"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L Adhikari</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{"citationItems":[{"id":"ITEM-1","itemData":{"DOI":"10.1371/journal.pone.0214904","ISBN":"1111111111","ISSN":"19326203","PMID":"30947282","abstract":"Background Acute kidney injury (AKI) is a common complication after surgery that is associated with increased morbidity and mortality. The majority of existing perioperative AKI risk prediction models are limited in their generalizability and do not fully utilize intraoperative physiological time-series data. Thus, there is a need for intelligent, accurate, and robust systems to leverage new information as it becomes available to predict the risk of developing postoperative AKI. Methods A retrospective single-center cohort of 2,911 adults who underwent surgery at the University of Florida Health between 2000 and 2010 was utilized for this study. Machine learning and statistical analysis techniques were used to develop perioperative models to predict the risk of developing AKI during the first three days after surgery, first seven days after surgery, and overall (after surgery during the index hospitalization). The improvement in risk prediction was examined by incorporating intraoperative physiological time-series variables. Our proposed model enriched a preoperative model that produced a probabilistic AKI risk score by integrating intraoperative statistical features through a machine learning stacking approach inside a random forest classifier. Model performance was evaluated using the area under the receiver operating characteristic curve (AUC), accuracy, and Net Reclassification Improvement (NRI). Results The predictive performance of the proposed model is better than the preoperative data only model. The proposed model had an AUC of 0.86 (accuracy of 0.78) for the seven-day AKI outcome, while the preoperative model had an AUC of 0.84 (accuracy of 0.76). Furthermore, by integrating intraoperative features, the algorithm was able to reclassify 40% of the false negative patients from the preoperative model. The NRI for each outcome was AKI at three days (8%), seven days (7%), and overall (4%). Conclusions Postoperative AKI prediction was improved with high sensitivity and specificity through a machine learning approach that dynamically incorporated intraoperative data.","author":[{"dropping-particle":"","family":"Adhikari","given":"Lasith","non-dropping-particle":"","parse-names":false,"suffix":""},{"dropping-particle":"","family":"Ozrazgat-Baslanti","given":"Tezcan","non-dropping-particle":"","parse-names":false,"suffix":""},{"dropping-particle":"","family":"Ruppert","given":"Matthew","non-dropping-particle":"","parse-names":false,"suffix":""},{"dropping-particle":"","family":"Madushani","given":"R. W.M.A.","non-dropping-particle":"","parse-names":false,"suffix":""},{"dropping-particle":"","family":"Paliwal","given":"Srajan","non-dropping-particle":"","parse-names":false,"suffix":""},{"dropping-particle":"","family":"Hashemighouchani","given":"Haleh","non-dropping-particle":"","parse-names":false,"suffix":""},{"dropping-particle":"","family":"Zheng","given":"Feng","non-dropping-particle":"","parse-names":false,"suffix":""},{"dropping-particle":"","family":"Tao","given":"Ming","non-dropping-particle":"","parse-names":false,"suffix":""},{"dropping-particle":"","family":"Lopes","given":"Juliano M.","non-dropping-particle":"","parse-names":false,"suffix":""},{"dropping-particle":"","family":"Li","given":"Xiaolin","non-dropping-particle":"","parse-names":false,"suffix":""},{"dropping-particle":"","family":"Rashidi","given":"Parisa","non-dropping-particle":"","parse-names":false,"suffix":""},{"dropping-particle":"","family":"Bihorac","given":"Azra","non-dropping-particle":"","parse-names":false,"suffix":""}],"container-title":"PLoS ONE","id":"ITEM-1","issue":"4","issued":{"date-parts":[["2019"]]},"page":"1-26","title":"Improved predictive models for acute kidney injury with IDEA: Intraoperative data embedded analytics","type":"article-journal","volume":"14"},"uris":["http://www.mendeley.com/documents/?uuid=c9107490-639c-4989-9d23-2d28713445e4"]}],"mendeley":{"formattedCitation":"&lt;sup&gt;2&lt;/sup&gt;","plainTextFormattedCitation":"2","previouslyFormattedCitation":"&lt;sup&gt;2&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2</w:t>
            </w:r>
            <w:r w:rsidRPr="00A427B2">
              <w:rPr>
                <w:rFonts w:ascii="Segoe UI" w:eastAsia="Times New Roman" w:hAnsi="Segoe UI" w:cs="Segoe UI"/>
                <w:color w:val="000000"/>
                <w:sz w:val="16"/>
                <w:szCs w:val="16"/>
              </w:rPr>
              <w:fldChar w:fldCharType="end"/>
            </w:r>
          </w:p>
        </w:tc>
        <w:tc>
          <w:tcPr>
            <w:tcW w:w="2122" w:type="dxa"/>
            <w:vAlign w:val="center"/>
          </w:tcPr>
          <w:p w14:paraId="11EC064B"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PLoS ONE</w:t>
            </w:r>
          </w:p>
        </w:tc>
        <w:tc>
          <w:tcPr>
            <w:tcW w:w="850" w:type="dxa"/>
            <w:vAlign w:val="center"/>
          </w:tcPr>
          <w:p w14:paraId="26BA2BC3"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2.740</w:t>
            </w:r>
          </w:p>
        </w:tc>
        <w:tc>
          <w:tcPr>
            <w:tcW w:w="1276" w:type="dxa"/>
            <w:vAlign w:val="center"/>
          </w:tcPr>
          <w:p w14:paraId="4F2D9A60"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23883A1B"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Nephrology</w:t>
            </w:r>
          </w:p>
        </w:tc>
        <w:tc>
          <w:tcPr>
            <w:tcW w:w="1541" w:type="dxa"/>
            <w:noWrap/>
            <w:vAlign w:val="center"/>
            <w:hideMark/>
          </w:tcPr>
          <w:p w14:paraId="3C29E07F"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2D9634F1"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7679BBFE"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Acute kidney injury at first 7 days after surgery</w:t>
            </w:r>
          </w:p>
        </w:tc>
      </w:tr>
      <w:tr w:rsidR="00A427B2" w:rsidRPr="00A427B2" w14:paraId="13C105AA" w14:textId="77777777" w:rsidTr="001B1FC9">
        <w:trPr>
          <w:trHeight w:val="510"/>
        </w:trPr>
        <w:tc>
          <w:tcPr>
            <w:tcW w:w="1701" w:type="dxa"/>
            <w:noWrap/>
            <w:vAlign w:val="center"/>
            <w:hideMark/>
          </w:tcPr>
          <w:p w14:paraId="78D7524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WP Chen</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{"citationItems":[{"id":"ITEM-1","itemData":{"DOI":"10.1155/2018/3130607","ISSN":"23146141","PMID":"30581850","abstract":"Periodontitis is an inflammatory disease involving complex interactions between oral microorganisms and the host immune response. Understanding the structure of the microbiota community associated with periodontitis is essential for improving classifications and diagnoses of various types of periodontal diseases and will facilitate clinical decision-making. In this study, we used a 16S rRNA metagenomics approach to investigate and compare the compositions of the microbiota communities from 76 subgingival plagues samples, including 26 from healthy individuals and 50 from patients with periodontitis. Furthermore, we propose a novel feature selection algorithm for selecting features with more information from many variables with a combination of these features and machine learning methods were used to construct prediction models for predicting the health status of patients with periodontal disease. We identified a total of 12 phyla, 124 genera, and 355 species and observed differences between health- and periodontitis-associated bacterial communities at all phylogenetic levels. We discovered that the genera Porphyromonas, Treponema, Tannerella, Filifactor, and Aggregatibacter were more abundant in patients with periodontal disease, whereas Streptococcus, Haemophilus, Capnocytophaga, Gemella, Campylobacter, and Granulicatella were found at higher levels in healthy controls. Using our feature selection algorithm, random forests performed better in terms of predictive power than other methods and consumed the least amount of computational time.","author":[{"dropping-particle":"","family":"Chen","given":"Wen Pei","non-dropping-particle":"","parse-names":false,"suffix":""},{"dropping-particle":"","family":"Chang","given":"Shih Hao","non-dropping-particle":"","parse-names":false,"suffix":""},{"dropping-particle":"","family":"Tang","given":"Chuan Yi","non-dropping-particle":"","parse-names":false,"suffix":""},{"dropping-particle":"","family":"Liou","given":"Ming Li","non-dropping-particle":"","parse-names":false,"suffix":""},{"dropping-particle":"","family":"Tsai","given":"Suh Jen Jane","non-dropping-particle":"","parse-names":false,"suffix":""},{"dropping-particle":"","family":"Lin","given":"Yaw Ling","non-dropping-particle":"","parse-names":false,"suffix":""}],"container-title":"BioMed Research International","id":"ITEM-1","issued":{"date-parts":[["2018"]]},"publisher":"Hindawi","title":"Composition Analysis and Feature Selection of the Oral Microbiota Associated with Periodontal Disease","type":"article-journal","volume":"2018"},"uris":["http://www.mendeley.com/documents/?uuid=334ae9ce-9215-40eb-9add-395d6d6dca81"]}],"mendeley":{"formattedCitation":"&lt;sup&gt;3&lt;/sup&gt;","plainTextFormattedCitation":"3","previouslyFormattedCitation":"&lt;sup&gt;3&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3</w:t>
            </w:r>
            <w:r w:rsidRPr="00A427B2">
              <w:rPr>
                <w:rFonts w:ascii="Segoe UI" w:eastAsia="Times New Roman" w:hAnsi="Segoe UI" w:cs="Segoe UI"/>
                <w:color w:val="000000"/>
                <w:sz w:val="16"/>
                <w:szCs w:val="16"/>
              </w:rPr>
              <w:fldChar w:fldCharType="end"/>
            </w:r>
          </w:p>
        </w:tc>
        <w:tc>
          <w:tcPr>
            <w:tcW w:w="2122" w:type="dxa"/>
            <w:vAlign w:val="center"/>
          </w:tcPr>
          <w:p w14:paraId="777C3F76"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BioMed Research International</w:t>
            </w:r>
          </w:p>
        </w:tc>
        <w:tc>
          <w:tcPr>
            <w:tcW w:w="850" w:type="dxa"/>
            <w:vAlign w:val="center"/>
          </w:tcPr>
          <w:p w14:paraId="749B91C4"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2.276</w:t>
            </w:r>
          </w:p>
        </w:tc>
        <w:tc>
          <w:tcPr>
            <w:tcW w:w="1276" w:type="dxa"/>
            <w:vAlign w:val="center"/>
          </w:tcPr>
          <w:p w14:paraId="0F340ECE"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2018</w:t>
            </w:r>
          </w:p>
        </w:tc>
        <w:tc>
          <w:tcPr>
            <w:tcW w:w="1559" w:type="dxa"/>
            <w:noWrap/>
            <w:vAlign w:val="center"/>
            <w:hideMark/>
          </w:tcPr>
          <w:p w14:paraId="5B28BF63"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Dentistry</w:t>
            </w:r>
          </w:p>
        </w:tc>
        <w:tc>
          <w:tcPr>
            <w:tcW w:w="1541" w:type="dxa"/>
            <w:noWrap/>
            <w:vAlign w:val="center"/>
            <w:hideMark/>
          </w:tcPr>
          <w:p w14:paraId="45432EE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Diagnosis</w:t>
            </w:r>
          </w:p>
        </w:tc>
        <w:tc>
          <w:tcPr>
            <w:tcW w:w="2481" w:type="dxa"/>
            <w:noWrap/>
            <w:vAlign w:val="center"/>
            <w:hideMark/>
          </w:tcPr>
          <w:p w14:paraId="3D6B2A03"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5337839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Periodontitis</w:t>
            </w:r>
          </w:p>
        </w:tc>
      </w:tr>
      <w:tr w:rsidR="00A427B2" w:rsidRPr="00A427B2" w14:paraId="163414AF" w14:textId="77777777" w:rsidTr="001B1FC9">
        <w:trPr>
          <w:trHeight w:val="510"/>
        </w:trPr>
        <w:tc>
          <w:tcPr>
            <w:tcW w:w="1701" w:type="dxa"/>
            <w:noWrap/>
            <w:vAlign w:val="center"/>
            <w:hideMark/>
          </w:tcPr>
          <w:p w14:paraId="6F030640"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G Lorenzoni</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{"citationItems":[{"id":"ITEM-1","itemData":{"DOI":"10.3390/jcm8091298","ISBN":"3904982753","ISSN":"2077-0383","abstract":"The present study aims to compare the performance of eight Machine Learning Techniques (MLTs) in the prediction of hospitalization among patients with heart failure, using data from the Gestione Integrata dello Scompenso Cardiaco (GISC) study. The GISC project is an ongoing study that takes place in the region of Puglia, Southern Italy. Patients with a diagnosis of heart failure are enrolled in a long-term assistance program that includes the adoption of an online platform for data sharing between general practitioners and cardiologists working in hospitals and community health districts. Logistic regression, generalized linear model net (GLMN), classification and regression tree, random forest, adaboost, logitboost, support vector machine, and neural networks were applied to evaluate the feasibility of such techniques in predicting hospitalization of 380 patients enrolled in the GISC study, using data about demographic characteristics, medical history, and clinical characteristics of each patient. The MLTs were compared both without and with missing data imputation. Overall, models trained without missing data imputation showed higher predictive performances. The GLMN showed better performance in predicting hospitalization than the other MLTs, with an average accuracy, positive predictive value and negative predictive value of 81.2%, 87.5%, and 75%, respectively. Present findings suggest that MLTs may represent a promising opportunity to predict hospital admission of heart failure patients by exploiting health care information generated by the contact of such patients with the health care system.","author":[{"dropping-particle":"","family":"Lorenzoni","given":"Giulia","non-dropping-particle":"","parse-names":false,"suffix":""},{"dropping-particle":"","family":"Sabato","given":"Stefano Santo","non-dropping-particle":"","parse-names":false,"suffix":""},{"dropping-particle":"","family":"Lanera","given":"Corrado","non-dropping-particle":"","parse-names":false,"suffix":""},{"dropping-particle":"","family":"Bottigliengo","given":"Daniele","non-dropping-particle":"","parse-names":false,"suffix":""},{"dropping-particle":"","family":"Minto","given":"Clara","non-dropping-particle":"","parse-names":false,"suffix":""},{"dropping-particle":"","family":"Ocagli","given":"Honoria","non-dropping-particle":"","parse-names":false,"suffix":""},{"dropping-particle":"","family":"Paolis","given":"Paola","non-dropping-particle":"De","parse-names":false,"suffix":""},{"dropping-particle":"","family":"Gregori","given":"Dario","non-dropping-particle":"","parse-names":false,"suffix":""},{"dropping-particle":"","family":"Iliceto","given":"Sabino","non-dropping-particle":"","parse-names":false,"suffix":""},{"dropping-particle":"","family":"Pisanò","given":"Franco","non-dropping-particle":"","parse-names":false,"suffix":""}],"container-title":"Journal of Clinical Medicine","id":"ITEM-1","issue":"9","issued":{"date-parts":[["2019"]]},"page":"1298","title":"Comparison of Machine Learning Techniques for Prediction of Hospitalization in Heart Failure Patients","type":"article-journal","volume":"8"},"uris":["http://www.mendeley.com/documents/?uuid=31fe3832-00f3-43b0-93f8-b5057dfade3d"]}],"mendeley":{"formattedCitation":"&lt;sup&gt;4&lt;/sup&gt;","plainTextFormattedCitation":"4","previouslyFormattedCitation":"&lt;sup&gt;4&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4</w:t>
            </w:r>
            <w:r w:rsidRPr="00A427B2">
              <w:rPr>
                <w:rFonts w:ascii="Segoe UI" w:eastAsia="Times New Roman" w:hAnsi="Segoe UI" w:cs="Segoe UI"/>
                <w:color w:val="000000"/>
                <w:sz w:val="16"/>
                <w:szCs w:val="16"/>
              </w:rPr>
              <w:fldChar w:fldCharType="end"/>
            </w:r>
          </w:p>
        </w:tc>
        <w:tc>
          <w:tcPr>
            <w:tcW w:w="2122" w:type="dxa"/>
            <w:vAlign w:val="center"/>
          </w:tcPr>
          <w:p w14:paraId="6213A7A1"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Journal of Clinical Medicine</w:t>
            </w:r>
          </w:p>
        </w:tc>
        <w:tc>
          <w:tcPr>
            <w:tcW w:w="850" w:type="dxa"/>
            <w:vAlign w:val="center"/>
          </w:tcPr>
          <w:p w14:paraId="2712B85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3.303</w:t>
            </w:r>
          </w:p>
        </w:tc>
        <w:tc>
          <w:tcPr>
            <w:tcW w:w="1276" w:type="dxa"/>
            <w:vAlign w:val="center"/>
          </w:tcPr>
          <w:p w14:paraId="1437785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2F10700F"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Cardiovascular medicine</w:t>
            </w:r>
          </w:p>
        </w:tc>
        <w:tc>
          <w:tcPr>
            <w:tcW w:w="1541" w:type="dxa"/>
            <w:noWrap/>
            <w:vAlign w:val="center"/>
            <w:hideMark/>
          </w:tcPr>
          <w:p w14:paraId="24A7A9BF"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4F27C400"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43971602"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First hospitalization in heart failure patients</w:t>
            </w:r>
          </w:p>
        </w:tc>
      </w:tr>
      <w:tr w:rsidR="00A427B2" w:rsidRPr="00A427B2" w14:paraId="7F865C94" w14:textId="77777777" w:rsidTr="001B1FC9">
        <w:trPr>
          <w:trHeight w:val="510"/>
        </w:trPr>
        <w:tc>
          <w:tcPr>
            <w:tcW w:w="1701" w:type="dxa"/>
            <w:noWrap/>
            <w:vAlign w:val="center"/>
            <w:hideMark/>
          </w:tcPr>
          <w:p w14:paraId="670A3BC3"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L-K Pries</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{"citationItems":[{"id":"ITEM-1","itemData":{"DOI":"10.1093/schbul/sbz054","ISSN":"17451701","PMID":"31508804","abstract":"Exposures constitute a dense network of the environment: exposome. Here, we argue for embracing the exposome paradigm to investigate the sum of nongenetic \"risk\" and show how predictive modeling approaches can be used to construct an exposome score (ES; an aggregated score of exposures) for schizophrenia. The training dataset consisted of patients with schizophrenia and controls, whereas the independent validation dataset consisted of patients, their unaffected siblings, and controls. Binary exposures were cannabis use, hearing impairment, winter birth, bullying, and emotional, physical, and sexual abuse along with physical and emotional neglect. We applied logistic regression (LR), Gaussian Naive Bayes (GNB), the least absolute shrinkage and selection operator (LASSO), and Ridge penalized classification models to the training dataset. ESs, the sum of weighted exposures based on coefficients from each model, were calculated in the validation dataset. In addition, we estimated ES based on meta-analyses and a simple sum score of exposures. Accuracy, sensitivity, specificity, area under the receiver operating characteristic, and Nagelkerke's R2 were compared. The ESMeta-analyses performed the worst, whereas the sum score and the ESGNB were worse than the ESLR that performed similar to the ESLASSO and ESRIDGE. The ESLR distinguished patients from controls (odds ratio [OR] = 1.94, P &lt;. 001), patients from siblings (OR = 1.58, P &lt;. 001), and siblings from controls (OR = 1.21, P =. 001). An increase in ESLR was associated with a gradient increase of schizophrenia risk. In reference to the remaining fractions, the ESLR at top 30%, 20%, and 10% of the control distribution yielded ORs of 3.72, 3.74, and 4.77, respectively. Our findings demonstrate that predictive modeling approaches can be harnessed to evaluate the exposome.","author":[{"dropping-particle":"","family":"Pries","given":"Lotta Katrin","non-dropping-particle":"","parse-names":false,"suffix":""},{"dropping-particle":"","family":"Lage-Castellanos","given":"Agustin","non-dropping-particle":"","parse-names":false,"suffix":""},{"dropping-particle":"","family":"Delespaul","given":"Philippe","non-dropping-particle":"","parse-names":false,"suffix":""},{"dropping-particle":"","family":"Kenis","given":"Gunter","non-dropping-particle":"","parse-names":false,"suffix":""},{"dropping-particle":"","family":"Luykx","given":"Jurjen J.","non-dropping-particle":"","parse-names":false,"suffix":""},{"dropping-particle":"","family":"Lin","given":"Bochao D.","non-dropping-particle":"","parse-names":false,"suffix":""},{"dropping-particle":"","family":"Richards","given":"Alexander L.","non-dropping-particle":"","parse-names":false,"suffix":""},{"dropping-particle":"","family":"Akdede","given":"Berna","non-dropping-particle":"","parse-names":false,"suffix":""},{"dropping-particle":"","family":"Binbay","given":"Tolga","non-dropping-particle":"","parse-names":false,"suffix":""},{"dropping-particle":"","family":"Altinyazar","given":"Vesile","non-dropping-particle":"","parse-names":false,"suffix":""},{"dropping-particle":"","family":"Yalinçetin","given":"Berna","non-dropping-particle":"","parse-names":false,"suffix":""},{"dropping-particle":"","family":"Gümüş-Akay","given":"Güvem","non-dropping-particle":"","parse-names":false,"suffix":""},{"dropping-particle":"","family":"Cihan","given":"Burçin","non-dropping-particle":"","parse-names":false,"suffix":""},{"dropping-particle":"","family":"Soygür","given":"Haldun","non-dropping-particle":"","parse-names":false,"suffix":""},{"dropping-particle":"","family":"Ulaş","given":"Halis","non-dropping-particle":"","parse-names":false,"suffix":""},{"dropping-particle":"","family":"Cankurtaran","given":"Eylem Şahin","non-dropping-particle":"","parse-names":false,"suffix":""},{"dropping-particle":"","family":"Kaymak","given":"Semra Ulusoy","non-dropping-particle":"","parse-names":false,"suffix":""},{"dropping-particle":"","family":"Mihaljevic","given":"Marina M.","non-dropping-particle":"","parse-names":false,"suffix":""},{"dropping-particle":"","family":"Petrovic","given":"Sanja Andric","non-dropping-particle":"","parse-names":false,"suffix":""},{"dropping-particle":"","family":"Mirjanic","given":"Tijana","non-dropping-particle":"","parse-names":false,"suffix":""},{"dropping-particle":"","family":"Bernardo","given":"Miguel","non-dropping-particle":"","parse-names":false,"suffix":""},{"dropping-particle":"","family":"Cabrera","given":"Bibiana","non-dropping-particle":"","parse-names":false,"suffix":""},{"dropping-particle":"","family":"Bobes","given":"Julio","non-dropping-particle":"","parse-names":false,"suffix":""},{"dropping-particle":"","family":"Saiz","given":"Pilar A.","non-dropping-particle":"","parse-names":false,"suffix":""},{"dropping-particle":"","family":"García-Portilla","given":"María Paz","non-dropping-particle":"","parse-names":false,"suffix":""},{"dropping-particle":"","family":"Sanjuan","given":"Julio","non-dropping-particle":"","parse-names":false,"suffix":""},{"dropping-particle":"","family":"Aguilar","given":"Eduardo J.","non-dropping-particle":"","parse-names":false,"suffix":""},{"dropping-particle":"","family":"Santos","given":"José Luis","non-dropping-particle":"","parse-names":false,"suffix":""},{"dropping-particle":"","family":"Jiménez-López","given":"Estela","non-dropping-particle":"","parse-names":false,"suffix":""},{"dropping-particle":"","family":"Arrojo","given":"Manuel","non-dropping-particle":"","parse-names":false,"suffix":""},{"dropping-particle":"","family":"Carracedo","given":"Angel","non-dropping-particle":"","parse-names":false,"suffix":""},{"dropping-particle":"","family":"López","given":"Gonzalo","non-dropping-particle":"","parse-names":false,"suffix":""},{"dropping-particle":"","family":"González-Peñas","given":"Javier","non-dropping-particle":"","parse-names":false,"suffix":""},{"dropping-particle":"","family":"Parellada","given":"Mara","non-dropping-particle":"","parse-names":false,"suffix":""},{"dropping-particle":"","family":"Maric","given":"Nadja P.","non-dropping-particle":"","parse-names":false,"suffix":""},{"dropping-particle":"","family":"Atbaşoǧlu","given":"Cem","non-dropping-particle":"","parse-names":false,"suffix":""},{"dropping-particle":"","family":"Ucok","given":"Alp","non-dropping-particle":"","parse-names":false,"suffix":""},{"dropping-particle":"","family":"Alptekin","given":"Köksal","non-dropping-particle":"","parse-names":false,"suffix":""},{"dropping-particle":"","family":"Saka","given":"Meram Can","non-dropping-particle":"","parse-names":false,"suffix":""},{"dropping-particle":"","family":"Alizadeh","given":"Behrooz Z.","non-dropping-particle":"","parse-names":false,"suffix":""},{"dropping-particle":"","family":"Amelsvoort","given":"Therese","non-dropping-particle":"Van","parse-names":false,"suffix":""},{"dropping-particle":"","family":"Bruggeman","given":"Richard","non-dropping-particle":"","parse-names":false,"suffix":""},{"dropping-particle":"","family":"Cahn","given":"Wiepke","non-dropping-particle":"","parse-names":false,"suffix":""},{"dropping-particle":"","family":"Haan","given":"Lieuwe","non-dropping-particle":"De","parse-names":false,"suffix":""},{"dropping-particle":"","family":"Winkel","given":"Ruud","non-dropping-particle":"Van","parse-names":false,"suffix":""},{"dropping-particle":"","family":"Rutten","given":"Bart P.F.","non-dropping-particle":"","parse-names":false,"suffix":""},{"dropping-particle":"","family":"Os","given":"Jim","non-dropping-particle":"Van","parse-names":false,"suffix":""},{"dropping-particle":"","family":"Arango","given":"Celso","non-dropping-particle":"","parse-names":false,"suffix":""},{"dropping-particle":"","family":"O'Donovan","given":"Michael","non-dropping-particle":"","parse-names":false,"suffix":""},{"dropping-particle":"","family":"Guloksuz","given":"Sinan","non-dropping-particle":"","parse-names":false,"suffix":""}],"container-title":"Schizophrenia Bulletin","id":"ITEM-1","issue":"5","issued":{"date-parts":[["2019"]]},"page":"960-965","title":"Estimating Exposome Score for Schizophrenia Using Predictive Modeling Approach in Two Independent Samples: The Results from the EUGEI Study","type":"article-journal","volume":"45"},"uris":["http://www.mendeley.com/documents/?uuid=31fa815d-cd76-4dcd-b9b6-477cdca8e275"]}],"mendeley":{"formattedCitation":"&lt;sup&gt;5&lt;/sup&gt;","plainTextFormattedCitation":"5","previouslyFormattedCitation":"&lt;sup&gt;5&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5</w:t>
            </w:r>
            <w:r w:rsidRPr="00A427B2">
              <w:rPr>
                <w:rFonts w:ascii="Segoe UI" w:eastAsia="Times New Roman" w:hAnsi="Segoe UI" w:cs="Segoe UI"/>
                <w:color w:val="000000"/>
                <w:sz w:val="16"/>
                <w:szCs w:val="16"/>
              </w:rPr>
              <w:fldChar w:fldCharType="end"/>
            </w:r>
          </w:p>
        </w:tc>
        <w:tc>
          <w:tcPr>
            <w:tcW w:w="2122" w:type="dxa"/>
            <w:vAlign w:val="center"/>
          </w:tcPr>
          <w:p w14:paraId="0EA39EE7"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Schizophrenia Bulletin</w:t>
            </w:r>
          </w:p>
        </w:tc>
        <w:tc>
          <w:tcPr>
            <w:tcW w:w="850" w:type="dxa"/>
            <w:vAlign w:val="center"/>
          </w:tcPr>
          <w:p w14:paraId="3613CF72"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7.958</w:t>
            </w:r>
          </w:p>
        </w:tc>
        <w:tc>
          <w:tcPr>
            <w:tcW w:w="1276" w:type="dxa"/>
            <w:vAlign w:val="center"/>
          </w:tcPr>
          <w:p w14:paraId="310A25DA"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6D5AE313"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Psychiatry</w:t>
            </w:r>
          </w:p>
        </w:tc>
        <w:tc>
          <w:tcPr>
            <w:tcW w:w="1541" w:type="dxa"/>
            <w:noWrap/>
            <w:vAlign w:val="center"/>
            <w:hideMark/>
          </w:tcPr>
          <w:p w14:paraId="52C649A9"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1C04B8AE"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with external validation (same model)</w:t>
            </w:r>
          </w:p>
        </w:tc>
        <w:tc>
          <w:tcPr>
            <w:tcW w:w="2860" w:type="dxa"/>
            <w:noWrap/>
            <w:vAlign w:val="center"/>
            <w:hideMark/>
          </w:tcPr>
          <w:p w14:paraId="7C2DAE58"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Schizophrenia</w:t>
            </w:r>
          </w:p>
        </w:tc>
      </w:tr>
      <w:tr w:rsidR="00A427B2" w:rsidRPr="00A427B2" w14:paraId="05D2AE08" w14:textId="77777777" w:rsidTr="001B1FC9">
        <w:trPr>
          <w:trHeight w:val="510"/>
        </w:trPr>
        <w:tc>
          <w:tcPr>
            <w:tcW w:w="1701" w:type="dxa"/>
            <w:noWrap/>
            <w:vAlign w:val="center"/>
            <w:hideMark/>
          </w:tcPr>
          <w:p w14:paraId="609A8848"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I Sánchez Fernández</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{"citationItems":[{"id":"ITEM-1","itemData":{"DOI":"10.1177/0883073818773230","ISSN":"17088283","PMID":"29756499","abstract":"The aim of this study was to evaluate the performance of models predicting in-hospital mortality in critically ill children undergoing continuous electroencephalography (cEEG) in the intensive care unit (ICU). We evaluated the performance of machine learning algorithms for predicting mortality in a database of 414 critically ill children undergoing cEEG in the ICU. The area under the receiver operating characteristic curve (AUC) in the test subset was highest for stepwise selection/elimination models (AUC = 0.82) followed by least absolute shrinkage and selection operator (LASSO) and support vector machine with linear kernel (AUC = 0.79), and random forest (AUC = 0.71). The explanatory models had the poorest discriminative performance (AUC = 0.63 for the model without considering etiology and AUC = 0.45 for the model considering etiology). Using few variables and a relatively small number of patients, machine learning techniques added information to explanatory models for prediction of in-hospital mortality.","author":[{"dropping-particle":"","family":"Sánchez Fernández","given":"Iván","non-dropping-particle":"","parse-names":false,"suffix":""},{"dropping-particle":"","family":"Sansevere","given":"Arnold J.","non-dropping-particle":"","parse-names":false,"suffix":""},{"dropping-particle":"","family":"Gaínza-Lein","given":"Marina","non-dropping-particle":"","parse-names":false,"suffix":""},{"dropping-particle":"","family":"Kapur","given":"Kush","non-dropping-particle":"","parse-names":false,"suffix":""},{"dropping-particle":"","family":"Loddenkemper","given":"Tobias","non-dropping-particle":"","parse-names":false,"suffix":""}],"container-title":"Journal of Child Neurology","id":"ITEM-1","issue":"8","issued":{"date-parts":[["2018"]]},"page":"546-553","title":"Machine Learning for Outcome Prediction in Electroencephalograph (EEG)-Monitored Children in the Intensive Care Unit","type":"article-journal","volume":"33"},"uris":["http://www.mendeley.com/documents/?uuid=7c7f5290-eca5-428e-8d74-5c1e6b828b11"]}],"mendeley":{"formattedCitation":"&lt;sup&gt;6&lt;/sup&gt;","plainTextFormattedCitation":"6","previouslyFormattedCitation":"&lt;sup&gt;6&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6</w:t>
            </w:r>
            <w:r w:rsidRPr="00A427B2">
              <w:rPr>
                <w:rFonts w:ascii="Segoe UI" w:eastAsia="Times New Roman" w:hAnsi="Segoe UI" w:cs="Segoe UI"/>
                <w:color w:val="000000"/>
                <w:sz w:val="16"/>
                <w:szCs w:val="16"/>
              </w:rPr>
              <w:fldChar w:fldCharType="end"/>
            </w:r>
          </w:p>
        </w:tc>
        <w:tc>
          <w:tcPr>
            <w:tcW w:w="2122" w:type="dxa"/>
            <w:vAlign w:val="center"/>
          </w:tcPr>
          <w:p w14:paraId="236B2F5D"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Journal of Child Neurology</w:t>
            </w:r>
          </w:p>
        </w:tc>
        <w:tc>
          <w:tcPr>
            <w:tcW w:w="850" w:type="dxa"/>
            <w:vAlign w:val="center"/>
          </w:tcPr>
          <w:p w14:paraId="6204CA44"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2.092</w:t>
            </w:r>
          </w:p>
        </w:tc>
        <w:tc>
          <w:tcPr>
            <w:tcW w:w="1276" w:type="dxa"/>
            <w:vAlign w:val="center"/>
          </w:tcPr>
          <w:p w14:paraId="6CD0777B"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2018</w:t>
            </w:r>
          </w:p>
        </w:tc>
        <w:tc>
          <w:tcPr>
            <w:tcW w:w="1559" w:type="dxa"/>
            <w:noWrap/>
            <w:vAlign w:val="center"/>
            <w:hideMark/>
          </w:tcPr>
          <w:p w14:paraId="14848F4A"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Neurology</w:t>
            </w:r>
          </w:p>
        </w:tc>
        <w:tc>
          <w:tcPr>
            <w:tcW w:w="1541" w:type="dxa"/>
            <w:noWrap/>
            <w:vAlign w:val="center"/>
            <w:hideMark/>
          </w:tcPr>
          <w:p w14:paraId="3C79C90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2722AFE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78C3AD0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In-hospital mortality in critically ill children monitored with cEEG in the ICU</w:t>
            </w:r>
          </w:p>
        </w:tc>
      </w:tr>
      <w:tr w:rsidR="00A427B2" w:rsidRPr="00A427B2" w14:paraId="040BB0EE" w14:textId="77777777" w:rsidTr="001B1FC9">
        <w:trPr>
          <w:trHeight w:val="510"/>
        </w:trPr>
        <w:tc>
          <w:tcPr>
            <w:tcW w:w="1701" w:type="dxa"/>
            <w:noWrap/>
            <w:vAlign w:val="center"/>
            <w:hideMark/>
          </w:tcPr>
          <w:p w14:paraId="7E6B285E"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H Zhang</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{"citationItems":[{"id":"ITEM-1","itemData":{"DOI":"10.1093/gigascience/giy085","ISSN":"2047217X","PMID":"30010762","abstract":"Motivation: Heterogeneous diseases such as Alzheimer's disease (AD) manifest a variety of phenotypes among populations. Early diagnosis and effective treatment offer cost benefits. Many studies on biochemical and imaging markers have shown potential promise in improving diagnosis, yet establishing quantitative diagnostic criteria for ancillary tests remains challenging. Results: We have developed a similarity-based approach that matches individuals to subjects with similar conditions. We modeled the disease with a Gaussian process, and tested the method in the Alzheimer's Disease Big Data DREAM Challenge. Ranked the highest among submitted methods, our diagnostic model predicted cognitive impairment scores in an independent dataset test with a correlation score of 0.573. It differentiated AD patients from control subjects with an area under the receiver operating curve of 0.920. Without knowing longitudinal information about subjects, the model predicted patients who are vulnerable to conversion from mild-cognitive impairment to AD through the similarity network. This diagnostic framework can be applied to other diseases with clinical heterogeneity, such as Parkinson's disease.","author":[{"dropping-particle":"","family":"Zhang","given":"Hongjiu","non-dropping-particle":"","parse-names":false,"suffix":""},{"dropping-particle":"","family":"Zhu","given":"Fan","non-dropping-particle":"","parse-names":false,"suffix":""},{"dropping-particle":"","family":"Dodge","given":"Hiroko H.","non-dropping-particle":"","parse-names":false,"suffix":""},{"dropping-particle":"","family":"Higgins","given":"Gerald A.","non-dropping-particle":"","parse-names":false,"suffix":""},{"dropping-particle":"","family":"Omenn","given":"Gilbert S.","non-dropping-particle":"","parse-names":false,"suffix":""},{"dropping-particle":"","family":"Guan","given":"Yuanfang","non-dropping-particle":"","parse-names":false,"suffix":""}],"container-title":"GigaScience","id":"ITEM-1","issue":"7","issued":{"date-parts":[["2018"]]},"page":"1-10","publisher":"Oxford University Press","title":"A similarity-based approach to leverage multi-cohort medical data on the diagnosis and prognosis of Alzheimer's disease","type":"article-journal","volume":"7"},"uris":["http://www.mendeley.com/documents/?uuid=913be038-3abc-4b68-9643-676c203a7f99"]}],"mendeley":{"formattedCitation":"&lt;sup&gt;7&lt;/sup&gt;","plainTextFormattedCitation":"7","previouslyFormattedCitation":"&lt;sup&gt;7&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7</w:t>
            </w:r>
            <w:r w:rsidRPr="00A427B2">
              <w:rPr>
                <w:rFonts w:ascii="Segoe UI" w:eastAsia="Times New Roman" w:hAnsi="Segoe UI" w:cs="Segoe UI"/>
                <w:color w:val="000000"/>
                <w:sz w:val="16"/>
                <w:szCs w:val="16"/>
              </w:rPr>
              <w:fldChar w:fldCharType="end"/>
            </w:r>
          </w:p>
        </w:tc>
        <w:tc>
          <w:tcPr>
            <w:tcW w:w="2122" w:type="dxa"/>
            <w:vAlign w:val="center"/>
          </w:tcPr>
          <w:p w14:paraId="6FF89894"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GigaScience</w:t>
            </w:r>
          </w:p>
        </w:tc>
        <w:tc>
          <w:tcPr>
            <w:tcW w:w="850" w:type="dxa"/>
            <w:vAlign w:val="center"/>
          </w:tcPr>
          <w:p w14:paraId="2F025E7A"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4.688</w:t>
            </w:r>
          </w:p>
        </w:tc>
        <w:tc>
          <w:tcPr>
            <w:tcW w:w="1276" w:type="dxa"/>
            <w:vAlign w:val="center"/>
          </w:tcPr>
          <w:p w14:paraId="08EF39C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2018</w:t>
            </w:r>
          </w:p>
        </w:tc>
        <w:tc>
          <w:tcPr>
            <w:tcW w:w="1559" w:type="dxa"/>
            <w:noWrap/>
            <w:vAlign w:val="center"/>
            <w:hideMark/>
          </w:tcPr>
          <w:p w14:paraId="5C88376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Neurology</w:t>
            </w:r>
          </w:p>
        </w:tc>
        <w:tc>
          <w:tcPr>
            <w:tcW w:w="1541" w:type="dxa"/>
            <w:noWrap/>
            <w:vAlign w:val="center"/>
            <w:hideMark/>
          </w:tcPr>
          <w:p w14:paraId="70C20F0E"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Diagnosis</w:t>
            </w:r>
          </w:p>
        </w:tc>
        <w:tc>
          <w:tcPr>
            <w:tcW w:w="2481" w:type="dxa"/>
            <w:noWrap/>
            <w:vAlign w:val="center"/>
            <w:hideMark/>
          </w:tcPr>
          <w:p w14:paraId="5FC88578"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with external validation (same model)</w:t>
            </w:r>
          </w:p>
        </w:tc>
        <w:tc>
          <w:tcPr>
            <w:tcW w:w="2860" w:type="dxa"/>
            <w:noWrap/>
            <w:vAlign w:val="center"/>
            <w:hideMark/>
          </w:tcPr>
          <w:p w14:paraId="2AB53053"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Alzheimer’s disease</w:t>
            </w:r>
          </w:p>
        </w:tc>
      </w:tr>
      <w:tr w:rsidR="00A427B2" w:rsidRPr="00A427B2" w14:paraId="35D0301F" w14:textId="77777777" w:rsidTr="001B1FC9">
        <w:trPr>
          <w:trHeight w:val="510"/>
        </w:trPr>
        <w:tc>
          <w:tcPr>
            <w:tcW w:w="1701" w:type="dxa"/>
            <w:noWrap/>
            <w:vAlign w:val="center"/>
            <w:hideMark/>
          </w:tcPr>
          <w:p w14:paraId="4F8F4698"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A Koivu</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{"citationItems":[{"id":"ITEM-1","itemData":{"DOI":"10.1016/j.compbiomed.2018.05.004","ISSN":"18790534","PMID":"29758452","abstract":"Prenatal screening generates a great amount of data that is used for predicting risk of various disorders. Prenatal risk assessment is based on multiple clinical variables and overall performance is defined by how well the risk algorithm is optimized for the population in question. This article evaluates machine learning algorithms to improve performance of first trimester screening of Down syndrome. Machine learning algorithms pose an adaptive alternative to develop better risk assessment models using the existing clinical variables. Two real-world data sets were used to experiment with multiple classification algorithms. Implemented models were tested with a third, real-world, data set and performance was compared to a predicate method, a commercial risk assessment software. Best performing deep neural network model gave an area under the curve of 0.96 and detection rate of 78% with 1% false positive rate with the test data. Support vector machine model gave area under the curve of 0.95 and detection rate of 61% with 1% false positive rate with the same test data. When compared with the predicate method, the best support vector machine model was slightly inferior, but an optimized deep neural network model was able to give higher detection rates with same false positive rate or similar detection rate but with markedly lower false positive rate. This finding could further improve the first trimester screening for Down syndrome, by using existing clinical variables and a large training data derived from a specific population.","author":[{"dropping-particle":"","family":"Koivu","given":"Aki","non-dropping-particle":"","parse-names":false,"suffix":""},{"dropping-particle":"","family":"Korpimäki","given":"Teemu","non-dropping-particle":"","parse-names":false,"suffix":""},{"dropping-particle":"","family":"Kivelä","given":"Petri","non-dropping-particle":"","parse-names":false,"suffix":""},{"dropping-particle":"","family":"Pahikkala","given":"Tapio","non-dropping-particle":"","parse-names":false,"suffix":""},{"dropping-particle":"","family":"Sairanen","given":"Mikko","non-dropping-particle":"","parse-names":false,"suffix":""}],"container-title":"Computers in Biology and Medicine","id":"ITEM-1","issue":"April","issued":{"date-parts":[["2018"]]},"page":"1-7","title":"Evaluation of machine learning algorithms for improved risk assessment for Down's syndrome","type":"article-journal","volume":"98"},"uris":["http://www.mendeley.com/documents/?uuid=25bb413c-9175-49ce-93a4-9dfda5c11e5e"]}],"mendeley":{"formattedCitation":"&lt;sup&gt;8&lt;/sup&gt;","plainTextFormattedCitation":"8","previouslyFormattedCitation":"&lt;sup&gt;8&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8</w:t>
            </w:r>
            <w:r w:rsidRPr="00A427B2">
              <w:rPr>
                <w:rFonts w:ascii="Segoe UI" w:eastAsia="Times New Roman" w:hAnsi="Segoe UI" w:cs="Segoe UI"/>
                <w:color w:val="000000"/>
                <w:sz w:val="16"/>
                <w:szCs w:val="16"/>
              </w:rPr>
              <w:fldChar w:fldCharType="end"/>
            </w:r>
          </w:p>
        </w:tc>
        <w:tc>
          <w:tcPr>
            <w:tcW w:w="2122" w:type="dxa"/>
            <w:vAlign w:val="center"/>
          </w:tcPr>
          <w:p w14:paraId="46940E88"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Computers in Biology and Medicine</w:t>
            </w:r>
          </w:p>
        </w:tc>
        <w:tc>
          <w:tcPr>
            <w:tcW w:w="850" w:type="dxa"/>
            <w:vAlign w:val="center"/>
          </w:tcPr>
          <w:p w14:paraId="38FE650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2.286</w:t>
            </w:r>
          </w:p>
        </w:tc>
        <w:tc>
          <w:tcPr>
            <w:tcW w:w="1276" w:type="dxa"/>
            <w:vAlign w:val="center"/>
          </w:tcPr>
          <w:p w14:paraId="12768D6B"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2018</w:t>
            </w:r>
          </w:p>
        </w:tc>
        <w:tc>
          <w:tcPr>
            <w:tcW w:w="1559" w:type="dxa"/>
            <w:noWrap/>
            <w:vAlign w:val="center"/>
            <w:hideMark/>
          </w:tcPr>
          <w:p w14:paraId="691C0D79"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Obstetrics &amp; Gynecology</w:t>
            </w:r>
          </w:p>
        </w:tc>
        <w:tc>
          <w:tcPr>
            <w:tcW w:w="1541" w:type="dxa"/>
            <w:noWrap/>
            <w:vAlign w:val="center"/>
            <w:hideMark/>
          </w:tcPr>
          <w:p w14:paraId="743DBF5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Diagnosis</w:t>
            </w:r>
          </w:p>
        </w:tc>
        <w:tc>
          <w:tcPr>
            <w:tcW w:w="2481" w:type="dxa"/>
            <w:noWrap/>
            <w:vAlign w:val="center"/>
            <w:hideMark/>
          </w:tcPr>
          <w:p w14:paraId="7FE3158B"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with external validation (same model)</w:t>
            </w:r>
          </w:p>
        </w:tc>
        <w:tc>
          <w:tcPr>
            <w:tcW w:w="2860" w:type="dxa"/>
            <w:noWrap/>
            <w:vAlign w:val="center"/>
            <w:hideMark/>
          </w:tcPr>
          <w:p w14:paraId="45BE6FB4"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First trimester prenatal down's syndrome</w:t>
            </w:r>
          </w:p>
        </w:tc>
      </w:tr>
      <w:tr w:rsidR="00A427B2" w:rsidRPr="00A427B2" w14:paraId="03334D9D" w14:textId="77777777" w:rsidTr="001B1FC9">
        <w:trPr>
          <w:trHeight w:val="510"/>
        </w:trPr>
        <w:tc>
          <w:tcPr>
            <w:tcW w:w="1701" w:type="dxa"/>
            <w:noWrap/>
            <w:vAlign w:val="center"/>
            <w:hideMark/>
          </w:tcPr>
          <w:p w14:paraId="0ED2E60A"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GGP Garcia</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{"citationItems":[{"id":"ITEM-1","itemData":{"DOI":"10.1016/j.ajo.2018.10.012","ISSN":"18791891","PMID":"30336130","abstract":"Purpose: To determine whether a machine learning technique called Kalman filtering (KF) can accurately forecast future values of mean deviation (MD), pattern standard deviation, and intraocular pressure for patients with normal tension glaucoma (NTG). Design: Development and testing of a forecasting model for glaucoma progression. Methods: We parameterized and validated a KF (KF-NTG) to forecast MD, pattern standard deviation, and intraocular pressure at 24 months into the future using 263 eyes of 263 Japanese patients with NTG. We determined the proportion of patients with MD forecasts within 0.5, 1.0, and 2.5 dBs of the actual values and calculated the root mean squared error (RMSE) for each forecast. We compared KF-NTG with a previously published KF model calibrated using patients with high-tension open-angle glaucoma (KF-HTG) and to 3 conventional forecasting algorithms. Results: The 263 patients with NTG had mean ± standard deviation age of 63.4 ± 10.5 years. KF-NTG forecasted MD values 24 months ahead within 0.5, 1.0, and 2.5 dBs of the actual value for 78 eyes (32.2%), 122 eyes (50.4%), and 211 eyes (87.2%), respectively. The proportion of eyes with MD values forecasted within 2.5 dB of the actual value for the KF-NTG (87.2%) were similar to KF-HTG (86.0%) and the null model (86.4%), and much better than the 2 linear regression–based models (72.7-74.0%; P &lt;.001). When forecasting MD, KF-NTG (RMSE = 2.71) and KF-HTG (RMSE = 2.68) achieved lower RMSE than the other 3 forecasting models (RMSE = 2.81-3.90), indicating better performance. Conclusion: As observed previously for patients with HTG, KF can also effectively forecast disease trajectory for many patients with NTG.","author":[{"dropping-particle":"","family":"Garcia","given":"Gian Gabriel P.","non-dropping-particle":"","parse-names":false,"suffix":""},{"dropping-particle":"","family":"Nitta","given":"Koji","non-dropping-particle":"","parse-names":false,"suffix":""},{"dropping-particle":"","family":"Lavieri","given":"Mariel S.","non-dropping-particle":"","parse-names":false,"suffix":""},{"dropping-particle":"","family":"Andrews","given":"Chris","non-dropping-particle":"","parse-names":false,"suffix":""},{"dropping-particle":"","family":"Liu","given":"Xiang","non-dropping-particle":"","parse-names":false,"suffix":""},{"dropping-particle":"","family":"Lobaza","given":"Elizabeth","non-dropping-particle":"","parse-names":false,"suffix":""},{"dropping-particle":"","family":"Oyen","given":"Mark P.","non-dropping-particle":"Van","parse-names":false,"suffix":""},{"dropping-particle":"","family":"Sugiyama","given":"Kazuhisa","non-dropping-particle":"","parse-names":false,"suffix":""},{"dropping-particle":"","family":"Stein","given":"Joshua D.","non-dropping-particle":"","parse-names":false,"suffix":""}],"container-title":"American Journal of Ophthalmology","id":"ITEM-1","issued":{"date-parts":[["2019"]]},"page":"111-119","publisher":"Elsevier Inc.","title":"Using Kalman Filtering to Forecast Disease Trajectory for Patients With Normal Tension Glaucoma","type":"article-journal","volume":"199"},"uris":["http://www.mendeley.com/documents/?uuid=56d87d54-1a9c-4454-a6d9-295dfd2d5cd5"]}],"mendeley":{"formattedCitation":"&lt;sup&gt;9&lt;/sup&gt;","plainTextFormattedCitation":"9","previouslyFormattedCitation":"&lt;sup&gt;9&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9</w:t>
            </w:r>
            <w:r w:rsidRPr="00A427B2">
              <w:rPr>
                <w:rFonts w:ascii="Segoe UI" w:eastAsia="Times New Roman" w:hAnsi="Segoe UI" w:cs="Segoe UI"/>
                <w:color w:val="000000"/>
                <w:sz w:val="16"/>
                <w:szCs w:val="16"/>
              </w:rPr>
              <w:fldChar w:fldCharType="end"/>
            </w:r>
          </w:p>
        </w:tc>
        <w:tc>
          <w:tcPr>
            <w:tcW w:w="2122" w:type="dxa"/>
            <w:vAlign w:val="center"/>
          </w:tcPr>
          <w:p w14:paraId="4BCFB9C4"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American Journal of Ophthalmology</w:t>
            </w:r>
          </w:p>
        </w:tc>
        <w:tc>
          <w:tcPr>
            <w:tcW w:w="850" w:type="dxa"/>
            <w:vAlign w:val="center"/>
          </w:tcPr>
          <w:p w14:paraId="7B166D84"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4.483</w:t>
            </w:r>
          </w:p>
        </w:tc>
        <w:tc>
          <w:tcPr>
            <w:tcW w:w="1276" w:type="dxa"/>
            <w:vAlign w:val="center"/>
          </w:tcPr>
          <w:p w14:paraId="26744E93"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2018</w:t>
            </w:r>
          </w:p>
        </w:tc>
        <w:tc>
          <w:tcPr>
            <w:tcW w:w="1559" w:type="dxa"/>
            <w:noWrap/>
            <w:vAlign w:val="center"/>
            <w:hideMark/>
          </w:tcPr>
          <w:p w14:paraId="56F72D5A"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Ophthalmology</w:t>
            </w:r>
          </w:p>
        </w:tc>
        <w:tc>
          <w:tcPr>
            <w:tcW w:w="1541" w:type="dxa"/>
            <w:noWrap/>
            <w:vAlign w:val="center"/>
            <w:hideMark/>
          </w:tcPr>
          <w:p w14:paraId="6393A844"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32AB18F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68EA650B"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progression normal tension glaucoma</w:t>
            </w:r>
          </w:p>
        </w:tc>
      </w:tr>
      <w:tr w:rsidR="00A427B2" w:rsidRPr="00A427B2" w14:paraId="66636324" w14:textId="77777777" w:rsidTr="001B1FC9">
        <w:trPr>
          <w:trHeight w:val="510"/>
        </w:trPr>
        <w:tc>
          <w:tcPr>
            <w:tcW w:w="1701" w:type="dxa"/>
            <w:noWrap/>
            <w:vAlign w:val="center"/>
            <w:hideMark/>
          </w:tcPr>
          <w:p w14:paraId="623521C0"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K Kajiwara</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{"citationItems":[{"id":"ITEM-1","itemData":{"DOI":"10.1016/j.jvir.2018.05.015","ISSN":"15357732","PMID":"30309677","abstract":"Purpose: To explore optimal diagnostic criteria for localizing insulinomas with the selective arterial calcium injection (SACI) test using decision tree analysis. Materials and Methods: A retrospective study included 86 vessels of 18 patients (5 men, 13 women; mean age 67 y; range, 49–73 y) with insulinomas who underwent SACI test between June 2007 and May 2016. Of 27 insulinomas, 7 were found in the head, 13 in the body, and 7 in the tail of the pancreas. Two patients had multiple tumors. To identify optimal diagnostic criteria, decision tree analysis was performed, and sensitivity, specificity, and accuracy of the conventional and the proposed new diagnostic criteria (plasma insulin concentration after calcium injection [ICpost] &gt; 2.0 × plasma insulin concentration before calcium injection [ICpre]) were compared. Results: The proposed new diagnostic criteria for insulinoma obtained by decision tree analysis were (i) ICpost &gt; 2.7 × ICpre and maximum insulin concentration &gt; 60.3 μIU/mL or (ii) ICpost &gt; 2.7 × ICpre and maximum insulin concentration &lt; 60.3 μIU/mL with ICpre being ≥ 7.5 μIU/mL. Sensitivity, specificity, and accuracy of the new criteria for the SACI test were 100%, 91.4%, and 94.2; sensitivity, specificity, and accuracy of conventional criteria were 100%, 69.0%, and 79.1%. Conclusions: New diagnostic criteria for localization of insulinomas with the SACI test yielded higher diagnostic performance than conventional criteria.","author":[{"dropping-particle":"","family":"Kajiwara","given":"Kenji","non-dropping-particle":"","parse-names":false,"suffix":""},{"dropping-particle":"","family":"Yamagami","given":"Takuji","non-dropping-particle":"","parse-names":false,"suffix":""},{"dropping-particle":"","family":"Toyota","given":"Naoyuki","non-dropping-particle":"","parse-names":false,"suffix":""},{"dropping-particle":"","family":"Kakizawa","given":"Hideaki","non-dropping-particle":"","parse-names":false,"suffix":""},{"dropping-particle":"","family":"Urashima","given":"Masaki","non-dropping-particle":"","parse-names":false,"suffix":""},{"dropping-particle":"","family":"Hieda","given":"Masashi","non-dropping-particle":"","parse-names":false,"suffix":""},{"dropping-particle":"","family":"Baba","given":"Yasutaka","non-dropping-particle":"","parse-names":false,"suffix":""},{"dropping-particle":"","family":"Akita","given":"Tomoyuki","non-dropping-particle":"","parse-names":false,"suffix":""},{"dropping-particle":"","family":"Tanaka","given":"Junko","non-dropping-particle":"","parse-names":false,"suffix":""},{"dropping-particle":"","family":"Awai","given":"Kazuo","non-dropping-particle":"","parse-names":false,"suffix":""}],"container-title":"Journal of Vascular and Interventional Radiology","id":"ITEM-1","issue":"12","issued":{"date-parts":[["2018"]]},"page":"1749-1753","publisher":"SIR","title":"New Diagnostic Criteria for the Localization of Insulinomas with the Selective Arterial Calcium Injection Test: Decision Tree Analysis","type":"article-journal","volume":"29"},"uris":["http://www.mendeley.com/documents/?uuid=3a805ff2-95f1-465f-9c32-e9f8ef9bc7b3"]}],"mendeley":{"formattedCitation":"&lt;sup&gt;10&lt;/sup&gt;","plainTextFormattedCitation":"10","previouslyFormattedCitation":"&lt;sup&gt;10&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10</w:t>
            </w:r>
            <w:r w:rsidRPr="00A427B2">
              <w:rPr>
                <w:rFonts w:ascii="Segoe UI" w:eastAsia="Times New Roman" w:hAnsi="Segoe UI" w:cs="Segoe UI"/>
                <w:color w:val="000000"/>
                <w:sz w:val="16"/>
                <w:szCs w:val="16"/>
              </w:rPr>
              <w:fldChar w:fldCharType="end"/>
            </w:r>
          </w:p>
        </w:tc>
        <w:tc>
          <w:tcPr>
            <w:tcW w:w="2122" w:type="dxa"/>
            <w:vAlign w:val="center"/>
          </w:tcPr>
          <w:p w14:paraId="2B5CB8EA"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Journal of Vascular and Interventional Radiology</w:t>
            </w:r>
          </w:p>
        </w:tc>
        <w:tc>
          <w:tcPr>
            <w:tcW w:w="850" w:type="dxa"/>
            <w:vAlign w:val="center"/>
          </w:tcPr>
          <w:p w14:paraId="1F2EC4A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2.828</w:t>
            </w:r>
          </w:p>
        </w:tc>
        <w:tc>
          <w:tcPr>
            <w:tcW w:w="1276" w:type="dxa"/>
            <w:vAlign w:val="center"/>
          </w:tcPr>
          <w:p w14:paraId="603ACD6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2018</w:t>
            </w:r>
          </w:p>
        </w:tc>
        <w:tc>
          <w:tcPr>
            <w:tcW w:w="1559" w:type="dxa"/>
            <w:noWrap/>
            <w:vAlign w:val="center"/>
            <w:hideMark/>
          </w:tcPr>
          <w:p w14:paraId="4AE6ABA1"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Oncology</w:t>
            </w:r>
          </w:p>
        </w:tc>
        <w:tc>
          <w:tcPr>
            <w:tcW w:w="1541" w:type="dxa"/>
            <w:noWrap/>
            <w:vAlign w:val="center"/>
            <w:hideMark/>
          </w:tcPr>
          <w:p w14:paraId="0E5316B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Diagnosis</w:t>
            </w:r>
          </w:p>
        </w:tc>
        <w:tc>
          <w:tcPr>
            <w:tcW w:w="2481" w:type="dxa"/>
            <w:noWrap/>
            <w:vAlign w:val="center"/>
            <w:hideMark/>
          </w:tcPr>
          <w:p w14:paraId="249AE1B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64D1F9A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 xml:space="preserve">Insulinomas </w:t>
            </w:r>
          </w:p>
        </w:tc>
      </w:tr>
      <w:tr w:rsidR="00A427B2" w:rsidRPr="00A427B2" w14:paraId="65BDA3AD" w14:textId="77777777" w:rsidTr="001B1FC9">
        <w:trPr>
          <w:trHeight w:val="510"/>
        </w:trPr>
        <w:tc>
          <w:tcPr>
            <w:tcW w:w="1701" w:type="dxa"/>
            <w:noWrap/>
            <w:vAlign w:val="center"/>
            <w:hideMark/>
          </w:tcPr>
          <w:p w14:paraId="0DDF565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A Tam</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{"citationItems":[{"id":"ITEM-1","itemData":{"DOI":"10.1093/gigascience/giz055","ISBN":"0000000167","ISSN":"2047217X","PMID":"31077314","abstract":"Background: Clinical trials in Alzheimer’s disease need to enroll patients whose cognition will decline over time, if left untreated, in order to demonstrate the efficacy of an intervention. Machine learning models used to screen for patients at risk of progression to dementia should therefore favor specificity (detecting only progressors) over sensitivity (detecting all progressors), especially when the prevalence of progressors is low. Here, we explore whether such high-risk patients can be identified using cognitive assessments and structural neuroimaging by training machine learning tools in a high-specificity regime. Results: A multimodal signature of Alzheimer’s dementia was first extracted from the ADNI1 dataset. We then validated the predictive value of this signature on ADNI1 patients with mild cognitive impairment (N = 235). The signature was optimized to predict progression to dementia over 3 years with low sensitivity (55.1%) but high specificity (95.6%), resulting in only moderate accuracy (69.3%) but high positive predictive value (80.4%, adjusted for a “typical” 33% prevalence rate of true progressors). These results were replicated in ADNI2 (N = 235), with 87.8% adjusted positive predictive value (96.7% specificity, 47.3% sensitivity, 85.1% accuracy). Conclusions: We found that cognitive measures alone could identify high-risk individuals, with structural measurements providing a slight improvement. The signature had comparable receiver operating characteristics to standard machine learning tools, yet a marked improvement in positive predictive value was achieved over the literature by selecting a high-specificity operating point. The multimodal signature can be readily applied for the enrichment of clinical trials.","author":[{"dropping-particle":"","family":"Tam","given":"Angela","non-dropping-particle":"","parse-names":false,"suffix":""},{"dropping-particle":"","family":"Dansereau","given":"Christian","non-dropping-particle":"","parse-names":false,"suffix":""},{"dropping-particle":"","family":"Iturria-Medina","given":"Yasser","non-dropping-particle":"","parse-names":false,"suffix":""},{"dropping-particle":"","family":"Urchs","given":"Sebastian","non-dropping-particle":"","parse-names":false,"suffix":""},{"dropping-particle":"","family":"Orban","given":"Pierre","non-dropping-particle":"","parse-names":false,"suffix":""},{"dropping-particle":"","family":"Sharmarke","given":"Hanad","non-dropping-particle":"","parse-names":false,"suffix":""},{"dropping-particle":"","family":"Breitner","given":"John","non-dropping-particle":"","parse-names":false,"suffix":""},{"dropping-particle":"","family":"Bellec","given":"Pierre","non-dropping-particle":"","parse-names":false,"suffix":""}],"container-title":"GigaScience","id":"ITEM-1","issue":"5","issued":{"date-parts":[["2019"]]},"page":"1-16","publisher":"Oxford University Press","title":"A highly predictive signature of cognition and brain atrophy for progression to Alzheimer’s dementia","type":"article-journal","volume":"8"},"uris":["http://www.mendeley.com/documents/?uuid=264433db-618d-4883-949a-506d5f5b07e6"]}],"mendeley":{"formattedCitation":"&lt;sup&gt;11&lt;/sup&gt;","plainTextFormattedCitation":"11","previouslyFormattedCitation":"&lt;sup&gt;11&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11</w:t>
            </w:r>
            <w:r w:rsidRPr="00A427B2">
              <w:rPr>
                <w:rFonts w:ascii="Segoe UI" w:eastAsia="Times New Roman" w:hAnsi="Segoe UI" w:cs="Segoe UI"/>
                <w:color w:val="000000"/>
                <w:sz w:val="16"/>
                <w:szCs w:val="16"/>
              </w:rPr>
              <w:fldChar w:fldCharType="end"/>
            </w:r>
          </w:p>
        </w:tc>
        <w:tc>
          <w:tcPr>
            <w:tcW w:w="2122" w:type="dxa"/>
            <w:vAlign w:val="center"/>
          </w:tcPr>
          <w:p w14:paraId="4C00F20B"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GigaScience</w:t>
            </w:r>
          </w:p>
        </w:tc>
        <w:tc>
          <w:tcPr>
            <w:tcW w:w="850" w:type="dxa"/>
            <w:vAlign w:val="center"/>
          </w:tcPr>
          <w:p w14:paraId="5B527C0B"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5.993</w:t>
            </w:r>
          </w:p>
        </w:tc>
        <w:tc>
          <w:tcPr>
            <w:tcW w:w="1276" w:type="dxa"/>
            <w:vAlign w:val="center"/>
          </w:tcPr>
          <w:p w14:paraId="066D88FE"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332D2754"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Neurology</w:t>
            </w:r>
          </w:p>
        </w:tc>
        <w:tc>
          <w:tcPr>
            <w:tcW w:w="1541" w:type="dxa"/>
            <w:noWrap/>
            <w:vAlign w:val="center"/>
            <w:hideMark/>
          </w:tcPr>
          <w:p w14:paraId="664A9E0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579E3F13"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with external validation (same model)</w:t>
            </w:r>
          </w:p>
        </w:tc>
        <w:tc>
          <w:tcPr>
            <w:tcW w:w="2860" w:type="dxa"/>
            <w:noWrap/>
            <w:vAlign w:val="center"/>
            <w:hideMark/>
          </w:tcPr>
          <w:p w14:paraId="6CE69A62"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Progression to Alzheimer’s dementia</w:t>
            </w:r>
          </w:p>
        </w:tc>
      </w:tr>
      <w:tr w:rsidR="00A427B2" w:rsidRPr="00A427B2" w14:paraId="209C7E18" w14:textId="77777777" w:rsidTr="001B1FC9">
        <w:trPr>
          <w:trHeight w:val="510"/>
        </w:trPr>
        <w:tc>
          <w:tcPr>
            <w:tcW w:w="1701" w:type="dxa"/>
            <w:noWrap/>
            <w:vAlign w:val="center"/>
            <w:hideMark/>
          </w:tcPr>
          <w:p w14:paraId="373D0A4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LC Chambers</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{"citationItems":[{"id":"ITEM-1","itemData":{"DOI":"10.1097/OLQ.0000000000000854","ISSN":"0148-5717 (Linking)","abstract":"BACKGROUND: The ideal approach to triaging sexually transmitted disease (STD) clinic patients between testing-only express visits and standard visits with clinician evaluation is uncertain. METHODS: In this cross-sectional study, we used classification and regression tree analysis to develop and validate the optimal algorithm for predicting which patients need a standard visit with clinician assessment (i.e., to maximize correct triage). Using electronic medical record data, we defined patients as needing a standard visit if they reported STD symptoms, received any empiric treatment, or were diagnosed as having an infection or syndrome at the same visit. We considered 11 potential predictors for requiring medical evaluation collected via computer-assisted self-interview when constructing the optimized algorithm. We compared test characteristics of the optimized algorithm, the Public Health-Seattle and King County STD Clinic's current 13-component algorithm, and a simple 2-component algorithm including only presence of symptoms and contact to STD. RESULTS: From October 2010 to June 2015, 18,653 unique patients completed a computer-assisted self-interview. In the validation samples, the optimized, current, and simple algorithms appropriately triaged 90%, 85%, and 89% of patients, respectively. The optimized algorithm had lower sensitivity for identifying patients needing standard visits (men, 94%; women, 93%) compared with the current algorithm (men, 95%; women, 98%), as did the simple algorithm (men, 91%; women, 93%). The optimized, current, and simple algorithms triaged 31%, 23%, and 33% of patients to express visits, respectively. CONCLUSIONS: The overall performance of the statistically optimized algorithm did not differ meaningfully from a simple 2-component algorithm. In contrast, the current algorithm had the highest sensitivity but lowest overall performance.","author":[{"dropping-particle":"","family":"LC","given":"Chambers","non-dropping-particle":"","parse-names":false,"suffix":""},{"dropping-particle":"","family":"LE","given":"Manhart","non-dropping-particle":"","parse-names":false,"suffix":""},{"dropping-particle":"","family":"DA","given":"Katz","non-dropping-particle":"","parse-names":false,"suffix":""},{"dropping-particle":"","family":"MR","given":"Golden","non-dropping-particle":"","parse-names":false,"suffix":""},{"dropping-particle":"","family":"LA","given":"Barbee","non-dropping-particle":"","parse-names":false,"suffix":""},{"dropping-particle":"","family":"JC","given":"Dombrowski","non-dropping-particle":"","parse-names":false,"suffix":""}],"container-title":"Sexually transmitted diseases","id":"ITEM-1","issue":"10","issued":{"date-parts":[["2018","10"]]},"page":"696-702","publisher-place":"United States","title":"Comparison of Algorithms to Triage Patients to Express Care in a Sexually Transmitted Disease Clinic.","type":"article-journal","volume":"45"},"uris":["http://www.mendeley.com/documents/?uuid=51381886-aa96-426f-acbf-a29fc60be5be"]}],"mendeley":{"formattedCitation":"&lt;sup&gt;12&lt;/sup&gt;","plainTextFormattedCitation":"12","previouslyFormattedCitation":"&lt;sup&gt;12&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12</w:t>
            </w:r>
            <w:r w:rsidRPr="00A427B2">
              <w:rPr>
                <w:rFonts w:ascii="Segoe UI" w:eastAsia="Times New Roman" w:hAnsi="Segoe UI" w:cs="Segoe UI"/>
                <w:color w:val="000000"/>
                <w:sz w:val="16"/>
                <w:szCs w:val="16"/>
              </w:rPr>
              <w:fldChar w:fldCharType="end"/>
            </w:r>
          </w:p>
        </w:tc>
        <w:tc>
          <w:tcPr>
            <w:tcW w:w="2122" w:type="dxa"/>
            <w:vAlign w:val="center"/>
          </w:tcPr>
          <w:p w14:paraId="3BC004E2"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Sexually Transmitted Diseases</w:t>
            </w:r>
          </w:p>
        </w:tc>
        <w:tc>
          <w:tcPr>
            <w:tcW w:w="850" w:type="dxa"/>
            <w:vAlign w:val="center"/>
          </w:tcPr>
          <w:p w14:paraId="508829B1"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2.270</w:t>
            </w:r>
          </w:p>
        </w:tc>
        <w:tc>
          <w:tcPr>
            <w:tcW w:w="1276" w:type="dxa"/>
            <w:vAlign w:val="center"/>
          </w:tcPr>
          <w:p w14:paraId="12B4521B"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2018</w:t>
            </w:r>
          </w:p>
        </w:tc>
        <w:tc>
          <w:tcPr>
            <w:tcW w:w="1559" w:type="dxa"/>
            <w:noWrap/>
            <w:vAlign w:val="center"/>
            <w:hideMark/>
          </w:tcPr>
          <w:p w14:paraId="2ABE9161"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Healthcare services</w:t>
            </w:r>
          </w:p>
        </w:tc>
        <w:tc>
          <w:tcPr>
            <w:tcW w:w="1541" w:type="dxa"/>
            <w:noWrap/>
            <w:vAlign w:val="center"/>
            <w:hideMark/>
          </w:tcPr>
          <w:p w14:paraId="6BDBF939"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Diagnosis</w:t>
            </w:r>
          </w:p>
        </w:tc>
        <w:tc>
          <w:tcPr>
            <w:tcW w:w="2481" w:type="dxa"/>
            <w:noWrap/>
            <w:vAlign w:val="center"/>
            <w:hideMark/>
          </w:tcPr>
          <w:p w14:paraId="70F4E861"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7E83C7FF"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Need for a standard visit</w:t>
            </w:r>
          </w:p>
        </w:tc>
      </w:tr>
      <w:tr w:rsidR="00A427B2" w:rsidRPr="00A427B2" w14:paraId="738D58D5" w14:textId="77777777" w:rsidTr="001B1FC9">
        <w:trPr>
          <w:trHeight w:val="510"/>
        </w:trPr>
        <w:tc>
          <w:tcPr>
            <w:tcW w:w="1701" w:type="dxa"/>
            <w:noWrap/>
            <w:vAlign w:val="center"/>
            <w:hideMark/>
          </w:tcPr>
          <w:p w14:paraId="2E9E2D52"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V Bhat</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{"citationItems":[{"id":"ITEM-1","itemData":{"DOI":"10.1016/j.mayocp.2018.06.020","ISSN":"19425546","PMID":"30522594","abstract":"Objective: To identify key predictors and survival outcomes of new-onset diabetes after transplant (NODAT) in liver transplant (LT) recipients by using the Scientific Registry of Transplant Recipients. Patients and Methods: Data of all adult LT recipients between October 1, 1987, and March 31, 2016, were analyzed using various machine learning methods. These data were divided into training (70%) and validation (30%) data sets to robustly determine predictors of NODAT. The long-term survival of patients with NODAT relative to transplant recipients with preexisting diabetes and those without diabetes was assessed. Results: Increasing age (odds ratio [OR], 1.01; 95% CI, 1.00-1.02; P≤.001), male sex (OR, 1.09; 95% CI, 1.05-1.13; P=.03), and obesity (OR, 1.13; 95% CI, 1.08-1.18; P&lt;.001) were significantly associated with NODAT. Sirolimus as a primary immunosuppressant carried a 33% higher risk of NODAT than did tacrolimus (OR, 1.33; 95% CI, 1.22-1.45; P&lt;.001) at 1 year after LT. Patients with NODAT had significantly decreased 10-year survival than did those without diabetes (63.0% vs 74.9%; P&lt;.001), similar to survival in patients with diabetes before LT (58.9%). Conclusion: Using a machine learning approach, we found that older, male, and obese recipients are at especially higher risk of NODAT. Donor features do not affect risk. In addition, sirolimus-based immunosuppression is associated with a significantly higher risk of NODAT than other immunosuppressants. Most importantly, NODAT adversely affects long-term survival after LT in a manner similar to preexisting diabetes, indicating the need for more aggressive care and closer follow-up.","author":[{"dropping-particle":"","family":"Bhat","given":"Venkat","non-dropping-particle":"","parse-names":false,"suffix":""},{"dropping-particle":"","family":"Tazari","given":"Mahmood","non-dropping-particle":"","parse-names":false,"suffix":""},{"dropping-particle":"","family":"Watt","given":"Kymberly D.","non-dropping-particle":"","parse-names":false,"suffix":""},{"dropping-particle":"","family":"Bhat","given":"Mamatha","non-dropping-particle":"","parse-names":false,"suffix":""}],"container-title":"Mayo Clinic Proceedings","id":"ITEM-1","issue":"12","issued":{"date-parts":[["2018"]]},"page":"1794-1802","publisher":"Mayo Foundation for Medical Education and Research","title":"New-Onset Diabetes and Preexisting Diabetes Are Associated With Comparable Reduction in Long-Term Survival After Liver Transplant: A Machine Learning Approach","type":"article-journal","volume":"93"},"uris":["http://www.mendeley.com/documents/?uuid=3b1da061-6ea4-4024-a45c-c570024fc0af"]}],"mendeley":{"formattedCitation":"&lt;sup&gt;13&lt;/sup&gt;","plainTextFormattedCitation":"13","previouslyFormattedCitation":"&lt;sup&gt;13&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13</w:t>
            </w:r>
            <w:r w:rsidRPr="00A427B2">
              <w:rPr>
                <w:rFonts w:ascii="Segoe UI" w:eastAsia="Times New Roman" w:hAnsi="Segoe UI" w:cs="Segoe UI"/>
                <w:color w:val="000000"/>
                <w:sz w:val="16"/>
                <w:szCs w:val="16"/>
              </w:rPr>
              <w:fldChar w:fldCharType="end"/>
            </w:r>
          </w:p>
        </w:tc>
        <w:tc>
          <w:tcPr>
            <w:tcW w:w="2122" w:type="dxa"/>
            <w:vAlign w:val="center"/>
          </w:tcPr>
          <w:p w14:paraId="053D6B06"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Mayo Clinic Proceeding</w:t>
            </w:r>
          </w:p>
        </w:tc>
        <w:tc>
          <w:tcPr>
            <w:tcW w:w="850" w:type="dxa"/>
            <w:vAlign w:val="center"/>
          </w:tcPr>
          <w:p w14:paraId="203F7C8E"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7.091</w:t>
            </w:r>
          </w:p>
        </w:tc>
        <w:tc>
          <w:tcPr>
            <w:tcW w:w="1276" w:type="dxa"/>
            <w:vAlign w:val="center"/>
          </w:tcPr>
          <w:p w14:paraId="3E9A0FFB"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2018</w:t>
            </w:r>
          </w:p>
        </w:tc>
        <w:tc>
          <w:tcPr>
            <w:tcW w:w="1559" w:type="dxa"/>
            <w:noWrap/>
            <w:vAlign w:val="center"/>
            <w:hideMark/>
          </w:tcPr>
          <w:p w14:paraId="3763D318"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Surgery</w:t>
            </w:r>
          </w:p>
        </w:tc>
        <w:tc>
          <w:tcPr>
            <w:tcW w:w="1541" w:type="dxa"/>
            <w:noWrap/>
            <w:vAlign w:val="center"/>
            <w:hideMark/>
          </w:tcPr>
          <w:p w14:paraId="0BA6216E"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7F5D270A"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33AF9FA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New-onset diabetes after transplant</w:t>
            </w:r>
          </w:p>
        </w:tc>
      </w:tr>
      <w:tr w:rsidR="00A427B2" w:rsidRPr="00A427B2" w14:paraId="40C5E2CB" w14:textId="77777777" w:rsidTr="001B1FC9">
        <w:trPr>
          <w:trHeight w:val="510"/>
        </w:trPr>
        <w:tc>
          <w:tcPr>
            <w:tcW w:w="1701" w:type="dxa"/>
            <w:noWrap/>
            <w:vAlign w:val="center"/>
            <w:hideMark/>
          </w:tcPr>
          <w:p w14:paraId="1095CAEF"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H Won Choi</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{"citationItems":[{"id":"ITEM-1","itemData":{"DOI":"10.2214/AJR.18.19545","ISSN":"15463141","PMID":"30160978","abstract":"OBJECTIVE. The objective of our study was to develop a decision tree model for the early prediction of the severity of acute pancreatitis (AP) using clinical and radiologic scoring systems. MATERIALS AND METHODS. For this retrospective study, 192 patients with AP who underwent CT 72 hours or less after symptom onset were divided into two cohorts: A training cohort (n = 115) and a validation cohort (n = 77). Univariate analysis was performed to identify significant parameters for the prediction of severe AP in the training cohort. For early prediction of disease severity, a classification tree analysis (CTA) model was constructed using significant scoring systems shown by univariate analysis. To assess the diagnostic performance of the model, we compared the area under the ROC curve (AUC) with each selected single parameter. We also evaluated the diagnostic performance in the validation cohort. RESULTS. The Acute Physiology and Chronic Health Evaluation (APACHE)-II score, bedside index for severity in acute pancreatitis (BISAP) score, extrapancreatic inflammation on CT (EPIC) score, and Balthazar grade were included in the CTA model. In the training cohort, our CTA model showed a trend of a higher AUC (0.853) than the AUC of each single parameter (APACHE-II score, 0.835; BISAP score, 0.842; EPIC score, 0.739; Balthazar grade, 0.700) (all, p &gt; 0.0125) while achieving specificity (100%) higher than and accuracy (94.8%) comparable to each single parameter (both, p &lt; 0.0125). In the validation cohort, the CTA model achieved diagnostic performance similar to the training cohort with an AUC of 0.833. CONCLUSION. Our CTA model consisted of clinical (i.e., APACHE-II and BISAP scores) and radiologic (i.e., Balthazar grade and EPIC score) scoring systems and may be useful for the early prediction of the severity of AP and identification of high-risk patients who require close surveillance.","author":[{"dropping-particle":"","family":"Choi","given":"Hye Won","non-dropping-particle":"","parse-names":false,"suffix":""},{"dropping-particle":"","family":"Park","given":"Hyun Jeong","non-dropping-particle":"","parse-names":false,"suffix":""},{"dropping-particle":"","family":"Choi","given":"Seo Youn","non-dropping-particle":"","parse-names":false,"suffix":""},{"dropping-particle":"","family":"Do","given":"Jae Hyuk","non-dropping-particle":"","parse-names":false,"suffix":""},{"dropping-particle":"","family":"Yoon","given":"Na Young","non-dropping-particle":"","parse-names":false,"suffix":""},{"dropping-particle":"","family":"Ko","given":"Ara","non-dropping-particle":"","parse-names":false,"suffix":""},{"dropping-particle":"","family":"Lee","given":"Eun Sun","non-dropping-particle":"","parse-names":false,"suffix":""}],"container-title":"American Journal of Roentgenology","id":"ITEM-1","issue":"5","issued":{"date-parts":[["2018"]]},"page":"1035-1043","title":"Early prediction of the severity of acute pancreatitis using radiologic and clinical scoring systems with classification tree analysis","type":"article-journal","volume":"211"},"uris":["http://www.mendeley.com/documents/?uuid=4c5687fd-05f7-48e3-bda4-275823f5aa1a"]}],"mendeley":{"formattedCitation":"&lt;sup&gt;14&lt;/sup&gt;","plainTextFormattedCitation":"14","previouslyFormattedCitation":"&lt;sup&gt;14&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14</w:t>
            </w:r>
            <w:r w:rsidRPr="00A427B2">
              <w:rPr>
                <w:rFonts w:ascii="Segoe UI" w:eastAsia="Times New Roman" w:hAnsi="Segoe UI" w:cs="Segoe UI"/>
                <w:color w:val="000000"/>
                <w:sz w:val="16"/>
                <w:szCs w:val="16"/>
              </w:rPr>
              <w:fldChar w:fldCharType="end"/>
            </w:r>
          </w:p>
        </w:tc>
        <w:tc>
          <w:tcPr>
            <w:tcW w:w="2122" w:type="dxa"/>
            <w:shd w:val="clear" w:color="auto" w:fill="auto"/>
            <w:vAlign w:val="center"/>
          </w:tcPr>
          <w:p w14:paraId="5D96E77F"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sz w:val="16"/>
                <w:szCs w:val="16"/>
              </w:rPr>
              <w:t>American Journal of Roentgenology</w:t>
            </w:r>
          </w:p>
        </w:tc>
        <w:tc>
          <w:tcPr>
            <w:tcW w:w="850" w:type="dxa"/>
            <w:vAlign w:val="center"/>
          </w:tcPr>
          <w:p w14:paraId="013BE794"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3.161</w:t>
            </w:r>
          </w:p>
        </w:tc>
        <w:tc>
          <w:tcPr>
            <w:tcW w:w="1276" w:type="dxa"/>
            <w:vAlign w:val="center"/>
          </w:tcPr>
          <w:p w14:paraId="722FD694"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2018</w:t>
            </w:r>
          </w:p>
        </w:tc>
        <w:tc>
          <w:tcPr>
            <w:tcW w:w="1559" w:type="dxa"/>
            <w:noWrap/>
            <w:vAlign w:val="center"/>
            <w:hideMark/>
          </w:tcPr>
          <w:p w14:paraId="3047E65A"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Medical imaging</w:t>
            </w:r>
          </w:p>
        </w:tc>
        <w:tc>
          <w:tcPr>
            <w:tcW w:w="1541" w:type="dxa"/>
            <w:noWrap/>
            <w:vAlign w:val="center"/>
            <w:hideMark/>
          </w:tcPr>
          <w:p w14:paraId="515CD001"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Diagnosis</w:t>
            </w:r>
          </w:p>
        </w:tc>
        <w:tc>
          <w:tcPr>
            <w:tcW w:w="2481" w:type="dxa"/>
            <w:noWrap/>
            <w:vAlign w:val="center"/>
            <w:hideMark/>
          </w:tcPr>
          <w:p w14:paraId="70A490E0"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7456CB6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 xml:space="preserve">Early prediction of the severity of acute pancreatitis </w:t>
            </w:r>
          </w:p>
        </w:tc>
      </w:tr>
      <w:tr w:rsidR="00A427B2" w:rsidRPr="00A427B2" w14:paraId="03C15147" w14:textId="77777777" w:rsidTr="001B1FC9">
        <w:trPr>
          <w:trHeight w:val="510"/>
        </w:trPr>
        <w:tc>
          <w:tcPr>
            <w:tcW w:w="1701" w:type="dxa"/>
            <w:noWrap/>
            <w:vAlign w:val="center"/>
            <w:hideMark/>
          </w:tcPr>
          <w:p w14:paraId="029A5E64"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A Ogunleye</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{"citationItems":[{"id":"ITEM-1","itemData":{"DOI":"10.1109/TCBB.2019.2911071","ISSN":"15579964","PMID":"30998478","abstract":"Chronic Kidney Disease (CKD) is a menace that is affecting 10 percent of the world population and 15 percent of the South African population. The early and cheap diagnosis of this disease with accuracy and reliability will save 20,000 lives in South Africa per year. Scientists are developing smart solutions with Artificial Intelligence (AI). In this paper, several typical and recent AI algorithms are studied in the context of CKD and the extreme gradient boosting (XGBoost) is chosen as our base model for its high performance. Then, the model is optimized and the optimal full model trained on all the features achieves a testing accuracy, sensitivity, and specificity of 1.000, 1.000, and 1.000, respectively. Note that, to cover the widest range of people, the time and monetary costs of CKD diagnosis have to be minimized with fewest patient tests. Thus, the reduced model using fewer features is desirable while it should still maintain high performance. To this end, the set-theory based rule is presented which combines a few feature selection methods with their collective strengths. The reduced model using about a half of the original full features performs better than the models based on individual feature selection methods and achieves accuracy, sensitivity and specificity, of 1.000, 1.000, and 1.000, respectively.","author":[{"dropping-particle":"","family":"Ogunleye","given":"Adeola","non-dropping-particle":"","parse-names":false,"suffix":""},{"dropping-particle":"","family":"Wang","given":"Qing Guo","non-dropping-particle":"","parse-names":false,"suffix":""}],"container-title":"IEEE/ACM Transactions on Computational Biology and Bioinformatics","id":"ITEM-1","issue":"6","issued":{"date-parts":[["2020"]]},"page":"2131-2140","title":"XGBoost Model for Chronic Kidney Disease Diagnosis","type":"article-journal","volume":"17"},"uris":["http://www.mendeley.com/documents/?uuid=2648a0be-1b8c-43b3-8452-6c53ba283e21"]}],"mendeley":{"formattedCitation":"&lt;sup&gt;15&lt;/sup&gt;","plainTextFormattedCitation":"15","previouslyFormattedCitation":"&lt;sup&gt;15&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15</w:t>
            </w:r>
            <w:r w:rsidRPr="00A427B2">
              <w:rPr>
                <w:rFonts w:ascii="Segoe UI" w:eastAsia="Times New Roman" w:hAnsi="Segoe UI" w:cs="Segoe UI"/>
                <w:color w:val="000000"/>
                <w:sz w:val="16"/>
                <w:szCs w:val="16"/>
              </w:rPr>
              <w:fldChar w:fldCharType="end"/>
            </w:r>
          </w:p>
        </w:tc>
        <w:tc>
          <w:tcPr>
            <w:tcW w:w="2122" w:type="dxa"/>
            <w:vAlign w:val="center"/>
          </w:tcPr>
          <w:p w14:paraId="7723D13B"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IEEE/ACM Transactions on Computational Biology and Bioinformatics(</w:t>
            </w:r>
            <w:r w:rsidRPr="00A427B2">
              <w:rPr>
                <w:rFonts w:ascii="Segoe UI" w:hAnsi="Segoe UI" w:cs="Segoe UI"/>
                <w:color w:val="000000"/>
                <w:sz w:val="16"/>
                <w:szCs w:val="16"/>
                <w:vertAlign w:val="superscript"/>
              </w:rPr>
              <w:t>c</w:t>
            </w:r>
            <w:r w:rsidRPr="00A427B2">
              <w:rPr>
                <w:rFonts w:ascii="Segoe UI" w:hAnsi="Segoe UI" w:cs="Segoe UI"/>
                <w:color w:val="000000"/>
                <w:sz w:val="16"/>
                <w:szCs w:val="16"/>
              </w:rPr>
              <w:t>)</w:t>
            </w:r>
          </w:p>
        </w:tc>
        <w:tc>
          <w:tcPr>
            <w:tcW w:w="850" w:type="dxa"/>
            <w:vAlign w:val="center"/>
          </w:tcPr>
          <w:p w14:paraId="341EB96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3.015</w:t>
            </w:r>
          </w:p>
        </w:tc>
        <w:tc>
          <w:tcPr>
            <w:tcW w:w="1276" w:type="dxa"/>
            <w:vAlign w:val="center"/>
          </w:tcPr>
          <w:p w14:paraId="19BB5D4B"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43F6B48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Nephrology</w:t>
            </w:r>
          </w:p>
        </w:tc>
        <w:tc>
          <w:tcPr>
            <w:tcW w:w="1541" w:type="dxa"/>
            <w:noWrap/>
            <w:vAlign w:val="center"/>
            <w:hideMark/>
          </w:tcPr>
          <w:p w14:paraId="6A7968C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Diagnosis</w:t>
            </w:r>
          </w:p>
        </w:tc>
        <w:tc>
          <w:tcPr>
            <w:tcW w:w="2481" w:type="dxa"/>
            <w:noWrap/>
            <w:vAlign w:val="center"/>
            <w:hideMark/>
          </w:tcPr>
          <w:p w14:paraId="4EB669A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4700C639"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Chronic kidney disease</w:t>
            </w:r>
          </w:p>
        </w:tc>
      </w:tr>
      <w:tr w:rsidR="00A427B2" w:rsidRPr="00A427B2" w14:paraId="7ED4753B" w14:textId="77777777" w:rsidTr="001B1FC9">
        <w:trPr>
          <w:trHeight w:val="510"/>
        </w:trPr>
        <w:tc>
          <w:tcPr>
            <w:tcW w:w="1701" w:type="dxa"/>
            <w:noWrap/>
            <w:vAlign w:val="center"/>
            <w:hideMark/>
          </w:tcPr>
          <w:p w14:paraId="2A57B8BB"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CC Wu</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{"citationItems":[{"id":"ITEM-1","itemData":{"DOI":"10.1016/j.cmpb.2018.12.032","ISSN":"18727565","PMID":"30712601","abstract":"Background and objective: Fatty liver disease (FLD) is a common clinical complication; it is associated with high morbidity and mortality. However, an early prediction of FLD patients provides an opportunity to make an appropriate strategy for prevention, early diagnosis and treatment. We aimed to develop a machine learning model to predict FLD that could assist physicians in classifying high-risk patients and make a novel diagnosis, prevent and manage FLD. Methods: We included all patients who had an initial fatty liver screening at the New Taipei City Hospital between 1st and 31st December 2009. Classification models such as random forest (RF), Naïve Bayes (NB), artificial neural networks (ANN), and logistic regression (LR) were developed to predict FLD. The area under the receiver operating characteristic curve (ROC) was used to evaluate performances among the four models. Results: A total of 577 patients were included in this study; of those 377 patients had fatty liver. The area under the receiver operating characteristic (AUROC) of RF, NB, ANN, and LR with 10 fold-cross validation was 0.925, 0.888, 0.895, and 0.854 respectively. Additionally, The accuracy of RF, NB, ANN, and LR 87.48, 82.65, 81.85, and 76.96%. Conclusion: In this study, we developed and compared the four classification models to predict fatty liver disease accurately. However, the random forest model showed higher performance than other classification models. Implementation of a random forest model in the clinical setting could help physicians to stratify fatty liver patients for primary prevention, surveillance, early treatment, and management.","author":[{"dropping-particle":"","family":"Wu","given":"Chieh Chen","non-dropping-particle":"","parse-names":false,"suffix":""},{"dropping-particle":"","family":"Yeh","given":"Wen Chun","non-dropping-particle":"","parse-names":false,"suffix":""},{"dropping-particle":"","family":"Hsu","given":"Wen Ding","non-dropping-particle":"","parse-names":false,"suffix":""},{"dropping-particle":"","family":"Islam","given":"Md Mohaimenul","non-dropping-particle":"","parse-names":false,"suffix":""},{"dropping-particle":"","family":"Nguyen","given":"Phung Anh</w:instrText>
            </w:r>
            <w:r w:rsidRPr="00A427B2">
              <w:rPr>
                <w:rFonts w:ascii="Arial" w:eastAsia="Times New Roman" w:hAnsi="Arial" w:cs="Arial"/>
                <w:color w:val="000000"/>
                <w:sz w:val="16"/>
                <w:szCs w:val="16"/>
              </w:rPr>
              <w:instrText> </w:instrText>
            </w:r>
            <w:r w:rsidRPr="00A427B2">
              <w:rPr>
                <w:rFonts w:ascii="Segoe UI" w:eastAsia="Times New Roman" w:hAnsi="Segoe UI" w:cs="Segoe UI"/>
                <w:color w:val="000000"/>
                <w:sz w:val="16"/>
                <w:szCs w:val="16"/>
              </w:rPr>
              <w:instrText>(Alex)","non-dropping-particle":"","parse-names":false,"suffix":""},{"dropping-particle":"","family":"Poly","given":"Tahmina Nasrin","non-dropping-particle":"","parse-names":false,"suffix":""},{"dropping-particle":"","family":"Wang","given":"Yao Chin","non-dropping-particle":"","parse-names":false,"suffix":""},{"dropping-particle":"","family":"Yang","given":"Hsuan Chia","non-dropping-particle":"","parse-names":false,"suffix":""},{"dropping-particle":"","family":"(Jack) Li","given":"Yu Chuan","non-dropping-particle":"","parse-names":false,"suffix":""}],"container-title":"Computer Methods and Programs in Biomedicine","id":"ITEM-1","issued":{"date-parts":[["2019"]]},"page":"23-29","publisher":"Elsevier B.V.","title":"Prediction of fatty liver disease using machine learning algorithms","type":"article-journal","volume":"170"},"uris":["http://www.mendeley.com/documents/?uuid=21244cfd-6f9c-4505-bddb-1a00cff5ee1c"]}],"mendeley":{"formattedCitation":"&lt;sup&gt;16&lt;/sup&gt;","plainTextFormattedCitation":"16","previouslyFormattedCitation":"&lt;sup&gt;16&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16</w:t>
            </w:r>
            <w:r w:rsidRPr="00A427B2">
              <w:rPr>
                <w:rFonts w:ascii="Segoe UI" w:eastAsia="Times New Roman" w:hAnsi="Segoe UI" w:cs="Segoe UI"/>
                <w:color w:val="000000"/>
                <w:sz w:val="16"/>
                <w:szCs w:val="16"/>
              </w:rPr>
              <w:fldChar w:fldCharType="end"/>
            </w:r>
          </w:p>
        </w:tc>
        <w:tc>
          <w:tcPr>
            <w:tcW w:w="2122" w:type="dxa"/>
            <w:vAlign w:val="center"/>
          </w:tcPr>
          <w:p w14:paraId="0256B0A9"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Computer Methods and Programs in Biomedicine</w:t>
            </w:r>
          </w:p>
        </w:tc>
        <w:tc>
          <w:tcPr>
            <w:tcW w:w="850" w:type="dxa"/>
            <w:vAlign w:val="center"/>
          </w:tcPr>
          <w:p w14:paraId="52C3E4E3"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3.424</w:t>
            </w:r>
          </w:p>
        </w:tc>
        <w:tc>
          <w:tcPr>
            <w:tcW w:w="1276" w:type="dxa"/>
            <w:vAlign w:val="center"/>
          </w:tcPr>
          <w:p w14:paraId="4030B9B9"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2018</w:t>
            </w:r>
          </w:p>
        </w:tc>
        <w:tc>
          <w:tcPr>
            <w:tcW w:w="1559" w:type="dxa"/>
            <w:noWrap/>
            <w:vAlign w:val="center"/>
            <w:hideMark/>
          </w:tcPr>
          <w:p w14:paraId="2851D63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Hepatology</w:t>
            </w:r>
          </w:p>
        </w:tc>
        <w:tc>
          <w:tcPr>
            <w:tcW w:w="1541" w:type="dxa"/>
            <w:noWrap/>
            <w:vAlign w:val="center"/>
            <w:hideMark/>
          </w:tcPr>
          <w:p w14:paraId="66938D9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Diagnosis</w:t>
            </w:r>
          </w:p>
        </w:tc>
        <w:tc>
          <w:tcPr>
            <w:tcW w:w="2481" w:type="dxa"/>
            <w:noWrap/>
            <w:vAlign w:val="center"/>
            <w:hideMark/>
          </w:tcPr>
          <w:p w14:paraId="45ABA7A2"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654ABA28"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 xml:space="preserve">Early fatty liver disease </w:t>
            </w:r>
          </w:p>
        </w:tc>
      </w:tr>
      <w:tr w:rsidR="00A427B2" w:rsidRPr="00A427B2" w14:paraId="66AEB0BB" w14:textId="77777777" w:rsidTr="001B1FC9">
        <w:trPr>
          <w:trHeight w:val="510"/>
        </w:trPr>
        <w:tc>
          <w:tcPr>
            <w:tcW w:w="1701" w:type="dxa"/>
            <w:noWrap/>
            <w:vAlign w:val="center"/>
            <w:hideMark/>
          </w:tcPr>
          <w:p w14:paraId="37A25D6F"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lastRenderedPageBreak/>
              <w:t>D Shigemi</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{"citationItems":[{"id":"ITEM-1","itemData":{"DOI":"10.1080/14767058.2018.1484090","ISSN":"14764954","PMID":"29852791","abstract":"Objective: We aimed to develop new predictive models for excluding macrosomia using only maternal physical parameters, without sonographic examination. Methods: The present study retrospectively analyzed the medical records of pregnant women who delivered singleton infants at term at one obstetric hospital in an urban area in Japan from May 2005 to April 2017. We performed logistic regression analysis to predict macrosomia and created an integer risk scoring system based on the significant predictors. We also developed an alternative predictive regression model using machine learning with the random forest algorithm. Results: There were 203 cases of macrosomia among 15,263 eligible women. Although our scoring system had low specificity and positive predictive value, the negative predictive value for screening macrosomia was very high (0.996–1.000). The other model, using machine learning with the random forest algorithm to predict macrosomia, showed a negative predictive value of 0.99, which was similar to the results of our scoring system. Conclusions: Our integer scoring system is an easy and useful method for excluding macrosomia among pregnant women without sonographic examination.","author":[{"dropping-particle":"","family":"Shigemi","given":"Daisuke","non-dropping-particle":"","parse-names":false,"suffix":""},{"dropping-particle":"","family":"Yamaguchi","given":"Satoru","non-dropping-particle":"","parse-names":false,"suffix":""},{"dropping-particle":"","family":"Aso","given":"Shotaro","non-dropping-particle":"","parse-names":false,"suffix":""},{"dropping-particle":"","family":"Yasunaga","given":"Hideo","non-dropping-particle":"","parse-names":false,"suffix":""}],"container-title":"Journal of Maternal-Fetal and Neonatal Medicine","id":"ITEM-1","issue":"22","issued":{"date-parts":[["2019"]]},"page":"3859-3863","publisher":"Taylor &amp; Francis","title":"Predictive model for macrosomia using maternal parameters without sonography information","type":"article-journal","volume":"32"},"uris":["http://www.mendeley.com/documents/?uuid=cb2ffbc8-c16e-464f-ba3d-a07b44931eb9"]}],"mendeley":{"formattedCitation":"&lt;sup&gt;17&lt;/sup&gt;","plainTextFormattedCitation":"17","previouslyFormattedCitation":"&lt;sup&gt;17&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17</w:t>
            </w:r>
            <w:r w:rsidRPr="00A427B2">
              <w:rPr>
                <w:rFonts w:ascii="Segoe UI" w:eastAsia="Times New Roman" w:hAnsi="Segoe UI" w:cs="Segoe UI"/>
                <w:color w:val="000000"/>
                <w:sz w:val="16"/>
                <w:szCs w:val="16"/>
              </w:rPr>
              <w:fldChar w:fldCharType="end"/>
            </w:r>
          </w:p>
        </w:tc>
        <w:tc>
          <w:tcPr>
            <w:tcW w:w="2122" w:type="dxa"/>
            <w:vAlign w:val="center"/>
          </w:tcPr>
          <w:p w14:paraId="6AE72EAF"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The Journal of Maternal-Fetal &amp; Neonatal Medicine</w:t>
            </w:r>
          </w:p>
        </w:tc>
        <w:tc>
          <w:tcPr>
            <w:tcW w:w="850" w:type="dxa"/>
            <w:vAlign w:val="center"/>
          </w:tcPr>
          <w:p w14:paraId="41F6D4BA"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1.737</w:t>
            </w:r>
          </w:p>
        </w:tc>
        <w:tc>
          <w:tcPr>
            <w:tcW w:w="1276" w:type="dxa"/>
            <w:vAlign w:val="center"/>
          </w:tcPr>
          <w:p w14:paraId="354BC5C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36F0285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Obstetrics &amp; Gynecology</w:t>
            </w:r>
          </w:p>
        </w:tc>
        <w:tc>
          <w:tcPr>
            <w:tcW w:w="1541" w:type="dxa"/>
            <w:noWrap/>
            <w:vAlign w:val="center"/>
            <w:hideMark/>
          </w:tcPr>
          <w:p w14:paraId="36481D12"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Diagnosis</w:t>
            </w:r>
          </w:p>
        </w:tc>
        <w:tc>
          <w:tcPr>
            <w:tcW w:w="2481" w:type="dxa"/>
            <w:noWrap/>
            <w:vAlign w:val="center"/>
            <w:hideMark/>
          </w:tcPr>
          <w:p w14:paraId="07900D5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3C5D69C0"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Macrosomia</w:t>
            </w:r>
          </w:p>
        </w:tc>
      </w:tr>
      <w:tr w:rsidR="00A427B2" w:rsidRPr="00A427B2" w14:paraId="496333CF" w14:textId="77777777" w:rsidTr="001B1FC9">
        <w:trPr>
          <w:cantSplit/>
          <w:trHeight w:val="510"/>
        </w:trPr>
        <w:tc>
          <w:tcPr>
            <w:tcW w:w="1701" w:type="dxa"/>
            <w:noWrap/>
            <w:vAlign w:val="center"/>
            <w:hideMark/>
          </w:tcPr>
          <w:p w14:paraId="56BEE8C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KG Friedman</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{"citationItems":[{"id":"ITEM-1","itemData":{"DOI":"10.1002/uog.17530","ISSN":"14690705","PMID":"28543953","abstract":"Objectives: Fetal aortic valvuloplasty (FAV) may prevent progression of mid-gestation aortic stenosis to hypoplastic left heart syndrome (HLHS). The aim of this study was to evaluate whether technical success and biventricular (Biv) outcome after FAV have changed from an earlier (2000–2008) to a more recent (2009–2015) era and identify pre-FAV predictors of Biv outcome. Methods: We evaluated procedural and postnatal outcomes in 123 fetuses that underwent FAV for evolving HLHS at Boston Children's Hospital between 2000 and 2015. The primary outcome measure was circulation type (Biv vs single ventricle) at the time of neonatal hospital discharge. Classification and regression tree (CART) analysis was performed to construct a stratification algorithm to predict Biv circulation based on pre-FAV fetal variables. Results: The FAV procedure was technically successful in 101/123 (82%) fetuses, with a higher technical success rate in the more recent era than in the earlier one (49/52 (94%) vs 52/71 (73%); P = 0.003). In liveborn patients, the incidence of Biv outcome was higher in the recent than in the earlier era, both in the entire liveborn cohort (29/49 (59%) vs 16/62 (26%); P = 0.001) and in those in whom the procedure was technically successful (27/46 (59%) vs 15/47 (32%); P = 0.007). Independent predictors of Biv outcome were higher left ventricular (LV) pressure, larger ascending aorta, better LV diastolic function and higher LV long-axis Z-score. On CART analysis, fetuses with LV pressure &gt; 47 mmHg and ascending aorta Z-score ≥ 0.57 had a 92% probability of Biv outcome (n = 24). Those with a lower LV pressure, or mitral dimension Z-score &lt; 0.1 and mitral valve inflow time Z-score &lt; –2 (n = 34) were unlikely to have Biv (probability of 9%). The remainder of the patients had an intermediate (</w:instrText>
            </w:r>
            <w:r w:rsidRPr="00A427B2">
              <w:rPr>
                <w:rFonts w:ascii="Cambria Math" w:eastAsia="Times New Roman" w:hAnsi="Cambria Math" w:cs="Cambria Math"/>
                <w:color w:val="000000"/>
                <w:sz w:val="16"/>
                <w:szCs w:val="16"/>
              </w:rPr>
              <w:instrText>∼</w:instrText>
            </w:r>
            <w:r w:rsidRPr="00A427B2">
              <w:rPr>
                <w:rFonts w:ascii="Segoe UI" w:eastAsia="Times New Roman" w:hAnsi="Segoe UI" w:cs="Segoe UI"/>
                <w:color w:val="000000"/>
                <w:sz w:val="16"/>
                <w:szCs w:val="16"/>
              </w:rPr>
              <w:instrText>40–60%) likelihood of Biv circulation. Conclusions: The proportion of patients achieving Biv outcome after FAV has increased, probably owing to an improved technical success rate and modified selection criteria. Fetal factors, including LV pressure, size of the ascending aorta and diastolic function, are associated with likelihood of Biv circulation after FAV. Copyright © 2017 ISUOG. Published by John Wiley &amp; Sons Ltd.","author":[{"dropping-particle":"","family":"Friedman","given":"K. G.","non-dropping-particle":"","parse-names":false,"suffix":""},{"dropping-particle":"","family":"Sleeper","given":"L. A.","non-dropping-particle":"","parse-names":false,"suffix":""},{"dropping-particle":"","family":"Freud","given":"L. R.","non-dropping-particle":"","parse-names":false,"suffix":""},{"dropping-particle":"","family":"Marshall","given":"A. C.","non-dropping-particle":"","parse-names":false,"suffix":""},{"dropping-particle":"","family":"Godfrey","given":"M. E.","non-dropping-particle":"","parse-names":false,"suffix":""},{"dropping-particle":"","family":"Drogosz","given":"M.","non-dropping-particle":"","parse-names":false,"suffix":""},{"dropping-particle":"","family":"Lafranchi","given":"T.","non-dropping-particle":"","parse-names":false,"suffix":""},{"dropping-particle":"","family":"Benson","given":"C. B.","non-dropping-particle":"","parse-names":false,"suffix":""},{"dropping-particle":"","family":"Wilkins-Haug","given":"L. E.","non-dropping-particle":"","parse-names":false,"suffix":""},{"dropping-particle":"","family":"Tworetzky","given":"W.","non-dropping-particle":"","parse-names":false,"suffix":""}],"container-title":"Ultrasound in Obstetrics and Gynecology","id":"ITEM-1","issue":"2","issued":{"date-parts":[["2018"]]},"page":"212-220","title":"Improved technical success, postnatal outcome and refined predictors of outcome for fetal aortic valvuloplasty","type":"article-journal","volume":"52"},"uris":["http://www.mendeley.com/documents/?uuid=e6f157a7-5c77-4fcf-a463-a04b55b7a517"]}],"mendeley":{"formattedCitation":"&lt;sup&gt;18&lt;/sup&gt;","plainTextFormattedCitation":"18","previouslyFormattedCitation":"&lt;sup&gt;18&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18</w:t>
            </w:r>
            <w:r w:rsidRPr="00A427B2">
              <w:rPr>
                <w:rFonts w:ascii="Segoe UI" w:eastAsia="Times New Roman" w:hAnsi="Segoe UI" w:cs="Segoe UI"/>
                <w:color w:val="000000"/>
                <w:sz w:val="16"/>
                <w:szCs w:val="16"/>
              </w:rPr>
              <w:fldChar w:fldCharType="end"/>
            </w:r>
          </w:p>
        </w:tc>
        <w:tc>
          <w:tcPr>
            <w:tcW w:w="2122" w:type="dxa"/>
            <w:vAlign w:val="center"/>
          </w:tcPr>
          <w:p w14:paraId="74F5C567"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Ultrasound in Obstetrics &amp; Gynecology</w:t>
            </w:r>
          </w:p>
        </w:tc>
        <w:tc>
          <w:tcPr>
            <w:tcW w:w="850" w:type="dxa"/>
            <w:vAlign w:val="center"/>
          </w:tcPr>
          <w:p w14:paraId="13A304D2"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5.595</w:t>
            </w:r>
          </w:p>
        </w:tc>
        <w:tc>
          <w:tcPr>
            <w:tcW w:w="1276" w:type="dxa"/>
            <w:vAlign w:val="center"/>
          </w:tcPr>
          <w:p w14:paraId="6FFC9E43"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2018</w:t>
            </w:r>
          </w:p>
        </w:tc>
        <w:tc>
          <w:tcPr>
            <w:tcW w:w="1559" w:type="dxa"/>
            <w:noWrap/>
            <w:vAlign w:val="center"/>
            <w:hideMark/>
          </w:tcPr>
          <w:p w14:paraId="4950767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Neonatology</w:t>
            </w:r>
          </w:p>
        </w:tc>
        <w:tc>
          <w:tcPr>
            <w:tcW w:w="1541" w:type="dxa"/>
            <w:noWrap/>
            <w:vAlign w:val="center"/>
            <w:hideMark/>
          </w:tcPr>
          <w:p w14:paraId="2EDD6C1A"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7F88F61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44569A1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Circulation type</w:t>
            </w:r>
          </w:p>
        </w:tc>
      </w:tr>
      <w:tr w:rsidR="00A427B2" w:rsidRPr="00A427B2" w14:paraId="727FB1EA" w14:textId="77777777" w:rsidTr="001B1FC9">
        <w:trPr>
          <w:trHeight w:val="510"/>
        </w:trPr>
        <w:tc>
          <w:tcPr>
            <w:tcW w:w="1701" w:type="dxa"/>
            <w:noWrap/>
            <w:vAlign w:val="center"/>
            <w:hideMark/>
          </w:tcPr>
          <w:p w14:paraId="7DC76DE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H Duan</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{"citationItems":[{"id":"ITEM-1","itemData":{"DOI":"10.1186/s12911-018-0730-7","ISSN":"14726947","PMID":"30626381","abstract":"Background: Main adverse cardiac events (MACE) are essentially composite endpoints for assessing safety and efficacy of treatment processes of acute coronary syndrome (ACS) patients. Timely prediction of MACE is highly valuable for improving the effects of ACS treatments. Most existing tools are specific to predict MACE by mainly using static patient features and neglecting dynamic treatment information during learning. Methods: We address this challenge by developing a deep learning-based approach to utilize a large volume of heterogeneous electronic health record (EHR) for predicting MACE after ACS. Specifically, we obtain the deep representation of dynamic treatment features from EHR data, using the bidirectional recurrent neural network. And then, the extracted latent representation of treatment features can be utilized to predict whether a patient occurs MACE in his or her hospitalization. Results: We validate the effectiveness of our approach on a clinical dataset containing 2930 ACS patient samples with 232 static feature types and 2194 dynamic feature types. The performance of our best model for predicting MACE after ACS remains robust and reaches 0.713 and 0.764 in terms of AUC and Accuracy, respectively, and has over 11.9% (1.2%) and 1.9% (7.5%) performance gain of AUC (Accuracy) in comparison with both logistic regression and a boosted resampling model presented in our previous work, respectively. The results are statistically significant. Conclusions: We hypothesize that our proposed model adapted to leverage dynamic treatment information in EHR data appears to boost the performance of MACE prediction for ACS, and can readily meet the demand clinical prediction of other diseases, from a large volume of EHR in an open-ended fashion.","author":[{"dropping-particle":"","family":"Duan","given":"Huilong","non-dropping-particle":"","parse-names":false,"suffix":""},{"dropping-particle":"","family":"Sun","given":"Zhoujian","non-dropping-particle":"","parse-names":false,"suffix":""},{"dropping-particle":"","family":"Dong","given":"Wei","non-dropping-particle":"","parse-names":false,"suffix":""},{"dropping-particle":"","family":"Huang","given":"Zhengxing","non-dropping-particle":"","parse-names":false,"suffix":""}],"container-title":"BMC Medical Informatics and Decision Making","id":"ITEM-1","issue":"1","issued":{"date-parts":[["2019"]]},"page":"1-11","publisher":"BMC Medical Informatics and Decision Making","title":"Utilizing dynamic treatment information for MACE prediction of acute coronary syndrome","type":"article-journal","volume":"19"},"uris":["http://www.mendeley.com/documents/?uuid=f1c20525-553f-4f79-bfee-c6e362f2244c"]}],"mendeley":{"formattedCitation":"&lt;sup&gt;19&lt;/sup&gt;","plainTextFormattedCitation":"19","previouslyFormattedCitation":"&lt;sup&gt;19&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19</w:t>
            </w:r>
            <w:r w:rsidRPr="00A427B2">
              <w:rPr>
                <w:rFonts w:ascii="Segoe UI" w:eastAsia="Times New Roman" w:hAnsi="Segoe UI" w:cs="Segoe UI"/>
                <w:color w:val="000000"/>
                <w:sz w:val="16"/>
                <w:szCs w:val="16"/>
              </w:rPr>
              <w:fldChar w:fldCharType="end"/>
            </w:r>
          </w:p>
        </w:tc>
        <w:tc>
          <w:tcPr>
            <w:tcW w:w="2122" w:type="dxa"/>
            <w:vAlign w:val="center"/>
          </w:tcPr>
          <w:p w14:paraId="66D031B9"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BMC Medical Informatics and Decision Making</w:t>
            </w:r>
          </w:p>
        </w:tc>
        <w:tc>
          <w:tcPr>
            <w:tcW w:w="850" w:type="dxa"/>
            <w:vAlign w:val="center"/>
          </w:tcPr>
          <w:p w14:paraId="5C107B52"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2.317</w:t>
            </w:r>
          </w:p>
        </w:tc>
        <w:tc>
          <w:tcPr>
            <w:tcW w:w="1276" w:type="dxa"/>
            <w:vAlign w:val="center"/>
          </w:tcPr>
          <w:p w14:paraId="7F57CEF4"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66AB627F"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Cardiovascular medicine</w:t>
            </w:r>
          </w:p>
        </w:tc>
        <w:tc>
          <w:tcPr>
            <w:tcW w:w="1541" w:type="dxa"/>
            <w:noWrap/>
            <w:vAlign w:val="center"/>
            <w:hideMark/>
          </w:tcPr>
          <w:p w14:paraId="57EE85B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748CA6A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52E33BF3"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Major adverse cardiac event</w:t>
            </w:r>
          </w:p>
        </w:tc>
      </w:tr>
      <w:tr w:rsidR="00A427B2" w:rsidRPr="00A427B2" w14:paraId="7B7484BA" w14:textId="77777777" w:rsidTr="001B1FC9">
        <w:trPr>
          <w:trHeight w:val="510"/>
        </w:trPr>
        <w:tc>
          <w:tcPr>
            <w:tcW w:w="1701" w:type="dxa"/>
            <w:noWrap/>
            <w:vAlign w:val="center"/>
            <w:hideMark/>
          </w:tcPr>
          <w:p w14:paraId="27D959A4"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M Ansart</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{"citationItems":[{"id":"ITEM-1","itemData":{"DOI":"10.1177/0962280218823036","ISSN":"14770334","PMID":"30698081","abstract":"We propose a method for recruiting asymptomatic Amyloid positive individuals in clinical trials, using a two-step process. We first select during a pre-screening phase a subset of individuals which are more likely to be amyloid positive based on the automatic analysis of data acquired during routine clinical practice, before doing a confirmatory PET-scan to these selected individuals only. This method leads to an increased number of recruitments and to a reduced number of PET-scans, resulting in a decrease in overall recruitment costs. We validate our method on three different cohorts, and consider five different classification algorithms for the pre-screening phase. We show that the best results are obtained using solely cognitive, genetic and socio-demographic features, as the slight increased performance when using MRI or longitudinal data is balanced by the cost increase they induce. We show that the proposed method generalizes well when tested on an independent cohort, and that the characteristics of the selected set of individuals are identical to the characteristics of a population selected in a standard way. The proposed approach shows how Machine Learning can be used effectively in practice to optimize recruitment costs in clinical trials.","author":[{"dropping-particle":"","family":"Ansart","given":"Manon","non-dropping-particle":"","parse-names":false,"suffix":""},{"dropping-particle":"","family":"Epelbaum","given":"Stéphane","non-dropping-particle":"","parse-names":false,"suffix":""},{"dropping-particle":"","family":"Gagliardi","given":"Geoffroy","non-dropping-particle":"","parse-names":false,"suffix":""},{"dropping-particle":"","family":"Colliot","given":"Olivier","non-dropping-particle":"","parse-names":false,"suffix":""},{"dropping-particle":"","family":"Dormont","given":"Didier","non-dropping-particle":"","parse-names":false,"suffix":""},{"dropping-particle":"","family":"Dubois","given":"Bruno","non-dropping-particle":"","parse-names":false,"suffix":""},{"dropping-particle":"","family":"Hampel","given":"Harald","non-dropping-particle":"","parse-names":false,"suffix":""},{"dropping-particle":"","family":"Durrleman","given":"Stanley","non-dropping-particle":"","parse-names":false,"suffix":""}],"container-title":"Statistical Methods in Medical Research","id":"ITEM-1","issue":"1","issued":{"date-parts":[["2020"]]},"page":"151-164","title":"Reduction of recruitment costs in preclinical AD trials: validation of automatic pre-screening algorithm for brain amyloidosis","type":"article-journal","volume":"29"},"uris":["http://www.mendeley.com/documents/?uuid=730bfff4-6701-4086-a0e5-c8d4b69ddbaa"]}],"mendeley":{"formattedCitation":"&lt;sup&gt;20&lt;/sup&gt;","plainTextFormattedCitation":"20","previouslyFormattedCitation":"&lt;sup&gt;20&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20</w:t>
            </w:r>
            <w:r w:rsidRPr="00A427B2">
              <w:rPr>
                <w:rFonts w:ascii="Segoe UI" w:eastAsia="Times New Roman" w:hAnsi="Segoe UI" w:cs="Segoe UI"/>
                <w:color w:val="000000"/>
                <w:sz w:val="16"/>
                <w:szCs w:val="16"/>
              </w:rPr>
              <w:fldChar w:fldCharType="end"/>
            </w:r>
          </w:p>
        </w:tc>
        <w:tc>
          <w:tcPr>
            <w:tcW w:w="2122" w:type="dxa"/>
            <w:vAlign w:val="center"/>
          </w:tcPr>
          <w:p w14:paraId="5850B754"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Statistical Methods in Medical Research</w:t>
            </w:r>
          </w:p>
        </w:tc>
        <w:tc>
          <w:tcPr>
            <w:tcW w:w="850" w:type="dxa"/>
            <w:vAlign w:val="center"/>
          </w:tcPr>
          <w:p w14:paraId="2B95E7AF"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2.291</w:t>
            </w:r>
          </w:p>
        </w:tc>
        <w:tc>
          <w:tcPr>
            <w:tcW w:w="1276" w:type="dxa"/>
            <w:vAlign w:val="center"/>
          </w:tcPr>
          <w:p w14:paraId="30E5FA12"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01B741AF"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Neurology</w:t>
            </w:r>
          </w:p>
        </w:tc>
        <w:tc>
          <w:tcPr>
            <w:tcW w:w="1541" w:type="dxa"/>
            <w:noWrap/>
            <w:vAlign w:val="center"/>
            <w:hideMark/>
          </w:tcPr>
          <w:p w14:paraId="6E5F9270"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Diagnosis</w:t>
            </w:r>
          </w:p>
        </w:tc>
        <w:tc>
          <w:tcPr>
            <w:tcW w:w="2481" w:type="dxa"/>
            <w:noWrap/>
            <w:vAlign w:val="center"/>
            <w:hideMark/>
          </w:tcPr>
          <w:p w14:paraId="6381D7E9"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with external validation (same model)</w:t>
            </w:r>
          </w:p>
        </w:tc>
        <w:tc>
          <w:tcPr>
            <w:tcW w:w="2860" w:type="dxa"/>
            <w:noWrap/>
            <w:vAlign w:val="center"/>
            <w:hideMark/>
          </w:tcPr>
          <w:p w14:paraId="0744F4EB"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Brain amyloidosis</w:t>
            </w:r>
          </w:p>
        </w:tc>
      </w:tr>
      <w:tr w:rsidR="00A427B2" w:rsidRPr="00A427B2" w14:paraId="3B80228F" w14:textId="77777777" w:rsidTr="001B1FC9">
        <w:trPr>
          <w:trHeight w:val="510"/>
        </w:trPr>
        <w:tc>
          <w:tcPr>
            <w:tcW w:w="1701" w:type="dxa"/>
            <w:noWrap/>
            <w:vAlign w:val="center"/>
            <w:hideMark/>
          </w:tcPr>
          <w:p w14:paraId="4014DDF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J Kwon</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{"citationItems":[{"id":"ITEM-1","itemData":{"DOI":"10.1016/j.resuscitation.2019.04.007","ISSN":"18731570","abstract":"Aim: Out-of-hospital cardiac arrest (OHCA) is a major healthcare burden, and prognosis is critical in decision-making for treatment and the withdrawal of life-sustaining therapy. This study aimed to develop and validate a deep-learning-based out-of-hospital cardiac arrest prognostic system (DCAPS) for predicting neurologic recovery and survival to discharge. Methods: The study subjects were patients from the Korea OHCA registry who experienced return of spontaneous circulation (ROSC) after OHCA. A total of 36,190 patients were exclusively divided into a set of 28,045 subjects for derivation data and 8,145 subjects for validation data. We used information available for the time of ROSC as predictor variables, and the endpoints were neurologic recovery (cerebral performance category 1 or 2) and survival to discharge. The DCAPS was developed using the derivation data and represented the favorability of prognosis with a score between 0 and 100. Results: The area under the receiver operating characteristic curve (AUROC) of DCAPS for predicting neurologic recovery for the validation data was 0.953 [95% confidence interval 0.952–0.954]; these results significantly outperformed those of logistic regression (0.947 [0.943–0.948]), random forest (0.943 [0.942–0.945]), support vector machine (0.930 [0.929–0.932]), and conventional methods of a previous study (0.817 [0.815–0.820]). The AUROC of the DCAPS for survival to discharge was 0.901 [0.900–0.903], and this result significantly outperformed those of other models as well. Conclusions: The DCAPS predicted neurologic recovery and survival to discharge of OHCA patients accurately and outperformed the conventional method and other machine-learning methods.","author":[{"dropping-particle":"","family":"Kwon","given":"Joon myoung","non-dropping-particle":"","parse-names":false,"suffix":""},{"dropping-particle":"","family":"Jeon","given":"Ki Hyun","non-dropping-particle":"","parse-names":false,"suffix":""},{"dropping-particle":"","family":"Kim","given":"Hyue Mee","non-dropping-particle":"","parse-names":false,"suffix":""},{"dropping-particle":"","family":"Kim","given":"Min Jeong","non-dropping-particle":"","parse-names":false,"suffix":""},{"dropping-particle":"","family":"Lim","given":"Sungmin","non-dropping-particle":"","parse-names":false,"suffix":""},{"dropping-particle":"","family":"Kim","given":"Kyung Hee","non-dropping-particle":"","parse-names":false,"suffix":""},{"dropping-particle":"","family":"Song","given":"Pil Sang","non-dropping-particle":"","parse-names":false,"suffix":""},{"dropping-particle":"","family":"Park","given":"Jinsik","non-dropping-particle":"","parse-names":false,"suffix":""},{"dropping-particle":"","family":"Choi","given":"Rak Kyeong","non-dropping-particle":"","parse-names":false,"suffix":""},{"dropping-particle":"","family":"Oh","given":"Byung Hee","non-dropping-particle":"","parse-names":false,"suffix":""}],"container-title":"Resuscitation","id":"ITEM-1","issue":"April 2019","issued":{"date-parts":[["2019"]]},"page":"84-91","publisher":"European Resuscitation Council, American Heart Association, Inc., and International Liaison Committee on Resuscitation.~Published by Elsevier Ireland Ltd","title":"Deep-learning-based out-of-hospital cardiac arrest prognostic system to predict clinical outcomes","type":"article-journal","volume":"139"},"uris":["http://www.mendeley.com/documents/?uuid=f65e9b84-0efd-4513-a4a5-80ca3fce57fb"]}],"mendeley":{"formattedCitation":"&lt;sup&gt;21&lt;/sup&gt;","plainTextFormattedCitation":"21","previouslyFormattedCitation":"&lt;sup&gt;21&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21</w:t>
            </w:r>
            <w:r w:rsidRPr="00A427B2">
              <w:rPr>
                <w:rFonts w:ascii="Segoe UI" w:eastAsia="Times New Roman" w:hAnsi="Segoe UI" w:cs="Segoe UI"/>
                <w:color w:val="000000"/>
                <w:sz w:val="16"/>
                <w:szCs w:val="16"/>
              </w:rPr>
              <w:fldChar w:fldCharType="end"/>
            </w:r>
          </w:p>
        </w:tc>
        <w:tc>
          <w:tcPr>
            <w:tcW w:w="2122" w:type="dxa"/>
            <w:vAlign w:val="center"/>
          </w:tcPr>
          <w:p w14:paraId="7B941316"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Resuscitation</w:t>
            </w:r>
          </w:p>
        </w:tc>
        <w:tc>
          <w:tcPr>
            <w:tcW w:w="850" w:type="dxa"/>
            <w:vAlign w:val="center"/>
          </w:tcPr>
          <w:p w14:paraId="7AAD225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4.215</w:t>
            </w:r>
          </w:p>
        </w:tc>
        <w:tc>
          <w:tcPr>
            <w:tcW w:w="1276" w:type="dxa"/>
            <w:vAlign w:val="center"/>
          </w:tcPr>
          <w:p w14:paraId="5F0B141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470E578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Cardiovascular medicine</w:t>
            </w:r>
          </w:p>
        </w:tc>
        <w:tc>
          <w:tcPr>
            <w:tcW w:w="1541" w:type="dxa"/>
            <w:noWrap/>
            <w:vAlign w:val="center"/>
            <w:hideMark/>
          </w:tcPr>
          <w:p w14:paraId="0C41819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4815F8CA"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0DF6434A"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 xml:space="preserve">neurological recovery after ROSC </w:t>
            </w:r>
          </w:p>
        </w:tc>
      </w:tr>
      <w:tr w:rsidR="00A427B2" w:rsidRPr="00A427B2" w14:paraId="7D2E0633" w14:textId="77777777" w:rsidTr="001B1FC9">
        <w:trPr>
          <w:trHeight w:val="510"/>
        </w:trPr>
        <w:tc>
          <w:tcPr>
            <w:tcW w:w="1701" w:type="dxa"/>
            <w:noWrap/>
            <w:vAlign w:val="center"/>
            <w:hideMark/>
          </w:tcPr>
          <w:p w14:paraId="3DBA960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R Hammond</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{"citationItems":[{"id":"ITEM-1","itemData":{"DOI":"10.1371/journal.pone.0223796","ISBN":"1111111111","ISSN":"19326203","abstract":"The Funding statement is incorrect. The correct Funding statement is as follows: Rodoniki Athanasiadou was partially supported by RiskEcon®Lab for Decision Metrics @ Courant Institute of Mathematical Sciences NYU.","author":[{"dropping-particle":"","family":"Hammond","given":"Robert","non-dropping-particle":"","parse-names":false,"suffix":""},{"dropping-particle":"","family":"Athanasiadou","given":"Rodoniki","non-dropping-particle":"","parse-names":false,"suffix":""},{"dropping-particle":"","family":"Curado","given":"Silvia","non-dropping-particle":"","parse-names":false,"suffix":""},{"dropping-particle":"","family":"Aphinyanaphongs","given":"Yindalon","non-dropping-particle":"","parse-names":false,"suffix":""},{"dropping-particle":"","family":"Abrams","given":"Courtney","non-dropping-particle":"","parse-names":false,"suffix":""},{"dropping-particle":"","family":"Jo Messito","given":"Mary","non-dropping-particle":"","parse-names":false,"suffix":""},{"dropping-particle":"","family":"Gross","given":"Rachel","non-dropping-particle":"","parse-names":false,"suffix":""},{"dropping-particle":"","family":"Katzow","given":"Michelle","non-dropping-particle":"","parse-names":false,"suffix":""},{"dropping-particle":"","family":"Jay","given":"Melanie","non-dropping-particle":"","parse-names":false,"suffix":""},{"dropping-particle":"","family":"Razavian","given":"Narges","non-dropping-particle":"","parse-names":false,"suffix":""},{"dropping-particle":"","family":"Elbel","given":"Brian","non-dropping-particle":"","parse-names":false,"suffix":""}],"container-title":"PLoS ONE","id":"ITEM-1","issue":"10","issued":{"date-parts":[["2019"]]},"page":"1-18","title":"Correction: Predicting childhood obesity using electronic health records and publicly available data (PLoS ONE (2019) 14:4 (e0215571) DOI: 10.1371/journal.pone.0215571)","type":"article-journal","volume":"14"},"uris":["http://www.mendeley.com/documents/?uuid=70143f91-2f05-453b-a605-b290fed7e6b2"]}],"mendeley":{"formattedCitation":"&lt;sup&gt;22&lt;/sup&gt;","plainTextFormattedCitation":"22","previouslyFormattedCitation":"&lt;sup&gt;22&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22</w:t>
            </w:r>
            <w:r w:rsidRPr="00A427B2">
              <w:rPr>
                <w:rFonts w:ascii="Segoe UI" w:eastAsia="Times New Roman" w:hAnsi="Segoe UI" w:cs="Segoe UI"/>
                <w:color w:val="000000"/>
                <w:sz w:val="16"/>
                <w:szCs w:val="16"/>
              </w:rPr>
              <w:fldChar w:fldCharType="end"/>
            </w:r>
          </w:p>
        </w:tc>
        <w:tc>
          <w:tcPr>
            <w:tcW w:w="2122" w:type="dxa"/>
            <w:vAlign w:val="center"/>
          </w:tcPr>
          <w:p w14:paraId="3A1A485C"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PLoS ONE</w:t>
            </w:r>
          </w:p>
        </w:tc>
        <w:tc>
          <w:tcPr>
            <w:tcW w:w="850" w:type="dxa"/>
            <w:vAlign w:val="center"/>
          </w:tcPr>
          <w:p w14:paraId="1D56C5A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2.740</w:t>
            </w:r>
          </w:p>
        </w:tc>
        <w:tc>
          <w:tcPr>
            <w:tcW w:w="1276" w:type="dxa"/>
            <w:vAlign w:val="center"/>
          </w:tcPr>
          <w:p w14:paraId="24E904B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1A6695AF"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Nutrition</w:t>
            </w:r>
          </w:p>
        </w:tc>
        <w:tc>
          <w:tcPr>
            <w:tcW w:w="1541" w:type="dxa"/>
            <w:noWrap/>
            <w:vAlign w:val="center"/>
            <w:hideMark/>
          </w:tcPr>
          <w:p w14:paraId="6C890CB3"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60B91CB8"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388FBC0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 xml:space="preserve">Obesity status at the age of five </w:t>
            </w:r>
          </w:p>
        </w:tc>
      </w:tr>
      <w:tr w:rsidR="00A427B2" w:rsidRPr="00A427B2" w14:paraId="301ACF70" w14:textId="77777777" w:rsidTr="001B1FC9">
        <w:trPr>
          <w:trHeight w:val="510"/>
        </w:trPr>
        <w:tc>
          <w:tcPr>
            <w:tcW w:w="1701" w:type="dxa"/>
            <w:noWrap/>
            <w:vAlign w:val="center"/>
            <w:hideMark/>
          </w:tcPr>
          <w:p w14:paraId="69B0DDAB"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S Zamboni</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{"citationItems":[{"id":"ITEM-1","itemData":{"DOI":"10.1007/s00345-019-02916-2","ISSN":"0724-4983 (Linking)","abstract":"PURPOSE: To improve patient selection for neoadjuvant chemotherapy (NAC) before radical cystectomy (RC) in bladder cancer patients (BCa). METHODS: Retrospective evaluation of 1057 patients with cT2-4N0M0 BCa treated with RC and pelvic lymph node dissection between 1990 and 2018 at 3 referral centers. Adverse pathologic features (APF) were defined as pT3-pT4/pN + disease at RC. A regression tree model (CART) was used to assess preoperative risk group classes. A multivariable logistic regression (MVA) was performed to identify predictors of APF at RC. RESULTS: Median age was 70 years and most of the patients were men (83%). Of the 1057 patients included in our study, 688 (65%) had APF. CART analysis was able to stratify patients into 3 risk groups: low (cT2 and single disease, odds ratio [OR] 0.62), intermediate (cT2 and multiple disease, OR 1.08), and high (cT3-cT4, OR 1.28). On MVA APF were associated with variant histology (odds ratio [OR] 3.97, 95% confidence interval [CI] 1.46-10.83, p = 0.007), multifocality at TUR (OR 2.56, CI 1.27-5.17, p = 0.09), completeness of resection (OR 0.47, CI 0.23-0.96, p = 0.04) and clinical extravesical disease (OR 3.42, CI 1.63-7.14, p = 0.001). CONCLUSION: We defined three pre-operative risk classes. Our results indicate that patients with a cT3-T4 disease are those who might benefit more from NAC whereas those with T2 single disease should be those to whom NAC probably shouldn't be proposed. Given the high rate of understaging in BCa patients, NAC can be proposed in selected cases of cT2/multifocal disease.","author":[{"dropping-particle":"","family":"Zamboni","given":"S","non-dropping-particle":"","parse-names":false,"suffix":""},{"dropping-particle":"","family":"Moschini","given":"M","non-dropping-particle":"","parse-names":false,"suffix":""},{"dropping-particle":"","family":"Antonelli","given":"A","non-dropping-particle":"","parse-names":false,"suffix":""},{"dropping-particle":"","family":"Simeone","given":"C","non-dropping-particle":"","parse-names":false,"suffix":""},{"dropping-particle":"","family":"Belotti","given":"S","non-dropping-particle":"","parse-names":false,"suffix":""},{"dropping-particle":"","family":"Cristinelli","given":"L","non-dropping-particle":"","parse-names":false,"suffix":""},{"dropping-particle":"","family":"Montorsi","given":"F","non-dropping-particle":"","parse-names":false,"suffix":""},{"dropping-particle":"","family":"Briganti","given":"A","non-dropping-particle":"","parse-names":false,"suffix":""},{"dropping-particle":"","family":"Gallina","given":"A","non-dropping-particle":"","parse-names":false,"suffix":""},{"dropping-particle":"","family":"Salonia","given":"A","non-dropping-particle":"","parse-names":false,"suffix":""},{"dropping-particle":"","family":"Colombo","given":"R","non-dropping-particle":"","parse-names":false,"suffix":""},{"dropping-particle":"","family":"Mordasini","given":"L","non-dropping-particle":"","parse-names":false,"suffix":""},{"dropping-particle":"","family":"Mattei","given":"A","non-dropping-particle":"","parse-names":false,"suffix":""},{"dropping-particle":"","family":"Baumeister","given":"P","non-dropping-particle":"","parse-names":false,"suffix":""}],"container-title":"World journal of urology","id":"ITEM-1","issued":{"date-parts":[["2019","8"]]},"publisher-place":"Germany","title":"How to improve patient selection for neoadjuvant chemotherapy in bladder cancer patients candidate for radical cystectomy and pelvic lymph node dissection.","type":"article-journal"},"uris":["http://www.mendeley.com/documents/?uuid=d878e439-5bb5-45d5-b371-aa976fa8516b"]}],"mendeley":{"formattedCitation":"&lt;sup&gt;23&lt;/sup&gt;","plainTextFormattedCitation":"23","previouslyFormattedCitation":"&lt;sup&gt;23&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23</w:t>
            </w:r>
            <w:r w:rsidRPr="00A427B2">
              <w:rPr>
                <w:rFonts w:ascii="Segoe UI" w:eastAsia="Times New Roman" w:hAnsi="Segoe UI" w:cs="Segoe UI"/>
                <w:color w:val="000000"/>
                <w:sz w:val="16"/>
                <w:szCs w:val="16"/>
              </w:rPr>
              <w:fldChar w:fldCharType="end"/>
            </w:r>
          </w:p>
        </w:tc>
        <w:tc>
          <w:tcPr>
            <w:tcW w:w="2122" w:type="dxa"/>
            <w:vAlign w:val="center"/>
          </w:tcPr>
          <w:p w14:paraId="4134CECD"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World Journal of Urology</w:t>
            </w:r>
          </w:p>
        </w:tc>
        <w:tc>
          <w:tcPr>
            <w:tcW w:w="850" w:type="dxa"/>
            <w:vAlign w:val="center"/>
          </w:tcPr>
          <w:p w14:paraId="21EE549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3.217</w:t>
            </w:r>
          </w:p>
        </w:tc>
        <w:tc>
          <w:tcPr>
            <w:tcW w:w="1276" w:type="dxa"/>
            <w:vAlign w:val="center"/>
          </w:tcPr>
          <w:p w14:paraId="4F3098BF"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1660BA72"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Oncology</w:t>
            </w:r>
          </w:p>
        </w:tc>
        <w:tc>
          <w:tcPr>
            <w:tcW w:w="1541" w:type="dxa"/>
            <w:noWrap/>
            <w:vAlign w:val="center"/>
            <w:hideMark/>
          </w:tcPr>
          <w:p w14:paraId="17DD5FD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Diagnosis</w:t>
            </w:r>
          </w:p>
        </w:tc>
        <w:tc>
          <w:tcPr>
            <w:tcW w:w="2481" w:type="dxa"/>
            <w:noWrap/>
            <w:vAlign w:val="center"/>
            <w:hideMark/>
          </w:tcPr>
          <w:p w14:paraId="22B265F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30FE8AAD" w14:textId="77777777" w:rsidR="00A427B2" w:rsidRPr="00A427B2" w:rsidRDefault="00A427B2" w:rsidP="001B1FC9">
            <w:pPr>
              <w:rPr>
                <w:rFonts w:ascii="Segoe UI" w:eastAsia="Times New Roman" w:hAnsi="Segoe UI" w:cs="Segoe UI"/>
                <w:color w:val="000000"/>
                <w:sz w:val="16"/>
                <w:szCs w:val="16"/>
                <w:highlight w:val="yellow"/>
              </w:rPr>
            </w:pPr>
            <w:r w:rsidRPr="00A427B2">
              <w:rPr>
                <w:rFonts w:ascii="Segoe UI" w:eastAsia="Times New Roman" w:hAnsi="Segoe UI" w:cs="Segoe UI"/>
                <w:color w:val="000000"/>
                <w:sz w:val="16"/>
                <w:szCs w:val="16"/>
              </w:rPr>
              <w:t>Adverse pathologic features</w:t>
            </w:r>
          </w:p>
        </w:tc>
      </w:tr>
      <w:tr w:rsidR="00A427B2" w:rsidRPr="00A427B2" w14:paraId="35304557" w14:textId="77777777" w:rsidTr="001B1FC9">
        <w:trPr>
          <w:trHeight w:val="510"/>
        </w:trPr>
        <w:tc>
          <w:tcPr>
            <w:tcW w:w="1701" w:type="dxa"/>
            <w:noWrap/>
            <w:vAlign w:val="center"/>
            <w:hideMark/>
          </w:tcPr>
          <w:p w14:paraId="0F94C532"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AL Nobles</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{"citationItems":[{"id":"ITEM-1","itemData":{"DOI":"10.1145/3173574.3173987.Identification","author":[{"dropping-particle":"","family":"Nobles","given":"Alicia L","non-dropping-particle":"","parse-names":false,"suffix":""},{"dropping-particle":"","family":"Glenn","given":"Jeffrey J","non-dropping-particle":"","parse-names":false,"suffix":""},{"dropping-particle":"","family":"Barnes","given":"Laura E","non-dropping-particle":"","parse-names":false,"suffix":""}],"id":"ITEM-1","issued":{"date-parts":[["2019"]]},"page":"1-22","title":"using Text Messages","type":"article-journal"},"uris":["http://www.mendeley.com/documents/?uuid=f50b1504-9a74-43fb-9e32-effb62b39f29"]}],"mendeley":{"formattedCitation":"&lt;sup&gt;24&lt;/sup&gt;","plainTextFormattedCitation":"24","previouslyFormattedCitation":"&lt;sup&gt;24&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24</w:t>
            </w:r>
            <w:r w:rsidRPr="00A427B2">
              <w:rPr>
                <w:rFonts w:ascii="Segoe UI" w:eastAsia="Times New Roman" w:hAnsi="Segoe UI" w:cs="Segoe UI"/>
                <w:color w:val="000000"/>
                <w:sz w:val="16"/>
                <w:szCs w:val="16"/>
              </w:rPr>
              <w:fldChar w:fldCharType="end"/>
            </w:r>
          </w:p>
        </w:tc>
        <w:tc>
          <w:tcPr>
            <w:tcW w:w="2122" w:type="dxa"/>
            <w:vAlign w:val="center"/>
          </w:tcPr>
          <w:p w14:paraId="595DC9E8"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Proceedings of the SIGCHI Conference on Human Factor in Computing Systems(</w:t>
            </w:r>
            <w:r w:rsidRPr="00A427B2">
              <w:rPr>
                <w:rFonts w:ascii="Segoe UI" w:hAnsi="Segoe UI" w:cs="Segoe UI"/>
                <w:color w:val="000000"/>
                <w:sz w:val="16"/>
                <w:szCs w:val="16"/>
                <w:vertAlign w:val="superscript"/>
              </w:rPr>
              <w:t>c</w:t>
            </w:r>
            <w:r w:rsidRPr="00A427B2">
              <w:rPr>
                <w:rFonts w:ascii="Segoe UI" w:hAnsi="Segoe UI" w:cs="Segoe UI"/>
                <w:color w:val="000000"/>
                <w:sz w:val="16"/>
                <w:szCs w:val="16"/>
              </w:rPr>
              <w:t>)</w:t>
            </w:r>
          </w:p>
        </w:tc>
        <w:tc>
          <w:tcPr>
            <w:tcW w:w="850" w:type="dxa"/>
            <w:vAlign w:val="center"/>
          </w:tcPr>
          <w:p w14:paraId="7E17B2B4"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w:t>
            </w:r>
          </w:p>
        </w:tc>
        <w:tc>
          <w:tcPr>
            <w:tcW w:w="1276" w:type="dxa"/>
            <w:vAlign w:val="center"/>
          </w:tcPr>
          <w:p w14:paraId="6E2F9308"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2018</w:t>
            </w:r>
          </w:p>
        </w:tc>
        <w:tc>
          <w:tcPr>
            <w:tcW w:w="1559" w:type="dxa"/>
            <w:noWrap/>
            <w:vAlign w:val="center"/>
            <w:hideMark/>
          </w:tcPr>
          <w:p w14:paraId="32288C9F"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Psychiatry</w:t>
            </w:r>
          </w:p>
        </w:tc>
        <w:tc>
          <w:tcPr>
            <w:tcW w:w="1541" w:type="dxa"/>
            <w:noWrap/>
            <w:vAlign w:val="center"/>
            <w:hideMark/>
          </w:tcPr>
          <w:p w14:paraId="58A78D32"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2EE0A469"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7B102389"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Suicidality</w:t>
            </w:r>
          </w:p>
        </w:tc>
      </w:tr>
      <w:tr w:rsidR="00A427B2" w:rsidRPr="00A427B2" w14:paraId="147ED0AC" w14:textId="77777777" w:rsidTr="001B1FC9">
        <w:trPr>
          <w:trHeight w:val="510"/>
        </w:trPr>
        <w:tc>
          <w:tcPr>
            <w:tcW w:w="1701" w:type="dxa"/>
            <w:noWrap/>
            <w:vAlign w:val="center"/>
            <w:hideMark/>
          </w:tcPr>
          <w:p w14:paraId="17E0FD24"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R Tse</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{"citationItems":[{"id":"ITEM-1","itemData":{"DOI":"10.1097/PAF.0000000000000410","ISBN":"0000000000000","ISSN":"1533404X","abstract":"Diagnosing death due to drowning can be difficult, and several postmortem findings have been postulated to aid the diagnosis. Increased lung weights are often seen in drowning deaths. Lung-body (LB) ratio was described to be the best anatomical lung measurement in diagnosing drowning. Postmortem vitreous humor sodium and chloride (PMVSC) was reported to be a useful biochemical test in diagnosing saltwater drowning when the immersion time is less than 1 hour (SWD1). The presented study compared the diagnostic accuracies between LB ratio, PMVSC, and their combination in diagnosing SWD1 in 20 SWD1 and 50 nonimmersion deaths. Classification tree models were used for analysis and revealed that combination of PMVSC and LB ratio was most accurate in diagnosing SWD1 (misclassification rate, 4%), followed by PMVSC (misclassification rate, 10%) and LB ratio (misclassification rate, 24%). A quantifiable diagnostic improvement was established when both LB ratio and PMVSC were used. After adjusting for interlaboratory variations, the developed tree models can be a reliable way in aiding the diagnosis of SWD1.","author":[{"dropping-particle":"","family":"Tse","given":"Rexson","non-dropping-particle":"","parse-names":false,"suffix":""},{"dropping-particle":"","family":"Garland","given":"Jack","non-dropping-particle":"","parse-names":false,"suffix":""},{"dropping-particle":"","family":"Kesha","given":"Kilak","non-dropping-particle":"","parse-names":false,"suffix":""},{"dropping-particle":"","family":"Morrow","given":"Paul","non-dropping-particle":"","parse-names":false,"suffix":""},{"dropping-particle":"","family":"Lam","given":"Leo","non-dropping-particle":"","parse-names":false,"suffix":""},{"dropping-particle":"","family":"Elstub","given":"Hannah","non-dropping-particle":"","parse-names":false,"suffix":""},{"dropping-particle":"","family":"Cala","given":"Allan","non-dropping-particle":"","parse-names":false,"suffix":""},{"dropping-particle":"","family":"Spark","given":"Amy","non-dropping-particle":"","parse-names":false,"suffix":""},{"dropping-particle":"","family":"Palmiere","given":"Cristian","non-dropping-particle":"","parse-names":false,"suffix":""},{"dropping-particle":"","family":"Stables","given":"Simon","non-dropping-particle":"","parse-names":false,"suffix":""}],"container-title":"American Journal of Forensic Medicine and Pathology","id":"ITEM-1","issue":"3","issued":{"date-parts":[["2018"]]},"page":"229-235","title":"Combining Postmortem Vitreous Sodium and Chloride and Lung-Body Ratio in Aiding the Diagnosing Saltwater Drowning","type":"article-journal","volume":"39"},"uris":["http://www.mendeley.com/documents/?uuid=3988256f-a3bf-4c9d-878b-f9fe506a4293"]}],"mendeley":{"formattedCitation":"&lt;sup&gt;25&lt;/sup&gt;","plainTextFormattedCitation":"25","previouslyFormattedCitation":"&lt;sup&gt;25&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25</w:t>
            </w:r>
            <w:r w:rsidRPr="00A427B2">
              <w:rPr>
                <w:rFonts w:ascii="Segoe UI" w:eastAsia="Times New Roman" w:hAnsi="Segoe UI" w:cs="Segoe UI"/>
                <w:color w:val="000000"/>
                <w:sz w:val="16"/>
                <w:szCs w:val="16"/>
              </w:rPr>
              <w:fldChar w:fldCharType="end"/>
            </w:r>
          </w:p>
        </w:tc>
        <w:tc>
          <w:tcPr>
            <w:tcW w:w="2122" w:type="dxa"/>
            <w:vAlign w:val="center"/>
          </w:tcPr>
          <w:p w14:paraId="2D5BFC16"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American Journal of Forensic Medicine and Pathology</w:t>
            </w:r>
          </w:p>
        </w:tc>
        <w:tc>
          <w:tcPr>
            <w:tcW w:w="850" w:type="dxa"/>
            <w:vAlign w:val="center"/>
          </w:tcPr>
          <w:p w14:paraId="3CE29FB3"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0.539</w:t>
            </w:r>
          </w:p>
        </w:tc>
        <w:tc>
          <w:tcPr>
            <w:tcW w:w="1276" w:type="dxa"/>
            <w:vAlign w:val="center"/>
          </w:tcPr>
          <w:p w14:paraId="5D156959"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2018</w:t>
            </w:r>
          </w:p>
        </w:tc>
        <w:tc>
          <w:tcPr>
            <w:tcW w:w="1559" w:type="dxa"/>
            <w:noWrap/>
            <w:vAlign w:val="center"/>
            <w:hideMark/>
          </w:tcPr>
          <w:p w14:paraId="19775493"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Forensic pathology</w:t>
            </w:r>
          </w:p>
        </w:tc>
        <w:tc>
          <w:tcPr>
            <w:tcW w:w="1541" w:type="dxa"/>
            <w:noWrap/>
            <w:vAlign w:val="center"/>
            <w:hideMark/>
          </w:tcPr>
          <w:p w14:paraId="11F44BB2"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Diagnosis</w:t>
            </w:r>
          </w:p>
        </w:tc>
        <w:tc>
          <w:tcPr>
            <w:tcW w:w="2481" w:type="dxa"/>
            <w:noWrap/>
            <w:vAlign w:val="center"/>
            <w:hideMark/>
          </w:tcPr>
          <w:p w14:paraId="6408994B"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38EDC3D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Salt water drowning with immersion time of less than 1 hour (SWD1)</w:t>
            </w:r>
          </w:p>
        </w:tc>
      </w:tr>
      <w:tr w:rsidR="00A427B2" w:rsidRPr="00A427B2" w14:paraId="421CF8E2" w14:textId="77777777" w:rsidTr="001B1FC9">
        <w:trPr>
          <w:trHeight w:val="510"/>
        </w:trPr>
        <w:tc>
          <w:tcPr>
            <w:tcW w:w="1701" w:type="dxa"/>
            <w:noWrap/>
            <w:vAlign w:val="center"/>
            <w:hideMark/>
          </w:tcPr>
          <w:p w14:paraId="6018077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NW Sterling</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{"citationItems":[{"id":"ITEM-1","itemData":{"DOI":"10.1016/j.ijmedinf.2019.06.008","ISSN":"1386-5056 (Linking)","abstract":"BACKGROUND: Nursing triage documentation is the first free-form text data created at the start of an emergency department (ED) visit. These 1-3 unstructured sentences reflect the clinical impression of an experienced nurse and are key in gauging a patient's illness. We aimed to predict final ED disposition using three commonly-employed natural language processing (NLP) techniques of nursing triage notes in isolation from other data. METHODS: We constructed a retrospective cohort of all 260,842 consecutive ED encounters in 2015-16, from three clinically heterogeneous academically-affiliated EDs. After exclusion of 3964 encounters based on completeness of triage, and disposition data, we included 256,878 encounters. We defined the outcome as: 1) admission, transfer, or in-ED death [68,092 encounters] vs. 2) discharge, \"left without being seen,\" and \"left against medical advice\" [188,786 encounters]. The dataset was divided into training and testing subsets. Neural network regression models were trained using bag-of-words, paragraph vectors, and topic distributions to predict disposition and were evaluated using the testing dataset. RESULTS: Area under the curve for disposition using triage notes as bag-of-words, paragraph vectors, and topic distributions were 0.737 (95% CI: 0.734 - 0.740), 0.785 (95% CI: 0.782 - 0.788), and 0.687 (95% CI: 0.684 - 0.690), respectively. CONCLUSIONS: Nursing triage notes can be used to predict final ED patient disposition, even when used separately from other clinical information. These findings have substantial implications for future studies, suggesting that free text from medical records may be considered as a critical predictor in research of patient outcomes.","author":[{"dropping-particle":"","family":"NW","given":"Sterling","non-dropping-particle":"","parse-names":false,"suffix":""},{"dropping-particle":"","family":"RE","given":"Patzer","non-dropping-particle":"","parse-names":false,"suffix":""},{"dropping-particle":"","family":"Di","given":"M","non-dropping-particle":"","parse-names":false,"suffix":""},{"dropping-particle":"","family":"JD","given":"Schrager","non-dropping-particle":"","parse-names":false,"suffix":""}],"container-title":"International journal of medical informatics","id":"ITEM-1","issued":{"date-parts":[["2019","9"]]},"page":"184-188","publisher-place":"Ireland","title":"Prediction of emergency department patient disposition based on natural language processing of triage notes.","type":"article-journal","volume":"129"},"uris":["http://www.mendeley.com/documents/?uuid=daee04e4-03e7-4cc9-9110-47b7172a2008"]}],"mendeley":{"formattedCitation":"&lt;sup&gt;26&lt;/sup&gt;","plainTextFormattedCitation":"26","previouslyFormattedCitation":"&lt;sup&gt;26&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26</w:t>
            </w:r>
            <w:r w:rsidRPr="00A427B2">
              <w:rPr>
                <w:rFonts w:ascii="Segoe UI" w:eastAsia="Times New Roman" w:hAnsi="Segoe UI" w:cs="Segoe UI"/>
                <w:color w:val="000000"/>
                <w:sz w:val="16"/>
                <w:szCs w:val="16"/>
              </w:rPr>
              <w:fldChar w:fldCharType="end"/>
            </w:r>
          </w:p>
        </w:tc>
        <w:tc>
          <w:tcPr>
            <w:tcW w:w="2122" w:type="dxa"/>
            <w:vAlign w:val="center"/>
          </w:tcPr>
          <w:p w14:paraId="14E4184F"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International Journal of Medical Informatics</w:t>
            </w:r>
          </w:p>
        </w:tc>
        <w:tc>
          <w:tcPr>
            <w:tcW w:w="850" w:type="dxa"/>
            <w:vAlign w:val="center"/>
          </w:tcPr>
          <w:p w14:paraId="0D8556A2"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3.025</w:t>
            </w:r>
          </w:p>
        </w:tc>
        <w:tc>
          <w:tcPr>
            <w:tcW w:w="1276" w:type="dxa"/>
            <w:vAlign w:val="center"/>
          </w:tcPr>
          <w:p w14:paraId="4F5946B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2EFAA75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Emergency medicine</w:t>
            </w:r>
          </w:p>
        </w:tc>
        <w:tc>
          <w:tcPr>
            <w:tcW w:w="1541" w:type="dxa"/>
            <w:noWrap/>
            <w:vAlign w:val="center"/>
            <w:hideMark/>
          </w:tcPr>
          <w:p w14:paraId="60F335D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6D651C2B"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5AF69E1F"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ED disposition</w:t>
            </w:r>
          </w:p>
        </w:tc>
      </w:tr>
      <w:tr w:rsidR="00A427B2" w:rsidRPr="00A427B2" w14:paraId="099F400A" w14:textId="77777777" w:rsidTr="001B1FC9">
        <w:trPr>
          <w:trHeight w:val="510"/>
        </w:trPr>
        <w:tc>
          <w:tcPr>
            <w:tcW w:w="1701" w:type="dxa"/>
            <w:noWrap/>
            <w:vAlign w:val="center"/>
            <w:hideMark/>
          </w:tcPr>
          <w:p w14:paraId="6C84C5F9"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S Perveen</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{"citationItems":[{"id":"ITEM-1","itemData":{"DOI":"10.1038/s41598-018-20166-x","ISSN":"20452322","abstract":"Prevention and diagnosis of NAFLD is an ongoing area of interest in the healthcare community. Screening is complicated by the fact that the accuracy of noninvasive testing lacks specificity and sensitivity to make and stage the diagnosis. Currently no non-invasive ATP III criteria based prediction method is available to diagnose NAFLD risk. Firstly, the objective of this research is to develop machine learning based method in order to identify individuals at an increased risk of developing NAFLD using risk factors of ATP III clinical criteria updated in 2005 for Metabolic Syndrome (MetS). Secondly, to validate the relative ability of quantitative score defined by Italian Association for the Study of the Liver (IASF) and guideline explicitly defined for the Canadian population based on triglyceride thresholds to predict NAFLD risk. We proposed a Decision Tree based method to evaluate the risk of developing NAFLD and its progression in the Canadian population, using Electronic Medical Records (EMRs) by exploring novel risk factors for NAFLD. Our results show proposed method could potentially help physicians make more informed choices about their management of patients with NAFLD. Employing the proposed application in ordinary medical checkup is expected to lessen healthcare expenditures compared with administering additional complicated test.","author":[{"dropping-particle":"","family":"Perveen","given":"Sajida","non-dropping-particle":"","parse-names":false,"suffix":""},{"dropping-particle":"","family":"Shahbaz","given":"Muhammad","non-dropping-particle":"","parse-names":false,"suffix":""},{"dropping-particle":"","family":"Keshavjee","given":"Karim","non-dropping-particle":"","parse-names":false,"suffix":""},{"dropping-particle":"","family":"Guergachi","given":"Aziz","non-dropping-particle":"","parse-names":false,"suffix":""}],"container-title":"Scientific Reports","id":"ITEM-1","issue":"1","issued":{"date-parts":[["2018"]]},"page":"1-12","publisher":"Springer US","title":"A Systematic Machine Learning Based Approach for the Diagnosis of Non-Alcoholic Fatty Liver Disease Risk and Progression","type":"article-journal","volume":"8"},"uris":["http://www.mendeley.com/documents/?uuid=643c5b0c-9815-46ff-abb5-63e2b99a1f19"]}],"mendeley":{"formattedCitation":"&lt;sup&gt;27&lt;/sup&gt;","plainTextFormattedCitation":"27","previouslyFormattedCitation":"&lt;sup&gt;27&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27</w:t>
            </w:r>
            <w:r w:rsidRPr="00A427B2">
              <w:rPr>
                <w:rFonts w:ascii="Segoe UI" w:eastAsia="Times New Roman" w:hAnsi="Segoe UI" w:cs="Segoe UI"/>
                <w:color w:val="000000"/>
                <w:sz w:val="16"/>
                <w:szCs w:val="16"/>
              </w:rPr>
              <w:fldChar w:fldCharType="end"/>
            </w:r>
          </w:p>
        </w:tc>
        <w:tc>
          <w:tcPr>
            <w:tcW w:w="2122" w:type="dxa"/>
            <w:vAlign w:val="center"/>
          </w:tcPr>
          <w:p w14:paraId="3CABD36C"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Scientific Reports</w:t>
            </w:r>
          </w:p>
        </w:tc>
        <w:tc>
          <w:tcPr>
            <w:tcW w:w="850" w:type="dxa"/>
            <w:vAlign w:val="center"/>
          </w:tcPr>
          <w:p w14:paraId="26DABAB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4.011</w:t>
            </w:r>
          </w:p>
        </w:tc>
        <w:tc>
          <w:tcPr>
            <w:tcW w:w="1276" w:type="dxa"/>
            <w:vAlign w:val="center"/>
          </w:tcPr>
          <w:p w14:paraId="3039C83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2018</w:t>
            </w:r>
          </w:p>
        </w:tc>
        <w:tc>
          <w:tcPr>
            <w:tcW w:w="1559" w:type="dxa"/>
            <w:noWrap/>
            <w:vAlign w:val="center"/>
            <w:hideMark/>
          </w:tcPr>
          <w:p w14:paraId="33C28F44"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Hepatology</w:t>
            </w:r>
          </w:p>
        </w:tc>
        <w:tc>
          <w:tcPr>
            <w:tcW w:w="1541" w:type="dxa"/>
            <w:noWrap/>
            <w:vAlign w:val="center"/>
            <w:hideMark/>
          </w:tcPr>
          <w:p w14:paraId="49FF00C4"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Diagnosis</w:t>
            </w:r>
          </w:p>
        </w:tc>
        <w:tc>
          <w:tcPr>
            <w:tcW w:w="2481" w:type="dxa"/>
            <w:noWrap/>
            <w:vAlign w:val="center"/>
            <w:hideMark/>
          </w:tcPr>
          <w:p w14:paraId="56CD299B"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17C20750"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Non-alcoholic fatty liver disease risk</w:t>
            </w:r>
          </w:p>
        </w:tc>
      </w:tr>
      <w:tr w:rsidR="00A427B2" w:rsidRPr="00A427B2" w14:paraId="442A4395" w14:textId="77777777" w:rsidTr="001B1FC9">
        <w:trPr>
          <w:trHeight w:val="510"/>
        </w:trPr>
        <w:tc>
          <w:tcPr>
            <w:tcW w:w="1701" w:type="dxa"/>
            <w:noWrap/>
            <w:vAlign w:val="center"/>
            <w:hideMark/>
          </w:tcPr>
          <w:p w14:paraId="3D68670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Z Pei</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{"citationItems":[{"id":"ITEM-1","itemData":{"DOI":"10.1007/s12539-017-0271-2","ISBN":"1253901702712","ISSN":"18671462","abstract":"Essential hypertension (EH) has become a major chronic disease around the world. To build a risk-predicting model for EH can help to interpose people’s lifestyle and dietary habit to decrease the risk of getting EH. In this study, we constructed a EH risk-predicting model considering both environmental and genetic factors with support vector machine (SVM). The data were collected through Epidemiological investigation questionnaire from Beijing Chinese Han population. After data cleaning, we finally selected 9 environmental factors and 12 genetic factors to construct the predicting model based on 1200 samples, including 559 essential hypertension patients and 641 controls. Using radial basis kernel function, predictive accuracy via SVM with function with only environmental factor and only genetic factor were 72.8 and 54.4%, respectively; after considering both environmental and genetic factor the accuracy improved to 76.3%. Using the model via SVM with Laplacian function, the accuracy with only environmental factor and only genetic factor were 76.9 and 57.7%, respectively; after combining environmental and genetic factor, the accuracy improved to 80.1%. The predictive accuracy of SVM model constructed based on Laplacian function was higher than radial basis kernel function, as well as sensitivity and specificity, which were 63.3 and 86.7%, respectively. In conclusion, the model based on SVM with Laplacian kernel function had better performance in predicting risk of hypertension. And SVM model considering both environmental and genetic factors had better performance than the model with environmental or genetic factors only.","author":[{"dropping-particle":"","family":"Pei","given":"Zhiyong","non-dropping-particle":"","parse-names":false,"suffix":""},{"dropping-particle":"","family":"Liu","given":"Jielin","non-dropping-particle":"","parse-names":false,"suffix":""},{"dropping-particle":"","family":"Liu","given":"Manjiao","non-dropping-particle":"","parse-names":false,"suffix":""},{"dropping-particle":"","family":"Zhou","given":"Wenchao","non-dropping-particle":"","parse-names":false,"suffix":""},{"dropping-particle":"","family":"Yan","given":"Pengcheng","non-dropping-particle":"","parse-names":false,"suffix":""},{"dropping-particle":"","family":"Wen","given":"Shaojun","non-dropping-particle":"","parse-names":false,"suffix":""},{"dropping-particle":"","family":"Chen","given":"Yubao","non-dropping-particle":"","parse-names":false,"suffix":""}],"container-title":"Interdisciplinary Sciences: Computational Life Sciences","id":"ITEM-1","issue":"1","issued":{"date-parts":[["2018"]]},"page":"126-130","publisher":"Springer Berlin Heidelberg","title":"Risk-Predicting Model for Incident of Essential Hypertension Based on Environmental and Genetic Factors with Support Vector Machine","type":"article-journal","volume":"10"},"uris":["http://www.mendeley.com/documents/?uuid=ca4d88ea-95e2-448f-a52e-e5cf4b80e6bf"]}],"mendeley":{"formattedCitation":"&lt;sup&gt;28&lt;/sup&gt;","plainTextFormattedCitation":"28","previouslyFormattedCitation":"&lt;sup&gt;28&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28</w:t>
            </w:r>
            <w:r w:rsidRPr="00A427B2">
              <w:rPr>
                <w:rFonts w:ascii="Segoe UI" w:eastAsia="Times New Roman" w:hAnsi="Segoe UI" w:cs="Segoe UI"/>
                <w:color w:val="000000"/>
                <w:sz w:val="16"/>
                <w:szCs w:val="16"/>
              </w:rPr>
              <w:fldChar w:fldCharType="end"/>
            </w:r>
          </w:p>
        </w:tc>
        <w:tc>
          <w:tcPr>
            <w:tcW w:w="2122" w:type="dxa"/>
            <w:vAlign w:val="center"/>
          </w:tcPr>
          <w:p w14:paraId="6945FFAA"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Interdisciplinary Sciences-Computational life Sciences</w:t>
            </w:r>
          </w:p>
        </w:tc>
        <w:tc>
          <w:tcPr>
            <w:tcW w:w="850" w:type="dxa"/>
            <w:vAlign w:val="center"/>
          </w:tcPr>
          <w:p w14:paraId="3D6E017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1.418</w:t>
            </w:r>
          </w:p>
        </w:tc>
        <w:tc>
          <w:tcPr>
            <w:tcW w:w="1276" w:type="dxa"/>
            <w:vAlign w:val="center"/>
          </w:tcPr>
          <w:p w14:paraId="403AEA80"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2018</w:t>
            </w:r>
          </w:p>
        </w:tc>
        <w:tc>
          <w:tcPr>
            <w:tcW w:w="1559" w:type="dxa"/>
            <w:noWrap/>
            <w:vAlign w:val="center"/>
            <w:hideMark/>
          </w:tcPr>
          <w:p w14:paraId="2F431A2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Primary care</w:t>
            </w:r>
          </w:p>
        </w:tc>
        <w:tc>
          <w:tcPr>
            <w:tcW w:w="1541" w:type="dxa"/>
            <w:noWrap/>
            <w:vAlign w:val="center"/>
            <w:hideMark/>
          </w:tcPr>
          <w:p w14:paraId="3C4F01F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Diagnosis</w:t>
            </w:r>
          </w:p>
        </w:tc>
        <w:tc>
          <w:tcPr>
            <w:tcW w:w="2481" w:type="dxa"/>
            <w:noWrap/>
            <w:vAlign w:val="center"/>
            <w:hideMark/>
          </w:tcPr>
          <w:p w14:paraId="3E0C2D1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742B821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 xml:space="preserve">Essential hypertension </w:t>
            </w:r>
          </w:p>
        </w:tc>
      </w:tr>
      <w:tr w:rsidR="00A427B2" w:rsidRPr="00A427B2" w14:paraId="6FF29452" w14:textId="77777777" w:rsidTr="001B1FC9">
        <w:trPr>
          <w:trHeight w:val="510"/>
        </w:trPr>
        <w:tc>
          <w:tcPr>
            <w:tcW w:w="1701" w:type="dxa"/>
            <w:noWrap/>
            <w:vAlign w:val="center"/>
            <w:hideMark/>
          </w:tcPr>
          <w:p w14:paraId="246F90F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FB Bouallegue</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{"citationItems":[{"id":"ITEM-1","itemData":{"DOI":"10.3233/JAD-170833","ISSN":"18758908","abstract":"Joint analysis of amyloid and metabolic PET patterns across healthy, mild cognitive impairment (MCI), and Alzheimer's disease (AD) subjects was performed using baseline 18 F-florbetapir and 18 F-FDG PET of 684 subjects from the ADNI (251 normal, 204 stable MCI, 85 AD converters, and 144 AD). Correlation between regional amyloid and metabolic uptake was measured and predictive value of PET profile regarding AD conversion in cognitively impaired subjects was assessed using survival analysis and support vector machine classification (SVM). The highest correlations were found in the temporal cortex, precuneus, and posterior cingulum. With respect to normal controls, amyloid load increase was diffuse and early in MCI subjects, whereas metabolism decrease occurred later and predominated in temporo-parietal, precuneus, and cingulate cortices. Five-year AD conversion rates in cognitively impaired subjects were 5, 22, 42, and 78 in amyloid-/FDG-, amyloid-/FDG, amyloid/FDG-, and amyloid/FDG subjects respectively (mean follow-up 37±14 months). Using SVM, the combination of ADAS-cog score, amyloid PET, and FDG PET yielded better performance in predicting AD conversion (77 accuracy; 58 positive predictive value; 88 negative predictive value) than ADAS-cog (72; 52; 86), amyloid PET (72; 52; 87), and FDG PET (67; 47; 84). This study attests the complementary value of amyloid and FDG PET in MCI assessment and the efficiency of combined cognitive, amyloid, and metabolic scores to predict AD conversion.","author":[{"dropping-particle":"Ben","family":"Bouallègue","given":"Fayçal","non-dropping-particle":"","parse-names":false,"suffix":""},{"dropping-particle":"","family":"Mariano-Goulart","given":"Denis","non-dropping-particle":"","parse-names":false,"suffix":""},{"dropping-particle":"","family":"Payoux","given":"Pierre","non-dropping-particle":"","parse-names":false,"suffix":""}],"container-title":"Journal of Alzheimer's Disease","id":"ITEM-1","issue":"1","issued":{"date-parts":[["2018"]]},"page":"399-408","title":"Joint Assessment of Quantitative 18 F-Florbetapir and 18 F-FDG Regional Uptake Using Baseline Data from the ADNI","type":"article-journal","volume":"62"},"uris":["http://www.mendeley.com/documents/?uuid=18038494-6f29-4e46-9dd3-08ede1b6f305"]}],"mendeley":{"formattedCitation":"&lt;sup&gt;29&lt;/sup&gt;","plainTextFormattedCitation":"29","previouslyFormattedCitation":"&lt;sup&gt;29&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29</w:t>
            </w:r>
            <w:r w:rsidRPr="00A427B2">
              <w:rPr>
                <w:rFonts w:ascii="Segoe UI" w:eastAsia="Times New Roman" w:hAnsi="Segoe UI" w:cs="Segoe UI"/>
                <w:color w:val="000000"/>
                <w:sz w:val="16"/>
                <w:szCs w:val="16"/>
              </w:rPr>
              <w:fldChar w:fldCharType="end"/>
            </w:r>
          </w:p>
        </w:tc>
        <w:tc>
          <w:tcPr>
            <w:tcW w:w="2122" w:type="dxa"/>
            <w:vAlign w:val="center"/>
          </w:tcPr>
          <w:p w14:paraId="6718DB12"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 xml:space="preserve">Journal of Alzheimer's Disease </w:t>
            </w:r>
          </w:p>
        </w:tc>
        <w:tc>
          <w:tcPr>
            <w:tcW w:w="850" w:type="dxa"/>
            <w:vAlign w:val="center"/>
          </w:tcPr>
          <w:p w14:paraId="3F993A19"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3.517</w:t>
            </w:r>
          </w:p>
        </w:tc>
        <w:tc>
          <w:tcPr>
            <w:tcW w:w="1276" w:type="dxa"/>
            <w:vAlign w:val="center"/>
          </w:tcPr>
          <w:p w14:paraId="7456B4E2"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2018</w:t>
            </w:r>
          </w:p>
        </w:tc>
        <w:tc>
          <w:tcPr>
            <w:tcW w:w="1559" w:type="dxa"/>
            <w:noWrap/>
            <w:vAlign w:val="center"/>
            <w:hideMark/>
          </w:tcPr>
          <w:p w14:paraId="3D66403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Neurology</w:t>
            </w:r>
          </w:p>
        </w:tc>
        <w:tc>
          <w:tcPr>
            <w:tcW w:w="1541" w:type="dxa"/>
            <w:noWrap/>
            <w:vAlign w:val="center"/>
            <w:hideMark/>
          </w:tcPr>
          <w:p w14:paraId="16B9FFB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78937D0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4D311B5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 xml:space="preserve">Alzheimer's disease </w:t>
            </w:r>
          </w:p>
        </w:tc>
      </w:tr>
      <w:tr w:rsidR="00A427B2" w:rsidRPr="00A427B2" w14:paraId="04D20F3B" w14:textId="77777777" w:rsidTr="001B1FC9">
        <w:trPr>
          <w:trHeight w:val="510"/>
        </w:trPr>
        <w:tc>
          <w:tcPr>
            <w:tcW w:w="1701" w:type="dxa"/>
            <w:noWrap/>
            <w:vAlign w:val="center"/>
            <w:hideMark/>
          </w:tcPr>
          <w:p w14:paraId="48310513"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T-L Tsai</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{"citationItems":[{"id":"ITEM-1","itemData":{"DOI":"10.3390/jcm8101709","ISSN":"2077-0383 (Linking)","abstract":"Besides the traditional indices such as biochemistry, arterial blood gas, rapid shallow breathing index (RSBI), acute physiology and chronic health evaluation (APACHE) II score, this study suggests a data science framework for extubation prediction in the surgical intensive care unit (SICU) and investigates the value of the information our prediction model provides. A data science framework including variable selection (e.g., multivariate adaptive regression splines, stepwise logistic regression and random forest), prediction models (e.g., support vector machine, boosting logistic regression and backpropagation neural network (BPN)) and decision analysis (e.g., Bayesian method) is proposed to identify the important variables and support the extubation decision. An empirical study of a leading hospital in Taiwan in 2015-2016 is conducted to validate the proposed framework. The results show that APACHE II and white blood cells (WBC) are the two most critical variables, and then the priority sequence is eye opening, heart rate, glucose, sodium and hematocrit. BPN with selected variables shows better prediction performance (sensitivity: 0.830; specificity: 0.890; accuracy 0.860) than that with APACHE II or RSBI. The value of information is further investigated and shows that the expected value of experimentation (EVE), 0.652 days (patient staying in the ICU), is saved when comparing with current clinical experience. Furthermore, the maximal value of information occurs in a failure rate around 7.1% and it reveals the \"best applicable condition\" of the proposed prediction model. The results validate the decision quality and useful information provided by our predicted model.","author":[{"dropping-particle":"","family":"TL","given":"Tsai","non-dropping-particle":"","parse-names":false,"suffix":""},{"dropping-particle":"","family":"MH","given":"Huang","non-dropping-particle":"","parse-names":false,"suffix":""},{"dropping-particle":"","family":"CY","given":"Lee","non-dropping-particle":"","parse-names":false,"suffix":""},{"dropping-particle":"","family":"WW","given":"Lai","non-dropping-particle":"","parse-names":false,"suffix":""}],"container-title":"Journal of clinical medicine","id":"ITEM-1","issue":"10","issued":{"date-parts":[["2019","10"]]},"publisher-place":"Switzerland","title":"Data Science for Extubation Prediction and Value of Information in Surgical Intensive Care Unit.","type":"article-journal","volume":"8"},"uris":["http://www.mendeley.com/documents/?uuid=841ae0dc-8093-4127-ad8c-736fe53c82a2"]}],"mendeley":{"formattedCitation":"&lt;sup&gt;30&lt;/sup&gt;","plainTextFormattedCitation":"30","previouslyFormattedCitation":"&lt;sup&gt;30&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30</w:t>
            </w:r>
            <w:r w:rsidRPr="00A427B2">
              <w:rPr>
                <w:rFonts w:ascii="Segoe UI" w:eastAsia="Times New Roman" w:hAnsi="Segoe UI" w:cs="Segoe UI"/>
                <w:color w:val="000000"/>
                <w:sz w:val="16"/>
                <w:szCs w:val="16"/>
              </w:rPr>
              <w:fldChar w:fldCharType="end"/>
            </w:r>
          </w:p>
        </w:tc>
        <w:tc>
          <w:tcPr>
            <w:tcW w:w="2122" w:type="dxa"/>
            <w:vAlign w:val="center"/>
          </w:tcPr>
          <w:p w14:paraId="1B9C8A56"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Journal of Clinical Medicine</w:t>
            </w:r>
          </w:p>
        </w:tc>
        <w:tc>
          <w:tcPr>
            <w:tcW w:w="850" w:type="dxa"/>
            <w:vAlign w:val="center"/>
          </w:tcPr>
          <w:p w14:paraId="5F73D650"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3.303</w:t>
            </w:r>
          </w:p>
        </w:tc>
        <w:tc>
          <w:tcPr>
            <w:tcW w:w="1276" w:type="dxa"/>
            <w:vAlign w:val="center"/>
          </w:tcPr>
          <w:p w14:paraId="79F1A96E"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46FDD028"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Critical care</w:t>
            </w:r>
          </w:p>
        </w:tc>
        <w:tc>
          <w:tcPr>
            <w:tcW w:w="1541" w:type="dxa"/>
            <w:noWrap/>
            <w:vAlign w:val="center"/>
            <w:hideMark/>
          </w:tcPr>
          <w:p w14:paraId="1227574A"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0A4C73A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31FE536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Successful extubation</w:t>
            </w:r>
          </w:p>
        </w:tc>
      </w:tr>
      <w:tr w:rsidR="00A427B2" w:rsidRPr="00A427B2" w14:paraId="4CFFD91E" w14:textId="77777777" w:rsidTr="001B1FC9">
        <w:trPr>
          <w:trHeight w:val="510"/>
        </w:trPr>
        <w:tc>
          <w:tcPr>
            <w:tcW w:w="1701" w:type="dxa"/>
            <w:noWrap/>
            <w:vAlign w:val="center"/>
            <w:hideMark/>
          </w:tcPr>
          <w:p w14:paraId="099EED21"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RR Lopes</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{"citationItems":[{"id":"ITEM-1","itemData":{"DOI":"10.1007/s12471-019-1285-7","ISSN":"18766250","abstract":"Background: Transcatheter aortic valve implantation (TAVI) has become a commonly applied procedure for high-risk aortic valve stenosis patients. However, for some patients, this procedure does not result in the expected benefits. Previous studies indicated that it is difficult to predict the beneficial effects for specific patients. We aim to study the accuracy of various traditional machine learning (ML) algorithms in the prediction of TAVI outcomes. Methods and results: Clinical and laboratory data from 1,478 TAVI patients from a single centre were collected. The outcome measures were improvement of dyspnoea and mortality. Three experiments were performed using (1) screening data, (2) laboratory data, and (3) the combination of both. Five well-established ML techniques were implemented, and the models were evaluated based on the area under the curve (AUC). Random forest classifier achieved the highest AUC (0.70) for predicting mortality. Logistic regression had the highest AUC (0.56) in predicting improvement of dyspnoea. Conclusions: In our single-centre TAVI population, the tree-based models were slightly more accurate than others in predicting mortality. However, ML models performed poorly in predicting improvement of dyspnoea.","author":[{"dropping-particle":"","family":"Lopes","given":"R. R.","non-dropping-particle":"","parse-names":false,"suffix":""},{"dropping-particle":"","family":"Mourik","given":"M. S.","non-dropping-particle":"van","parse-names":false,"suffix":""},{"dropping-particle":"V.","family":"Schaft","given":"E.","non-dropping-particle":"","parse-names":false,"suffix":""},{"dropping-particle":"","family":"Ramos","given":"L. A.","non-dropping-particle":"","parse-names":false,"suffix":""},{"dropping-particle":"","family":"Baan","given":"J.","non-dropping-particle":"","parse-names":false,"suffix":""},{"dropping-particle":"","family":"Vendrik","given":"J.","non-dropping-particle":"","parse-names":false,"suffix":""},{"dropping-particle":"","family":"Mol","given":"B. A.J.M.","non-dropping-particle":"de","parse-names":false,"suffix":""},{"dropping-particle":"","family":"Vis","given":"M. M.","non-dropping-particle":"","parse-names":false,"suffix":""},{"dropping-particle":"","family":"Marquering","given":"H. A.","non-dropping-particle":"","parse-names":false,"suffix":""}],"container-title":"Netherlands Heart Journal","id":"ITEM-1","issue":"9","issued":{"date-parts":[["2019"]]},"page":"443-450","title":"Value of machine learning in predicting TAVI outcomes","type":"article-journal","volume":"27"},"uris":["http://www.mendeley.com/documents/?uuid=58e5d93d-d07b-4c98-b1e8-5b23e261cde3"]}],"mendeley":{"formattedCitation":"&lt;sup&gt;31&lt;/sup&gt;","plainTextFormattedCitation":"31","previouslyFormattedCitation":"&lt;sup&gt;31&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31</w:t>
            </w:r>
            <w:r w:rsidRPr="00A427B2">
              <w:rPr>
                <w:rFonts w:ascii="Segoe UI" w:eastAsia="Times New Roman" w:hAnsi="Segoe UI" w:cs="Segoe UI"/>
                <w:color w:val="000000"/>
                <w:sz w:val="16"/>
                <w:szCs w:val="16"/>
              </w:rPr>
              <w:fldChar w:fldCharType="end"/>
            </w:r>
          </w:p>
        </w:tc>
        <w:tc>
          <w:tcPr>
            <w:tcW w:w="2122" w:type="dxa"/>
            <w:vAlign w:val="center"/>
          </w:tcPr>
          <w:p w14:paraId="30FBC249"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Netherlands Heart Journal</w:t>
            </w:r>
          </w:p>
        </w:tc>
        <w:tc>
          <w:tcPr>
            <w:tcW w:w="850" w:type="dxa"/>
            <w:vAlign w:val="center"/>
          </w:tcPr>
          <w:p w14:paraId="4559464F"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1.933</w:t>
            </w:r>
          </w:p>
        </w:tc>
        <w:tc>
          <w:tcPr>
            <w:tcW w:w="1276" w:type="dxa"/>
            <w:vAlign w:val="center"/>
          </w:tcPr>
          <w:p w14:paraId="0CEB0BB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302DE644"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Cardiovascular medicine</w:t>
            </w:r>
          </w:p>
        </w:tc>
        <w:tc>
          <w:tcPr>
            <w:tcW w:w="1541" w:type="dxa"/>
            <w:noWrap/>
            <w:vAlign w:val="center"/>
            <w:hideMark/>
          </w:tcPr>
          <w:p w14:paraId="6BE796AB"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2E8C016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4C1E99D2"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Mortality</w:t>
            </w:r>
          </w:p>
        </w:tc>
      </w:tr>
      <w:tr w:rsidR="00A427B2" w:rsidRPr="00A427B2" w14:paraId="26EA6AE4" w14:textId="77777777" w:rsidTr="001B1FC9">
        <w:trPr>
          <w:trHeight w:val="510"/>
        </w:trPr>
        <w:tc>
          <w:tcPr>
            <w:tcW w:w="1701" w:type="dxa"/>
            <w:noWrap/>
            <w:vAlign w:val="center"/>
            <w:hideMark/>
          </w:tcPr>
          <w:p w14:paraId="0E3926D9"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G Maragatham</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{"citationItems":[{"id":"ITEM-1","itemData":{"DOI":"10.1007/s10916-019-1243-3","ISBN":"1091601912433","ISSN":"1573689X","abstract":"The combination of big data and deep learning is a world-shattering technology that can make a great impact on any industry if used in a proper way. With the availability of large volume of health care datasets and progressions in deep learning techniques, systems are now well equipped in diagnosing many health problems. Utilizing the intensity of substantial historical information in electronic health record (EHR), we built up, a conventional predictive temporal model utilizing recurrent neural systems (RNN) like LSTM and connected to longitudinal time stepped EHR. Experience records were contribution to RNN to anticipate the analysis and prescription classes for a resulting visit during heart disappointment (e.g. diagnosis codes, drug codes or method codes). In this paper, we also investigated whether use of deep learning to model temporal relations among events in electronic health records (EHRs) would enhance the model performance in predicting initial diagnosis of heart failure (HF) compared to some of the traditional methods that disregard temporality. By examining these time stamped EHRs, we could recognize the associations between various diagnosis occasions and finally predicate when a patient is being analyzed for a disease. In any case, it is hard to access the current EHR data straightforwardly, since almost all data are sparse and not standardized. Along these lines, we proposed a robust model for prediction of heart failure. The fundamental commitment of this paper is to predict the failure of heart by means of a neural network model based on patient’s electronic medicinal information. In order to, demonstrate the diagnosis events and prediction of heart failure, we used the medical concept vectors and the essential standards of a long short-term memory (LSTM) deep network model. The proposed LSTM model uses SiLU and tanh as activation function in the hidden layers and Softmax in output layer in the network. Bridgeout is used as a regularization technique for weight optimization throughout the network. Assessments subject to the real-time data exhibit the favorable effectiveness and feasibility of recommended model in the risk of heart failure prediction. The results showed improved accuracy in heart failure detection and the model performance is compared using the existing deep learning models. Enhanced prior detection could expose novel chances for deferring or anticipating movement to analysis of heart failure and diminish cost.","author":[{"dropping-particle":"","family":"Maragatham","given":"G.","non-dropping-particle":"","parse-names":false,"suffix":""},{"dropping-particle":"","family":"Devi","given":"Shobana","non-dropping-particle":"","parse-names":false,"suffix":""}],"container-title":"Journal of Medical Systems","id":"ITEM-1","issue":"5","issued":{"date-parts":[["2019"]]},"publisher":"Journal of Medical Systems","title":"LSTM Model for Prediction of Heart Failure in Big Data","type":"article-journal","volume":"43"},"uris":["http://www.mendeley.com/documents/?uuid=1a0cbd99-133b-4ad7-a6cb-6fe38907cb77"]}],"mendeley":{"formattedCitation":"&lt;sup&gt;32&lt;/sup&gt;","plainTextFormattedCitation":"32","previouslyFormattedCitation":"&lt;sup&gt;32&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32</w:t>
            </w:r>
            <w:r w:rsidRPr="00A427B2">
              <w:rPr>
                <w:rFonts w:ascii="Segoe UI" w:eastAsia="Times New Roman" w:hAnsi="Segoe UI" w:cs="Segoe UI"/>
                <w:color w:val="000000"/>
                <w:sz w:val="16"/>
                <w:szCs w:val="16"/>
              </w:rPr>
              <w:fldChar w:fldCharType="end"/>
            </w:r>
          </w:p>
        </w:tc>
        <w:tc>
          <w:tcPr>
            <w:tcW w:w="2122" w:type="dxa"/>
            <w:vAlign w:val="center"/>
          </w:tcPr>
          <w:p w14:paraId="4194093B"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Journal of Medical Systems</w:t>
            </w:r>
          </w:p>
        </w:tc>
        <w:tc>
          <w:tcPr>
            <w:tcW w:w="850" w:type="dxa"/>
            <w:vAlign w:val="center"/>
          </w:tcPr>
          <w:p w14:paraId="6732F153"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3.058</w:t>
            </w:r>
          </w:p>
        </w:tc>
        <w:tc>
          <w:tcPr>
            <w:tcW w:w="1276" w:type="dxa"/>
            <w:vAlign w:val="center"/>
          </w:tcPr>
          <w:p w14:paraId="2860F5A4"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2ABC4B0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Cardiovascular medicine</w:t>
            </w:r>
          </w:p>
        </w:tc>
        <w:tc>
          <w:tcPr>
            <w:tcW w:w="1541" w:type="dxa"/>
            <w:noWrap/>
            <w:vAlign w:val="center"/>
            <w:hideMark/>
          </w:tcPr>
          <w:p w14:paraId="14980D9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284E017F"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539C1BF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Heart failure</w:t>
            </w:r>
          </w:p>
        </w:tc>
      </w:tr>
      <w:tr w:rsidR="00A427B2" w:rsidRPr="00A427B2" w14:paraId="15E5E6E1" w14:textId="77777777" w:rsidTr="001B1FC9">
        <w:trPr>
          <w:trHeight w:val="510"/>
        </w:trPr>
        <w:tc>
          <w:tcPr>
            <w:tcW w:w="1701" w:type="dxa"/>
            <w:noWrap/>
            <w:vAlign w:val="center"/>
            <w:hideMark/>
          </w:tcPr>
          <w:p w14:paraId="0A13663A"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C-Y Shao</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{"citationItems":[{"id":"ITEM-1","itemData":{"DOI":"10.1111/1759-7714.12990","ISSN":"17597714","abstract":"Background: Anastomotic leakage (AL), a serious complication after esophagectomy, might impair patient quality of life, prolong hospital stay, and even lead to surgery-related death. The aim of this study was to show a novel decision model based on classification and regression tree (CART) analysis for the prediction of postoperative AL among patients who have undergone esophagectomy. Methods: A total of 450 patients (training set: 356; test set: 94) with perioperative information were included. A decision tree model was established to identify the predictors of AL in the training set, which was validated in the test set. A receiver operating characteristic curve was also created to illustrate the diagnostic ability of the decision model. Results: A total of 12.2% (55/450) of the 450 patients suffered AL, which was diagnosed at median postoperative day 7 (range: 6–16). The decision tree model, containing surgical duration, postoperative lymphocyte count, and postoperative C-reactive protein to albumin ratio, was established by CART analysis. Among the three variables, the postoperative C-reactive protein to albumin ratio was identified as the most important indicator in the CART model with normalized importance of 100%. According to the results validated in the test set, the sensitivity, specificity, positive and negative predictive value, and diagnostic accuracy of the prediction model were 80%, 98.8%, 88.9%, 97.6%, and 96.8%, respectively. Moreover, the area under the receiver operating characteristic curve was 0.95. Conclusion: The decision model based on CART analysis presented good performance for predicting AL, and might allow the early identification of patients at high risk.","author":[{"dropping-particle":"","family":"Shao","given":"Chen Ye","non-dropping-particle":"","parse-names":false,"suffix":""},{"dropping-particle":"","family":"Liu","given":"Kai Chao","non-dropping-particle":"","parse-names":false,"suffix":""},{"dropping-particle":"","family":"Li","given":"Chu Ling","non-dropping-particle":"","parse-names":false,"suffix":""},{"dropping-particle":"","family":"Cong","given":"Zhuang Zhuang","non-dropping-particle":"","parse-names":false,"suffix":""},{"dropping-particle":"","family":"Hu","given":"Li Wen","non-dropping-particle":"","parse-names":false,"suffix":""},{"dropping-particle":"","family":"Luo","given":"Jing","non-dropping-particle":"","parse-names":false,"suffix":""},{"dropping-particle":"","family":"Diao","given":"Yi Fei","non-dropping-particle":"","parse-names":false,"suffix":""},{"dropping-particle":"","family":"Xu","given":"Yang","non-dropping-particle":"","parse-names":false,"suffix":""},{"dropping-particle":"","family":"Ji","given":"Sai Guang","non-dropping-particle":"","parse-names":false,"suffix":""},{"dropping-particle":"","family":"Qiang","given":"Yong","non-dropping-particle":"","parse-names":false,"suffix":""},{"dropping-particle":"","family":"Shen","given":"Yi","non-dropping-particle":"","parse-names":false,"suffix":""}],"container-title":"Thoracic Cancer","id":"ITEM-1","issue":"4","issued":{"date-parts":[["2019"]]},"page":"728-737","title":"C-reactive protein to albumin ratio is a key indicator in a predictive model for anastomosis leakage after esophagectomy: Application of classification and regression tree analysis","type":"article-journal","volume":"10"},"uris":["http://www.mendeley.com/documents/?uuid=68ce2aec-29fe-409a-a40c-0dac152aa661"]}],"mendeley":{"formattedCitation":"&lt;sup&gt;33&lt;/sup&gt;","plainTextFormattedCitation":"33","previouslyFormattedCitation":"&lt;sup&gt;33&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33</w:t>
            </w:r>
            <w:r w:rsidRPr="00A427B2">
              <w:rPr>
                <w:rFonts w:ascii="Segoe UI" w:eastAsia="Times New Roman" w:hAnsi="Segoe UI" w:cs="Segoe UI"/>
                <w:color w:val="000000"/>
                <w:sz w:val="16"/>
                <w:szCs w:val="16"/>
              </w:rPr>
              <w:fldChar w:fldCharType="end"/>
            </w:r>
          </w:p>
        </w:tc>
        <w:tc>
          <w:tcPr>
            <w:tcW w:w="2122" w:type="dxa"/>
            <w:vAlign w:val="center"/>
          </w:tcPr>
          <w:p w14:paraId="254577CB"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 xml:space="preserve">Thoracic Cancer </w:t>
            </w:r>
          </w:p>
        </w:tc>
        <w:tc>
          <w:tcPr>
            <w:tcW w:w="850" w:type="dxa"/>
            <w:vAlign w:val="center"/>
          </w:tcPr>
          <w:p w14:paraId="75116D7A"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2.610</w:t>
            </w:r>
          </w:p>
        </w:tc>
        <w:tc>
          <w:tcPr>
            <w:tcW w:w="1276" w:type="dxa"/>
            <w:vAlign w:val="center"/>
          </w:tcPr>
          <w:p w14:paraId="38A1CD2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3247C69B"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Surgery</w:t>
            </w:r>
          </w:p>
        </w:tc>
        <w:tc>
          <w:tcPr>
            <w:tcW w:w="1541" w:type="dxa"/>
            <w:noWrap/>
            <w:vAlign w:val="center"/>
            <w:hideMark/>
          </w:tcPr>
          <w:p w14:paraId="069AEAB3"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002A85F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7A61D2EE"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anastomosis leakage after esophagectomy</w:t>
            </w:r>
          </w:p>
        </w:tc>
      </w:tr>
      <w:tr w:rsidR="00A427B2" w:rsidRPr="00A427B2" w14:paraId="3A14D6F9" w14:textId="77777777" w:rsidTr="001B1FC9">
        <w:trPr>
          <w:trHeight w:val="510"/>
        </w:trPr>
        <w:tc>
          <w:tcPr>
            <w:tcW w:w="1701" w:type="dxa"/>
            <w:noWrap/>
            <w:vAlign w:val="center"/>
            <w:hideMark/>
          </w:tcPr>
          <w:p w14:paraId="2FD715B0"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V Sacca</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{"citationItems":[{"id":"ITEM-1","itemData":{"DOI":"10.1007/s11682-018-9926-9","ISSN":"19317565","abstract":"Machine Learning application on clinical data in order to support diagnosis and prognostic evaluation arouses growing interest in scientific community. However, choice of right algorithm to use was fundamental to perform reliable and robust classification. Our study aimed to explore if different kinds of Machine Learning technique could be effective to support early diagnosis of Multiple Sclerosis and which of them presented best performance in distinguishing Multiple Sclerosis patients from control subjects. We selected following algorithms: Random Forest, Support Vector Machine, Naïve-Bayes, K-nearest-neighbor and Artificial Neural Network. We applied the Independent Component Analysis to resting-state functional-MRI sequence to identify brain networks. We found 15 networks, from which we extracted the mean signals used into classification. We performed feature selection tasks in all algorithms to obtain the most important variables. We showed that best discriminant network between controls and early Multiple Sclerosis, was the sensori-motor I, according to early manifestation of motor/sensorial deficits in Multiple Sclerosis. Moreover, in classification performance, Random Forest and Support Vector Machine showed same 5-fold cross-validation accuracies (85.7%) using only this network, resulting to be best approaches. We believe that these findings could represent encouraging step toward the translation to clinical diagnosis and prognosis.","author":[{"dropping-particle":"","family":"Saccà","given":"Valeria","non-dropping-particle":"","parse-names":false,"suffix":""},{"dropping-particle":"","family":"Sarica","given":"Alessia","non-dropping-particle":"","parse-names":false,"suffix":""},{"dropping-particle":"","family":"Novellino","given":"Fabiana","non-dropping-particle":"","parse-names":false,"suffix":""},{"dropping-particle":"","family":"Barone","given":"Stefania","non-dropping-particle":"","parse-names":false,"suffix":""},{"dropping-particle":"","family":"Tallarico","given":"Tiziana","non-dropping-particle":"","parse-names":false,"suffix":""},{"dropping-particle":"","family":"Filippelli","given":"Enrica","non-dropping-particle":"","parse-names":false,"suffix":""},{"dropping-particle":"","family":"Granata","given":"Alfredo","non-dropping-particle":"","parse-names":false,"suffix":""},{"dropping-particle":"","family":"Chiriaco","given":"Carmelina","non-dropping-particle":"","parse-names":false,"suffix":""},{"dropping-particle":"","family":"Bruno Bossio","given":"Roberto","non-dropping-particle":"","parse-names":false,"suffix":""},{"dropping-particle":"","family":"Valentino","given":"Paola","non-dropping-particle":"","parse-names":false,"suffix":""},{"dropping-particle":"","family":"Quattrone","given":"Aldo","non-dropping-particle":"","parse-names":false,"suffix":""}],"container-title":"Brain Imaging and Behavior","id":"ITEM-1","issue":"4","issued":{"date-parts":[["2019"]]},"page":"1103-1114","publisher":"Brain Imaging and Behavior","title":"Evaluation of machine learning algorithms performance for the prediction of early multiple sclerosis from resting-state FMRI connectivity data","type":"article-journal","volume":"13"},"uris":["http://www.mendeley.com/documents/?uuid=126095f3-7a83-4eac-b41a-78db77ff8fb1"]}],"mendeley":{"formattedCitation":"&lt;sup&gt;34&lt;/sup&gt;","plainTextFormattedCitation":"34","previouslyFormattedCitation":"&lt;sup&gt;34&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34</w:t>
            </w:r>
            <w:r w:rsidRPr="00A427B2">
              <w:rPr>
                <w:rFonts w:ascii="Segoe UI" w:eastAsia="Times New Roman" w:hAnsi="Segoe UI" w:cs="Segoe UI"/>
                <w:color w:val="000000"/>
                <w:sz w:val="16"/>
                <w:szCs w:val="16"/>
              </w:rPr>
              <w:fldChar w:fldCharType="end"/>
            </w:r>
          </w:p>
        </w:tc>
        <w:tc>
          <w:tcPr>
            <w:tcW w:w="2122" w:type="dxa"/>
            <w:vAlign w:val="center"/>
          </w:tcPr>
          <w:p w14:paraId="6967D382"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Brain Imaging and Behavior</w:t>
            </w:r>
          </w:p>
        </w:tc>
        <w:tc>
          <w:tcPr>
            <w:tcW w:w="850" w:type="dxa"/>
            <w:vAlign w:val="center"/>
          </w:tcPr>
          <w:p w14:paraId="4F2A0282"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3.418</w:t>
            </w:r>
          </w:p>
        </w:tc>
        <w:tc>
          <w:tcPr>
            <w:tcW w:w="1276" w:type="dxa"/>
            <w:vAlign w:val="center"/>
          </w:tcPr>
          <w:p w14:paraId="19AF1EBA"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2018</w:t>
            </w:r>
          </w:p>
        </w:tc>
        <w:tc>
          <w:tcPr>
            <w:tcW w:w="1559" w:type="dxa"/>
            <w:noWrap/>
            <w:vAlign w:val="center"/>
            <w:hideMark/>
          </w:tcPr>
          <w:p w14:paraId="6E3A95D1"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Neurology</w:t>
            </w:r>
          </w:p>
        </w:tc>
        <w:tc>
          <w:tcPr>
            <w:tcW w:w="1541" w:type="dxa"/>
            <w:noWrap/>
            <w:vAlign w:val="center"/>
            <w:hideMark/>
          </w:tcPr>
          <w:p w14:paraId="5892615E"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Diagnosis</w:t>
            </w:r>
          </w:p>
        </w:tc>
        <w:tc>
          <w:tcPr>
            <w:tcW w:w="2481" w:type="dxa"/>
            <w:noWrap/>
            <w:vAlign w:val="center"/>
            <w:hideMark/>
          </w:tcPr>
          <w:p w14:paraId="02AE497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7345066F"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 xml:space="preserve">Early multiple sclerosis </w:t>
            </w:r>
          </w:p>
        </w:tc>
      </w:tr>
      <w:tr w:rsidR="00A427B2" w:rsidRPr="00A427B2" w14:paraId="1363936A" w14:textId="77777777" w:rsidTr="001B1FC9">
        <w:trPr>
          <w:trHeight w:val="510"/>
        </w:trPr>
        <w:tc>
          <w:tcPr>
            <w:tcW w:w="1701" w:type="dxa"/>
            <w:noWrap/>
            <w:vAlign w:val="center"/>
            <w:hideMark/>
          </w:tcPr>
          <w:p w14:paraId="4C87E898"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lastRenderedPageBreak/>
              <w:t>M Cearns</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{"citationItems":[{"id":"ITEM-1","itemData":{"DOI":"10.1038/s41398-019-0615-2","ISSN":"21583188","PMID":"31712550","abstract":"Machine learning methods show promise to translate univariate biomarker findings into clinically useful multivariate decision support systems. At current, works in major depressive disorder have predominantly focused on neuroimaging and clinical predictor modalities, with genetic, blood-biomarker, and cardiovascular modalities lacking. In addition, the prediction of rehospitalization after an initial inpatient major depressive episode is yet to be explored, despite its clinical importance. To address this gap in the literature, we have used baseline clinical, structural imaging, blood-biomarker, genetic (polygenic risk scores), bioelectrical impedance and electrocardiography predictors to predict rehospitalization within 2 years of an initial inpatient episode of major depression. Three hundred and eighty patients from the ongoing 12-year Bidirect study were included in the analysis (rehospitalized: yes = 102, no = 278). Inclusion criteria was age ≥35 and &lt;66 years, a current or recent hospitalisation for a major depressive episode and complete structural imaging and genetic data. Optimal performance was achieved with a multimodal panel containing structural imaging, blood-biomarker, clinical, medication type, and sleep quality predictors, attaining a test AUC of 67.74 (p = 9.99−05). This multimodal solution outperformed models based on clinical variables alone, combined biomarkers, and individual data modality prognostication for rehospitalization prediction. This finding points to the potential of predictive models that combine multimodal clinical and biomarker data in the development of clinical decision support systems.","author":[{"dropping-particle":"","family":"Cearns","given":"Micah","non-dropping-particle":"","parse-names":false,"suffix":""},{"dropping-particle":"","family":"Opel","given":"Nils","non-dropping-particle":"","parse-names":false,"suffix":""},{"dropping-particle":"","family":"Clark","given":"Scott","non-dropping-particle":"","parse-names":false,"suffix":""},{"dropping-particle":"","family":"Kaehler","given":"Claas","non-dropping-particle":"","parse-names":false,"suffix":""},{"dropping-particle":"","family":"Thalamuthu","given":"Anbupalam","non-dropping-particle":"","parse-names":false,"suffix":""},{"dropping-particle":"","family":"Heindel","given":"Walter","non-dropping-particle":"","parse-names":false,"suffix":""},{"dropping-particle":"","family":"Winter","given":"Theresa","non-dropping-particle":"","parse-names":false,"suffix":""},{"dropping-particle":"","family":"Teismann","given":"Henning","non-dropping-particle":"","parse-names":false,"suffix":""},{"dropping-particle":"","family":"Minnerup","given":"Heike","non-dropping-particle":"","parse-names":false,"suffix":""},{"dropping-particle":"","family":"Dannlowski","given":"Udo","non-dropping-particle":"","parse-names":false,"suffix":""},{"dropping-particle":"","family":"Berger","given":"Klaus","non-dropping-particle":"","parse-names":false,"suffix":""},{"dropping-particle":"","family":"Baune","given":"Bernhard T.","non-dropping-particle":"","parse-names":false,"suffix":""}],"container-title":"Translational Psychiatry","id":"ITEM-1","issue":"1","issued":{"date-parts":[["2019"]]},"publisher":"Springer US","title":"Predicting rehospitalization within 2 years of initial patient admission for a major depressive episode: a multimodal machine learning approach","type":"article-journal","volume":"9"},"uris":["http://www.mendeley.com/documents/?uuid=e7a871c0-5d52-4128-9ff4-ceeab2e7af83"]}],"mendeley":{"formattedCitation":"&lt;sup&gt;35&lt;/sup&gt;","plainTextFormattedCitation":"35","previouslyFormattedCitation":"&lt;sup&gt;35&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35</w:t>
            </w:r>
            <w:r w:rsidRPr="00A427B2">
              <w:rPr>
                <w:rFonts w:ascii="Segoe UI" w:eastAsia="Times New Roman" w:hAnsi="Segoe UI" w:cs="Segoe UI"/>
                <w:color w:val="000000"/>
                <w:sz w:val="16"/>
                <w:szCs w:val="16"/>
              </w:rPr>
              <w:fldChar w:fldCharType="end"/>
            </w:r>
          </w:p>
        </w:tc>
        <w:tc>
          <w:tcPr>
            <w:tcW w:w="2122" w:type="dxa"/>
            <w:vAlign w:val="center"/>
          </w:tcPr>
          <w:p w14:paraId="14F2FCC4"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Translational Psychiatry</w:t>
            </w:r>
          </w:p>
        </w:tc>
        <w:tc>
          <w:tcPr>
            <w:tcW w:w="850" w:type="dxa"/>
            <w:vAlign w:val="center"/>
          </w:tcPr>
          <w:p w14:paraId="48D7B41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5.280</w:t>
            </w:r>
          </w:p>
        </w:tc>
        <w:tc>
          <w:tcPr>
            <w:tcW w:w="1276" w:type="dxa"/>
            <w:vAlign w:val="center"/>
          </w:tcPr>
          <w:p w14:paraId="162565E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33C2E639"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Psychiatry</w:t>
            </w:r>
          </w:p>
        </w:tc>
        <w:tc>
          <w:tcPr>
            <w:tcW w:w="1541" w:type="dxa"/>
            <w:noWrap/>
            <w:vAlign w:val="center"/>
            <w:hideMark/>
          </w:tcPr>
          <w:p w14:paraId="5706DEF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3DA57849"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1004635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Re-hospitalization within 2 years of major depressive episode</w:t>
            </w:r>
          </w:p>
        </w:tc>
      </w:tr>
      <w:tr w:rsidR="00A427B2" w:rsidRPr="00A427B2" w14:paraId="3B1D3BCE" w14:textId="77777777" w:rsidTr="001B1FC9">
        <w:trPr>
          <w:trHeight w:val="510"/>
        </w:trPr>
        <w:tc>
          <w:tcPr>
            <w:tcW w:w="1701" w:type="dxa"/>
            <w:noWrap/>
            <w:vAlign w:val="center"/>
            <w:hideMark/>
          </w:tcPr>
          <w:p w14:paraId="6E1B13AF"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MJRJ Bouts</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{"citationItems":[{"id":"ITEM-1","itemData":{"DOI":"10.1002/hbm.24554","ISSN":"10970193","abstract":"Early and accurate mild cognitive impairment (MCI) detection within a heterogeneous, nonclinical population is needed to improve care for persons at risk of developing dementia. Magnetic resonance imaging (MRI)-based classification may aid early diagnosis of MCI, but has only been applied within clinical cohorts. We aimed to determine the generalizability of MRI-based classification probability scores to detect MCI on an individual basis within a general population. To determine classification probability scores, an AD, mild-AD, and moderate-AD detection model were created with anatomical and diffusion MRI measures calculated from a clinical Alzheimer's Disease (AD) cohort and subsequently applied to a population-based cohort with 48 MCI and 617 normal aging subjects. Each model's ability to detect MCI was quantified using area under the receiver operating characteristic curve (AUC) and compared with an MCI detection model trained and applied to the population-based cohort. The AD-model and mild-AD identified MCI from controls better than chance level (AUC = 0.600, p = 0.025; AUC = 0.619, p = 0.008). In contrast, the moderate-AD-model was not able to separate MCI from normal aging (AUC = 0.567, p = 0.147). The MCI-model was able to separate MCI from controls better than chance (p = 0.014) with mean AUC values comparable with the AD-model (AUC = 0.611, p = 1.0). Within our population-based cohort, classification models detected MCI better than chance. Nevertheless, classification performance rates were moderate and may be insufficient to facilitate robust MRI-based MCI detection on an individual basis. Our data indicate that multiparametric MRI-based classification algorithms, that are effective in clinical cohorts, may not straightforwardly translate to applications in a general population.","author":[{"dropping-particle":"","family":"Bouts","given":"Mark J.R.J.","non-dropping-particle":"","parse-names":false,"suffix":""},{"dropping-particle":"","family":"Grond","given":"Jeroen","non-dropping-particle":"van der","parse-names":false,"suffix":""},{"dropping-particle":"","family":"Vernooij","given":"Meike W.","non-dropping-particle":"","parse-names":false,"suffix":""},{"dropping-particle":"","family":"Koini","given":"Marisa","non-dropping-particle":"","parse-names":false,"suffix":""},{"dropping-particle":"","family":"Schouten","given":"Tijn M.","non-dropping-particle":"","parse-names":false,"suffix":""},{"dropping-particle":"","family":"Vos","given":"Frank","non-dropping-particle":"de","parse-names":false,"suffix":""},{"dropping-particle":"","family":"Feis","given":"Rogier A.","non-dropping-particle":"","parse-names":false,"suffix":""},{"dropping-particle":"","family":"Cremers","given":"Lotte G.M.","non-dropping-particle":"","parse-names":false,"suffix":""},{"dropping-particle":"","family":"Lechner","given":"Anita","non-dropping-particle":"","parse-names":false,"suffix":""},{"dropping-particle":"","family":"Schmidt","given":"Reinhold","non-dropping-particle":"","parse-names":false,"suffix":""},{"dropping-particle":"","family":"Rooij","given":"Mark","non-dropping-particle":"de","parse-names":false,"suffix":""},{"dropping-particle":"","family":"Niessen","given":"Wiro J.","non-dropping-particle":"","parse-names":false,"suffix":""},{"dropping-particle":"","family":"Ikram","given":"M. Arfan","non-dropping-particle":"","parse-names":false,"suffix":""},{"dropping-particle":"","family":"Rombouts","given":"Serge A.R.B.","non-dropping-particle":"","parse-names":false,"suffix":""}],"container-title":"Human Brain Mapping","id":"ITEM-1","issue":"9","issued":{"date-parts":[["2019"]]},"page":"2711-2722","title":"Detection of mild cognitive impairment in a community-dwelling population using quantitative, multiparametric MRI-based classification","type":"article-journal","volume":"40"},"uris":["http://www.mendeley.com/documents/?uuid=db3fb6fc-81eb-4d74-88b9-cab791627179"]}],"mendeley":{"formattedCitation":"&lt;sup&gt;36&lt;/sup&gt;","plainTextFormattedCitation":"36","previouslyFormattedCitation":"&lt;sup&gt;36&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36</w:t>
            </w:r>
            <w:r w:rsidRPr="00A427B2">
              <w:rPr>
                <w:rFonts w:ascii="Segoe UI" w:eastAsia="Times New Roman" w:hAnsi="Segoe UI" w:cs="Segoe UI"/>
                <w:color w:val="000000"/>
                <w:sz w:val="16"/>
                <w:szCs w:val="16"/>
              </w:rPr>
              <w:fldChar w:fldCharType="end"/>
            </w:r>
          </w:p>
        </w:tc>
        <w:tc>
          <w:tcPr>
            <w:tcW w:w="2122" w:type="dxa"/>
            <w:vAlign w:val="center"/>
          </w:tcPr>
          <w:p w14:paraId="1FCF1A09"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Human Brain Mapping</w:t>
            </w:r>
          </w:p>
        </w:tc>
        <w:tc>
          <w:tcPr>
            <w:tcW w:w="850" w:type="dxa"/>
            <w:vAlign w:val="center"/>
          </w:tcPr>
          <w:p w14:paraId="67268FA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4.421</w:t>
            </w:r>
          </w:p>
        </w:tc>
        <w:tc>
          <w:tcPr>
            <w:tcW w:w="1276" w:type="dxa"/>
            <w:vAlign w:val="center"/>
          </w:tcPr>
          <w:p w14:paraId="4D62D9D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644B8F20"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Neurology</w:t>
            </w:r>
          </w:p>
        </w:tc>
        <w:tc>
          <w:tcPr>
            <w:tcW w:w="1541" w:type="dxa"/>
            <w:noWrap/>
            <w:vAlign w:val="center"/>
            <w:hideMark/>
          </w:tcPr>
          <w:p w14:paraId="41BEBB28"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Diagnosis</w:t>
            </w:r>
          </w:p>
        </w:tc>
        <w:tc>
          <w:tcPr>
            <w:tcW w:w="2481" w:type="dxa"/>
            <w:noWrap/>
            <w:vAlign w:val="center"/>
            <w:hideMark/>
          </w:tcPr>
          <w:p w14:paraId="4D1EC30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with external validation (same model)</w:t>
            </w:r>
          </w:p>
        </w:tc>
        <w:tc>
          <w:tcPr>
            <w:tcW w:w="2860" w:type="dxa"/>
            <w:noWrap/>
            <w:vAlign w:val="center"/>
            <w:hideMark/>
          </w:tcPr>
          <w:p w14:paraId="302CA0B0"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Mild cognitive impairment</w:t>
            </w:r>
          </w:p>
        </w:tc>
      </w:tr>
      <w:tr w:rsidR="00A427B2" w:rsidRPr="00A427B2" w14:paraId="36C1BEE9" w14:textId="77777777" w:rsidTr="001B1FC9">
        <w:trPr>
          <w:trHeight w:val="510"/>
        </w:trPr>
        <w:tc>
          <w:tcPr>
            <w:tcW w:w="1701" w:type="dxa"/>
            <w:noWrap/>
            <w:vAlign w:val="center"/>
            <w:hideMark/>
          </w:tcPr>
          <w:p w14:paraId="6B8C2CB1"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NB Huben</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{"citationItems":[{"id":"ITEM-1","itemData":{"DOI":"10.1089/end.2018.0249","ISSN":"1557900X","abstract":"Objectives: To develop a methodology for predicting operative times for robot-assisted radical prostatectomy (RARP) using preoperative patient, disease, procedural, and surgeon variables to facilitate operating room (OR) scheduling. Methods: The model included preoperative metrics: body mass index (BMI), American Society of Anesthesiologists score, clinical stage, National Comprehensive Cancer Network risk, prostate weight, nerve-sparing status, extent and laterality of lymph node dissection, and operating surgeon (six surgeons were included in the study). A binary decision tree was fit using a conditional inference tree method to predict operative times. The variables most associated with operative time were determined using permutation tests. Data were split at the value of the variable that results in the largest difference in mean for surgical time across the split. This process was repeated recursively on the resultant data. Results: A total of 1709 RARPs were included. The variable most strongly associated with operative time was the surgeon (surgeons 2 and 4 - 102 minutes shorter than surgeons 1, 3, 5, and 6, p &lt; 0.001). Among surgeons 2 and 4, BMI had the strongest association with surgical time (p &lt; 0.001). Among patients operated by surgeons 1, 3, 5, and 6, RARP time was again most strongly associated with the surgeon performing RARP. Surgeons 1, 3, and 6 were on average 76 minutes faster than surgeon 5 (p &lt; 0.001). The regression tree output in the form of box plots showed operative time median and ranges according to patient, disease, procedural, and surgeon metrics. Conclusion: We developed a methodology that can predict operative times for RARP based on patient, disease and surgeon variables. This methodology can be utilized for quality control, facilitate OR scheduling, and maximize OR efficiency.","author":[{"dropping-particle":"","family":"Huben","given":"Neil B.","non-dropping-particle":"","parse-names":false,"suffix":""},{"dropping-particle":"","family":"Hussein","given":"Ahmed A.","non-dropping-particle":"","parse-names":false,"suffix":""},{"dropping-particle":"","family":"May","given":"Paul R.","non-dropping-particle":"","parse-names":false,"suffix":""},{"dropping-particle":"","family":"Whittum","given":"Michelle","non-dropping-particle":"","parse-names":false,"suffix":""},{"dropping-particle":"","family":"Krasowski","given":"Collin","non-dropping-particle":"","parse-names":false,"suffix":""},{"dropping-particle":"","family":"Ahmed","given":"Youssef E.","non-dropping-particle":"","parse-names":false,"suffix":""},{"dropping-particle":"","family":"Jing","given":"Zhe","non-dropping-particle":"","parse-names":false,"suffix":""},{"dropping-particle":"","family":"Khan","given":"Hijab","non-dropping-particle":"","parse-names":false,"suffix":""},{"dropping-particle":"","family":"Kim","given":"Hyung L.","non-dropping-particle":"","parse-names":false,"suffix":""},{"dropping-particle":"","family":"Schwaab","given":"Thomas","non-dropping-particle":"","parse-names":false,"suffix":""},{"dropping-particle":"","family":"Underwood","given":"Willie","non-dropping-particle":"","parse-names":false,"suffix":""},{"dropping-particle":"","family":"Kauffman","given":"Eric C.","non-dropping-particle":"","parse-names":false,"suffix":""},{"dropping-particle":"","family":"Mohler","given":"James L.","non-dropping-particle":"","parse-names":false,"suffix":""},{"dropping-particle":"","family":"Guru","given":"Khurshid A.","non-dropping-particle":"","parse-names":false,"suffix":""}],"container-title":"Journal of Endourology","id":"ITEM-1","issue":"8","issued":{"date-parts":[["2018"]]},"page":"730-736","title":"Development of a Patient-Based Model for Estimating Operative Times for Robot-Assisted Radical Prostatectomy","type":"article-journal","volume":"32"},"uris":["http://www.mendeley.com/documents/?uuid=d0024f12-7e6b-49a0-8c55-01b67d07a143"]}],"mendeley":{"formattedCitation":"&lt;sup&gt;37&lt;/sup&gt;","plainTextFormattedCitation":"37","previouslyFormattedCitation":"&lt;sup&gt;37&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37</w:t>
            </w:r>
            <w:r w:rsidRPr="00A427B2">
              <w:rPr>
                <w:rFonts w:ascii="Segoe UI" w:eastAsia="Times New Roman" w:hAnsi="Segoe UI" w:cs="Segoe UI"/>
                <w:color w:val="000000"/>
                <w:sz w:val="16"/>
                <w:szCs w:val="16"/>
              </w:rPr>
              <w:fldChar w:fldCharType="end"/>
            </w:r>
          </w:p>
        </w:tc>
        <w:tc>
          <w:tcPr>
            <w:tcW w:w="2122" w:type="dxa"/>
            <w:vAlign w:val="center"/>
          </w:tcPr>
          <w:p w14:paraId="7B9B80DA"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Journal of Endourology</w:t>
            </w:r>
          </w:p>
        </w:tc>
        <w:tc>
          <w:tcPr>
            <w:tcW w:w="850" w:type="dxa"/>
            <w:vAlign w:val="center"/>
          </w:tcPr>
          <w:p w14:paraId="17AB237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2.267</w:t>
            </w:r>
          </w:p>
        </w:tc>
        <w:tc>
          <w:tcPr>
            <w:tcW w:w="1276" w:type="dxa"/>
            <w:vAlign w:val="center"/>
          </w:tcPr>
          <w:p w14:paraId="1B7C0783"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2018</w:t>
            </w:r>
          </w:p>
        </w:tc>
        <w:tc>
          <w:tcPr>
            <w:tcW w:w="1559" w:type="dxa"/>
            <w:noWrap/>
            <w:vAlign w:val="center"/>
            <w:hideMark/>
          </w:tcPr>
          <w:p w14:paraId="0038F56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Urology</w:t>
            </w:r>
          </w:p>
        </w:tc>
        <w:tc>
          <w:tcPr>
            <w:tcW w:w="1541" w:type="dxa"/>
            <w:noWrap/>
            <w:vAlign w:val="center"/>
            <w:hideMark/>
          </w:tcPr>
          <w:p w14:paraId="242BF8FE"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45FBEA10"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6C4F3C1B"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Operative time for RARP</w:t>
            </w:r>
          </w:p>
        </w:tc>
      </w:tr>
      <w:tr w:rsidR="00A427B2" w:rsidRPr="00A427B2" w14:paraId="0F135329" w14:textId="77777777" w:rsidTr="001B1FC9">
        <w:trPr>
          <w:trHeight w:val="510"/>
        </w:trPr>
        <w:tc>
          <w:tcPr>
            <w:tcW w:w="1701" w:type="dxa"/>
            <w:noWrap/>
            <w:vAlign w:val="center"/>
            <w:hideMark/>
          </w:tcPr>
          <w:p w14:paraId="41C5C81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AT Hale</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{"citationItems":[{"id":"ITEM-1","itemData":{"DOI":"10.3171/2018.8.FOCUS17773","ISSN":"10920684","abstract":"OBJECTIVE Modern surgical planning and prognostication requires the most accurate outcomes data to practice evidence-based medicine. For clinicians treating children following traumatic brain injury (TBI) these data are severely lacking. The first aim of this study was to assess published CT classification systems in the authors' pediatric cohort. A pediatric-specific machine-learning algorithm called an artificial neural network (ANN) was then created that robustly outperformed traditional CT classification systems in predicting TBI outcomes in children. METHODS The clinical records of children under the age of 18 who suffered a TBI and underwent head CT within 24 hours after TBI (n = 565) were retrospectively reviewed. RESULTS \"Favorable\" outcome (alive with Glasgow Outcome Scale [GOS] score = 4 at 6 months postinjury, n = 533) and \"unfavorable\" outcome (death at 6 months or GOS score = 3 at 6 months postinjury, n = 32) were used as the primary outcomes. The area under the receiver operating characteristic (ROC) curve (AUC) was used to delineate the strength of each CT grading system in predicting survival (Helsinki, 0.814; Rotterdam, 0.838; and Marshall, 0.781). The AUC for CT score in predicting GOS score = 3, a measure of overall functionality, was similarly predictive (Helsinki, 0.717; Rotterdam, 0.748; and Marshall, 0.663). An ANN was then constructed that was able to predict 6-month outcomes with profound accuracy (AUC = 0.9462 ± 0.0422). CONCLUSIONS This study showed that machine-learning can be leveraged to more accurately predict TBI outcomes in children.","author":[{"dropping-particle":"","family":"Hale","given":"Andrew T.","non-dropping-particle":"","parse-names":false,"suffix":""},{"dropping-particle":"","family":"Stonko","given":"David P.","non-dropping-particle":"","parse-names":false,"suffix":""},{"dropping-particle":"","family":"Brown","given":"Amber","non-dropping-particle":"","parse-names":false,"suffix":""},{"dropping-particle":"","family":"Lim","given":"Jaims","non-dropping-particle":"","parse-names":false,"suffix":""},{"dropping-particle":"","family":"Voce","given":"David J.","non-dropping-particle":"","parse-names":false,"suffix":""},{"dropping-particle":"","family":"Gannon","given":"Stephen R.","non-dropping-particle":"","parse-names":false,"suffix":""},{"dropping-particle":"","family":"Le","given":"Truc M.","non-dropping-particle":"","parse-names":false,"suffix":""},{"dropping-particle":"","family":"Shannon","given":"Chevis N.","non-dropping-particle":"","parse-names":false,"suffix":""}],"container-title":"Neurosurgical Focus","id":"ITEM-1","issue":"5","issued":{"date-parts":[["2018"]]},"page":"1-7","title":"Machine-learning analysis outperforms conventional statistical models and CT classification systems in predicting 6-month outcomes in pediatric patients sustaining traumatic brain injury","type":"article-journal","volume":"45"},"uris":["http://www.mendeley.com/documents/?uuid=72752ced-3ee2-4538-9fc1-245333df90c8"]}],"mendeley":{"formattedCitation":"&lt;sup&gt;38&lt;/sup&gt;","plainTextFormattedCitation":"38","previouslyFormattedCitation":"&lt;sup&gt;38&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38</w:t>
            </w:r>
            <w:r w:rsidRPr="00A427B2">
              <w:rPr>
                <w:rFonts w:ascii="Segoe UI" w:eastAsia="Times New Roman" w:hAnsi="Segoe UI" w:cs="Segoe UI"/>
                <w:color w:val="000000"/>
                <w:sz w:val="16"/>
                <w:szCs w:val="16"/>
              </w:rPr>
              <w:fldChar w:fldCharType="end"/>
            </w:r>
          </w:p>
        </w:tc>
        <w:tc>
          <w:tcPr>
            <w:tcW w:w="2122" w:type="dxa"/>
            <w:vAlign w:val="center"/>
          </w:tcPr>
          <w:p w14:paraId="5B99CCDB"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Neurosurgical focus</w:t>
            </w:r>
          </w:p>
        </w:tc>
        <w:tc>
          <w:tcPr>
            <w:tcW w:w="850" w:type="dxa"/>
            <w:vAlign w:val="center"/>
          </w:tcPr>
          <w:p w14:paraId="3654D7B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2.891</w:t>
            </w:r>
          </w:p>
        </w:tc>
        <w:tc>
          <w:tcPr>
            <w:tcW w:w="1276" w:type="dxa"/>
            <w:vAlign w:val="center"/>
          </w:tcPr>
          <w:p w14:paraId="6FE50988"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2018</w:t>
            </w:r>
          </w:p>
        </w:tc>
        <w:tc>
          <w:tcPr>
            <w:tcW w:w="1559" w:type="dxa"/>
            <w:noWrap/>
            <w:vAlign w:val="center"/>
            <w:hideMark/>
          </w:tcPr>
          <w:p w14:paraId="40AB9620"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Critical care</w:t>
            </w:r>
          </w:p>
        </w:tc>
        <w:tc>
          <w:tcPr>
            <w:tcW w:w="1541" w:type="dxa"/>
            <w:noWrap/>
            <w:vAlign w:val="center"/>
            <w:hideMark/>
          </w:tcPr>
          <w:p w14:paraId="11AB1CE0"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6C7F6948"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6EF6D9E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Death or alive with GOS score ≤ 3</w:t>
            </w:r>
          </w:p>
        </w:tc>
      </w:tr>
      <w:tr w:rsidR="00A427B2" w:rsidRPr="00A427B2" w14:paraId="189DEE09" w14:textId="77777777" w:rsidTr="001B1FC9">
        <w:trPr>
          <w:trHeight w:val="510"/>
        </w:trPr>
        <w:tc>
          <w:tcPr>
            <w:tcW w:w="1701" w:type="dxa"/>
            <w:noWrap/>
            <w:vAlign w:val="center"/>
            <w:hideMark/>
          </w:tcPr>
          <w:p w14:paraId="7369FB52"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C Salvatore</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{"citationItems":[{"id":"ITEM-1","itemData":{"DOI":"10.1016/j.jneumeth.2017.12.016","ISSN":"1872678X","abstract":"Background: AD is the most frequent neurodegenerative disease, severely impacting our society. Early diagnosis and prognosis are challenging tasks in the management of AD patients. New method: We implemented a machine-learning classifier for the automatic early diagnosis and prognosis of AD by means of features extracted, selected and optimized from structural MRI brain images. The classifier was designed to perform multi-label automatic classification into the following four classes: HC, ncMCI, cMCI, and AD. Results: From our analyses, it emerged that MMSE and hippocampus-related measures must be included as primary measures in automatic-classification systems for both the early diagnosis and the prognosis of AD. The voting scheme mainly based on the binary-classification performances on the different four groups is the best choice to model the multi-label decision function for AD, when compared with a simple majority-vote scheme or with a scheme aimed at discriminating patients with high vs low risk of conversion to AD and therapy addressing. Comparison with existing method(s): The accuracies of our binary classifications were higher than or comparable to previously published methods. An improvement is needed on the approach we used to combine binary-classification outputs to obtain the final multi-label classification. Conclusions: The performance of multi-label automatic-classification systems strongly depends on the choice of the voting scheme used for combining binary-classification labels.","author":[{"dropping-particle":"","family":"Salvatore","given":"C.","non-dropping-particle":"","parse-names":false,"suffix":""},{"dropping-particle":"","family":"Castiglioni","given":"I.","non-dropping-particle":"","parse-names":false,"suffix":""}],"container-title":"Journal of Neuroscience Methods","id":"ITEM-1","issued":{"date-parts":[["2018"]]},"page":"58-65","publisher":"Elsevier B.V.","title":"A wrapped multi-label classifier for the automatic diagnosis and prognosis of Alzheimer's disease","type":"article-journal","volume":"302"},"uris":["http://www.mendeley.com/documents/?uuid=e32ec0ea-5962-482e-af2c-10270c647d3a"]}],"mendeley":{"formattedCitation":"&lt;sup&gt;39&lt;/sup&gt;","plainTextFormattedCitation":"39","previouslyFormattedCitation":"&lt;sup&gt;39&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39</w:t>
            </w:r>
            <w:r w:rsidRPr="00A427B2">
              <w:rPr>
                <w:rFonts w:ascii="Segoe UI" w:eastAsia="Times New Roman" w:hAnsi="Segoe UI" w:cs="Segoe UI"/>
                <w:color w:val="000000"/>
                <w:sz w:val="16"/>
                <w:szCs w:val="16"/>
              </w:rPr>
              <w:fldChar w:fldCharType="end"/>
            </w:r>
            <w:r w:rsidRPr="00A427B2">
              <w:rPr>
                <w:rFonts w:ascii="Segoe UI" w:eastAsia="Times New Roman" w:hAnsi="Segoe UI" w:cs="Segoe UI"/>
                <w:color w:val="000000"/>
                <w:sz w:val="16"/>
                <w:szCs w:val="16"/>
              </w:rPr>
              <w:t xml:space="preserve"> </w:t>
            </w:r>
          </w:p>
        </w:tc>
        <w:tc>
          <w:tcPr>
            <w:tcW w:w="2122" w:type="dxa"/>
            <w:vAlign w:val="center"/>
          </w:tcPr>
          <w:p w14:paraId="43DB782B"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Journal of Neuroscience Methods</w:t>
            </w:r>
          </w:p>
        </w:tc>
        <w:tc>
          <w:tcPr>
            <w:tcW w:w="850" w:type="dxa"/>
            <w:vAlign w:val="center"/>
          </w:tcPr>
          <w:p w14:paraId="559DDB5E"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2.785</w:t>
            </w:r>
          </w:p>
        </w:tc>
        <w:tc>
          <w:tcPr>
            <w:tcW w:w="1276" w:type="dxa"/>
            <w:vAlign w:val="center"/>
          </w:tcPr>
          <w:p w14:paraId="23F58582"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2018</w:t>
            </w:r>
          </w:p>
        </w:tc>
        <w:tc>
          <w:tcPr>
            <w:tcW w:w="1559" w:type="dxa"/>
            <w:noWrap/>
            <w:vAlign w:val="center"/>
            <w:hideMark/>
          </w:tcPr>
          <w:p w14:paraId="1D0F965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Neurology</w:t>
            </w:r>
          </w:p>
        </w:tc>
        <w:tc>
          <w:tcPr>
            <w:tcW w:w="1541" w:type="dxa"/>
            <w:noWrap/>
            <w:vAlign w:val="center"/>
            <w:hideMark/>
          </w:tcPr>
          <w:p w14:paraId="7A070701"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7AA4A02E"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18A1F76E"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Cognitive status (HC; ncMCI; cMCI; AD)</w:t>
            </w:r>
          </w:p>
        </w:tc>
      </w:tr>
      <w:tr w:rsidR="00A427B2" w:rsidRPr="00A427B2" w14:paraId="01876457" w14:textId="77777777" w:rsidTr="001B1FC9">
        <w:trPr>
          <w:trHeight w:val="510"/>
        </w:trPr>
        <w:tc>
          <w:tcPr>
            <w:tcW w:w="1701" w:type="dxa"/>
            <w:noWrap/>
            <w:vAlign w:val="center"/>
            <w:hideMark/>
          </w:tcPr>
          <w:p w14:paraId="7DC1962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H Yang</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{"citationItems":[{"id":"ITEM-1","itemData":{"DOI":"10.1109/JBHI.2019.2921418","ISSN":"21682208","abstract":"Dementia in older age is a major health concern with the increase in the aging population. Preventive measures to prevent or delay dementia symptoms are of utmost importance. In this study, a large and wide variety of factors from multiple domains were investigated using a large nationally representative sample of older people from the English Longitudinal Study of Ageing. Seven machine learning algorithms were implemented to build predictive models for performance comparison. A simple model ensemble approach was used to combine the prediction results of individual base models to further improve predictive power. A series of important factors in each domain area were identified. The findings from this study provide new evidence on factors that are associated with the dementia in later life. This information will help our understanding of potential risk factors for dementia and identify warning signs of the early stages of dementia. Longitudinal research is required to establish which factors may be causative and which factors may be a consequence of dementia.","author":[{"dropping-particle":"","family":"Yang","given":"Hui","non-dropping-particle":"","parse-names":false,"suffix":""},{"dropping-particle":"","family":"Bath","given":"Peter A.","non-dropping-particle":"","parse-names":false,"suffix":""}],"container-title":"IEEE Journal of Biomedical and Health Informatics","id":"ITEM-1","issue":"2","issued":{"date-parts":[["2020"]]},"page":"345-353","publisher":"IEEE","title":"The Use of Data Mining Methods for the Prediction of Dementia: Evidence from the English Longitudinal Study of Aging","type":"article-journal","volume":"24"},"uris":["http://www.mendeley.com/documents/?uuid=65572857-44c4-43ec-ab4a-8c9d775dc7b5"]}],"mendeley":{"formattedCitation":"&lt;sup&gt;40&lt;/sup&gt;","plainTextFormattedCitation":"40","previouslyFormattedCitation":"&lt;sup&gt;40&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40</w:t>
            </w:r>
            <w:r w:rsidRPr="00A427B2">
              <w:rPr>
                <w:rFonts w:ascii="Segoe UI" w:eastAsia="Times New Roman" w:hAnsi="Segoe UI" w:cs="Segoe UI"/>
                <w:color w:val="000000"/>
                <w:sz w:val="16"/>
                <w:szCs w:val="16"/>
              </w:rPr>
              <w:fldChar w:fldCharType="end"/>
            </w:r>
          </w:p>
        </w:tc>
        <w:tc>
          <w:tcPr>
            <w:tcW w:w="2122" w:type="dxa"/>
            <w:vAlign w:val="center"/>
          </w:tcPr>
          <w:p w14:paraId="06AA2991"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IEEE Journal of Biomedical and Health Informatics</w:t>
            </w:r>
          </w:p>
        </w:tc>
        <w:tc>
          <w:tcPr>
            <w:tcW w:w="850" w:type="dxa"/>
            <w:vAlign w:val="center"/>
          </w:tcPr>
          <w:p w14:paraId="49095998"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5.223</w:t>
            </w:r>
          </w:p>
        </w:tc>
        <w:tc>
          <w:tcPr>
            <w:tcW w:w="1276" w:type="dxa"/>
            <w:vAlign w:val="center"/>
          </w:tcPr>
          <w:p w14:paraId="06BF05B9"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694B341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Neurology</w:t>
            </w:r>
          </w:p>
        </w:tc>
        <w:tc>
          <w:tcPr>
            <w:tcW w:w="1541" w:type="dxa"/>
            <w:noWrap/>
            <w:vAlign w:val="center"/>
            <w:hideMark/>
          </w:tcPr>
          <w:p w14:paraId="051A44CE"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Diagnosis</w:t>
            </w:r>
          </w:p>
        </w:tc>
        <w:tc>
          <w:tcPr>
            <w:tcW w:w="2481" w:type="dxa"/>
            <w:noWrap/>
            <w:vAlign w:val="center"/>
            <w:hideMark/>
          </w:tcPr>
          <w:p w14:paraId="5BCE3C4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11EB0E11"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 xml:space="preserve">Dementia </w:t>
            </w:r>
          </w:p>
        </w:tc>
      </w:tr>
      <w:tr w:rsidR="00A427B2" w:rsidRPr="00A427B2" w14:paraId="662AB407" w14:textId="77777777" w:rsidTr="001B1FC9">
        <w:trPr>
          <w:trHeight w:val="510"/>
        </w:trPr>
        <w:tc>
          <w:tcPr>
            <w:tcW w:w="1701" w:type="dxa"/>
            <w:noWrap/>
            <w:vAlign w:val="center"/>
            <w:hideMark/>
          </w:tcPr>
          <w:p w14:paraId="42211FFE"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M Zhou</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{"citationItems":[{"id":"ITEM-1","itemData":{"DOI":"10.1186/s12911-019-0890-0","ISSN":"14726947","PMID":"31438926","abstract":"Background: Identifying individuals who are unlikely to adhere to a physical exercise regime has potential to improve physical activity interventions. The aim of this paper is to develop and test adherence prediction models using objectively measured physical activity data in the Mobile Phone-Based Physical Activity Education program (mPED) trial. To the best of our knowledge, this is the first to apply Machine Learning methods to predict exercise relapse using accelerometer-recorded physical activity data. Methods: We use logistic regression and support vector machine methods to design two versions of a Discontinuation Prediction Score (DiPS), which uses objectively measured past data (e.g., steps and goal achievement) to provide a numerical quantity indicating the likelihood of exercise relapse in the upcoming week. The respective prediction accuracy of these two versions of DiPS are compared, and then numerical simulation is performed to explore the potential of using DiPS to selectively allocate financial incentives to participants to encourage them to increase physical activity. Results: we had access to a physical activity trial data that were continuously collected every 60 sec every day for 9 months in 210 participants. By using the first 15 weeks of data as training and test on weeks 16-30, we show that both versions of DiPS have a test AUC of 0.9 with high sensitivity and specificity in predicting the probability of exercise adherence. Simulation results assuming different intervention regimes suggest the potential benefit of using DiPS as a score to allocate resources in physical activity intervention programs in reducing costs over other allocation schemes. Conclusions: DiPS is capable of making accurate and robust predictions for future weeks. The most predictive features are steps and physical activity intensity. Furthermore, the use of DiPS scores can be a promising approach to determine when or if to provide just-in-time messages and step goal adjustments to improve compliance. Further studies on the use of DiPS in the design of physical activity promotion programs are warranted. Trial registration: ClinicalTrials.gov NCT01280812 Registered on January 21, 2011.","author":[{"dropping-particle":"","family":"Zhou","given":"Mo","non-dropping-particle":"","parse-names":false,"suffix":""},{"dropping-particle":"","family":"Fukuoka","given":"Yoshimi","non-dropping-particle":"","parse-names":false,"suffix":""},{"dropping-particle":"","family":"Goldberg","given":"Ken","non-dropping-particle":"","parse-names":false,"suffix":""},{"dropping-particle":"","family":"Vittinghoff","given":"Eric","non-dropping-particle":"","parse-names":false,"suffix":""},{"dropping-particle":"","family":"Aswani","given":"Anil","non-dropping-particle":"","parse-names":false,"suffix":""}],"container-title":"BMC Medical Informatics and Decision Making","id":"ITEM-1","issue":"1","issued":{"date-parts":[["2019"]]},"page":"0-11","publisher":"BMC Medical Informatics and Decision Making","title":"Applying machine learning to predict future adherence to physical activity programs","type":"article-journal","volume":"19"},"uris":["http://www.mendeley.com/documents/?uuid=4904a938-ef99-4bd2-8b6b-a5ec24a39364"]}],"mendeley":{"formattedCitation":"&lt;sup&gt;41&lt;/sup&gt;","plainTextFormattedCitation":"41","previouslyFormattedCitation":"&lt;sup&gt;41&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41</w:t>
            </w:r>
            <w:r w:rsidRPr="00A427B2">
              <w:rPr>
                <w:rFonts w:ascii="Segoe UI" w:eastAsia="Times New Roman" w:hAnsi="Segoe UI" w:cs="Segoe UI"/>
                <w:color w:val="000000"/>
                <w:sz w:val="16"/>
                <w:szCs w:val="16"/>
              </w:rPr>
              <w:fldChar w:fldCharType="end"/>
            </w:r>
          </w:p>
        </w:tc>
        <w:tc>
          <w:tcPr>
            <w:tcW w:w="2122" w:type="dxa"/>
            <w:vAlign w:val="center"/>
          </w:tcPr>
          <w:p w14:paraId="0BD52A92"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BMC Medical Informatics and Decision Making</w:t>
            </w:r>
          </w:p>
        </w:tc>
        <w:tc>
          <w:tcPr>
            <w:tcW w:w="850" w:type="dxa"/>
            <w:vAlign w:val="center"/>
          </w:tcPr>
          <w:p w14:paraId="0BCED312"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2.317</w:t>
            </w:r>
          </w:p>
        </w:tc>
        <w:tc>
          <w:tcPr>
            <w:tcW w:w="1276" w:type="dxa"/>
            <w:vAlign w:val="center"/>
          </w:tcPr>
          <w:p w14:paraId="18841D94"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1F6F678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Preventive care</w:t>
            </w:r>
          </w:p>
        </w:tc>
        <w:tc>
          <w:tcPr>
            <w:tcW w:w="1541" w:type="dxa"/>
            <w:noWrap/>
            <w:vAlign w:val="center"/>
            <w:hideMark/>
          </w:tcPr>
          <w:p w14:paraId="0FE422DB"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3E19D97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00B97784"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Exercise relapse</w:t>
            </w:r>
          </w:p>
        </w:tc>
      </w:tr>
      <w:tr w:rsidR="00A427B2" w:rsidRPr="00A427B2" w14:paraId="75698268" w14:textId="77777777" w:rsidTr="001B1FC9">
        <w:trPr>
          <w:trHeight w:val="510"/>
        </w:trPr>
        <w:tc>
          <w:tcPr>
            <w:tcW w:w="1701" w:type="dxa"/>
            <w:noWrap/>
            <w:vAlign w:val="center"/>
            <w:hideMark/>
          </w:tcPr>
          <w:p w14:paraId="0F496FC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X Kang</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{"citationItems":[{"id":"ITEM-1","itemData":{"DOI":"10.1080/14767058.2019.1668922","ISSN":"14764954","abstract":"Purpose: To establish a feasible prediction model for gestational diabetes mellitus (GDM) with macrosomia based on risk factors analysis. Methods: A total of 1981 GDM pregnant women with macrosomia were enrolled in this retrospective study. The potential risk factors were revealed between the GDM women with and without macrosomia based on questionnaire and clinical data analysis. Then, prediction models including logistic regression (LR), decision tree (DT), support vector machine (SVM) and artificial neural networks (ANN) were constructed using these risk factors. Effect evaluation was performed based on model forecasting ability and model practicability such as accuracy, true positive (TP) rate, false positive (FP) rate, recall, F-measure, and receiver operating characteristic curve (ROC). Results: The risk factors analysis showed that factors such as triglyceride (TG), high-density lipoprotein-cholesterol (HDL-c) and ketone body were risk factors for GDM with macrosomia. Then, the forecasting model was constructed, respectively. Based on these risk factors as variables, the overall classification accuracy of the four forecasting models was 86%. DT model had the highest overall classification accuracy. SVM model had advantages over the other three models in terms of TP rate. Among the comparison parameters including overall ROC curve, ANN model was the highest, followed by LR model. Conclusion: Among four forecasting models, ANN might be the optimal predication model, which had a certain practical value for the clinical screening of GDM women combined with macrosomia. Furthermore, HDL-c, TG, and ketone body might be potential risk factors for GDM with macrosomia.","author":[{"dropping-particle":"","family":"Kang","given":"Xinyi","non-dropping-particle":"","parse-names":false,"suffix":""},{"dropping-particle":"","family":"Liang","given":"Yuanyuan","non-dropping-particle":"","parse-names":false,"suffix":""},{"dropping-particle":"","family":"Wang","given":"Shiyu","non-dropping-particle":"","parse-names":false,"suffix":""},{"dropping-particle":"","family":"Hua","given":"Tianqi","non-dropping-particle":"","parse-names":false,"suffix":""},{"dropping-particle":"","family":"Cui","given":"Jiawen","non-dropping-particle":"","parse-names":false,"suffix":""},{"dropping-particle":"","family":"Zhang","given":"Mingjin","non-dropping-particle":"","parse-names":false,"suffix":""},{"dropping-particle":"","family":"Ding","given":"Yunjunyu","non-dropping-particle":"","parse-names":false,"suffix":""},{"dropping-particle":"","family":"Chen","given":"Liping","non-dropping-particle":"","parse-names":false,"suffix":""},{"dropping-particle":"","family":"Xiao","given":"Jing","non-dropping-particle":"","parse-names":false,"suffix":""}],"container-title":"Journal of Maternal-Fetal and Neonatal Medicine","id":"ITEM-1","issue":"0","issued":{"date-parts":[["2019"]]},"page":"1-10","publisher":"Taylor &amp; Francis","title":"Prediction model comparison for gestational diabetes mellitus with macrosomia based on risk factor investigation","type":"article-journal","volume":"0"},"uris":["http://www.mendeley.com/documents/?uuid=77a1057c-cb2e-4af7-bea0-80b119d68bcf"]}],"mendeley":{"formattedCitation":"&lt;sup&gt;42&lt;/sup&gt;","plainTextFormattedCitation":"42","previouslyFormattedCitation":"&lt;sup&gt;42&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42</w:t>
            </w:r>
            <w:r w:rsidRPr="00A427B2">
              <w:rPr>
                <w:rFonts w:ascii="Segoe UI" w:eastAsia="Times New Roman" w:hAnsi="Segoe UI" w:cs="Segoe UI"/>
                <w:color w:val="000000"/>
                <w:sz w:val="16"/>
                <w:szCs w:val="16"/>
              </w:rPr>
              <w:fldChar w:fldCharType="end"/>
            </w:r>
          </w:p>
        </w:tc>
        <w:tc>
          <w:tcPr>
            <w:tcW w:w="2122" w:type="dxa"/>
            <w:vAlign w:val="center"/>
          </w:tcPr>
          <w:p w14:paraId="0F51CE35"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Journal of Maternal-Fetal &amp; Neonatal Medicine</w:t>
            </w:r>
          </w:p>
        </w:tc>
        <w:tc>
          <w:tcPr>
            <w:tcW w:w="850" w:type="dxa"/>
            <w:vAlign w:val="center"/>
          </w:tcPr>
          <w:p w14:paraId="50608179"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1.737</w:t>
            </w:r>
          </w:p>
        </w:tc>
        <w:tc>
          <w:tcPr>
            <w:tcW w:w="1276" w:type="dxa"/>
            <w:vAlign w:val="center"/>
          </w:tcPr>
          <w:p w14:paraId="2153DDF8"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297732D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Obstetrics &amp; Gynecology</w:t>
            </w:r>
          </w:p>
        </w:tc>
        <w:tc>
          <w:tcPr>
            <w:tcW w:w="1541" w:type="dxa"/>
            <w:noWrap/>
            <w:vAlign w:val="center"/>
            <w:hideMark/>
          </w:tcPr>
          <w:p w14:paraId="5CE6EB80"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21E57594"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7ADC6DB4"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Gestational diabetes mellitus with macrosomia</w:t>
            </w:r>
          </w:p>
        </w:tc>
      </w:tr>
      <w:tr w:rsidR="00A427B2" w:rsidRPr="00A427B2" w14:paraId="6549F514" w14:textId="77777777" w:rsidTr="001B1FC9">
        <w:trPr>
          <w:trHeight w:val="510"/>
        </w:trPr>
        <w:tc>
          <w:tcPr>
            <w:tcW w:w="1701" w:type="dxa"/>
            <w:noWrap/>
            <w:vAlign w:val="center"/>
            <w:hideMark/>
          </w:tcPr>
          <w:p w14:paraId="6BBCBEE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CM Sauer</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{"citationItems":[{"id":"ITEM-1","itemData":{"DOI":"10.1371/journal.pone.0207491","ISBN":"1111111111","ISSN":"19326203","abstract":"Background Tuberculosis is a major cause of morbidity and mortality in the developing world. Drug resistance, which is predicted to rise in many countries worldwide, threatens tuberculosis treatment and control. Objective To identify features associated with treatment failure and to predict which patients are at highest risk of treatment failure. Methods On a multi-country dataset managed by the National Institute of Allergy and Infectious Diseases we applied various machine learning techniques to identify factors statistically associated with treatment failure and to predict treatment failure based on baseline demographic and clinical characteristics alone. Results The complete-case analysis database consisted of 587 patients (68% males) with a median (p25-p75) age of 40 (30–51) years. Treatment failure occurred in approximately one fourth of the patients. The features most associated with treatment failure were patterns of drug sensitivity, imaging findings, findings in the microscopy Ziehl-Nielsen stain, education status, and employment status. The most predictive model was forward stepwise selection (AUC: 0.74), although most models performed at or above AUC 0.7. A sensitivity analysis using the 643 original patients filling the missing values with multiple imputation showed similar predictive features and generally increased predictive performance. Conclusion Machine learning can help to identify patients at higher risk of treatment failure. Closer monitoring of these patients may decrease treatment failure rates and prevent emergence of antibiotic resistance. The use of inexpensive basic demographic and clinical features makes this approach attractive in low and middle-income countries.","author":[{"dropping-particle":"","family":"Sauer","given":"Christopher Martin","non-dropping-particle":"","parse-names":false,"suffix":""},{"dropping-particle":"","family":"Sasson","given":"David","non-dropping-particle":"","parse-names":false,"suffix":""},{"dropping-particle":"","family":"Paik","given":"Kenneth E.","non-dropping-particle":"","parse-names":false,"suffix":""},{"dropping-particle":"","family":"McCague","given":"Ned","non-dropping-particle":"","parse-names":false,"suffix":""},{"dropping-particle":"","family":"Celi","given":"Leo Anthony","non-dropping-particle":"","parse-names":false,"suffix":""},{"dropping-particle":"","family":"Fernández","given":"Iván Sánchez","non-dropping-particle":"","parse-names":false,"suffix":""},{"dropping-particle":"","family":"Illigens","given":"Ben M.W.","non-dropping-particle":"","parse-names":false,"suffix":""}],"container-title":"PLoS ONE","id":"ITEM-1","issue":"11","issued":{"date-parts":[["2018"]]},"page":"1-14","title":"Feature selection and prediction of treatment failure in tuberculosis","type":"article-journal","volume":"13"},"uris":["http://www.mendeley.com/documents/?uuid=a5c5b7b1-f50e-4a72-9620-23aa1b77afde"]}],"mendeley":{"formattedCitation":"&lt;sup&gt;43&lt;/sup&gt;","plainTextFormattedCitation":"43","previouslyFormattedCitation":"&lt;sup&gt;43&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43</w:t>
            </w:r>
            <w:r w:rsidRPr="00A427B2">
              <w:rPr>
                <w:rFonts w:ascii="Segoe UI" w:eastAsia="Times New Roman" w:hAnsi="Segoe UI" w:cs="Segoe UI"/>
                <w:color w:val="000000"/>
                <w:sz w:val="16"/>
                <w:szCs w:val="16"/>
              </w:rPr>
              <w:fldChar w:fldCharType="end"/>
            </w:r>
          </w:p>
        </w:tc>
        <w:tc>
          <w:tcPr>
            <w:tcW w:w="2122" w:type="dxa"/>
            <w:vAlign w:val="center"/>
          </w:tcPr>
          <w:p w14:paraId="42F465C8"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PLoS ONE</w:t>
            </w:r>
          </w:p>
        </w:tc>
        <w:tc>
          <w:tcPr>
            <w:tcW w:w="850" w:type="dxa"/>
            <w:vAlign w:val="center"/>
          </w:tcPr>
          <w:p w14:paraId="34F1769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2.776</w:t>
            </w:r>
          </w:p>
        </w:tc>
        <w:tc>
          <w:tcPr>
            <w:tcW w:w="1276" w:type="dxa"/>
            <w:vAlign w:val="center"/>
          </w:tcPr>
          <w:p w14:paraId="2E60070E"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2018</w:t>
            </w:r>
          </w:p>
        </w:tc>
        <w:tc>
          <w:tcPr>
            <w:tcW w:w="1559" w:type="dxa"/>
            <w:noWrap/>
            <w:vAlign w:val="center"/>
            <w:hideMark/>
          </w:tcPr>
          <w:p w14:paraId="34FB696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Infectious diseases</w:t>
            </w:r>
          </w:p>
        </w:tc>
        <w:tc>
          <w:tcPr>
            <w:tcW w:w="1541" w:type="dxa"/>
            <w:noWrap/>
            <w:vAlign w:val="center"/>
            <w:hideMark/>
          </w:tcPr>
          <w:p w14:paraId="2C07223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28B80EEA"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382101A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Tuberculosis treatment failure</w:t>
            </w:r>
          </w:p>
        </w:tc>
      </w:tr>
      <w:tr w:rsidR="00A427B2" w:rsidRPr="00A427B2" w14:paraId="050771E9" w14:textId="77777777" w:rsidTr="001B1FC9">
        <w:trPr>
          <w:trHeight w:val="510"/>
        </w:trPr>
        <w:tc>
          <w:tcPr>
            <w:tcW w:w="1701" w:type="dxa"/>
            <w:noWrap/>
            <w:vAlign w:val="center"/>
            <w:hideMark/>
          </w:tcPr>
          <w:p w14:paraId="614BF90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LW Thornblade</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{"citationItems":[{"id":"ITEM-1","itemData":{"DOI":"10.5334/egems.193","ISSN":"2327-9214","abstract":"Background: Recurrent diverticulitis is the most common reason for elective colon surgery and, although professional societies now recommend against early resection, its use continues to rise. Shared decision making decreases use of low-value surgery but identifying which patients are most likely to elect surgery has proven difficult. We hypothesized that Machine Learning algorithms using health care utilization (HCU) data can predict future clinical events including early resection for diverticulitis. Study Design: We developed models for predicting future surgery among patients with new diagnoses of diverticulitis (2009-2012) from the MarketScan(R) database. Claims data (diagnosis, procedural, and drug codes) were used to train three Machine Learning algorithms to predict surgery occurring between 52 and 104 weeks following diagnosis. Results: Of 82,231 patients with incident diverticulitis (age 51 +/- 8 years, 52% female), 1.2% went on to elective colon resection. Using maximal training data (152 consecutive weeks of claims), the Gradient Boosting Machine model predicted elective surgery with an area under the curve (AUC) of 75% (95% uncertainty interval [UI] 71-79%). Models trained on less data resulted in less accurate prediction (AUC: 68% [64-74%] using 128 weeks, 57% [53-63%] using 104 weeks). The majority of resections (85%) were identified as low-value. Conclusion: By applying Machine Learning to HCU data from the time around a diagnosis of diverticulitis, we predicted elective surgery weeks to months in advance, with moderate accuracy. Identifying patients who are most likely to elect surgery for diverticulitis provides an opportunity for effective shared decision making initiatives aimed at reducing the use of costly low-value care.","author":[{"dropping-particle":"","family":"Thornblade","given":"Lucas W.","non-dropping-particle":"","parse-names":false,"suffix":""},{"dropping-particle":"","family":"Flum","given":"David R.","non-dropping-particle":"","parse-names":false,"suffix":""},{"dropping-particle":"","family":"Flaxman","given":"Abraham D.","non-dropping-particle":"","parse-names":false,"suffix":""}],"container-title":"eGEMs (Generating Evidence &amp; Methods to improve patient outcomes)","id":"ITEM-1","issue":"1","issued":{"date-parts":[["2018"]]},"page":"1","title":"Predicting Future Elective Colon Resection for Diverticulitis Using Patterns of Health Care Utilization","type":"article-journal","volume":"6"},"uris":["http://www.mendeley.com/documents/?uuid=8f210469-bc9f-43cc-a0b5-0f8a035fb1c8"]}],"mendeley":{"formattedCitation":"&lt;sup&gt;44&lt;/sup&gt;","plainTextFormattedCitation":"44","previouslyFormattedCitation":"&lt;sup&gt;44&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44</w:t>
            </w:r>
            <w:r w:rsidRPr="00A427B2">
              <w:rPr>
                <w:rFonts w:ascii="Segoe UI" w:eastAsia="Times New Roman" w:hAnsi="Segoe UI" w:cs="Segoe UI"/>
                <w:color w:val="000000"/>
                <w:sz w:val="16"/>
                <w:szCs w:val="16"/>
              </w:rPr>
              <w:fldChar w:fldCharType="end"/>
            </w:r>
          </w:p>
        </w:tc>
        <w:tc>
          <w:tcPr>
            <w:tcW w:w="2122" w:type="dxa"/>
            <w:vAlign w:val="center"/>
          </w:tcPr>
          <w:p w14:paraId="3A9E3A12"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Journal for Electronic Health data and Methods(</w:t>
            </w:r>
            <w:r w:rsidRPr="00A427B2">
              <w:rPr>
                <w:rFonts w:ascii="Segoe UI" w:hAnsi="Segoe UI" w:cs="Segoe UI"/>
                <w:color w:val="000000"/>
                <w:sz w:val="16"/>
                <w:szCs w:val="16"/>
                <w:vertAlign w:val="superscript"/>
              </w:rPr>
              <w:t>c</w:t>
            </w:r>
            <w:r w:rsidRPr="00A427B2">
              <w:rPr>
                <w:rFonts w:ascii="Segoe UI" w:hAnsi="Segoe UI" w:cs="Segoe UI"/>
                <w:color w:val="000000"/>
                <w:sz w:val="16"/>
                <w:szCs w:val="16"/>
              </w:rPr>
              <w:t>)</w:t>
            </w:r>
          </w:p>
        </w:tc>
        <w:tc>
          <w:tcPr>
            <w:tcW w:w="850" w:type="dxa"/>
            <w:vAlign w:val="center"/>
          </w:tcPr>
          <w:p w14:paraId="63268FEA"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w:t>
            </w:r>
          </w:p>
        </w:tc>
        <w:tc>
          <w:tcPr>
            <w:tcW w:w="1276" w:type="dxa"/>
            <w:vAlign w:val="center"/>
          </w:tcPr>
          <w:p w14:paraId="596BF9DE"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2018</w:t>
            </w:r>
          </w:p>
        </w:tc>
        <w:tc>
          <w:tcPr>
            <w:tcW w:w="1559" w:type="dxa"/>
            <w:noWrap/>
            <w:vAlign w:val="center"/>
            <w:hideMark/>
          </w:tcPr>
          <w:p w14:paraId="1E5DAF23"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Surgery</w:t>
            </w:r>
          </w:p>
        </w:tc>
        <w:tc>
          <w:tcPr>
            <w:tcW w:w="1541" w:type="dxa"/>
            <w:noWrap/>
            <w:vAlign w:val="center"/>
            <w:hideMark/>
          </w:tcPr>
          <w:p w14:paraId="0B14A45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31F244A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36415FD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Elective colon resection</w:t>
            </w:r>
          </w:p>
        </w:tc>
      </w:tr>
      <w:tr w:rsidR="00A427B2" w:rsidRPr="00A427B2" w14:paraId="4C4DC002" w14:textId="77777777" w:rsidTr="001B1FC9">
        <w:trPr>
          <w:trHeight w:val="510"/>
        </w:trPr>
        <w:tc>
          <w:tcPr>
            <w:tcW w:w="1701" w:type="dxa"/>
            <w:noWrap/>
            <w:vAlign w:val="center"/>
            <w:hideMark/>
          </w:tcPr>
          <w:p w14:paraId="09A9BC3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VJ Lei</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{"citationItems":[{"id":"ITEM-1","itemData":{"DOI":"10.3233/SHTI190216","ISBN":"9781643680026","ISSN":"18798365","abstract":"We tested the value of adding data from the operating room to models predicting in-hospital death. We assessed model performance using two metrics, the area under the receiver operating characteristic curve (AUROC) and the area under the precision-recall curve (AUPRC), to illustrate the differences in information they convey in the setting of class imbalance. Data was collected on 74,147 patients who underwent major noncardiac surgery and 112 unique features were extracted from electronic health records. Sets of features were incrementally added to models using logistic regression, naïve Bayes, random forest, and gradient boosted machine methods. AUROC increased as more features were added, but changes were small for some modeling approaches. In contrast, AUPRC, which reflects positive predicted value, exhibited improvements across all models. Using AUPRC highlighted the added value of intraoperative data, not seen consistently with AUROC, and that with class imbalance AUPRC may serve as the more clinically relevant criterion.","author":[{"dropping-particle":"","family":"Lei","given":"Victor J.","non-dropping-particle":"","parse-names":false,"suffix":""},{"dropping-particle":"","family":"Kennedy","given":"Edward H.","non-dropping-particle":"","parse-names":false,"suffix":""},{"dropping-particle":"","family":"Luong","given":"Thaibinh","non-dropping-particle":"","parse-names":false,"suffix":""},{"dropping-particle":"","family":"Chen","given":"Xinwei","non-dropping-particle":"","parse-names":false,"suffix":""},{"dropping-particle":"","family":"Polsky","given":"Daniel E.","non-dropping-particle":"","parse-names":false,"suffix":""},{"dropping-particle":"","family":"Volpp","given":"Kevin G.","non-dropping-particle":"","parse-names":false,"suffix":""},{"dropping-particle":"","family":"Neuman","given":"Mark D.","non-dropping-particle":"","parse-names":false,"suffix":""},{"dropping-particle":"","family":"Holmes","given":"John H.","non-dropping-particle":"","parse-names":false,"suffix":""},{"dropping-particle":"","family":"Fleisher","given":"Lee A.","non-dropping-particle":"","parse-names":false,"suffix":""},{"dropping-particle":"","family":"Navathe","given":"Amol S.","non-dropping-particle":"","parse-names":false,"suffix":""}],"container-title":"Studies in Health Technology and Informatics","id":"ITEM-1","issued":{"date-parts":[["2019"]]},"page":"223-227","title":"Model performance metrics in assessing the value of adding intraoperative data for death prediction: Applications to noncardiac surgery","type":"article-journal","volume":"264"},"uris":["http://www.mendeley.com/documents/?uuid=39bffd5f-c434-44d2-8962-66255ade4bf2"]}],"mendeley":{"formattedCitation":"&lt;sup&gt;45&lt;/sup&gt;","plainTextFormattedCitation":"45","previouslyFormattedCitation":"&lt;sup&gt;45&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45</w:t>
            </w:r>
            <w:r w:rsidRPr="00A427B2">
              <w:rPr>
                <w:rFonts w:ascii="Segoe UI" w:eastAsia="Times New Roman" w:hAnsi="Segoe UI" w:cs="Segoe UI"/>
                <w:color w:val="000000"/>
                <w:sz w:val="16"/>
                <w:szCs w:val="16"/>
              </w:rPr>
              <w:fldChar w:fldCharType="end"/>
            </w:r>
          </w:p>
        </w:tc>
        <w:tc>
          <w:tcPr>
            <w:tcW w:w="2122" w:type="dxa"/>
            <w:vAlign w:val="center"/>
          </w:tcPr>
          <w:p w14:paraId="4FA5F872"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Studies in Health Technology and Informatics(</w:t>
            </w:r>
            <w:r w:rsidRPr="00A427B2">
              <w:rPr>
                <w:rFonts w:ascii="Segoe UI" w:hAnsi="Segoe UI" w:cs="Segoe UI"/>
                <w:color w:val="000000"/>
                <w:sz w:val="16"/>
                <w:szCs w:val="16"/>
                <w:vertAlign w:val="superscript"/>
              </w:rPr>
              <w:t>b</w:t>
            </w:r>
            <w:r w:rsidRPr="00A427B2">
              <w:rPr>
                <w:rFonts w:ascii="Segoe UI" w:hAnsi="Segoe UI" w:cs="Segoe UI"/>
                <w:color w:val="000000"/>
                <w:sz w:val="16"/>
                <w:szCs w:val="16"/>
              </w:rPr>
              <w:t>)</w:t>
            </w:r>
          </w:p>
        </w:tc>
        <w:tc>
          <w:tcPr>
            <w:tcW w:w="850" w:type="dxa"/>
            <w:vAlign w:val="center"/>
          </w:tcPr>
          <w:p w14:paraId="2D391A49"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0.71</w:t>
            </w:r>
          </w:p>
        </w:tc>
        <w:tc>
          <w:tcPr>
            <w:tcW w:w="1276" w:type="dxa"/>
            <w:vAlign w:val="center"/>
          </w:tcPr>
          <w:p w14:paraId="02B23971"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0A524C24"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Surgery</w:t>
            </w:r>
          </w:p>
        </w:tc>
        <w:tc>
          <w:tcPr>
            <w:tcW w:w="1541" w:type="dxa"/>
            <w:noWrap/>
            <w:vAlign w:val="center"/>
            <w:hideMark/>
          </w:tcPr>
          <w:p w14:paraId="123FBB61"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3204287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6491E6B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All-cause in-hospital mortality</w:t>
            </w:r>
          </w:p>
        </w:tc>
      </w:tr>
      <w:tr w:rsidR="00A427B2" w:rsidRPr="00A427B2" w14:paraId="12180D05" w14:textId="77777777" w:rsidTr="001B1FC9">
        <w:trPr>
          <w:trHeight w:val="510"/>
        </w:trPr>
        <w:tc>
          <w:tcPr>
            <w:tcW w:w="1701" w:type="dxa"/>
            <w:noWrap/>
            <w:vAlign w:val="center"/>
            <w:hideMark/>
          </w:tcPr>
          <w:p w14:paraId="5DCBD8B4"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SJ Lee</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{"citationItems":[{"id":"ITEM-1","itemData":{"DOI":"10.3233/SHTI190507","ISBN":"9781643680026","ISSN":"18798365","abstract":"In this study, we built a multi-center integrated database platform of localized prostate cancer and developed biochemical recurrence (BCR) prediction system with Gradient Boosted Regression model using Korean Prostate Cancer Registry (KPCR) database. This platform will facilitate clinical management of patients with prostate cancer, and it will also help develop appropriate treatment of prostate cancer.","author":[{"dropping-particle":"","family":"Lee","given":"Sun Jung","non-dropping-particle":"","parse-names":false,"suffix":""},{"dropping-particle":"","family":"Yu","given":"Sung Hye","non-dropping-particle":"","parse-names":false,"suffix":""},{"dropping-particle":"","family":"Kim","given":"Yejin","non-dropping-particle":"","parse-names":false,"suffix":""},{"dropping-particle":"","family":"Hong","given":"Jun Hyuk","non-dropping-particle":"","parse-names":false,"suffix":""},{"dropping-particle":"","family":"Kim","given":"Choung Soo","non-dropping-particle":"","parse-names":false,"suffix":""},{"dropping-particle":"Il","family":"Seo","given":"Seong","non-dropping-particle":"","parse-names":false,"suffix":""},{"dropping-particle":"","family":"Jeong","given":"Chang Wook","non-dropping-particle":"","parse-names":false,"suffix":""},{"dropping-particle":"","family":"Byun","given":"Seok Soo","non-dropping-particle":"","parse-names":false,"suffix":""},{"dropping-particle":"","family":"Chung","given":"Byung Ha","non-dropping-particle":"","parse-names":false,"suffix":""},{"dropping-particle":"","family":"Lee","given":"Ji Youl","non-dropping-particle":"","parse-names":false,"suffix":""},{"dropping-particle":"","family":"Choi","given":"In Young","non-dropping-particle":"","parse-names":false,"suffix":""}],"container-title":"Studies in Health Technology and Informatics","id":"ITEM-1","issued":{"date-parts":[["2019"]]},"page":"1506-1507","title":"Development of integrated data and prediction system platform for the localized prostate cancer","type":"article-journal","volume":"264"},"uris":["http://www.mendeley.com/documents/?uuid=4ff2eb13-f8ca-4803-b494-5103567131af"]}],"mendeley":{"formattedCitation":"&lt;sup&gt;46&lt;/sup&gt;","plainTextFormattedCitation":"46"},"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46</w:t>
            </w:r>
            <w:r w:rsidRPr="00A427B2">
              <w:rPr>
                <w:rFonts w:ascii="Segoe UI" w:eastAsia="Times New Roman" w:hAnsi="Segoe UI" w:cs="Segoe UI"/>
                <w:color w:val="000000"/>
                <w:sz w:val="16"/>
                <w:szCs w:val="16"/>
              </w:rPr>
              <w:fldChar w:fldCharType="end"/>
            </w:r>
          </w:p>
        </w:tc>
        <w:tc>
          <w:tcPr>
            <w:tcW w:w="2122" w:type="dxa"/>
            <w:vAlign w:val="center"/>
          </w:tcPr>
          <w:p w14:paraId="70455245"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Studies in Health Technology and Informatics(</w:t>
            </w:r>
            <w:r w:rsidRPr="00A427B2">
              <w:rPr>
                <w:rFonts w:ascii="Segoe UI" w:hAnsi="Segoe UI" w:cs="Segoe UI"/>
                <w:color w:val="000000"/>
                <w:sz w:val="16"/>
                <w:szCs w:val="16"/>
                <w:vertAlign w:val="superscript"/>
              </w:rPr>
              <w:t>b</w:t>
            </w:r>
            <w:r w:rsidRPr="00A427B2">
              <w:rPr>
                <w:rFonts w:ascii="Segoe UI" w:hAnsi="Segoe UI" w:cs="Segoe UI"/>
                <w:color w:val="000000"/>
                <w:sz w:val="16"/>
                <w:szCs w:val="16"/>
              </w:rPr>
              <w:t>)</w:t>
            </w:r>
          </w:p>
        </w:tc>
        <w:tc>
          <w:tcPr>
            <w:tcW w:w="850" w:type="dxa"/>
            <w:vAlign w:val="center"/>
          </w:tcPr>
          <w:p w14:paraId="2E721BF3"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0.71</w:t>
            </w:r>
          </w:p>
        </w:tc>
        <w:tc>
          <w:tcPr>
            <w:tcW w:w="1276" w:type="dxa"/>
            <w:vAlign w:val="center"/>
          </w:tcPr>
          <w:p w14:paraId="6AA70EEB"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25F43ED0"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Oncology</w:t>
            </w:r>
          </w:p>
        </w:tc>
        <w:tc>
          <w:tcPr>
            <w:tcW w:w="1541" w:type="dxa"/>
            <w:noWrap/>
            <w:vAlign w:val="center"/>
            <w:hideMark/>
          </w:tcPr>
          <w:p w14:paraId="261A8B8E"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63687FD4"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3AFCDF8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Cancer recurrence</w:t>
            </w:r>
          </w:p>
        </w:tc>
      </w:tr>
      <w:tr w:rsidR="00A427B2" w:rsidRPr="00A427B2" w14:paraId="439BC5ED" w14:textId="77777777" w:rsidTr="001B1FC9">
        <w:trPr>
          <w:trHeight w:val="510"/>
        </w:trPr>
        <w:tc>
          <w:tcPr>
            <w:tcW w:w="1701" w:type="dxa"/>
            <w:noWrap/>
            <w:vAlign w:val="center"/>
            <w:hideMark/>
          </w:tcPr>
          <w:p w14:paraId="3FB83D8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GB Auffenberg</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{"citationItems":[{"id":"ITEM-1","itemData":{"DOI":"10.1016/j.eururo.2018.09.050","ISSN":"18737560","abstract":"Background: Clinical registries provide physicians with a means for making data-driven decisions but few opportunities exist for patients to interact with registry data to help make decisions. Objective: We sought to develop a web-based system that uses a prostate cancer (CaP) registry to provide newly diagnosed men with a platform to view predicted treatment decisions based on patients with similar characteristics. Design, setting, and participants: The Michigan Urological Surgery Improvement Collaborative (MUSIC) is a quality improvement consortium of urology practices that maintains a prospective registry of men with CaP. We used registry data from 45 MUSIC urology practices from 2015 to 2017 to develop and validate a random forest machine learning model. After fitting the random forest model to a derivation cohort consisting of a random two-thirds sample of patients after stratifying by practice location, we evaluated the model performance in a validation cohort consisting of the remaining one-third of patients using a multiclass area under the curve (AUC) measure and calibration plots. Results and limitations: We identified 7543 men diagnosed with CaP, of whom 45% underwent radical prostatectomy, 30% surveillance, 17% radiation therapy, 5.6% androgen deprivation, and 1.8% watchful waiting. The personalized prediction for patients in the validation cohort was highly accurate (AUC 0.81). Conclusions: Using clinical registry data and machine learning methods, we created a web-based platform for patients that generates accurate predictions for most CaP treatments. Patient summary: We have developed and tested a tool to help men newly diagnosed with prostate cancer to view predicted treatment decisions based on similar patients from our registry. We have made this tool available online for patients to use.","author":[{"dropping-particle":"","family":"Auffenberg","given":"Gregory B.","non-dropping-particle":"","parse-names":false,"suffix":""},{"dropping-particle":"","family":"Ghani","given":"Khurshid R.","non-dropping-particle":"","parse-names":false,"suffix":""},{"dropping-particle":"","family":"Ramani","given":"Shreyas","non-dropping-particle":"","parse-names":false,"suffix":""},{"dropping-particle":"","family":"Usoro","given":"Etiowo","non-dropping-particle":"","parse-names":false,"suffix":""},{"dropping-particle":"","family":"Denton","given":"Brian","non-dropping-particle":"","parse-names":false,"suffix":""},{"dropping-particle":"","family":"Rogers","given":"Craig","non-dropping-particle":"","parse-names":false,"suffix":""},{"dropping-particle":"","family":"Stockton","given":"Benjamin","non-dropping-particle":"","parse-names":false,"suffix":""},{"dropping-particle":"","family":"Miller","given":"David C.","non-dropping-particle":"","parse-names":false,"suffix":""},{"dropping-particle":"","family":"Singh","given":"Karandeep","non-dropping-particle":"","parse-names":false,"suffix":""}],"container-title":"European Urology","id":"ITEM-1","issue":"6","issued":{"date-parts":[["2019"]]},"page":"901-907","publisher":"European Association of Urology","title":"askMUSIC: Leveraging a Clinical Registry to Develop a New Machine Learning Model to Inform Patients of Prostate Cancer Treatments Chosen by Similar Men","type":"article-journal","volume":"75"},"uris":["http://www.mendeley.com/documents/?uuid=cc202e4e-362b-49bc-ab78-09ebd770efd0"]}],"mendeley":{"formattedCitation":"&lt;sup&gt;47&lt;/sup&gt;","plainTextFormattedCitation":"47","previouslyFormattedCitation":"&lt;sup&gt;46&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47</w:t>
            </w:r>
            <w:r w:rsidRPr="00A427B2">
              <w:rPr>
                <w:rFonts w:ascii="Segoe UI" w:eastAsia="Times New Roman" w:hAnsi="Segoe UI" w:cs="Segoe UI"/>
                <w:color w:val="000000"/>
                <w:sz w:val="16"/>
                <w:szCs w:val="16"/>
              </w:rPr>
              <w:fldChar w:fldCharType="end"/>
            </w:r>
          </w:p>
        </w:tc>
        <w:tc>
          <w:tcPr>
            <w:tcW w:w="2122" w:type="dxa"/>
            <w:vAlign w:val="center"/>
          </w:tcPr>
          <w:p w14:paraId="1A1D2D2D"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European Urology</w:t>
            </w:r>
          </w:p>
        </w:tc>
        <w:tc>
          <w:tcPr>
            <w:tcW w:w="850" w:type="dxa"/>
            <w:vAlign w:val="center"/>
          </w:tcPr>
          <w:p w14:paraId="6C5AD59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18.728</w:t>
            </w:r>
          </w:p>
        </w:tc>
        <w:tc>
          <w:tcPr>
            <w:tcW w:w="1276" w:type="dxa"/>
            <w:vAlign w:val="center"/>
          </w:tcPr>
          <w:p w14:paraId="73C1BFB3"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6AE423F2"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Urology</w:t>
            </w:r>
          </w:p>
        </w:tc>
        <w:tc>
          <w:tcPr>
            <w:tcW w:w="1541" w:type="dxa"/>
            <w:noWrap/>
            <w:vAlign w:val="center"/>
            <w:hideMark/>
          </w:tcPr>
          <w:p w14:paraId="4D43E6B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40F7A2D2"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772E3B09"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Prostate cancer treatment option</w:t>
            </w:r>
          </w:p>
        </w:tc>
      </w:tr>
      <w:tr w:rsidR="00A427B2" w:rsidRPr="00A427B2" w14:paraId="6E55CD64" w14:textId="77777777" w:rsidTr="001B1FC9">
        <w:trPr>
          <w:trHeight w:val="510"/>
        </w:trPr>
        <w:tc>
          <w:tcPr>
            <w:tcW w:w="1701" w:type="dxa"/>
            <w:noWrap/>
            <w:vAlign w:val="center"/>
            <w:hideMark/>
          </w:tcPr>
          <w:p w14:paraId="4A04E01A"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Z Wang</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{"citationItems":[{"id":"ITEM-1","itemData":{"DOI":"10.1016/j.jbi.2019.103340","ISSN":"15320480","abstract":"Heart Failure (HF) is one of the most common causes of hospitalization and is burdened by short-term (in-hospital) and long-term (6-12 month) mortality. Accurate prediction of HF mortality plays a critical role in evaluating early treatment effects. However, due to the lack of a simple and effective prediction model, mortality prediction of HF is difficult, resulting in a low rate of control. To handle this issue, we propose a Weight-based Multiple Empirical Kernel Learning with Neighbor Discriminant Constraint (WMEKL-NDC) method for HF mortality prediction. In our method, feature selection by calculating the F-value of each feature is first performed to identify the crucial clinical features. Then, different weights are assigned to each empirical kernel space according to the centered kernel alignment criterion. To make use of the discriminant information of samples, neighbor discriminant constraint is finally integrated into multiple empirical kernel learning framework. Extensive experiments were performed on a real clinical dataset containing 10, 198 in-patients records collected from Shanghai Shuguang Hospital in March 2009 and April 2016. Experimental results demonstrate that our proposed WMEKL-NDC method achieves a highly competitive performance for HF mortality prediction of in-hospital, 30-day and 1-year. Compared with the state-of-the-art multiple kernel learning and baseline algorithms, our proposed WMEKL-NDC is more accurate on mortality prediction Moreover, top 10 crucial clinical features are identified together with their meanings, which are very useful to assist clinicians in the treatment of HF disease.","author":[{"dropping-particle":"","family":"Wang","given":"Zhe","non-dropping-particle":"","parse-names":false,"suffix":""},{"dropping-particle":"","family":"Wang","given":"Bolu","non-dropping-particle":"","parse-names":false,"suffix":""},{"dropping-particle":"","family":"Zhou","given":"Yangming","non-dropping-particle":"","parse-names":false,"suffix":""},{"dropping-particle":"","family":"Li","given":"Dongdong","non-dropping-particle":"","parse-names":false,"suffix":""},{"dropping-particle":"","family":"Yin","given":"Yichao","non-dropping-particle":"","parse-names":false,"suffix":""}],"container-title":"Journal of biomedical informatics","id":"ITEM-1","issue":"November 2018","issued":{"date-parts":[["2020"]]},"page":"103340","publisher":"Elsevier","title":"Weight-based multiple empirical kernel learning with neighbor discriminant constraint for heart failure mortality prediction","type":"article-journal","volume":"101"},"uris":["http://www.mendeley.com/documents/?uuid=2f7f3070-d09b-4d8f-a800-a740466c5c98"]}],"mendeley":{"formattedCitation":"&lt;sup&gt;48&lt;/sup&gt;","plainTextFormattedCitation":"48","previouslyFormattedCitation":"&lt;sup&gt;47&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48</w:t>
            </w:r>
            <w:r w:rsidRPr="00A427B2">
              <w:rPr>
                <w:rFonts w:ascii="Segoe UI" w:eastAsia="Times New Roman" w:hAnsi="Segoe UI" w:cs="Segoe UI"/>
                <w:color w:val="000000"/>
                <w:sz w:val="16"/>
                <w:szCs w:val="16"/>
              </w:rPr>
              <w:fldChar w:fldCharType="end"/>
            </w:r>
          </w:p>
        </w:tc>
        <w:tc>
          <w:tcPr>
            <w:tcW w:w="2122" w:type="dxa"/>
            <w:vAlign w:val="center"/>
          </w:tcPr>
          <w:p w14:paraId="38161877"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Journal of Biomedical Informatics</w:t>
            </w:r>
          </w:p>
        </w:tc>
        <w:tc>
          <w:tcPr>
            <w:tcW w:w="850" w:type="dxa"/>
            <w:vAlign w:val="center"/>
          </w:tcPr>
          <w:p w14:paraId="42B570F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3.526</w:t>
            </w:r>
          </w:p>
        </w:tc>
        <w:tc>
          <w:tcPr>
            <w:tcW w:w="1276" w:type="dxa"/>
            <w:vAlign w:val="center"/>
          </w:tcPr>
          <w:p w14:paraId="45BB5E24"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40175D93"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Cardiovascular medicine</w:t>
            </w:r>
          </w:p>
        </w:tc>
        <w:tc>
          <w:tcPr>
            <w:tcW w:w="1541" w:type="dxa"/>
            <w:noWrap/>
            <w:vAlign w:val="center"/>
            <w:hideMark/>
          </w:tcPr>
          <w:p w14:paraId="5B6DA9B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1914BF1A"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4BF41852"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1-year mortality</w:t>
            </w:r>
          </w:p>
        </w:tc>
      </w:tr>
      <w:tr w:rsidR="00A427B2" w:rsidRPr="00A427B2" w14:paraId="6810281D" w14:textId="77777777" w:rsidTr="001B1FC9">
        <w:trPr>
          <w:trHeight w:val="510"/>
        </w:trPr>
        <w:tc>
          <w:tcPr>
            <w:tcW w:w="1701" w:type="dxa"/>
            <w:noWrap/>
            <w:vAlign w:val="center"/>
            <w:hideMark/>
          </w:tcPr>
          <w:p w14:paraId="6CB559BB"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A Nelson</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{"citationItems":[{"id":"ITEM-1","itemData":{"DOI":"10.1038/s41746-019-0103-3","ISSN":"2398-6352","abstract":"Failure to attend scheduled hospital appointments disrupts clinical management and consumes resource estimated at £1 billion annually in the United Kingdom National Health Service alone. Accurate stratification of absence risk can maximize the yield of preventative interventions. The wide multiplicity of potential causes, and the poor performance of systems based on simple, linear, low-dimensional models, suggests complex predictive models of attendance are needed. Here, we quantify the effect of using complex, non-linear, high-dimensional models enabled by machine learning. Models systematically varying in complexity based on logistic regression, support vector machines, random forests, AdaBoost, or gradient boosting machines were trained and evaluated on an unselected set of 22,318 consecutive scheduled magnetic resonance imaging appointments at two UCL hospitals. High-dimensional Gradient Boosting Machine-based models achieved the best performance reported in the literature, exhibiting an area under the receiver operating characteristic curve of 0.852 and average precision of 0.511. Optimal predictive performance required 81 variables. Simulations showed net potential benefit across a wide range of attendance characteristics, peaking at £3.15 per appointment at current prevalence and call efficiency. Optimal attendance prediction requires more complex models than have hitherto been applied in the field, reflecting the complex interplay of patient, environmental, and operational causal factors. Far from an exotic luxury, high-dimensional models based on machine learning are likely essential to optimal scheduling amongst other operational aspects of hospital care. High predictive performance is achievable with data from a single institution, obviating the need for aggregating large-scale sensitive data across governance boundaries.","author":[{"dropping-particle":"","family":"Nelson","given":"Amy","non-dropping-particle":"","parse-names":false,"suffix":""},{"dropping-particle":"","family":"Herron","given":"Daniel","non-dropping-particle":"","parse-names":false,"suffix":""},{"dropping-particle":"","family":"Rees","given":"Geraint","non-dropping-particle":"","parse-names":false,"suffix":""},{"dropping-particle":"","family":"Nachev","given":"Parashkev","non-dropping-particle":"","parse-names":false,"suffix":""}],"container-title":"npj Digital Medicine","id":"ITEM-1","issue":"1","issued":{"date-parts":[["2019"]]},"page":"1-7","publisher":"Springer US","title":"Predicting scheduled hospital attendance with artificial intelligence","type":"article-journal","volume":"2"},"uris":["http://www.mendeley.com/documents/?uuid=e08c6db5-95fc-4e98-b5f6-64b2ca6a8cb7"]}],"mendeley":{"formattedCitation":"&lt;sup&gt;49&lt;/sup&gt;","plainTextFormattedCitation":"49","previouslyFormattedCitation":"&lt;sup&gt;48&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49</w:t>
            </w:r>
            <w:r w:rsidRPr="00A427B2">
              <w:rPr>
                <w:rFonts w:ascii="Segoe UI" w:eastAsia="Times New Roman" w:hAnsi="Segoe UI" w:cs="Segoe UI"/>
                <w:color w:val="000000"/>
                <w:sz w:val="16"/>
                <w:szCs w:val="16"/>
              </w:rPr>
              <w:fldChar w:fldCharType="end"/>
            </w:r>
          </w:p>
        </w:tc>
        <w:tc>
          <w:tcPr>
            <w:tcW w:w="2122" w:type="dxa"/>
            <w:vAlign w:val="center"/>
          </w:tcPr>
          <w:p w14:paraId="04404410" w14:textId="77777777" w:rsidR="00A427B2" w:rsidRPr="00A427B2" w:rsidRDefault="00A427B2" w:rsidP="001B1FC9">
            <w:pPr>
              <w:rPr>
                <w:rFonts w:ascii="Segoe UI" w:eastAsia="Times New Roman" w:hAnsi="Segoe UI" w:cs="Segoe UI"/>
                <w:color w:val="000000"/>
                <w:sz w:val="16"/>
                <w:szCs w:val="16"/>
                <w:highlight w:val="yellow"/>
              </w:rPr>
            </w:pPr>
            <w:r w:rsidRPr="00A427B2">
              <w:rPr>
                <w:rFonts w:ascii="Segoe UI" w:hAnsi="Segoe UI" w:cs="Segoe UI"/>
                <w:color w:val="000000"/>
                <w:sz w:val="16"/>
                <w:szCs w:val="16"/>
              </w:rPr>
              <w:t>np Digital Medicine</w:t>
            </w:r>
          </w:p>
        </w:tc>
        <w:tc>
          <w:tcPr>
            <w:tcW w:w="850" w:type="dxa"/>
            <w:vAlign w:val="center"/>
          </w:tcPr>
          <w:p w14:paraId="307FC74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0.00</w:t>
            </w:r>
          </w:p>
        </w:tc>
        <w:tc>
          <w:tcPr>
            <w:tcW w:w="1276" w:type="dxa"/>
            <w:vAlign w:val="center"/>
          </w:tcPr>
          <w:p w14:paraId="310D6BE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6AF146B8"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Healthcare services</w:t>
            </w:r>
          </w:p>
        </w:tc>
        <w:tc>
          <w:tcPr>
            <w:tcW w:w="1541" w:type="dxa"/>
            <w:noWrap/>
            <w:vAlign w:val="center"/>
            <w:hideMark/>
          </w:tcPr>
          <w:p w14:paraId="4532FDD3"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5040609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50C671FF"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Schedule appointment attendance</w:t>
            </w:r>
          </w:p>
        </w:tc>
      </w:tr>
      <w:tr w:rsidR="00A427B2" w:rsidRPr="00A427B2" w14:paraId="0DF31A92" w14:textId="77777777" w:rsidTr="001B1FC9">
        <w:trPr>
          <w:trHeight w:val="510"/>
        </w:trPr>
        <w:tc>
          <w:tcPr>
            <w:tcW w:w="1701" w:type="dxa"/>
            <w:noWrap/>
            <w:vAlign w:val="center"/>
            <w:hideMark/>
          </w:tcPr>
          <w:p w14:paraId="4EDFD0A1"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T Shibahara</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{"citationItems":[{"id":"ITEM-1","itemData":{"DOI":"10.1200/cci.17.00022","ISSN":"2473-4276","abstract":"PURPOSE: A major adverse effect arising from nimustine hydrochloride (ACNU) therapy for brain tumors is myelosuppression. Because its timing and severity vary among individual patients, the ACNU dose level has been adjusted in an empiric manner at individual medical facilities. To our knowledge, ours is the first study to develop a machine-learning approach to estimate myelosuppression through analysis of patient factors before treatment and attempts to clarify the relationship between myelosuppression and hematopoietic stem cells from daily clinical data. Adverse effect prediction will allow ACNU dose adjustment for patients predicted to have decreases in blood cell counts and will enable focused follow-up of patients undergoing chemoradiotherapy. PATIENTS AND METHODS: Patients were newly pathologically diagnosed with WHO grade 2 or 3 tumors and were treated with ACNU-based chemoradiotherapy. For detailed analysis of the timing and intensity of adverse effects in patients, we developed a data-weighted support vector machine (SVM) based on adverse event criteria (nadir-weighted SVM [NwSVM]). To evaluate the estimation accuracy of blood cell count dynamics, the determination coefficient ( r(2)) between real and estimated data was calculated by three regression methods: polynomial, SVM, and NwSVM. RESULTS: Only the NwSVM-based regression enabled estimation of the dynamics of all blood cell types with high accuracy (mean r(2) = 0.81). The mean timing of nadir arrival estimated using this regression was 35 days for platelets, 41 days for RBCs, 52 days for lymphocytes, 57 days for WBCs, and 62 days for neutrophils. CONCLUSION: The NwSVM can be used to predict myelosuppression and clearly depicts nadir timing differences between platelets and other blood cells.","author":[{"dropping-particle":"","family":"Shibahara","given":"Takuma","non-dropping-particle":"","parse-names":false,"suffix":""},{"dropping-particle":"","family":"Ikuta","given":"Soko","non-dropping-particle":"","parse-names":false,"suffix":""},{"dropping-particle":"","family":"Muragaki","given":"Yoshihiro","non-dropping-particle":"","parse-names":false,"suffix":""}],"container-title":"JCO Clinical Cancer Informatics","id":"ITEM-1","issue":"2","issued":{"date-parts":[["2018"]]},"page":"1-21","title":"Machine-Learning Approach for Modeling Myelosuppression Attributed to Nimustine Hydrochloride","type":"article-journal"},"uris":["http://www.mendeley.com/documents/?uuid=05415931-dbe2-427c-a43b-4ea3bc90d278"]}],"mendeley":{"formattedCitation":"&lt;sup&gt;50&lt;/sup&gt;","plainTextFormattedCitation":"50","previouslyFormattedCitation":"&lt;sup&gt;49&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50</w:t>
            </w:r>
            <w:r w:rsidRPr="00A427B2">
              <w:rPr>
                <w:rFonts w:ascii="Segoe UI" w:eastAsia="Times New Roman" w:hAnsi="Segoe UI" w:cs="Segoe UI"/>
                <w:color w:val="000000"/>
                <w:sz w:val="16"/>
                <w:szCs w:val="16"/>
              </w:rPr>
              <w:fldChar w:fldCharType="end"/>
            </w:r>
          </w:p>
        </w:tc>
        <w:tc>
          <w:tcPr>
            <w:tcW w:w="2122" w:type="dxa"/>
            <w:vAlign w:val="center"/>
          </w:tcPr>
          <w:p w14:paraId="7B538022" w14:textId="77777777" w:rsidR="00A427B2" w:rsidRPr="00A427B2" w:rsidRDefault="00A427B2" w:rsidP="001B1FC9">
            <w:pPr>
              <w:rPr>
                <w:rFonts w:ascii="Segoe UI" w:eastAsia="Times New Roman" w:hAnsi="Segoe UI" w:cs="Segoe UI"/>
                <w:color w:val="000000"/>
                <w:sz w:val="16"/>
                <w:szCs w:val="16"/>
                <w:highlight w:val="yellow"/>
              </w:rPr>
            </w:pPr>
            <w:r w:rsidRPr="00A427B2">
              <w:rPr>
                <w:rFonts w:ascii="Segoe UI" w:hAnsi="Segoe UI" w:cs="Segoe UI"/>
                <w:color w:val="000000"/>
                <w:sz w:val="16"/>
                <w:szCs w:val="16"/>
              </w:rPr>
              <w:t>JCO Clinical Cancer Informatics(</w:t>
            </w:r>
            <w:r w:rsidRPr="00A427B2">
              <w:rPr>
                <w:rFonts w:ascii="Segoe UI" w:hAnsi="Segoe UI" w:cs="Segoe UI"/>
                <w:color w:val="000000"/>
                <w:sz w:val="16"/>
                <w:szCs w:val="16"/>
                <w:vertAlign w:val="superscript"/>
              </w:rPr>
              <w:t>b</w:t>
            </w:r>
            <w:r w:rsidRPr="00A427B2">
              <w:rPr>
                <w:rFonts w:ascii="Segoe UI" w:hAnsi="Segoe UI" w:cs="Segoe UI"/>
                <w:color w:val="000000"/>
                <w:sz w:val="16"/>
                <w:szCs w:val="16"/>
              </w:rPr>
              <w:t>)</w:t>
            </w:r>
          </w:p>
        </w:tc>
        <w:tc>
          <w:tcPr>
            <w:tcW w:w="850" w:type="dxa"/>
            <w:vAlign w:val="center"/>
          </w:tcPr>
          <w:p w14:paraId="4D679BC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0.43</w:t>
            </w:r>
          </w:p>
        </w:tc>
        <w:tc>
          <w:tcPr>
            <w:tcW w:w="1276" w:type="dxa"/>
            <w:vAlign w:val="center"/>
          </w:tcPr>
          <w:p w14:paraId="1ACFEBD9"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2018</w:t>
            </w:r>
          </w:p>
        </w:tc>
        <w:tc>
          <w:tcPr>
            <w:tcW w:w="1559" w:type="dxa"/>
            <w:noWrap/>
            <w:vAlign w:val="center"/>
            <w:hideMark/>
          </w:tcPr>
          <w:p w14:paraId="3597B368"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Oncology</w:t>
            </w:r>
          </w:p>
        </w:tc>
        <w:tc>
          <w:tcPr>
            <w:tcW w:w="1541" w:type="dxa"/>
            <w:noWrap/>
            <w:vAlign w:val="center"/>
            <w:hideMark/>
          </w:tcPr>
          <w:p w14:paraId="17CA72E0"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4CA5C9E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0F3F642F"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Blood cell count</w:t>
            </w:r>
          </w:p>
        </w:tc>
      </w:tr>
      <w:tr w:rsidR="00A427B2" w:rsidRPr="00A427B2" w14:paraId="7F8101AE" w14:textId="77777777" w:rsidTr="001B1FC9">
        <w:trPr>
          <w:trHeight w:val="510"/>
        </w:trPr>
        <w:tc>
          <w:tcPr>
            <w:tcW w:w="1701" w:type="dxa"/>
            <w:noWrap/>
            <w:vAlign w:val="center"/>
            <w:hideMark/>
          </w:tcPr>
          <w:p w14:paraId="424F0F0F"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S Liang</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{"citationItems":[{"id":"ITEM-1","itemData":{"DOI":"10.1016/j.schres.2017.06.004","ISSN":"15732509","abstract":"Background: Neurocognitive impairments are frequently observed in schizophrenia and major depressive disorder (MDD). However, it remains unclear whether reported neurocognitive abnormalities could objectively identify an individual as having schizophrenia or MDD. Methods: The current study included 220 first-episode patients with schizophrenia, 110 patients with MDD and 240 demographically matched healthy controls (HC). All participants performed the short version of the Wechsler Adult Intelligence Scale-Revised in China; the immediate and delayed logical memory of the Wechsler Memory Scale-Revised in China; and seven tests from the computerized Cambridge Neurocognitive Test Automated Battery to evaluate neurocognitive performance. The three-class AdaBoost tree-based ensemble algorithm was employed to identify neurocognitive endophenotypes that may distinguish between subjects in the categories of schizophrenia, depression and HC. Hierarchical cluster analysis was applied to further explore the neurocognitive patterns in each group. Results: The AdaBoost algorithm identified individual's diagnostic class with an average accuracy of 77.73% (80.81% for schizophrenia, 53.49% for depression and 86.21% for HC). The average area under ROC curve was 0.92 (0.96 in schizophrenia, 0.86 in depression and 0.92 in HC). Hierarchical cluster analysis revealed for MDD and schizophrenia, convergent altered neurocognition patterns related to shifting, sustained attention, planning, working memory and visual memory. Divergent neurocognition patterns for MDD and schizophrenia related to motor speed, general intelligence, perceptual sensitivity and reversal learning were identified. Conclusions: Neurocognitive abnormalities could predict whether the individual has schizophrenia, depression or neither with relatively high accuracy. Additionally, the neurocognitive features showed promise as endophenotypes for discriminating between schizophrenia and depression.","author":[{"dropping-particle":"","family":"Liang","given":"Sugai","non-dropping-particle":"","parse-names":false,"suffix":""},{"dropping-particle":"","family":"Brown","given":"Matthew R.G.","non-dropping-particle":"","parse-names":false,"suffix":""},{"dropping-particle":"","family":"Deng","given":"Wei","non-dropping-particle":"","parse-names":false,"suffix":""},{"dropping-particle":"","family":"Wang","given":"Qiang","non-dropping-particle":"","parse-names":false,"suffix":""},{"dropping-particle":"","family":"Ma","given":"Xiaohong","non-dropping-particle":"","parse-names":false,"suffix":""},{"dropping-particle":"","family":"Li","given":"Mingli","non-dropping-particle":"","parse-names":false,"suffix":""},{"dropping-particle":"","family":"Hu","given":"Xun","non-dropping-particle":"","parse-names":false,"suffix":""},{"dropping-particle":"","family":"Juhas","given":"Michal","non-dropping-particle":"","parse-names":false,"suffix":""},{"dropping-particle":"","family":"Li","given":"Xinmin","non-dropping-particle":"","parse-names":false,"suffix":""},{"dropping-particle":"","family":"Greiner","given":"Russell","non-dropping-particle":"","parse-names":false,"suffix":""},{"dropping-particle":"","family":"Greenshaw","given":"Andrew J.","non-dropping-particle":"","parse-names":false,"suffix":""},{"dropping-particle":"","family":"Li","given":"Tao","non-dropping-particle":"","parse-names":false,"suffix":""}],"container-title":"Schizophrenia Research","id":"ITEM-1","issued":{"date-parts":[["2018"]]},"page":"327-334","publisher":"Elsevier B.V.","title":"Convergence and divergence of neurocognitive patterns in schizophrenia and depression","type":"article-journal","volume":"192"},"uris":["http://www.mendeley.com/documents/?uuid=436b6f10-f326-4570-91b8-fac6c9d39cc8"]}],"mendeley":{"formattedCitation":"&lt;sup&gt;51&lt;/sup&gt;","plainTextFormattedCitation":"51","previouslyFormattedCitation":"&lt;sup&gt;50&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51</w:t>
            </w:r>
            <w:r w:rsidRPr="00A427B2">
              <w:rPr>
                <w:rFonts w:ascii="Segoe UI" w:eastAsia="Times New Roman" w:hAnsi="Segoe UI" w:cs="Segoe UI"/>
                <w:color w:val="000000"/>
                <w:sz w:val="16"/>
                <w:szCs w:val="16"/>
              </w:rPr>
              <w:fldChar w:fldCharType="end"/>
            </w:r>
          </w:p>
        </w:tc>
        <w:tc>
          <w:tcPr>
            <w:tcW w:w="2122" w:type="dxa"/>
            <w:vAlign w:val="center"/>
          </w:tcPr>
          <w:p w14:paraId="6E0178E1"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Schizophrenia Research</w:t>
            </w:r>
          </w:p>
        </w:tc>
        <w:tc>
          <w:tcPr>
            <w:tcW w:w="850" w:type="dxa"/>
            <w:vAlign w:val="center"/>
          </w:tcPr>
          <w:p w14:paraId="4987460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4.569</w:t>
            </w:r>
          </w:p>
        </w:tc>
        <w:tc>
          <w:tcPr>
            <w:tcW w:w="1276" w:type="dxa"/>
            <w:vAlign w:val="center"/>
          </w:tcPr>
          <w:p w14:paraId="6597335E"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2018</w:t>
            </w:r>
          </w:p>
        </w:tc>
        <w:tc>
          <w:tcPr>
            <w:tcW w:w="1559" w:type="dxa"/>
            <w:noWrap/>
            <w:vAlign w:val="center"/>
            <w:hideMark/>
          </w:tcPr>
          <w:p w14:paraId="749A846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Psychiatry</w:t>
            </w:r>
          </w:p>
        </w:tc>
        <w:tc>
          <w:tcPr>
            <w:tcW w:w="1541" w:type="dxa"/>
            <w:noWrap/>
            <w:vAlign w:val="center"/>
            <w:hideMark/>
          </w:tcPr>
          <w:p w14:paraId="66D6226E"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Diagnosis</w:t>
            </w:r>
          </w:p>
        </w:tc>
        <w:tc>
          <w:tcPr>
            <w:tcW w:w="2481" w:type="dxa"/>
            <w:noWrap/>
            <w:vAlign w:val="center"/>
            <w:hideMark/>
          </w:tcPr>
          <w:p w14:paraId="3FF3CD0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070D2AB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Schizophrenia/depression/</w:t>
            </w:r>
          </w:p>
          <w:p w14:paraId="1F2C3F31"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Healthy/controls</w:t>
            </w:r>
          </w:p>
        </w:tc>
      </w:tr>
      <w:tr w:rsidR="00A427B2" w:rsidRPr="00A427B2" w14:paraId="51496166" w14:textId="77777777" w:rsidTr="001B1FC9">
        <w:trPr>
          <w:trHeight w:val="510"/>
        </w:trPr>
        <w:tc>
          <w:tcPr>
            <w:tcW w:w="1701" w:type="dxa"/>
            <w:noWrap/>
            <w:vAlign w:val="center"/>
            <w:hideMark/>
          </w:tcPr>
          <w:p w14:paraId="132A69F9"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R Chen</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{"citationItems":[{"id":"ITEM-1","itemData":{"DOI":"10.1161/CIRCOUTCOMES.118.005114","ISSN":"19417705","abstract":"Background: We determined the impact of data volume and diversity and training conditions on recurrent neural network methods compared with traditional machine learning methods. Methods and Results: Using longitudinal electronic health record data, we assessed the relative performance of machine learning models trained to detect a future diagnosis of heart failure in primary care patients. Model performance was assessed in relation to data parameters defined by the combination of different data domains (data diversity), the number of patient records in the training data set (data quantity), the number of encounters per patient (data density), the prediction window length, and the observation window length (ie, the time period before the prediction window that is the source of features for prediction). Data on 4370 incident heart failure cases and 30 132 group-matched controls were used. Recurrent neural network model performance was superior under a variety of conditions that included (1) when data were less diverse (eg, a single data domain like medication or vital signs) given the same training size; (2) as data quantity increased; (3) as density increased; (4) as the observation window length increased; and (5) as the prediction window length decreased. When all data domains were used, the performance of recurrent neural network models increased in relation to the quantity of data used (ie, up to 100% of the data). When data are sparse (ie, fewer features or low dimension), model performance is lower, but a much smaller training set size is required to achieve optimal performance compared with conditions where data are more diverse and includes more features. Conclusions: Recurrent neural networks are effective for predicting a future diagnosis of heart failure given sufficient training set size. Model performance appears to continue to improve in direct relation to training set size.","author":[{"dropping-particle":"","family":"Chen","given":"Robert","non-dropping-particle":"","parse-names":false,"suffix":""},{"dropping-particle":"","family":"Stewart","given":"Walter F.","non-dropping-particle":"","parse-names":false,"suffix":""},{"dropping-particle":"","family":"Sun","given":"Jimeng","non-dropping-particle":"","parse-names":false,"suffix":""},{"dropping-particle":"","family":"Ng","given":"Kenney","non-dropping-particle":"","parse-names":false,"suffix":""},{"dropping-particle":"","family":"Yan","given":"Xiaowei","non-dropping-particle":"","parse-names":false,"suffix":""}],"container-title":"Circulation: Cardiovascular Quality and Outcomes","id":"ITEM-1","issue":"10","issued":{"date-parts":[["2019"]]},"page":"1-15","title":"Recurrent neural networks for early detection of heart failure from longitudinal electronic health record data: Implications for temporal modeling with respect to time before diagnosis, data density, data quantity, and data type","type":"article-journal","volume":"12"},"uris":["http://www.mendeley.com/documents/?uuid=dfab1a19-0a6a-4113-8134-72201a2a26d7"]}],"mendeley":{"formattedCitation":"&lt;sup&gt;52&lt;/sup&gt;","plainTextFormattedCitation":"52","previouslyFormattedCitation":"&lt;sup&gt;51&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52</w:t>
            </w:r>
            <w:r w:rsidRPr="00A427B2">
              <w:rPr>
                <w:rFonts w:ascii="Segoe UI" w:eastAsia="Times New Roman" w:hAnsi="Segoe UI" w:cs="Segoe UI"/>
                <w:color w:val="000000"/>
                <w:sz w:val="16"/>
                <w:szCs w:val="16"/>
              </w:rPr>
              <w:fldChar w:fldCharType="end"/>
            </w:r>
          </w:p>
        </w:tc>
        <w:tc>
          <w:tcPr>
            <w:tcW w:w="2122" w:type="dxa"/>
            <w:vAlign w:val="center"/>
          </w:tcPr>
          <w:p w14:paraId="5D302F60"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Circulation-Cardiovascular Quality and Outcomes</w:t>
            </w:r>
          </w:p>
        </w:tc>
        <w:tc>
          <w:tcPr>
            <w:tcW w:w="850" w:type="dxa"/>
            <w:vAlign w:val="center"/>
          </w:tcPr>
          <w:p w14:paraId="1C965F60"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5.071</w:t>
            </w:r>
          </w:p>
        </w:tc>
        <w:tc>
          <w:tcPr>
            <w:tcW w:w="1276" w:type="dxa"/>
            <w:vAlign w:val="center"/>
          </w:tcPr>
          <w:p w14:paraId="4FD5B61F"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54B8B1B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Cardiovascular medicine</w:t>
            </w:r>
          </w:p>
        </w:tc>
        <w:tc>
          <w:tcPr>
            <w:tcW w:w="1541" w:type="dxa"/>
            <w:noWrap/>
            <w:vAlign w:val="center"/>
            <w:hideMark/>
          </w:tcPr>
          <w:p w14:paraId="4C863C8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54CDD838"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77ECC4DE"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Heart failure</w:t>
            </w:r>
          </w:p>
        </w:tc>
      </w:tr>
      <w:tr w:rsidR="00A427B2" w:rsidRPr="00A427B2" w14:paraId="08EDFC65" w14:textId="77777777" w:rsidTr="001B1FC9">
        <w:trPr>
          <w:trHeight w:val="510"/>
        </w:trPr>
        <w:tc>
          <w:tcPr>
            <w:tcW w:w="1701" w:type="dxa"/>
            <w:noWrap/>
            <w:vAlign w:val="center"/>
            <w:hideMark/>
          </w:tcPr>
          <w:p w14:paraId="072A5D80"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E Klang</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{"citationItems":[{"id":"ITEM-1","itemData":{"DOI":"10.1007/s00234-019-02293-y","ISSN":"14321920","PMID":"31598737","abstract":"Purpose: In this study, we aimed to develop a novel prediction model to identify patients in need of a non-contrast head CT exam during emergency department (ED) triage. Methods: We collected data of all adult ED visits in our institution for five consecutive years (1/2013–12/2017). Retrieved variables included the following: demographics, mode of arrival to the ED, comorbidities, home medications, structured and unstructured chief complaints, vital signs, pain scale score, emergency severity index, ED wing assignment, documentation of previous ED visits, hospitalizations and CTs, and current visit non-contrast head CT usage. A machine learning gradient boosting model was trained on data from the years 2013–2016 and tested on data from 2017. Area under the curve (AUC) was used as metrics. Single-variable AUCs were also determined. Youden’s index evaluated optimal sensitivity and specificity of the models. Results: The final cohort included 595,561 ED visits. Non-contrast head CT usage rate was 11.8%. Each visit was coded into an input vector of 171 variables. Single-variable analysis showed that chief complaint had the best single predictive analysis (AUC = 0.87). The best model showed an AUC of 0.93 (95% CI 0.931–0.936) for predicting non-contrast head CT usage at triage level. The model had a sensitivity of 88.1% and specificity of 85.7% for non-contrast head CT utilization. Conclusion: The developed model can identify patients that need to undergo head CT exam already in the ED triage level and by that allow faster diagnosis and treatment.","author":[{"dropping-particle":"","family":"Klang","given":"Eyal","non-dropping-particle":"","parse-names":false,"suffix":""},{"dropping-particle":"","family":"Barash","given":"Yiftach","non-dropping-particle":"","parse-names":false,"suffix":""},{"dropping-particle":"","family":"Soffer","given":"Shelly","non-dropping-particle":"","parse-names":false,"suffix":""},{"dropping-particle":"","family":"Bechler","given":"Sigalit","non-dropping-particle":"","parse-names":false,"suffix":""},{"dropping-particle":"","family":"Resheff","given":"Yehezkel S.","non-dropping-particle":"","parse-names":false,"suffix":""},{"dropping-particle":"","family":"Granot","given":"Talia","non-dropping-particle":"","parse-names":false,"suffix":""},{"dropping-particle":"","family":"Shahar","given":"Moni","non-dropping-particle":"","parse-names":false,"suffix":""},{"dropping-particle":"","family":"Klug","given":"Maximiliano","non-dropping-particle":"","parse-names":false,"suffix":""},{"dropping-particle":"","family":"Guralnik","given":"Gennadiy","non-dropping-particle":"","parse-names":false,"suffix":""},{"dropping-particle":"","family":"Zimlichman","given":"Eyal","non-dropping-particle":"","parse-names":false,"suffix":""},{"dropping-particle":"","family":"Konen","given":"Eli","non-dropping-particle":"","parse-names":false,"suffix":""}],"container-title":"Neuroradiology","id":"ITEM-1","issue":"2","issued":{"date-parts":[["2020"]]},"page":"153-160","title":"Promoting head CT exams in the emergency department triage using a machine learning model","type":"article-journal","volume":"62"},"uris":["http://www.mendeley.com/documents/?uuid=81470fef-94c1-4edc-8a39-69cd964cca28"]}],"mendeley":{"formattedCitation":"&lt;sup&gt;53&lt;/sup&gt;","plainTextFormattedCitation":"53","previouslyFormattedCitation":"&lt;sup&gt;52&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53</w:t>
            </w:r>
            <w:r w:rsidRPr="00A427B2">
              <w:rPr>
                <w:rFonts w:ascii="Segoe UI" w:eastAsia="Times New Roman" w:hAnsi="Segoe UI" w:cs="Segoe UI"/>
                <w:color w:val="000000"/>
                <w:sz w:val="16"/>
                <w:szCs w:val="16"/>
              </w:rPr>
              <w:fldChar w:fldCharType="end"/>
            </w:r>
          </w:p>
        </w:tc>
        <w:tc>
          <w:tcPr>
            <w:tcW w:w="2122" w:type="dxa"/>
            <w:vAlign w:val="center"/>
          </w:tcPr>
          <w:p w14:paraId="7F51AA00"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Neuroradiology</w:t>
            </w:r>
          </w:p>
        </w:tc>
        <w:tc>
          <w:tcPr>
            <w:tcW w:w="850" w:type="dxa"/>
            <w:vAlign w:val="center"/>
          </w:tcPr>
          <w:p w14:paraId="7AF3AC2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2.238</w:t>
            </w:r>
          </w:p>
        </w:tc>
        <w:tc>
          <w:tcPr>
            <w:tcW w:w="1276" w:type="dxa"/>
            <w:vAlign w:val="center"/>
          </w:tcPr>
          <w:p w14:paraId="7120FCA8"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1989AFC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Medical imaging</w:t>
            </w:r>
          </w:p>
        </w:tc>
        <w:tc>
          <w:tcPr>
            <w:tcW w:w="1541" w:type="dxa"/>
            <w:noWrap/>
            <w:vAlign w:val="center"/>
            <w:hideMark/>
          </w:tcPr>
          <w:p w14:paraId="5229D4D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Diagnosis</w:t>
            </w:r>
          </w:p>
        </w:tc>
        <w:tc>
          <w:tcPr>
            <w:tcW w:w="2481" w:type="dxa"/>
            <w:noWrap/>
            <w:vAlign w:val="center"/>
            <w:hideMark/>
          </w:tcPr>
          <w:p w14:paraId="29D70AA2"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39BFAA1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Use of non-contrast CT in ED department</w:t>
            </w:r>
          </w:p>
        </w:tc>
      </w:tr>
      <w:tr w:rsidR="00A427B2" w:rsidRPr="00A427B2" w14:paraId="78661E91" w14:textId="77777777" w:rsidTr="001B1FC9">
        <w:trPr>
          <w:trHeight w:val="510"/>
        </w:trPr>
        <w:tc>
          <w:tcPr>
            <w:tcW w:w="1701" w:type="dxa"/>
            <w:noWrap/>
            <w:vAlign w:val="center"/>
            <w:hideMark/>
          </w:tcPr>
          <w:p w14:paraId="2CF86AB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lastRenderedPageBreak/>
              <w:t>Y Fan</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{"citationItems":[{"id":"ITEM-1","itemData":{"DOI":"10.1007/s12020-019-02121-6","ISSN":"15590100","PMID":"31673954","abstract":"Purpose: Preoperative prediction of transsphenoidal surgical (TSS) response is important for determining individual treatment strategies for acromegaly. There is currently no accurate predictive model for TSS response for acromegaly. The current study sought to develop and validate machine learning (ML)-based models for preoperative prediction of TSS response for acromegaly. Methods: Six hundred sixty-eight patients with acromegaly were enrolled and divided into training (n = 534) and text datasets (n = 134) in this retrospective, data mining and ML study. The forward search algorithm was used to select features, and six ML algorithms were applied to construct TSS response prediction models. The performance of these ML models was validated using receiver operating characteristics analysis. Model calibration, discrimination ability, and clinical usefulness were also assessed. Results: Three hundred forty-nine (52.2%) patients achieved postoperative remission criteria and exhibited good TSS response. A univariate analysis was conducted and eight features, including age, hypertension, ophthalmic disorders, GH, IGF-1, nadir GH, maximal tumor diameter, and Knosp grade, were significantly associated with the TSS response in patients with acromegaly. After feature selection, the gradient boosting decision tree (GBDT), which was constructed with the eight significant features showed the best favorable discriminatory ability both the training (AUC = 0.8555) and validation (AUC = 0.8178) cohorts. The GBDT model showed good discrimination ability and calibration, with the highest levels of accuracy and specificity, and provided better estimates of TTS responses of patients with acromegaly compared with using only the Knosp grade. Decision curve analysis confirmed that the model was clinically useful. Conclusions: ML-based models could aid neurosurgeons in the preoperative prediction of TTS response for patients with acromegaly, and could contribute to determining individual treatment strategies.","author":[{"dropping-particle":"","family":"Fan","given":"Yanghua","non-dropping-particle":"","parse-names":false,"suffix":""},{"dropping-particle":"","family":"Li","given":"Yansheng","non-dropping-particle":"","parse-names":false,"suffix":""},{"dropping-particle":"","family":"Li","given":"Yichao","non-dropping-particle":"","parse-names":false,"suffix":""},{"dropping-particle":"","family":"Feng","given":"Shanshan","non-dropping-particle":"","parse-names":false,"suffix":""},{"dropping-particle":"","family":"Bao","given":"Xinjie","non-dropping-particle":"","parse-names":false,"suffix":""},{"dropping-particle":"","family":"Feng","given":"Ming","non-dropping-particle":"","parse-names":false,"suffix":""},{"dropping-particle":"","family":"Wang","given":"Renzhi","non-dropping-particle":"","parse-names":false,"suffix":""}],"container-title":"Endocrine","id":"ITEM-1","issue":"2","issued":{"date-parts":[["2020"]]},"page":"412-422","publisher":"Springer US","title":"Development and assessment of machine learning algorithms for predicting remission after transsphenoidal surgery among patients with acromegaly","type":"article-journal","volume":"67"},"uris":["http://www.mendeley.com/documents/?uuid=be8e78a8-7612-4da9-b969-73408ba7ed90"]}],"mendeley":{"formattedCitation":"&lt;sup&gt;54&lt;/sup&gt;","plainTextFormattedCitation":"54","previouslyFormattedCitation":"&lt;sup&gt;53&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54</w:t>
            </w:r>
            <w:r w:rsidRPr="00A427B2">
              <w:rPr>
                <w:rFonts w:ascii="Segoe UI" w:eastAsia="Times New Roman" w:hAnsi="Segoe UI" w:cs="Segoe UI"/>
                <w:color w:val="000000"/>
                <w:sz w:val="16"/>
                <w:szCs w:val="16"/>
              </w:rPr>
              <w:fldChar w:fldCharType="end"/>
            </w:r>
          </w:p>
        </w:tc>
        <w:tc>
          <w:tcPr>
            <w:tcW w:w="2122" w:type="dxa"/>
            <w:vAlign w:val="center"/>
          </w:tcPr>
          <w:p w14:paraId="51228E8D"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Endocrine</w:t>
            </w:r>
          </w:p>
        </w:tc>
        <w:tc>
          <w:tcPr>
            <w:tcW w:w="850" w:type="dxa"/>
            <w:vAlign w:val="center"/>
          </w:tcPr>
          <w:p w14:paraId="35C3872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3.235</w:t>
            </w:r>
          </w:p>
        </w:tc>
        <w:tc>
          <w:tcPr>
            <w:tcW w:w="1276" w:type="dxa"/>
            <w:vAlign w:val="center"/>
          </w:tcPr>
          <w:p w14:paraId="2925758F"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1D1BA8DF"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Surgery</w:t>
            </w:r>
          </w:p>
        </w:tc>
        <w:tc>
          <w:tcPr>
            <w:tcW w:w="1541" w:type="dxa"/>
            <w:noWrap/>
            <w:vAlign w:val="center"/>
            <w:hideMark/>
          </w:tcPr>
          <w:p w14:paraId="492A362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736C200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1616812B"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Tumor remission after transphenoidal surgery (TSS)</w:t>
            </w:r>
          </w:p>
        </w:tc>
      </w:tr>
      <w:tr w:rsidR="00A427B2" w:rsidRPr="00A427B2" w14:paraId="21E650FB" w14:textId="77777777" w:rsidTr="001B1FC9">
        <w:trPr>
          <w:trHeight w:val="510"/>
        </w:trPr>
        <w:tc>
          <w:tcPr>
            <w:tcW w:w="1701" w:type="dxa"/>
            <w:noWrap/>
            <w:vAlign w:val="center"/>
            <w:hideMark/>
          </w:tcPr>
          <w:p w14:paraId="00AF999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A Ferre</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{"citationItems":[{"id":"ITEM-1","itemData":{"DOI":"10.5664/jcsm.7578","ISSN":"15509397","abstract":"Study Objectives: The aim of this study is to generate and validate supervised machine learning algorithms to detect patients with Chiari malformation (CM) 1 or 1.5 at high risk of the development of sleep-related breathing disorders (SRBD) using clinical and neuroradiological parameters. Methods: We prospectively included two independent datasets. A training dataset (n = 90) was used to obtain the best model, whereas a second dataset was used to validate it (n = 74). In both cohorts, the same clinical, neuroradiological, and sleep studies were carried out. We used two supervised machine learning approaches, multiple logistic regression (MLR) and the unbiased recursive partitioning technique conditional inference tree (URP-CTREE), to detect patients at high risk of SRBD. We then compared the accuracy, sensitivity, and specificity of the two prediction models. Results: Age (odds ratio [OR] 1.1 95% confidence interval [CI] 1.05–1.17), sex (OR 0.19 95% CI 0.05–0.67), CM type (OR 4.36 95% CI 1.14–18.5), and clivus length (OR 1.14 95% CI 1.01–1.31) were the significant predictor variables for a respiratory disturbance index (RDI) cutoff that was ≥ 10 events/h using MLR. The URP-CTREE model predicted that patients with CM-1 who were age 52 years or older and males with CM-1 who were older than 29 years had a high risk of SRBD. The accuracy of predicting patients with an RDI ≥ 10 events/h was similar in the two cohorts but in the URP-CTREE model, specificity was significantly greater when compared to MLR in both study groups. Conclusions: Both MLR and URP-CTREE predictive models are useful for the diagnosis of SRBD in patients with CM. However, URP-CTREE is easier to apply and interpret in clinical practice.","author":[{"dropping-particle":"","family":"Ferré","given":"Álex","non-dropping-particle":"","parse-names":false,"suffix":""},{"dropping-particle":"","family":"Poca","given":"María A.","non-dropping-particle":"","parse-names":false,"suffix":""},{"dropping-particle":"","family":"La Calzada","given":"María Dolores","non-dropping-particle":"De","parse-names":false,"suffix":""},{"dropping-particle":"","family":"Moncho","given":"Dulce","non-dropping-particle":"","parse-names":false,"suffix":""},{"dropping-particle":"","family":"Urbizu","given":"Aintzane","non-dropping-particle":"","parse-names":false,"suffix":""},{"dropping-particle":"","family":"Romero","given":"Odile","non-dropping-particle":"","parse-names":false,"suffix":""},{"dropping-particle":"","family":"Sampol","given":"Gabriel","non-dropping-particle":"","parse-names":false,"suffix":""},{"dropping-particle":"","family":"Sahuquillo","given":"Juan","non-dropping-particle":"","parse-names":false,"suffix":""}],"container-title":"Journal of Clinical Sleep Medicine","id":"ITEM-1","issue":"1","issued":{"date-parts":[["2019"]]},"page":"89-99","title":"A conditional inference tree model for predicting sleep-related breathing disorders in patients with Chiari malformation type 1: Description and external validation","type":"article-journal","volume":"15"},"uris":["http://www.mendeley.com/documents/?uuid=e6964b84-d9bf-49b1-8414-0e7780e5bc08"]}],"mendeley":{"formattedCitation":"&lt;sup&gt;55&lt;/sup&gt;","plainTextFormattedCitation":"55","previouslyFormattedCitation":"&lt;sup&gt;54&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55</w:t>
            </w:r>
            <w:r w:rsidRPr="00A427B2">
              <w:rPr>
                <w:rFonts w:ascii="Segoe UI" w:eastAsia="Times New Roman" w:hAnsi="Segoe UI" w:cs="Segoe UI"/>
                <w:color w:val="000000"/>
                <w:sz w:val="16"/>
                <w:szCs w:val="16"/>
              </w:rPr>
              <w:fldChar w:fldCharType="end"/>
            </w:r>
          </w:p>
        </w:tc>
        <w:tc>
          <w:tcPr>
            <w:tcW w:w="2122" w:type="dxa"/>
            <w:vAlign w:val="center"/>
          </w:tcPr>
          <w:p w14:paraId="6BA4D61A"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Journal of Clinical Sleep Medicine</w:t>
            </w:r>
          </w:p>
        </w:tc>
        <w:tc>
          <w:tcPr>
            <w:tcW w:w="850" w:type="dxa"/>
            <w:vAlign w:val="center"/>
          </w:tcPr>
          <w:p w14:paraId="2DB69AE2"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3.586</w:t>
            </w:r>
          </w:p>
        </w:tc>
        <w:tc>
          <w:tcPr>
            <w:tcW w:w="1276" w:type="dxa"/>
            <w:vAlign w:val="center"/>
          </w:tcPr>
          <w:p w14:paraId="5160A3A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0372DF1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Neurology</w:t>
            </w:r>
          </w:p>
        </w:tc>
        <w:tc>
          <w:tcPr>
            <w:tcW w:w="1541" w:type="dxa"/>
            <w:noWrap/>
            <w:vAlign w:val="center"/>
            <w:hideMark/>
          </w:tcPr>
          <w:p w14:paraId="68E5294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3A6D844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with external validation (same model)</w:t>
            </w:r>
          </w:p>
        </w:tc>
        <w:tc>
          <w:tcPr>
            <w:tcW w:w="2860" w:type="dxa"/>
            <w:noWrap/>
            <w:vAlign w:val="center"/>
            <w:hideMark/>
          </w:tcPr>
          <w:p w14:paraId="1678587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 xml:space="preserve">RDI equal to or above 10 events/h </w:t>
            </w:r>
          </w:p>
        </w:tc>
      </w:tr>
      <w:tr w:rsidR="00A427B2" w:rsidRPr="00A427B2" w14:paraId="4B3FD929" w14:textId="77777777" w:rsidTr="001B1FC9">
        <w:trPr>
          <w:trHeight w:val="510"/>
        </w:trPr>
        <w:tc>
          <w:tcPr>
            <w:tcW w:w="1701" w:type="dxa"/>
            <w:noWrap/>
            <w:vAlign w:val="center"/>
            <w:hideMark/>
          </w:tcPr>
          <w:p w14:paraId="1BBD63CF"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F Zhang</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{"citationItems":[{"id":"ITEM-1","itemData":{"DOI":"10.1007/s11306-018-1354-8","ISBN":"0123456789","ISSN":"15733890","abstract":"Background: Previous metabolomic studies have revealed that plasma metabolic signatures may predict epithelial ovarian cancer (EOC) recurrence. However, few studies have performed metabolic profiling of pre- and post-operative specimens to investigate EOC prognostic biomarkers. Objective: The aims of our study were to compare the predictive performance of pre- and post-operative specimens and to create a better model for recurrence by combining biomarkers from both metabolic signatures. Methods: Thirty-five paired plasma samples were collected from 35 EOC patients before and after surgery. The patients were followed-up until December, 2016 to obtain recurrence information. Metabolomics using rapid resolution liquid chromatography–mass spectrometry was performed to identify metabolic signatures related to EOC recurrence. The support vector machine model was employed to predict EOC recurrence using identified biomarkers. Results: Global metabolomic profiles distinguished recurrent from non-recurrent EOC using both pre- and post-operative plasma. Ten common significant biomarkers, hydroxyphenyllactic acid, uric acid, creatinine, lysine, 3-(3,5-diiodo-4-hydroxyphenyl) lactate, phosphohydroxypyruvic acid, carnitine, coproporphyrinogen, l-beta-aspartyl-l-glutamic acid and 24,25-hydroxyvitamin D3, were identified as predictive biomarkers for EOC recurrence. The area under the receiver operating characteristic (AUC) values in pre- and post-operative plasma were 0.815 and 0.909, respectively; the AUC value after combining the two sets reached 0.964. Conclusion: Plasma metabolomic analysis could be used to predict EOC recurrence. While post-operative biomarkers have a predictive advantage over pre-operative biomarkers, combining pre- and post-operative biomarkers showed the best predictive performance and has great potential for predicting recurrent EOC.","author":[{"dropping-particle":"","family":"Zhang","given":"Fan","non-dropping-particle":"","parse-names":false,"suffix":""},{"dropping-particle":"","family":"Zhang","given":"Yuanyuan","non-dropping-particle":"","parse-names":false,"suffix":""},{"dropping-particle":"","family":"Ke","given":"Chaofu","non-dropping-particle":"","parse-names":false,"suffix":""},{"dropping-particle":"","family":"Li","given":"Ang","non-dropping-particle":"","parse-names":false,"suffix":""},{"dropping-particle":"","family":"Wang","given":"Wenjie","non-dropping-particle":"","parse-names":false,"suffix":""},{"dropping-particle":"","family":"Yang","given":"Kai","non-dropping-particle":"","parse-names":false,"suffix":""},{"dropping-particle":"","family":"Liu","given":"Huijuan","non-dropping-particle":"","parse-names":false,"suffix":""},{"dropping-particle":"","family":"Xie","given":"Hongyu","non-dropping-particle":"","parse-names":false,"suffix":""},{"dropping-particle":"","family":"Deng","given":"Kui","non-dropping-particle":"","parse-names":false,"suffix":""},{"dropping-particle":"","family":"Zhao","given":"Weiwei","non-dropping-particle":"","parse-names":false,"suffix":""},{"dropping-particle":"","family":"Yang","given":"Chunyan","non-dropping-particle":"","parse-names":false,"suffix":""},{"dropping-particle":"","family":"Lou","given":"Ge","non-dropping-particle":"","parse-names":false,"suffix":""},{"dropping-particle":"","family":"Hou","given":"Yan","non-dropping-particle":"","parse-names":false,"suffix":""},{"dropping-particle":"","family":"Li","given":"Kang","non-dropping-particle":"","parse-names":false,"suffix":""}],"container-title":"Metabolomics","id":"ITEM-1","issue":"5","issued":{"date-parts":[["2018"]]},"page":"1-9","publisher":"Springer US","title":"Predicting ovarian cancer recurrence by plasma metabolic profiles before and after surgery","type":"article-journal","volume":"14"},"uris":["http://www.mendeley.com/documents/?uuid=65bc0095-64ff-4a1e-830e-af4e66ccefd0"]}],"mendeley":{"formattedCitation":"&lt;sup&gt;56&lt;/sup&gt;","plainTextFormattedCitation":"56","previouslyFormattedCitation":"&lt;sup&gt;55&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56</w:t>
            </w:r>
            <w:r w:rsidRPr="00A427B2">
              <w:rPr>
                <w:rFonts w:ascii="Segoe UI" w:eastAsia="Times New Roman" w:hAnsi="Segoe UI" w:cs="Segoe UI"/>
                <w:color w:val="000000"/>
                <w:sz w:val="16"/>
                <w:szCs w:val="16"/>
              </w:rPr>
              <w:fldChar w:fldCharType="end"/>
            </w:r>
          </w:p>
        </w:tc>
        <w:tc>
          <w:tcPr>
            <w:tcW w:w="2122" w:type="dxa"/>
            <w:vAlign w:val="center"/>
          </w:tcPr>
          <w:p w14:paraId="4BAABFA2"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Metabolomics</w:t>
            </w:r>
          </w:p>
        </w:tc>
        <w:tc>
          <w:tcPr>
            <w:tcW w:w="850" w:type="dxa"/>
            <w:vAlign w:val="center"/>
          </w:tcPr>
          <w:p w14:paraId="708695F8"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3.167</w:t>
            </w:r>
          </w:p>
        </w:tc>
        <w:tc>
          <w:tcPr>
            <w:tcW w:w="1276" w:type="dxa"/>
            <w:vAlign w:val="center"/>
          </w:tcPr>
          <w:p w14:paraId="76344F6A"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2018</w:t>
            </w:r>
          </w:p>
        </w:tc>
        <w:tc>
          <w:tcPr>
            <w:tcW w:w="1559" w:type="dxa"/>
            <w:noWrap/>
            <w:vAlign w:val="center"/>
            <w:hideMark/>
          </w:tcPr>
          <w:p w14:paraId="4FD78D51"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Oncology</w:t>
            </w:r>
          </w:p>
        </w:tc>
        <w:tc>
          <w:tcPr>
            <w:tcW w:w="1541" w:type="dxa"/>
            <w:noWrap/>
            <w:vAlign w:val="center"/>
            <w:hideMark/>
          </w:tcPr>
          <w:p w14:paraId="1B55475A"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319F02E4"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3C3EAB5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Recurrence of Epithelial Ovarian Cancer at 5-years</w:t>
            </w:r>
          </w:p>
        </w:tc>
      </w:tr>
      <w:tr w:rsidR="00A427B2" w:rsidRPr="00A427B2" w14:paraId="084D9CB4" w14:textId="77777777" w:rsidTr="001B1FC9">
        <w:trPr>
          <w:trHeight w:val="510"/>
        </w:trPr>
        <w:tc>
          <w:tcPr>
            <w:tcW w:w="1701" w:type="dxa"/>
            <w:noWrap/>
            <w:vAlign w:val="center"/>
            <w:hideMark/>
          </w:tcPr>
          <w:p w14:paraId="6B7AC858"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R Ferrer-Peña</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{"citationItems":[{"id":"ITEM-1","itemData":{"DOI":"10.1016/j.jmpt.2018.11.020","ISSN":"15326586","abstract":"Objective: The aim of this study was to relate forearm anthropometric measures to ultrasound pronator teres depth to determine the necessary needle length to prevent median nerve (MN) injury during pronator teres dry needling. Methods: We conducted a study employing a diagnostic accuracy prediction model (NCT03308279) at a Spanish university center. The study recruited 65 participants to predict the depth of the MN (measured with ultrasound) in the pronator teres using a decision tree algorithm to reduce the risk of MN puncture using 2 needle lengths (13 mm or 25 mm). The decision tree was developed by automatically selecting a cutoff for body mass index, forearm length and circumference, and pronator teres thickness. Results: For forearm circumferences ≤27.5 cm, the predictive value for the 13-mm needle was 92%. For forearm circumferences &gt;27.5 cm and forearm lengths ≤26.75 cm, the predictive value for the 25-mm needle was 100%. Conclusion: Based upon the findings of this study, we suggest that needle length should be selected according to forearm anthropometric measures to prevent MN injury during pronator teres dry needling.","author":[{"dropping-particle":"","family":"Ferrer-Peña","given":"Raúl","non-dropping-particle":"","parse-names":false,"suffix":""},{"dropping-particle":"","family":"Calvo-Lobo","given":"César","non-dropping-particle":"","parse-names":false,"suffix":""},{"dropping-particle":"","family":"Gómez","given":"Miguel","non-dropping-particle":"","parse-names":false,"suffix":""},{"dropping-particle":"","family":"Muñoz-García","given":"Daniel","non-dropping-particle":"","parse-names":false,"suffix":""}],"container-title":"Journal of Manipulative and Physiological Therapeutics","id":"ITEM-1","issue":"5","issued":{"date-parts":[["2019"]]},"page":"366-371","publisher":"Elsevier Inc.","title":"Prediction Model for Choosing Needle Length to Minimize Risk of Median Nerve Puncture With Dry Needling of the Pronator Teres","type":"article-journal","volume":"42"},"uris":["http://www.mendeley.com/documents/?uuid=1f8ec448-abdc-45d8-af05-3f54435147e4"]}],"mendeley":{"formattedCitation":"&lt;sup&gt;57&lt;/sup&gt;","plainTextFormattedCitation":"57","previouslyFormattedCitation":"&lt;sup&gt;56&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57</w:t>
            </w:r>
            <w:r w:rsidRPr="00A427B2">
              <w:rPr>
                <w:rFonts w:ascii="Segoe UI" w:eastAsia="Times New Roman" w:hAnsi="Segoe UI" w:cs="Segoe UI"/>
                <w:color w:val="000000"/>
                <w:sz w:val="16"/>
                <w:szCs w:val="16"/>
              </w:rPr>
              <w:fldChar w:fldCharType="end"/>
            </w:r>
          </w:p>
        </w:tc>
        <w:tc>
          <w:tcPr>
            <w:tcW w:w="2122" w:type="dxa"/>
            <w:vAlign w:val="center"/>
          </w:tcPr>
          <w:p w14:paraId="6064B8A0"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Journal of Manipulative and Physiological Therapeutics</w:t>
            </w:r>
          </w:p>
        </w:tc>
        <w:tc>
          <w:tcPr>
            <w:tcW w:w="850" w:type="dxa"/>
            <w:vAlign w:val="center"/>
          </w:tcPr>
          <w:p w14:paraId="130BB841"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1.230</w:t>
            </w:r>
          </w:p>
        </w:tc>
        <w:tc>
          <w:tcPr>
            <w:tcW w:w="1276" w:type="dxa"/>
            <w:vAlign w:val="center"/>
          </w:tcPr>
          <w:p w14:paraId="43A85F31"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2D58C2E1"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Physical medicine</w:t>
            </w:r>
          </w:p>
        </w:tc>
        <w:tc>
          <w:tcPr>
            <w:tcW w:w="1541" w:type="dxa"/>
            <w:noWrap/>
            <w:vAlign w:val="center"/>
            <w:hideMark/>
          </w:tcPr>
          <w:p w14:paraId="4138F0AE"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Diagnosis</w:t>
            </w:r>
          </w:p>
        </w:tc>
        <w:tc>
          <w:tcPr>
            <w:tcW w:w="2481" w:type="dxa"/>
            <w:noWrap/>
            <w:vAlign w:val="center"/>
            <w:hideMark/>
          </w:tcPr>
          <w:p w14:paraId="40760CDE"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0BD8695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Needle length</w:t>
            </w:r>
          </w:p>
        </w:tc>
      </w:tr>
      <w:tr w:rsidR="00A427B2" w:rsidRPr="00A427B2" w14:paraId="38FB90C6" w14:textId="77777777" w:rsidTr="001B1FC9">
        <w:trPr>
          <w:trHeight w:val="510"/>
        </w:trPr>
        <w:tc>
          <w:tcPr>
            <w:tcW w:w="1701" w:type="dxa"/>
            <w:noWrap/>
            <w:vAlign w:val="center"/>
            <w:hideMark/>
          </w:tcPr>
          <w:p w14:paraId="2481490F"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JM Cameron</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{"citationItems":[{"id":"ITEM-1","itemData":{"DOI":"10.1039/c9an01731c","ISSN":"13645528","abstract":"Over a third of brain tumour patients visit their general practitioner more than five times prior to diagnosis in the UK, leading to 62% of patients being diagnosed as emergency presentations. Unfortunately, symptoms are non-specific to brain tumours, and the majority of these patients complain of headaches on multiple occasions before being referred to a neurologist. As there are currently no methods in place for the early detection of brain cancer, the affected patients' average life expectancy is reduced by 20 years. These statistics indicate that the current pathway is ineffective, and there is a vast need for a rapid diagnostic test. Attenuated total reflection Fourier-transform infrared (ATR-FTIR) spectroscopy is sensitive to the hallmarks of cancer, as it analyses the full range of macromolecular classes. The combination of serum spectroscopy and advanced data analysis has previously been shown to rapidly and objectively distinguish brain tumour severity. Recently, a novel high-throughput ATR accessory has been developed, which could be cost-effective to the National Health Service in the UK, and valuable for clinical translation. In this study, 765 blood serum samples have been collected from healthy controls and patients diagnosed with various types of brain cancer, contributing to one of the largest spectroscopic studies to date. Three robust machine learning techniques-random forest, partial least squares-discriminant analysis and support vector machine-have all provided promising results. The novel high-throughput technology has been validated by separating brain cancer and non-cancer with balanced accuracies of 90% which is comparable to the traditional fixed diamond crystal methodology. Furthermore, the differentiation of brain tumour type could be useful for neurologists, as some are difficult to distinguish through medical imaging alone. For example, the highly aggressive glioblastoma multiforme and primary cerebral lymphoma can appear similar on magnetic resonance imaging (MRI) scans, thus are often misdiagnosed. Here, we report the ability of infrared spectroscopy to distinguish between glioblastoma and lymphoma patients, at a sensitivity and specificity of 90.1% and 86.3%, respectively. A reliable serum diagnostic test could avoid the need for surgery and speed up time to definitive chemotherapy and radiotherapy.","author":[{"dropping-particle":"","family":"Cameron","given":"James M.","non-dropping-particle":"","parse-names":false,"suffix":""},{"dropping-particle":"","family":"Butler","given":"Holly J.","non-dropping-particle":"","parse-names":false,"suffix":""},{"dropping-particle":"","family":"Smith","given":"Benjamin R.","non-dropping-particle":"","parse-names":false,"suffix":""},{"dropping-particle":"","family":"Hegarty","given":"Mark G.","non-dropping-particle":"","parse-names":false,"suffix":""},{"dropping-particle":"","family":"Jenkinson","given":"Michael D.","non-dropping-particle":"","parse-names":false,"suffix":""},{"dropping-particle":"","family":"Syed","given":"Khaja","non-dropping-particle":"","parse-names":false,"suffix":""},{"dropping-particle":"","family":"Brennan","given":"Paul M.","non-dropping-particle":"","parse-names":false,"suffix":""},{"dropping-particle":"","family":"Ashton","given":"Katherine","non-dropping-particle":"","parse-names":false,"suffix":""},{"dropping-particle":"","family":"Dawson","given":"Timothy","non-dropping-particle":"","parse-names":false,"suffix":""},{"dropping-particle":"","family":"Palmer","given":"David S.","non-dropping-particle":"","parse-names":false,"suffix":""},{"dropping-particle":"","family":"Baker","given":"Matthew J.","non-dropping-particle":"","parse-names":false,"suffix":""}],"container-title":"Analyst","id":"ITEM-1","issue":"22","issued":{"date-parts":[["2019"]]},"page":"6736-6750","publisher":"Royal Society of Chemistry","title":"Developing infrared spectroscopic detection for stratifying brain tumour patients: Glioblastoma multiforme: Vs. lymphoma","type":"article-journal","volume":"144"},"uris":["http://www.mendeley.com/documents/?uuid=6cb1b0d1-7c56-43ca-bb32-c68964a8965b"]}],"mendeley":{"formattedCitation":"&lt;sup&gt;58&lt;/sup&gt;","plainTextFormattedCitation":"58","previouslyFormattedCitation":"&lt;sup&gt;57&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58</w:t>
            </w:r>
            <w:r w:rsidRPr="00A427B2">
              <w:rPr>
                <w:rFonts w:ascii="Segoe UI" w:eastAsia="Times New Roman" w:hAnsi="Segoe UI" w:cs="Segoe UI"/>
                <w:color w:val="000000"/>
                <w:sz w:val="16"/>
                <w:szCs w:val="16"/>
              </w:rPr>
              <w:fldChar w:fldCharType="end"/>
            </w:r>
          </w:p>
        </w:tc>
        <w:tc>
          <w:tcPr>
            <w:tcW w:w="2122" w:type="dxa"/>
            <w:vAlign w:val="center"/>
          </w:tcPr>
          <w:p w14:paraId="0EDC899D"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Analyst</w:t>
            </w:r>
          </w:p>
        </w:tc>
        <w:tc>
          <w:tcPr>
            <w:tcW w:w="850" w:type="dxa"/>
            <w:vAlign w:val="center"/>
          </w:tcPr>
          <w:p w14:paraId="3D97F240"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3.978</w:t>
            </w:r>
          </w:p>
        </w:tc>
        <w:tc>
          <w:tcPr>
            <w:tcW w:w="1276" w:type="dxa"/>
            <w:vAlign w:val="center"/>
          </w:tcPr>
          <w:p w14:paraId="09354D28"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5CDDAB1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Oncology</w:t>
            </w:r>
          </w:p>
        </w:tc>
        <w:tc>
          <w:tcPr>
            <w:tcW w:w="1541" w:type="dxa"/>
            <w:noWrap/>
            <w:vAlign w:val="center"/>
            <w:hideMark/>
          </w:tcPr>
          <w:p w14:paraId="3EF91D4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Diagnosis</w:t>
            </w:r>
          </w:p>
        </w:tc>
        <w:tc>
          <w:tcPr>
            <w:tcW w:w="2481" w:type="dxa"/>
            <w:noWrap/>
            <w:vAlign w:val="center"/>
            <w:hideMark/>
          </w:tcPr>
          <w:p w14:paraId="75E4B55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620D72D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Brain tumor</w:t>
            </w:r>
          </w:p>
        </w:tc>
      </w:tr>
      <w:tr w:rsidR="00A427B2" w:rsidRPr="00A427B2" w14:paraId="285B1D11" w14:textId="77777777" w:rsidTr="001B1FC9">
        <w:trPr>
          <w:trHeight w:val="510"/>
        </w:trPr>
        <w:tc>
          <w:tcPr>
            <w:tcW w:w="1701" w:type="dxa"/>
            <w:noWrap/>
            <w:vAlign w:val="center"/>
            <w:hideMark/>
          </w:tcPr>
          <w:p w14:paraId="25EDE0A3"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AHS Harris</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{"citationItems":[{"id":"ITEM-1","itemData":{"DOI":"10.1016/j.arth.2017.12.003","ISSN":"15328406","abstract":"Background: Statistical models to preoperatively predict patients’ risk of death and major complications after total joint arthroplasty (TJA) could improve the quality of preoperative management and informed consent. Although risk models for TJA exist, they have limitations including poor transparency and/or unknown or poor performance. Thus, it is currently impossible to know how well currently available models predict short-term complications after TJA, or if newly developed models are more accurate. We sought to develop and conduct cross-validation of predictive risk models, and report details and performance metrics as benchmarks. Methods: Over 90 preoperative variables were used as candidate predictors of death and major complications within 30 days for Veterans Health Administration patients with osteoarthritis who underwent TJA. Data were split into 3 samples—for selection of model tuning parameters, model development, and cross-validation. C-indexes (discrimination) and calibration plots were produced. Results: A total of 70,569 patients diagnosed with osteoarthritis who received primary TJA were included. C-statistics and bootstrapped confidence intervals for the cross-validation of the boosted regression models were highest for cardiac complications (0.75; 0.71-0.79) and 30-day mortality (0.73; 0.66-0.79) and lowest for deep vein thrombosis (0.59; 0.55-0.64) and return to the operating room (0.60; 0.57-0.63). Conclusions: Moderately accurate predictive models of 30-day mortality and cardiac complications after TJA in Veterans Health Administration patients were developed and internally cross-validated. By reporting model coefficients and performance metrics, other model developers can test these models on new samples and have a procedure and indication-specific benchmark to surpass.","author":[{"dropping-particle":"","family":"Harris","given":"Alex HS","non-dropping-particle":"","parse-names":false,"suffix":""},{"dropping-particle":"","family":"Kuo","given":"Alfred C.","non-dropping-particle":"","parse-names":false,"suffix":""},{"dropping-particle":"","family":"Bowe","given":"Thomas","non-dropping-particle":"","parse-names":false,"suffix":""},{"dropping-particle":"","family":"Gupta","given":"Shalini","non-dropping-particle":"","parse-names":false,"suffix":""},{"dropping-particle":"","family":"Nordin","given":"David","non-dropping-particle":"","parse-names":false,"suffix":""},{"dropping-particle":"","family":"Giori","given":"Nicholas J.","non-dropping-particle":"","parse-names":false,"suffix":""}],"container-title":"Journal of Arthroplasty","id":"ITEM-1","issue":"5","issued":{"date-parts":[["2018"]]},"page":"1539-1545","publisher":"Elsevier Ltd","title":"Prediction Models for 30-Day Mortality and Complications After Total Knee and Hip Arthroplasties for Veteran Health Administration Patients With Osteoarthritis","type":"article-journal","volume":"33"},"uris":["http://www.mendeley.com/documents/?uuid=3ff3554d-cf1d-4617-a43c-e3ebe592eeb1"]}],"mendeley":{"formattedCitation":"&lt;sup&gt;59&lt;/sup&gt;","plainTextFormattedCitation":"59","previouslyFormattedCitation":"&lt;sup&gt;58&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59</w:t>
            </w:r>
            <w:r w:rsidRPr="00A427B2">
              <w:rPr>
                <w:rFonts w:ascii="Segoe UI" w:eastAsia="Times New Roman" w:hAnsi="Segoe UI" w:cs="Segoe UI"/>
                <w:color w:val="000000"/>
                <w:sz w:val="16"/>
                <w:szCs w:val="16"/>
              </w:rPr>
              <w:fldChar w:fldCharType="end"/>
            </w:r>
            <w:r w:rsidRPr="00A427B2">
              <w:rPr>
                <w:rFonts w:ascii="Segoe UI" w:eastAsia="Times New Roman" w:hAnsi="Segoe UI" w:cs="Segoe UI"/>
                <w:color w:val="000000"/>
                <w:sz w:val="16"/>
                <w:szCs w:val="16"/>
              </w:rPr>
              <w:t xml:space="preserve"> </w:t>
            </w:r>
          </w:p>
        </w:tc>
        <w:tc>
          <w:tcPr>
            <w:tcW w:w="2122" w:type="dxa"/>
            <w:vAlign w:val="center"/>
          </w:tcPr>
          <w:p w14:paraId="31CF857D"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The Journal of Arthroplasty</w:t>
            </w:r>
          </w:p>
        </w:tc>
        <w:tc>
          <w:tcPr>
            <w:tcW w:w="850" w:type="dxa"/>
            <w:vAlign w:val="center"/>
          </w:tcPr>
          <w:p w14:paraId="0140CFB3"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3.524</w:t>
            </w:r>
          </w:p>
        </w:tc>
        <w:tc>
          <w:tcPr>
            <w:tcW w:w="1276" w:type="dxa"/>
            <w:vAlign w:val="center"/>
          </w:tcPr>
          <w:p w14:paraId="2E6CBDDA"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2018</w:t>
            </w:r>
          </w:p>
        </w:tc>
        <w:tc>
          <w:tcPr>
            <w:tcW w:w="1559" w:type="dxa"/>
            <w:noWrap/>
            <w:vAlign w:val="center"/>
            <w:hideMark/>
          </w:tcPr>
          <w:p w14:paraId="1CBC140A"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Surgery</w:t>
            </w:r>
          </w:p>
        </w:tc>
        <w:tc>
          <w:tcPr>
            <w:tcW w:w="1541" w:type="dxa"/>
            <w:noWrap/>
            <w:vAlign w:val="center"/>
            <w:hideMark/>
          </w:tcPr>
          <w:p w14:paraId="76597951"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61900B0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6E03F1AB"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 xml:space="preserve">30-day mortality </w:t>
            </w:r>
          </w:p>
        </w:tc>
      </w:tr>
      <w:tr w:rsidR="00A427B2" w:rsidRPr="00A427B2" w14:paraId="3CC736A3" w14:textId="77777777" w:rsidTr="001B1FC9">
        <w:trPr>
          <w:trHeight w:val="510"/>
        </w:trPr>
        <w:tc>
          <w:tcPr>
            <w:tcW w:w="1701" w:type="dxa"/>
            <w:noWrap/>
            <w:vAlign w:val="center"/>
            <w:hideMark/>
          </w:tcPr>
          <w:p w14:paraId="4A76D70A"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KM Kuo</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{"citationItems":[{"id":"ITEM-1","itemData":{"DOI":"10.1186/s12911-019-0792-1","ISSN":"14726947","abstract":"Background: Medications are frequently used for treating schizophrenia, however, anti-psychotic drug use is known to lead to cases of pneumonia. The purpose of our study is to build a model for predicting hospital-acquired pneumonia among schizophrenic patients by adopting machine learning techniques. Methods: Data related to a total of 185 schizophrenic in-patients at a Taiwanese district mental hospital diagnosed with pneumonia between 2013 ~ 2018 were gathered. Eleven predictors, including gender, age, clozapine use, drug-drug interaction, dosage, duration of medication, coughing, change of leukocyte count, change of neutrophil count, change of blood sugar level, change of body weight, were used to predict the onset of pneumonia. Seven machine learning algorithms, including classification and regression tree, decision tree, k-nearest neighbors, naïve Bayes, random forest, support vector machine, and logistic regression were utilized to build predictive models used in this study. Accuracy, area under receiver operating characteristic curve, sensitivity, specificity, and kappa were used to measure overall model performance. Results: Among the seven adopted machine learning algorithms, random forest and decision tree exhibited the optimal predictive accuracy versus the remaining algorithms. Further, six most important risk factors, including, dosage, clozapine use, duration of medication, change of neutrophil count, change of leukocyte count, and drug-drug interaction, were also identified. Conclusions: Although schizophrenic patients remain susceptible to the threat of pneumonia whenever treated with anti-psychotic drugs, our predictive model may serve as a useful support tool for physicians treating such patients.","author":[{"dropping-particle":"","family":"Kuo","given":"Kuang Ming","non-dropping-particle":"","parse-names":false,"suffix":""},{"dropping-particle":"","family":"Talley","given":"Paul C.","non-dropping-particle":"","parse-names":false,"suffix":""},{"dropping-particle":"","family":"Huang","given":"Chi Hsien","non-dropping-particle":"","parse-names":false,"suffix":""},{"dropping-particle":"","family":"Cheng","given":"Liang Chih","non-dropping-particle":"","parse-names":false,"suffix":""}],"container-title":"BMC Medical Informatics and Decision Making","id":"ITEM-1","issue":"1","issued":{"date-parts":[["2019"]]},"page":"1-8","publisher":"BMC Medical Informatics and Decision Making","title":"Predicting hospital-acquired pneumonia among schizophrenic patients: A machine learning approach","type":"article-journal","volume":"19"},"uris":["http://www.mendeley.com/documents/?uuid=6b916f9b-cc6c-469f-8ba8-c69cdde9ec93"]}],"mendeley":{"formattedCitation":"&lt;sup&gt;60&lt;/sup&gt;","plainTextFormattedCitation":"60","previouslyFormattedCitation":"&lt;sup&gt;59&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60</w:t>
            </w:r>
            <w:r w:rsidRPr="00A427B2">
              <w:rPr>
                <w:rFonts w:ascii="Segoe UI" w:eastAsia="Times New Roman" w:hAnsi="Segoe UI" w:cs="Segoe UI"/>
                <w:color w:val="000000"/>
                <w:sz w:val="16"/>
                <w:szCs w:val="16"/>
              </w:rPr>
              <w:fldChar w:fldCharType="end"/>
            </w:r>
          </w:p>
        </w:tc>
        <w:tc>
          <w:tcPr>
            <w:tcW w:w="2122" w:type="dxa"/>
            <w:vAlign w:val="center"/>
          </w:tcPr>
          <w:p w14:paraId="4C246782"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BMC Medical Informatics and Decision Making</w:t>
            </w:r>
          </w:p>
        </w:tc>
        <w:tc>
          <w:tcPr>
            <w:tcW w:w="850" w:type="dxa"/>
            <w:vAlign w:val="center"/>
          </w:tcPr>
          <w:p w14:paraId="2BA3CE01"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2.317</w:t>
            </w:r>
          </w:p>
        </w:tc>
        <w:tc>
          <w:tcPr>
            <w:tcW w:w="1276" w:type="dxa"/>
            <w:vAlign w:val="center"/>
          </w:tcPr>
          <w:p w14:paraId="4622C5CB"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3F0AD6E3"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Psychiatry</w:t>
            </w:r>
          </w:p>
        </w:tc>
        <w:tc>
          <w:tcPr>
            <w:tcW w:w="1541" w:type="dxa"/>
            <w:noWrap/>
            <w:vAlign w:val="center"/>
            <w:hideMark/>
          </w:tcPr>
          <w:p w14:paraId="1DE289A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16C76E3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7BDBDD5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Hospital-acquired pneumonia</w:t>
            </w:r>
          </w:p>
        </w:tc>
      </w:tr>
      <w:tr w:rsidR="00A427B2" w:rsidRPr="00A427B2" w14:paraId="634A3ECB" w14:textId="77777777" w:rsidTr="001B1FC9">
        <w:trPr>
          <w:trHeight w:val="510"/>
        </w:trPr>
        <w:tc>
          <w:tcPr>
            <w:tcW w:w="1701" w:type="dxa"/>
            <w:noWrap/>
            <w:vAlign w:val="center"/>
            <w:hideMark/>
          </w:tcPr>
          <w:p w14:paraId="4187D193"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Y Arai</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{"citationItems":[{"id":"ITEM-1","itemData":{"DOI":"10.1182/bloodadvances.2019000934","ISSN":"24739537","abstract":"Acute graft-versus-host disease (aGVHD) is 1 of the critical complications that often occurs following allogeneic hematopoietic stem cell transplantation (HSCT). Thus far, various types of prediction scores have been created using statistical calculations. The primary objective of this study was to establish and validate the machine learning–dependent index for predicting aGVHD. This was a retrospective cohort study that involved analyzing databases of adult HSCT patients in Japan. The alternating decision tree (ADTree) machine learning algorithm was applied to develop models using the training cohort (70%). The ADTree algorithm was confirmed using the hazard model on data from the validation cohort (30%). Data from 26 695 HSCT patients transplanted from allogeneic donors between 1992 and 2016 were included in this study. The cumulative incidence of aGVHD was 42.8%. Of &gt;40 variables considered, 15 were adapted into a model for aGVHD prediction. The model was tested in the validation cohort, and the incidence of aGVHD was clearly stratified according to the categorized ADTree scores; the cumulative incidence of aGVHD was 29.0% for low risk and 58.7% for high risk (hazard ratio, 2.57). Predicting scores for aGVHD also demonstrated the link between the risk of development aGVHD and overall survival after HSCT. The machine learning algorithms produced clinically reasonable and robust risk stratification scores. The relatively high reproducibility and low impacts from the interactions among the variables indicate that the ADTree algorithm, along with the other data-mining approaches, may provide tools for establishing risk score.","author":[{"dropping-particle":"","family":"Arai","given":"Yasuyuki","non-dropping-particle":"","parse-names":false,"suffix":""},{"dropping-particle":"","family":"Kondo","given":"Tadakazu","non-dropping-particle":"","parse-names":false,"suffix":""},{"dropping-particle":"","family":"Fuse","given":"Kyoko","non-dropping-particle":"","parse-names":false,"suffix":""},{"dropping-particle":"","family":"Shibasaki","given":"Yasuhiko","non-dropping-particle":"","parse-names":false,"suffix":""},{"dropping-particle":"","family":"Masuko","given":"Masayoshi","non-dropping-particle":"","parse-names":false,"suffix":""},{"dropping-particle":"","family":"Sugita","given":"Junichi","non-dropping-particle":"","parse-names":false,"suffix":""},{"dropping-particle":"","family":"Teshima","given":"Takanori","non-dropping-particle":"","parse-names":false,"suffix":""},{"dropping-particle":"","family":"Uchida","given":"Naoyuki","non-dropping-particle":"","parse-names":false,"suffix":""},{"dropping-particle":"","family":"Fukuda","given":"Takahiro","non-dropping-particle":"","parse-names":false,"suffix":""},{"dropping-particle":"","family":"Kakihana","given":"Kazuhiko","non-dropping-particle":"","parse-names":false,"suffix":""},{"dropping-particle":"","family":"Ozawa","given":"Yukiyasu","non-dropping-particle":"","parse-names":false,"suffix":""},{"dropping-particle":"","family":"Eto","given":"Tetsuya","non-dropping-particle":"","parse-names":false,"suffix":""},{"dropping-particle":"","family":"Tanaka","given":"Masatsugu","non-dropping-particle":"","parse-names":false,"suffix":""},{"dropping-particle":"","family":"Ikegame","given":"Kazuhiro","non-dropping-particle":"","parse-names":false,"suffix":""},{"dropping-particle":"","family":"Mori","given":"Takehiko","non-dropping-particle":"","parse-names":false,"suffix":""},{"dropping-particle":"","family":"Iwato","given":"Koji","non-dropping-particle":"","parse-names":false,"suffix":""},{"dropping-particle":"","family":"Ichinohe","given":"Tatsuo","non-dropping-particle":"","parse-names":false,"suffix":""},{"dropping-particle":"","family":"Kanda","given":"Yoshinobu","non-dropping-particle":"","parse-names":false,"suffix":""},{"dropping-particle":"","family":"Atsuta","given":"Yoshiko","non-dropping-particle":"","parse-names":false,"suffix":""}],"container-title":"Blood Advances","id":"ITEM-1","issue":"22","issued":{"date-parts":[["2019"]]},"page":"3626-3634","title":"Using a machine learning algorithm to predict acute graft-versus-host disease following allogeneic transplantation","type":"article-journal","volume":"3"},"uris":["http://www.mendeley.com/documents/?uuid=c0457ce5-d1ac-49cf-80c0-f9318e38aba8"]}],"mendeley":{"formattedCitation":"&lt;sup&gt;61&lt;/sup&gt;","plainTextFormattedCitation":"61","previouslyFormattedCitation":"&lt;sup&gt;60&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61</w:t>
            </w:r>
            <w:r w:rsidRPr="00A427B2">
              <w:rPr>
                <w:rFonts w:ascii="Segoe UI" w:eastAsia="Times New Roman" w:hAnsi="Segoe UI" w:cs="Segoe UI"/>
                <w:color w:val="000000"/>
                <w:sz w:val="16"/>
                <w:szCs w:val="16"/>
              </w:rPr>
              <w:fldChar w:fldCharType="end"/>
            </w:r>
          </w:p>
        </w:tc>
        <w:tc>
          <w:tcPr>
            <w:tcW w:w="2122" w:type="dxa"/>
            <w:vAlign w:val="center"/>
          </w:tcPr>
          <w:p w14:paraId="127FBD63"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Blood advances</w:t>
            </w:r>
          </w:p>
        </w:tc>
        <w:tc>
          <w:tcPr>
            <w:tcW w:w="850" w:type="dxa"/>
            <w:vAlign w:val="center"/>
          </w:tcPr>
          <w:p w14:paraId="49912F4B"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4.910</w:t>
            </w:r>
          </w:p>
        </w:tc>
        <w:tc>
          <w:tcPr>
            <w:tcW w:w="1276" w:type="dxa"/>
            <w:vAlign w:val="center"/>
          </w:tcPr>
          <w:p w14:paraId="61D0302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0AD43531"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Immunology</w:t>
            </w:r>
          </w:p>
        </w:tc>
        <w:tc>
          <w:tcPr>
            <w:tcW w:w="1541" w:type="dxa"/>
            <w:noWrap/>
            <w:vAlign w:val="center"/>
            <w:hideMark/>
          </w:tcPr>
          <w:p w14:paraId="0A09574B"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23669E7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32D9A98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 xml:space="preserve"> Acute graft-versus-host disease</w:t>
            </w:r>
          </w:p>
        </w:tc>
      </w:tr>
      <w:tr w:rsidR="00A427B2" w:rsidRPr="00A427B2" w14:paraId="5DF21968" w14:textId="77777777" w:rsidTr="001B1FC9">
        <w:trPr>
          <w:trHeight w:val="510"/>
        </w:trPr>
        <w:tc>
          <w:tcPr>
            <w:tcW w:w="1701" w:type="dxa"/>
            <w:noWrap/>
            <w:vAlign w:val="center"/>
            <w:hideMark/>
          </w:tcPr>
          <w:p w14:paraId="3257D0E8"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JK Paul</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{"citationItems":[{"id":"ITEM-1","itemData":{"DOI":"10.1016/j.compbiomed.2019.103331","ISSN":"18790534","abstract":"Fibromyalgia is an intense musculoskeletal pain causing sleep, fatigue, and mood problems. Sleep studies have suggested that 70%–80% of fibromyalgia patients complain of non-restorative sleep. The abnormalities in sleep have been implicated as both a cause and effect of the disease. In this paper, the electroencephalogram (EEG) signals of sleep stages 2 and 3 are used to classify the normal and fibromyalgia classes automatically. We have used various nonlinear parameters, namely sample entropy (SampEn), fractal dimension (FD), higher order spectra (HOS), largest Lyapunov exponent (LLE), Kolmogorov complexity (KC), Hurst exponent (HE), energy, and power in various frequency bands from the EEG signals. Then these features are subjected to Student's t-test to select the clinically significant features, and are classified using the support vector machine (SVM) classifier. Our proposed method can classify normal and fibromyalgia subjects using the stage 2 sleep EEG signals with an accuracy of 96.15%, sensitivity and specificity of 96.88% and 95.65%, respectively. Performance of the developed system can be improved further by adding more subjects in each class, and can be employed for clinical use.","author":[{"dropping-particle":"","family":"Paul","given":"Jose Kunnel","non-dropping-particle":"","parse-names":false,"suffix":""},{"dropping-particle":"","family":"Iype","given":"Thomas","non-dropping-particle":"","parse-names":false,"suffix":""},{"dropping-particle":"","family":"R","given":"Dileep","non-dropping-particle":"","parse-names":false,"suffix":""},{"dropping-particle":"","family":"Hagiwara","given":"Yuki","non-dropping-particle":"","parse-names":false,"suffix":""},{"dropping-particle":"","family":"Koh","given":"Joel E.W.","non-dropping-particle":"","parse-names":false,"suffix":""},{"dropping-particle":"","family":"Acharya","given":"U. Rajendra","non-dropping-particle":"","parse-names":false,"suffix":""}],"container-title":"Computers in Biology and Medicine","id":"ITEM-1","issue":"April","issued":{"date-parts":[["2019"]]},"page":"103331","publisher":"Elsevier Ltd","title":"Characterization of fibromyalgia using sleep EEG signals with nonlinear dynamical features","type":"article-journal","volume":"111"},"uris":["http://www.mendeley.com/documents/?uuid=5ac0d47e-6962-4141-8c1f-05325964b028"]}],"mendeley":{"formattedCitation":"&lt;sup&gt;62&lt;/sup&gt;","plainTextFormattedCitation":"62","previouslyFormattedCitation":"&lt;sup&gt;61&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62</w:t>
            </w:r>
            <w:r w:rsidRPr="00A427B2">
              <w:rPr>
                <w:rFonts w:ascii="Segoe UI" w:eastAsia="Times New Roman" w:hAnsi="Segoe UI" w:cs="Segoe UI"/>
                <w:color w:val="000000"/>
                <w:sz w:val="16"/>
                <w:szCs w:val="16"/>
              </w:rPr>
              <w:fldChar w:fldCharType="end"/>
            </w:r>
          </w:p>
        </w:tc>
        <w:tc>
          <w:tcPr>
            <w:tcW w:w="2122" w:type="dxa"/>
            <w:vAlign w:val="center"/>
          </w:tcPr>
          <w:p w14:paraId="6DF621FB"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Computers in Biology and Medicine</w:t>
            </w:r>
          </w:p>
        </w:tc>
        <w:tc>
          <w:tcPr>
            <w:tcW w:w="850" w:type="dxa"/>
            <w:vAlign w:val="center"/>
          </w:tcPr>
          <w:p w14:paraId="168281E3"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3.434</w:t>
            </w:r>
          </w:p>
        </w:tc>
        <w:tc>
          <w:tcPr>
            <w:tcW w:w="1276" w:type="dxa"/>
            <w:vAlign w:val="center"/>
          </w:tcPr>
          <w:p w14:paraId="27BDA3EE"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3146995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Neurology</w:t>
            </w:r>
          </w:p>
        </w:tc>
        <w:tc>
          <w:tcPr>
            <w:tcW w:w="1541" w:type="dxa"/>
            <w:noWrap/>
            <w:vAlign w:val="center"/>
            <w:hideMark/>
          </w:tcPr>
          <w:p w14:paraId="7C76253A"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Diagnosis</w:t>
            </w:r>
          </w:p>
        </w:tc>
        <w:tc>
          <w:tcPr>
            <w:tcW w:w="2481" w:type="dxa"/>
            <w:noWrap/>
            <w:vAlign w:val="center"/>
            <w:hideMark/>
          </w:tcPr>
          <w:p w14:paraId="5B7F14D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35502040"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Fibromyalgia</w:t>
            </w:r>
          </w:p>
        </w:tc>
      </w:tr>
      <w:tr w:rsidR="00A427B2" w:rsidRPr="00A427B2" w14:paraId="7193B7C4" w14:textId="77777777" w:rsidTr="001B1FC9">
        <w:trPr>
          <w:trHeight w:val="510"/>
        </w:trPr>
        <w:tc>
          <w:tcPr>
            <w:tcW w:w="1701" w:type="dxa"/>
            <w:noWrap/>
            <w:vAlign w:val="center"/>
            <w:hideMark/>
          </w:tcPr>
          <w:p w14:paraId="2BC582A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L Liu</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{"citationItems":[{"id":"ITEM-1","itemData":{"DOI":"10.1186/s12918-018-0624-4","ISSN":"17520509","abstract":"Background: Osteoarthritis (OA) is the most common disease of arthritis. Analgesics are widely used in the treat of arthritis, which may increase the risk of cardiovascular diseases by 20% to 50% overall.There are few studies on the side effects of OA medication, especially the risk prediction models on side effects of analgesics. In addition, most prediction models do not provide clinically useful interpretable rules to explain the reasoning process behind their predictions. In order to assist OA patients, we use the eXtreme Gradient Boosting (XGBoost) method to balance the accuracy and interpretability of the prediction model. Results: In this study we used the XGBoost model as a classifier, which is a supervised machine learning method and can predict side effects of analgesics for OA patients and identify high-risk features (RFs) of cardiovascular diseases caused by analgesics. The Electronic Medical Records (EMRs), which were derived from public knee OA studies, were used to train the model. The performance of the XGBoost model is superior to four well-known machine learning algorithms and identifies the risk features from the biomedical literature. In addition the model can provide decision support for using analgesics in OA patients. Conclusion: Compared with other machine learning methods, we used XGBoost method to predict side effects of analgesics for OA patients from EMRs, and selected the individual informative RFs. The model has good predictability and interpretability, this is valuable for both medical researchers and patients.","author":[{"dropping-particle":"","family":"Liu","given":"Liangliang","non-dropping-particle":"","parse-names":false,"suffix":""},{"dropping-particle":"","family":"Yu","given":"Ying","non-dropping-particle":"","parse-names":false,"suffix":""},{"dropping-particle":"","family":"Fei","given":"Zhihui","non-dropping-particle":"","parse-names":false,"suffix":""},{"dropping-particle":"","family":"Li","given":"Min","non-dropping-particle":"","parse-names":false,"suffix":""},{"dropping-particle":"","family":"Wu","given":"Fang Xiang","non-dropping-particle":"","parse-names":false,"suffix":""},{"dropping-particle":"","family":"Li","given":"Hong Dong","non-dropping-particle":"","parse-names":false,"suffix":""},{"dropping-particle":"","family":"Pan","given":"Yi","non-dropping-particle":"","parse-names":false,"suffix":""},{"dropping-particle":"","family":"Wang","given":"Jianxin","non-dropping-particle":"","parse-names":false,"suffix":""}],"container-title":"BMC Systems Biology","id":"ITEM-1","issue":"Suppl 6","issued":{"date-parts":[["2018"]]},"title":"An interpretable boosting model to predict side effects of analgesics for osteoarthritis","type":"article-journal","volume":"12"},"uris":["http://www.mendeley.com/documents/?uuid=c10b63f8-e37b-425e-b76e-a659cf67c05a"]}],"mendeley":{"formattedCitation":"&lt;sup&gt;63&lt;/sup&gt;","plainTextFormattedCitation":"63","previouslyFormattedCitation":"&lt;sup&gt;62&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63</w:t>
            </w:r>
            <w:r w:rsidRPr="00A427B2">
              <w:rPr>
                <w:rFonts w:ascii="Segoe UI" w:eastAsia="Times New Roman" w:hAnsi="Segoe UI" w:cs="Segoe UI"/>
                <w:color w:val="000000"/>
                <w:sz w:val="16"/>
                <w:szCs w:val="16"/>
              </w:rPr>
              <w:fldChar w:fldCharType="end"/>
            </w:r>
          </w:p>
        </w:tc>
        <w:tc>
          <w:tcPr>
            <w:tcW w:w="2122" w:type="dxa"/>
            <w:vAlign w:val="center"/>
          </w:tcPr>
          <w:p w14:paraId="5332DCCC"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BMC Systems Biology</w:t>
            </w:r>
          </w:p>
        </w:tc>
        <w:tc>
          <w:tcPr>
            <w:tcW w:w="850" w:type="dxa"/>
            <w:vAlign w:val="center"/>
          </w:tcPr>
          <w:p w14:paraId="614D4F8E"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2.048</w:t>
            </w:r>
          </w:p>
        </w:tc>
        <w:tc>
          <w:tcPr>
            <w:tcW w:w="1276" w:type="dxa"/>
            <w:vAlign w:val="center"/>
          </w:tcPr>
          <w:p w14:paraId="6DF1E56E"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2018</w:t>
            </w:r>
          </w:p>
        </w:tc>
        <w:tc>
          <w:tcPr>
            <w:tcW w:w="1559" w:type="dxa"/>
            <w:noWrap/>
            <w:vAlign w:val="center"/>
            <w:hideMark/>
          </w:tcPr>
          <w:p w14:paraId="73FBADE9"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Traumatology</w:t>
            </w:r>
          </w:p>
        </w:tc>
        <w:tc>
          <w:tcPr>
            <w:tcW w:w="1541" w:type="dxa"/>
            <w:noWrap/>
            <w:vAlign w:val="center"/>
            <w:hideMark/>
          </w:tcPr>
          <w:p w14:paraId="194BB4B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086087B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7A42D93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Side effects of analgesics</w:t>
            </w:r>
          </w:p>
        </w:tc>
      </w:tr>
      <w:tr w:rsidR="00A427B2" w:rsidRPr="00A427B2" w14:paraId="42A790DD" w14:textId="77777777" w:rsidTr="001B1FC9">
        <w:trPr>
          <w:trHeight w:val="510"/>
        </w:trPr>
        <w:tc>
          <w:tcPr>
            <w:tcW w:w="1701" w:type="dxa"/>
            <w:noWrap/>
            <w:vAlign w:val="center"/>
            <w:hideMark/>
          </w:tcPr>
          <w:p w14:paraId="4AFDE199"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C Shappell</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{"citationItems":[{"id":"ITEM-1","itemData":{"DOI":"10.1016/j.physbeh.2017.03.040","ISBN":"0000000000","abstract":"Background and Aims—Cardiovascular disease (CVD) is among the leading causes of morbidity and mortality worldwide. Traditional risk factors predict 75-80% of an individual's risk of incident CVD. However, the role of early life experiences in future disease risk is gaining attention. The Barker hypothesis proposes fetal origins of adult disease, with consistent evidence demonstrating the deleterious consequences of birth weight outside the normal range. In this study, we investigate the role of birth weight in CVD risk prediction. Methods and Results—The Women's Health Initiative (WHI) represents a large national cohort of post-menopausal women with 63 815 participants included in this analysis. Univariable proportional hazards regression analyses evaluated the association of 4 self-reported birth weight categories against 3 CVD outcome definitions, which included indicators of coronary heart disease, ischemic stroke, coronary revascularization, carotid artery disease and peripheral arterial disease. The role of birth weight was also evaluated for prediction of CVD events in the presence of traditional risk factors using 3 existing CVD risk prediction equations: one body mass index (BMI)-based and two laboratory-based models. Low birth weight (LBW) (&lt; 6 lbs.) was significantly associated with all CVD outcome definitions in univariable analyses (HR=1.086, p=0.009). LBW was a significant covariate in the BMI-based model (HR=1.128, p&lt;0.0001) but not in the lipid-based models. Conclusion—LBW (&lt;6 lbs.) is independently associated with CVD outcomes in the WHI cohort. This finding supports the role of the prenatal and postnatal environment in contributing to the development of adult chronic disease.","author":[{"dropping-particle":"","family":"Hyochol Ahn, PhD, Michael Weaver, PhD, Debra Lyon, PhD, Eunyoung Choi, RN, and Roger B. Fillingim","given":"PhD","non-dropping-particle":"","parse-names":false,"suffix":""}],"container-title":"Physiology &amp; behavior","id":"ITEM-1","issue":"10","issued":{"date-parts":[["2017"]]},"page":"139-148","title":"</w:instrText>
            </w:r>
            <w:r w:rsidRPr="00A427B2">
              <w:rPr>
                <w:rFonts w:ascii="Segoe UI" w:eastAsia="MS Gothic" w:hAnsi="Segoe UI" w:cs="Segoe UI"/>
                <w:color w:val="000000"/>
                <w:sz w:val="16"/>
                <w:szCs w:val="16"/>
              </w:rPr>
              <w:instrText>乳鼠心肌提取</w:instrText>
            </w:r>
            <w:r w:rsidRPr="00A427B2">
              <w:rPr>
                <w:rFonts w:ascii="Segoe UI" w:eastAsia="Times New Roman" w:hAnsi="Segoe UI" w:cs="Segoe UI"/>
                <w:color w:val="000000"/>
                <w:sz w:val="16"/>
                <w:szCs w:val="16"/>
              </w:rPr>
              <w:instrText xml:space="preserve"> HHS Public Access","type":"article-journal","volume":"176"},"uris":["http://www.mendeley.com/documents/?uuid=4e45b35a-2c76-4261-bd14-20d63fa0f37c"]}],"mendeley":{"formattedCitation":"&lt;sup&gt;64&lt;/sup&gt;","plainTextFormattedCitation":"64","previouslyFormattedCitation":"&lt;sup&gt;63&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64</w:t>
            </w:r>
            <w:r w:rsidRPr="00A427B2">
              <w:rPr>
                <w:rFonts w:ascii="Segoe UI" w:eastAsia="Times New Roman" w:hAnsi="Segoe UI" w:cs="Segoe UI"/>
                <w:color w:val="000000"/>
                <w:sz w:val="16"/>
                <w:szCs w:val="16"/>
              </w:rPr>
              <w:fldChar w:fldCharType="end"/>
            </w:r>
          </w:p>
        </w:tc>
        <w:tc>
          <w:tcPr>
            <w:tcW w:w="2122" w:type="dxa"/>
            <w:vAlign w:val="center"/>
          </w:tcPr>
          <w:p w14:paraId="08C48D1E"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Critical Care Medicine</w:t>
            </w:r>
          </w:p>
        </w:tc>
        <w:tc>
          <w:tcPr>
            <w:tcW w:w="850" w:type="dxa"/>
            <w:vAlign w:val="center"/>
          </w:tcPr>
          <w:p w14:paraId="776665E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6.971</w:t>
            </w:r>
          </w:p>
        </w:tc>
        <w:tc>
          <w:tcPr>
            <w:tcW w:w="1276" w:type="dxa"/>
            <w:vAlign w:val="center"/>
          </w:tcPr>
          <w:p w14:paraId="2E603CF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2018</w:t>
            </w:r>
          </w:p>
        </w:tc>
        <w:tc>
          <w:tcPr>
            <w:tcW w:w="1559" w:type="dxa"/>
            <w:noWrap/>
            <w:vAlign w:val="center"/>
            <w:hideMark/>
          </w:tcPr>
          <w:p w14:paraId="3D10894E"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Critical care</w:t>
            </w:r>
          </w:p>
        </w:tc>
        <w:tc>
          <w:tcPr>
            <w:tcW w:w="1541" w:type="dxa"/>
            <w:noWrap/>
            <w:vAlign w:val="center"/>
            <w:hideMark/>
          </w:tcPr>
          <w:p w14:paraId="3E70558B"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768E980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576B18E9"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In-hospital mortality</w:t>
            </w:r>
          </w:p>
        </w:tc>
      </w:tr>
      <w:tr w:rsidR="00A427B2" w:rsidRPr="00A427B2" w14:paraId="17ACFE8A" w14:textId="77777777" w:rsidTr="001B1FC9">
        <w:trPr>
          <w:trHeight w:val="510"/>
        </w:trPr>
        <w:tc>
          <w:tcPr>
            <w:tcW w:w="1701" w:type="dxa"/>
            <w:noWrap/>
            <w:vAlign w:val="center"/>
            <w:hideMark/>
          </w:tcPr>
          <w:p w14:paraId="316D4F8B"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X Niu</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{"citationItems":[{"id":"ITEM-1","itemData":{"DOI":"10.1038/s41598-018-32635-4","ISSN":"2045-2322 (Linking)","abstract":"RNA-induced silencing complex (RISC) plays a critical role in small interfering RNA (siRNA) and microRNAs (miRNA) pathways. Accumulating evidence has demonstrated that the major RISC members (AGO, DICER, TRBP, PACT and GW182) represent expression discrepancies or multiple orthologues/paralogues in different species. To elucidate their evolutionary characteristics, an integrated evolutionary analysis was performed. Here, animal and plant AGOs were divided into three classes (multifunctional AGOs, siRNA-associated AGOs and piRNA-associated AGOs for animal AGOs and multifunctional AGOs, siRNA-associated AGOs and complementary functioning AGOs for plant AGOs). Animal and plant DICERs were grouped into one class (multifunctional DICERs) and two classes (multifunctional DICERs and siRNA-associated DICERs), respectively. Protista/fungi AGOs or DICERs were specifically associated with the siRNA pathway. Additionally, TRBP/PACT/GW182 were identified only in animals, and all of them functioned in the miRNA pathway. Mammalian AGOs, animal DICERs and chordate TRBP/PACT were found to be monophyletic. A large number of gene duplications were identified in AGO and DICER groups. Taken together, we provide a comprehensive evolutionary analysis, describe a phylogenetic tree-based classification of the major RISC members and quantify their gene duplication events. These findings are potentially useful for classifying RISCs, optimizing species-specific RISCs and developing research model organisms.","author":[{"dropping-particle":"","family":"Zhang","given":"R","non-dropping-particle":"","parse-names":false,"suffix":""},{"dropping-particle":"","family":"Jing","given":"Y","non-dropping-particle":"","parse-names":false,"suffix":""},{"dropping-particle":"","family":"Zhang","given":"H","non-dropping-particle":"","parse-names":false,"suffix":""},{"dropping-particle":"","family":"Niu","given":"Y","non-dropping-particle":"","parse-names":false,"suffix":""},{"dropping-particle":"","family":"Liu","given":"C","non-dropping-particle":"","parse-names":false,"suffix":""},{"dropping-particle":"","family":"Wang","given":"J","non-dropping-particle":"","parse-names":false,"suffix":""},{"dropping-particle":"","family":"Zen","given":"K","non-dropping-particle":"","parse-names":false,"suffix":""},{"dropping-particle":"","family":"CY","given":"Zhang","non-dropping-particle":"","parse-names":false,"suffix":""},{"dropping-particle":"","family":"Li","given":"D","non-dropping-particle":"","parse-names":false,"suffix":""}],"container-title":"Scientific reports","id":"ITEM-1","issue":"1","issued":{"date-parts":[["2018","9"]]},"page":"14189","publisher-place":"England","title":"Comprehensive Evolutionary Analysis of the Major RNA-Induced Silencing Complex Members.","type":"article-journal","volume":"8"},"uris":["http://www.mendeley.com/documents/?uuid=bd4caf7c-579d-427f-a1b3-b65544578769"]}],"mendeley":{"formattedCitation":"&lt;sup&gt;65&lt;/sup&gt;","plainTextFormattedCitation":"65","previouslyFormattedCitation":"&lt;sup&gt;64&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65</w:t>
            </w:r>
            <w:r w:rsidRPr="00A427B2">
              <w:rPr>
                <w:rFonts w:ascii="Segoe UI" w:eastAsia="Times New Roman" w:hAnsi="Segoe UI" w:cs="Segoe UI"/>
                <w:color w:val="000000"/>
                <w:sz w:val="16"/>
                <w:szCs w:val="16"/>
              </w:rPr>
              <w:fldChar w:fldCharType="end"/>
            </w:r>
          </w:p>
        </w:tc>
        <w:tc>
          <w:tcPr>
            <w:tcW w:w="2122" w:type="dxa"/>
            <w:vAlign w:val="center"/>
          </w:tcPr>
          <w:p w14:paraId="4991587E"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Scientific Reports</w:t>
            </w:r>
          </w:p>
        </w:tc>
        <w:tc>
          <w:tcPr>
            <w:tcW w:w="850" w:type="dxa"/>
            <w:vAlign w:val="center"/>
          </w:tcPr>
          <w:p w14:paraId="67FCC12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4.011</w:t>
            </w:r>
          </w:p>
        </w:tc>
        <w:tc>
          <w:tcPr>
            <w:tcW w:w="1276" w:type="dxa"/>
            <w:vAlign w:val="center"/>
          </w:tcPr>
          <w:p w14:paraId="668BA84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2018</w:t>
            </w:r>
          </w:p>
        </w:tc>
        <w:tc>
          <w:tcPr>
            <w:tcW w:w="1559" w:type="dxa"/>
            <w:noWrap/>
            <w:vAlign w:val="center"/>
            <w:hideMark/>
          </w:tcPr>
          <w:p w14:paraId="16C45A5B"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Cardiovascular medicine</w:t>
            </w:r>
          </w:p>
        </w:tc>
        <w:tc>
          <w:tcPr>
            <w:tcW w:w="1541" w:type="dxa"/>
            <w:noWrap/>
            <w:vAlign w:val="center"/>
            <w:hideMark/>
          </w:tcPr>
          <w:p w14:paraId="05CB1A5F"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5BBF62A9"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5838D76B"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MACEs within 1-year follow-up</w:t>
            </w:r>
          </w:p>
        </w:tc>
      </w:tr>
      <w:tr w:rsidR="00A427B2" w:rsidRPr="00A427B2" w14:paraId="374A5FFA" w14:textId="77777777" w:rsidTr="001B1FC9">
        <w:trPr>
          <w:trHeight w:val="510"/>
        </w:trPr>
        <w:tc>
          <w:tcPr>
            <w:tcW w:w="1701" w:type="dxa"/>
            <w:noWrap/>
            <w:vAlign w:val="center"/>
            <w:hideMark/>
          </w:tcPr>
          <w:p w14:paraId="62AD9F5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F Ge</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{"citationItems":[{"id":"ITEM-1","itemData":{"DOI":"10.1016/j.jad.2019.11.079","ISSN":"15732517","abstract":"Background: Evidence has identified risk factors associated with individuals with trauma exposure who develop posttraumatic stress disorder (PTSD). How to combine risk factors to predict probable PTSD in young survivors using machine learning is limited. The study aimed to integrated multiple measures at 2 weeks after the earthquake using machine learning for the prediction of probable PTSD at 3 months after earthquake. Methods: A total of 2099 young survivors with earthquake exposure were included. We integrated multiple domains of variables to ‘train’ a machine learning algorithm (XGBoost). Thirty-one combination types were implemented and evaluated. The resulting XGBoost was utilized in identifying individual participants as either probable PTSD or no PTSD. Results: Any combination type predicted young survivor probable PTSD, with prediction accuracies ranging between 66%-80% (p &lt; 0.05). In particular, the combination of earthquake experience, everyday functioning, somatic symptoms and sleeping correctly predicted 683 out of 802 cases of probable PTSD, translating to a classical accuracy of 74.476% (85.156% sensitivity and 60.366% specificity) and an area under the curve of 0.80. The most relevant variables (e.g. age, sex, property loss and a sedentary lifestyle) revealed in the present study. Limitations: Participants from a specific district might limit the generalizability of our results. Self-report questionnaires and non-standardized measures were used to assess symptoms. Conclusion: Detection of probable PTSD according to self-reported measurement data is feasible, may improve operational efficiencies via enabling targeted intervention, before manifestation of symptoms.","author":[{"dropping-particle":"","family":"Ge","given":"Fenfen","non-dropping-particle":"","parse-names":false,"suffix":""},{"dropping-particle":"","family":"Li","given":"Ying","non-dropping-particle":"","parse-names":false,"suffix":""},{"dropping-particle":"","family":"Yuan","given":"Minlan","non-dropping-particle":"","parse-names":false,"suffix":""},{"dropping-particle":"","family":"Zhang","given":"Jun","non-dropping-particle":"","parse-names":false,"suffix":""},{"dropping-particle":"","family":"Zhang","given":"Wei","non-dropping-particle":"","parse-names":false,"suffix":""}],"container-title":"Journal of Affective Disorders","id":"ITEM-1","issue":"September 2019","issued":{"date-parts":[["2020"]]},"page":"483-493","publisher":"Elsevier B.V.","title":"Identifying predictors of probable posttraumatic stress disorder in children and adolescents with earthquake exposure: A longitudinal study using a machine learning approach","type":"article-journal","volume":"264"},"uris":["http://www.mendeley.com/documents/?uuid=930874be-e8e9-497f-823f-edc3e1da8327"]}],"mendeley":{"formattedCitation":"&lt;sup&gt;66&lt;/sup&gt;","plainTextFormattedCitation":"66","previouslyFormattedCitation":"&lt;sup&gt;65&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66</w:t>
            </w:r>
            <w:r w:rsidRPr="00A427B2">
              <w:rPr>
                <w:rFonts w:ascii="Segoe UI" w:eastAsia="Times New Roman" w:hAnsi="Segoe UI" w:cs="Segoe UI"/>
                <w:color w:val="000000"/>
                <w:sz w:val="16"/>
                <w:szCs w:val="16"/>
              </w:rPr>
              <w:fldChar w:fldCharType="end"/>
            </w:r>
          </w:p>
        </w:tc>
        <w:tc>
          <w:tcPr>
            <w:tcW w:w="2122" w:type="dxa"/>
            <w:vAlign w:val="center"/>
          </w:tcPr>
          <w:p w14:paraId="39C7AB92"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Journal of Affective Disorders</w:t>
            </w:r>
          </w:p>
        </w:tc>
        <w:tc>
          <w:tcPr>
            <w:tcW w:w="850" w:type="dxa"/>
            <w:vAlign w:val="center"/>
          </w:tcPr>
          <w:p w14:paraId="3C0DD263"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3.892</w:t>
            </w:r>
          </w:p>
        </w:tc>
        <w:tc>
          <w:tcPr>
            <w:tcW w:w="1276" w:type="dxa"/>
            <w:vAlign w:val="center"/>
          </w:tcPr>
          <w:p w14:paraId="794CEB5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16ED5E78"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Psychiatry</w:t>
            </w:r>
          </w:p>
        </w:tc>
        <w:tc>
          <w:tcPr>
            <w:tcW w:w="1541" w:type="dxa"/>
            <w:noWrap/>
            <w:vAlign w:val="center"/>
            <w:hideMark/>
          </w:tcPr>
          <w:p w14:paraId="2B4DF0CB"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681B755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00722D8E"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Posttraumatic stress disorder at 3 months</w:t>
            </w:r>
          </w:p>
        </w:tc>
      </w:tr>
      <w:tr w:rsidR="00A427B2" w:rsidRPr="00A427B2" w14:paraId="29E53951" w14:textId="77777777" w:rsidTr="001B1FC9">
        <w:trPr>
          <w:trHeight w:val="510"/>
        </w:trPr>
        <w:tc>
          <w:tcPr>
            <w:tcW w:w="1701" w:type="dxa"/>
            <w:noWrap/>
            <w:vAlign w:val="center"/>
            <w:hideMark/>
          </w:tcPr>
          <w:p w14:paraId="3B50C6E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B Dhondt</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{"citationItems":[{"id":"ITEM-1","itemData":{"DOI":"10.1007/s00345-018-2609-8","ISBN":"0034501826098","ISSN":"14338726","abstract":"Purpose: Patients with oligometastatic prostate cancer (PC) may benefit from metastasis-directed therapy (MDT), delaying disease progression and the start of palliative systemic treatment. However, a significant proportion of oligometastatic PC patients progress to polymetastatic PC within a year following MDT, suggesting an underestimation of the metastatic load by current staging modalities. Molecular markers could help to identify true oligometastatic patients eligible for MDT. Methods: Patients with asymptomatic biochemical recurrence following primary PC treatment were classified as oligo- or polymetastatic based on 18F-choline PET/CT imaging. Oligometastatic patients had up to three metastases at baseline and did not progress to more than three lesions following MDT or surveillance within 1 year of diagnosis of metastases. Polymetastatic patients had &gt; 3 metastases at baseline or developed &gt; 3 metastases within 1 year following imaging. A model aiming to prospectively distinguish oligo- and polymetastatic PC patients was trained using clinicopathological parameters and serum-derived microRNA expression profiles from a discovery cohort of 20 oligometastatic and 20 polymetastatic PC patients. To confirm the models predictive performance, it was applied on biomarker data obtained from an independent validation cohort of 44 patients with oligometastatic and 39 patients with polymetastatic disease. Results: Oligometastatic PC patients had a more favorable prognosis compared to polymetastatic ones, as defined by a significantly longer median CRPC-free survival (not reached versus 38 months; 95% confidence interval 31–45 months with P &lt; 0.001). Despite the good performance of a predictive model trained on the discovery cohort, with an AUC of 0.833 (0.693–0.973; 95% CI) and a sensitivity of 0.894 (0.714–1.000; 95% CI) for oligometastatic disease, none of the miRNA targets were found to be differentially expressed between oligo- and polymetastatic PC patients in the signature validation cohort. The multivariate model had an AUC of 0.393 (0.534 after cross-validation) and therefore, no predictive ability. Conclusions: Although PC patients with oligometastatic disease had a more favorable prognosis, no serum-derived biomarkers allowing for prospective discrimination of oligo- and polymetastatic prostate cancer patients could be identified.","author":[{"dropping-particle":"","family":"Dhondt","given":"Bert","non-dropping-particle":"","parse-names":false,"suffix":""},{"dropping-particle":"","family":"Bleser","given":"Elise","non-dropping-particle":"De","parse-names":false,"suffix":""},{"dropping-particle":"","family":"Claeys","given":"Tom","non-dropping-particle":"","parse-names":false,"suffix":""},{"dropping-particle":"","family":"Buelens","given":"Sarah","non-dropping-particle":"","parse-names":false,"suffix":""},{"dropping-particle":"","family":"Lumen","given":"Nicolaas","non-dropping-particle":"","parse-names":false,"suffix":""},{"dropping-particle":"","family":"Vandesompele","given":"Jo","non-dropping-particle":"","parse-names":false,"suffix":""},{"dropping-particle":"","family":"Beckers","given":"Anneleen","non-dropping-particle":"","parse-names":false,"suffix":""},{"dropping-particle":"","family":"Fonteyne","given":"Valerie","non-dropping-particle":"","parse-names":false,"suffix":""},{"dropping-particle":"","family":"Eecken","given":"Kim","non-dropping-particle":"Van der","parse-names":false,"suffix":""},{"dropping-particle":"","family":"Bruycker","given":"Aurélie","non-dropping-particle":"De","parse-names":false,"suffix":""},{"dropping-particle":"","family":"Paul","given":"Jérôme","non-dropping-particle":"","parse-names":false,"suffix":""},{"dropping-particle":"","family":"Gramme","given":"Pierre","non-dropping-particle":"","parse-names":false,"suffix":""},{"dropping-particle":"","family":"Ost","given":"Piet","non-dropping-particle":"","parse-names":false,"suffix":""}],"container-title":"World Journal of Urology","id":"ITEM-1","issue":"12","issued":{"date-parts":[["2019"]]},"page":"2557-2564","publisher":"Springer Berlin Heidelberg","title":"Discovery and validation of a serum microRNA signature to characterize oligo- and polymetastatic prostate cancer: not ready for prime time","type":"article-journal","volume":"37"},"uris":["http://www.mendeley.com/documents/?uuid=4fcf1863-4101-4997-977d-ff4c378108f4"]}],"mendeley":{"formattedCitation":"&lt;sup&gt;67&lt;/sup&gt;","plainTextFormattedCitation":"67","previouslyFormattedCitation":"&lt;sup&gt;66&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67</w:t>
            </w:r>
            <w:r w:rsidRPr="00A427B2">
              <w:rPr>
                <w:rFonts w:ascii="Segoe UI" w:eastAsia="Times New Roman" w:hAnsi="Segoe UI" w:cs="Segoe UI"/>
                <w:color w:val="000000"/>
                <w:sz w:val="16"/>
                <w:szCs w:val="16"/>
              </w:rPr>
              <w:fldChar w:fldCharType="end"/>
            </w:r>
          </w:p>
        </w:tc>
        <w:tc>
          <w:tcPr>
            <w:tcW w:w="2122" w:type="dxa"/>
            <w:vAlign w:val="center"/>
          </w:tcPr>
          <w:p w14:paraId="24EC2D85"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World Journal of Urology</w:t>
            </w:r>
          </w:p>
        </w:tc>
        <w:tc>
          <w:tcPr>
            <w:tcW w:w="850" w:type="dxa"/>
            <w:vAlign w:val="center"/>
          </w:tcPr>
          <w:p w14:paraId="139AFC5E"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3.217</w:t>
            </w:r>
          </w:p>
        </w:tc>
        <w:tc>
          <w:tcPr>
            <w:tcW w:w="1276" w:type="dxa"/>
            <w:vAlign w:val="center"/>
          </w:tcPr>
          <w:p w14:paraId="3BD06CB4"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45E704F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Oncology</w:t>
            </w:r>
          </w:p>
        </w:tc>
        <w:tc>
          <w:tcPr>
            <w:tcW w:w="1541" w:type="dxa"/>
            <w:noWrap/>
            <w:vAlign w:val="center"/>
            <w:hideMark/>
          </w:tcPr>
          <w:p w14:paraId="4AB64DD3"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Diagnosis</w:t>
            </w:r>
          </w:p>
        </w:tc>
        <w:tc>
          <w:tcPr>
            <w:tcW w:w="2481" w:type="dxa"/>
            <w:noWrap/>
            <w:vAlign w:val="center"/>
            <w:hideMark/>
          </w:tcPr>
          <w:p w14:paraId="4ED4662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4560B3F9"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Pligometastic vs polymetastatic in prostatic cancer</w:t>
            </w:r>
          </w:p>
        </w:tc>
      </w:tr>
      <w:tr w:rsidR="00A427B2" w:rsidRPr="00A427B2" w14:paraId="386EFDA8" w14:textId="77777777" w:rsidTr="001B1FC9">
        <w:trPr>
          <w:trHeight w:val="510"/>
        </w:trPr>
        <w:tc>
          <w:tcPr>
            <w:tcW w:w="1701" w:type="dxa"/>
            <w:noWrap/>
            <w:vAlign w:val="center"/>
            <w:hideMark/>
          </w:tcPr>
          <w:p w14:paraId="59D49471"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B Rohaut</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{"citationItems":[{"id":"ITEM-1","itemData":{"DOI":"10.1038/s41598-019-41042-2","ISSN":"20452322","abstract":"The purpose of this study was to determine the significance of deep structural lesions for impairment of consciousness following hemorrhagic stroke and recovery at ICU discharge. Our study focused on deep lesions that previously were implicated in studies of disorders of consciousness. We analyzed MRI measures obtained within the first week of the bleed and command following throughout the ICU stay. A machine learning approach was applied to identify MRI findings that best predicted the level consciousness. From 158 intracerebral hemorrhage patients that underwent MRI, one third was unconscious at the time of MRI and half of these patients recovered consciousness by ICU discharge. Deep structural lesions predicted both, impairment and recovery of consciousness, together with established measures of mass effect. Lesions in the midbrain peduncle and pontine tegmentum alongside the caudate nucleus were implicated as critical structures. Unconscious patients predicted to recover consciousness by ICU discharge had better long-term functional outcomes than those predicted to remain unconscious.","author":[{"dropping-particle":"","family":"Rohaut","given":"Benjamin","non-dropping-particle":"","parse-names":false,"suffix":""},{"dropping-particle":"","family":"Doyle","given":"Kevin W.","non-dropping-particle":"","parse-names":false,"suffix":""},{"dropping-particle":"","family":"Reynolds","given":"Alexandra S.","non-dropping-particle":"","parse-names":false,"suffix":""},{"dropping-particle":"","family":"Igwe","given":"Kay","non-dropping-particle":"","parse-names":false,"suffix":""},{"dropping-particle":"","family":"Couch","given":"Caroline","non-dropping-particle":"","parse-names":false,"suffix":""},{"dropping-particle":"","family":"Matory","given":"Adu","non-dropping-particle":"","parse-names":false,"suffix":""},{"dropping-particle":"","family":"Rizvi","given":"Batool","non-dropping-particle":"","parse-names":false,"suffix":""},{"dropping-particle":"","family":"Roh","given":"David","non-dropping-particle":"","parse-names":false,"suffix":""},{"dropping-particle":"","family":"Velazquez","given":"Angela","non-dropping-particle":"","parse-names":false,"suffix":""},{"dropping-particle":"","family":"Megjhani","given":"Murad","non-dropping-particle":"","parse-names":false,"suffix":""},{"dropping-particle":"","family":"Park","given":"Soojin","non-dropping-particle":"","parse-names":false,"suffix":""},{"dropping-particle":"","family":"Agarwal","given":"Sachin","non-dropping-particle":"","parse-names":false,"suffix":""},{"dropping-particle":"","family":"Mauro","given":"Christine M.","non-dropping-particle":"","parse-names":false,"suffix":""},{"dropping-particle":"","family":"Li","given":"Gen","non-dropping-particle":"","parse-names":false,"suffix":""},{"dropping-particle":"","family":"Eliseyev","given":"Andrey","non-dropping-particle":"","parse-names":false,"suffix":""},{"dropping-particle":"","family":"Perlbarg","given":"Vincent","non-dropping-particle":"","parse-names":false,"suffix":""},{"dropping-particle":"","family":"Connolly","given":"Sander","non-dropping-particle":"","parse-names":false,"suffix":""},{"dropping-particle":"","family":"Brickman","given":"Adam M.","non-dropping-particle":"","parse-names":false,"suffix":""},{"dropping-particle":"","family":"Claassen","given":"Jan","non-dropping-particle":"","parse-names":false,"suffix":""}],"container-title":"Scientific Reports","id":"ITEM-1","issue":"1","issued":{"date-parts":[["2019"]]},"page":"1-9","publisher":"Springer US","title":"Deep structural brain lesions associated with consciousness impairment early after hemorrhagic stroke","type":"article-journal","volume":"9"},"uris":["http://www.mendeley.com/documents/?uuid=0ae01d33-adc0-45a5-8288-8a397873cab8"]}],"mendeley":{"formattedCitation":"&lt;sup&gt;68&lt;/sup&gt;","plainTextFormattedCitation":"68","previouslyFormattedCitation":"&lt;sup&gt;67&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68</w:t>
            </w:r>
            <w:r w:rsidRPr="00A427B2">
              <w:rPr>
                <w:rFonts w:ascii="Segoe UI" w:eastAsia="Times New Roman" w:hAnsi="Segoe UI" w:cs="Segoe UI"/>
                <w:color w:val="000000"/>
                <w:sz w:val="16"/>
                <w:szCs w:val="16"/>
              </w:rPr>
              <w:fldChar w:fldCharType="end"/>
            </w:r>
          </w:p>
        </w:tc>
        <w:tc>
          <w:tcPr>
            <w:tcW w:w="2122" w:type="dxa"/>
            <w:vAlign w:val="center"/>
          </w:tcPr>
          <w:p w14:paraId="4B4F9FD9"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Scientific Reports</w:t>
            </w:r>
          </w:p>
        </w:tc>
        <w:tc>
          <w:tcPr>
            <w:tcW w:w="850" w:type="dxa"/>
            <w:vAlign w:val="center"/>
          </w:tcPr>
          <w:p w14:paraId="48B417C8"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3.998</w:t>
            </w:r>
          </w:p>
        </w:tc>
        <w:tc>
          <w:tcPr>
            <w:tcW w:w="1276" w:type="dxa"/>
            <w:vAlign w:val="center"/>
          </w:tcPr>
          <w:p w14:paraId="4001263A"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07245F5B"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Medical imaging</w:t>
            </w:r>
          </w:p>
        </w:tc>
        <w:tc>
          <w:tcPr>
            <w:tcW w:w="1541" w:type="dxa"/>
            <w:noWrap/>
            <w:vAlign w:val="center"/>
            <w:hideMark/>
          </w:tcPr>
          <w:p w14:paraId="196AE932"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3580F36A"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2F06F19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Consciousness at ICU discharge</w:t>
            </w:r>
          </w:p>
        </w:tc>
      </w:tr>
      <w:tr w:rsidR="00A427B2" w:rsidRPr="00A427B2" w14:paraId="1FFFBEE3" w14:textId="77777777" w:rsidTr="001B1FC9">
        <w:trPr>
          <w:trHeight w:val="510"/>
        </w:trPr>
        <w:tc>
          <w:tcPr>
            <w:tcW w:w="1701" w:type="dxa"/>
            <w:noWrap/>
            <w:vAlign w:val="center"/>
            <w:hideMark/>
          </w:tcPr>
          <w:p w14:paraId="1505DAAB"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JM Karnuta</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{"citationItems":[{"id":"ITEM-1","itemData":{"DOI":"10.1016/j.arth.2019.05.048","ISSN":"15328406","abstract":"Background: Recent advances in machine learning have given rise to deep learning, which uses hierarchical layers to build models, offering the ability to advance value-based healthcare by better predicting patient outcomes and costs of a given treatment. The purpose of this study is to compare the performance of 2 common deep learning models, traditional multilayer perceptron (MLP), and the newer dense neural network (DenseNet), in predicting outcomes for primary total hip arthroplasty (THA) and total knee arthroplasty (TKA) as a foundation for future musculoskeletal studies seeking to utilize machine learning. Methods: Using 295,605 patients undergoing primary THA and TKA from a New York State inpatient administrative database from 2009 to 2016, 2 neural network designs (MLP vs DenseNet) with different model regularization techniques (dropout, batch normalization, and DeCovLoss) were applied to compare model performance on predicting inpatient procedural cost using the area under the receiver operating characteristic curve (AUC). Models were implemented to identify high-cost surgical cases. Results: DenseNet performed similarly to or better than MLP across the different regularization techniques in predicting procedural costs of THA and TKA. Applying regularization to DenseNet resulted in a significantly higher AUC as compared to DenseNet alone (0.813 vs 0.792, P = .011). When regularization methods were applied to MLP, the AUC was significantly lower than without regularization (0.621 vs 0.791, P = 1.1 × 10−15). When the optimal MLP and DenseNet models were compared in a head-to-head fashion, they performed similarly at cost prediction (P &gt; .999). Conclusion: This study establishes that in predicting costs of lower extremity arthroplasty, DenseNet models improve in performance with regularization, whereas simple neural network models perform significantly worse without regularization. In light of the resource-intensive nature of creating and testing deep learning models for orthopedic surgery, particularly for value-centric procedures such as arthroplasty, this study establishes a set of key technical features that resulted in better prediction of inpatient surgical costs. We demonstrated that regularization is critically important for neural networks in arthroplasty cost prediction and that future studies should utilize these deep learning techniques to predict arthroplasty costs. Level of Evidence: III.","author":[{"dropping-particle":"","family":"Karnuta","given":"Jaret M.","non-dropping-particle":"","parse-names":false,"suffix":""},{"dropping-particle":"","family":"Navarro","given":"Sergio M.","non-dropping-particle":"","parse-names":false,"suffix":""},{"dropping-particle":"","family":"Haeberle","given":"Heather S.","non-dropping-particle":"","parse-names":false,"suffix":""},{"dropping-particle":"","family":"Helm","given":"J. Matthew","non-dropping-particle":"","parse-names":false,"suffix":""},{"dropping-particle":"","family":"Kamath","given":"Atul F.","non-dropping-particle":"","parse-names":false,"suffix":""},{"dropping-particle":"","family":"Schaffer","given":"Jonathan L.","non-dropping-particle":"","parse-names":false,"suffix":""},{"dropping-particle":"","family":"Krebs","given":"Viktor E.","non-dropping-particle":"","parse-names":false,"suffix":""},{"dropping-particle":"","family":"Ramkumar","given":"Prem N.","non-dropping-particle":"","parse-names":false,"suffix":""}],"container-title":"Journal of Arthroplasty","id":"ITEM-1","issue":"10","issued":{"date-parts":[["2019"]]},"page":"2235-2241.e1","publisher":"Elsevier Ltd","title":"Predicting Inpatient Payments Prior to Lower Extremity Arthroplasty Using Deep Learning: Which Model Architecture Is Best?","type":"article-journal","volume":"34"},"uris":["http://www.mendeley.com/documents/?uuid=cdaa882d-7bc6-4f19-945e-2ede7601345e"]}],"mendeley":{"formattedCitation":"&lt;sup&gt;69&lt;/sup&gt;","plainTextFormattedCitation":"69","previouslyFormattedCitation":"&lt;sup&gt;68&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69</w:t>
            </w:r>
            <w:r w:rsidRPr="00A427B2">
              <w:rPr>
                <w:rFonts w:ascii="Segoe UI" w:eastAsia="Times New Roman" w:hAnsi="Segoe UI" w:cs="Segoe UI"/>
                <w:color w:val="000000"/>
                <w:sz w:val="16"/>
                <w:szCs w:val="16"/>
              </w:rPr>
              <w:fldChar w:fldCharType="end"/>
            </w:r>
          </w:p>
        </w:tc>
        <w:tc>
          <w:tcPr>
            <w:tcW w:w="2122" w:type="dxa"/>
            <w:vAlign w:val="center"/>
          </w:tcPr>
          <w:p w14:paraId="1CA29449"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The Journal of Arthroplasty</w:t>
            </w:r>
          </w:p>
        </w:tc>
        <w:tc>
          <w:tcPr>
            <w:tcW w:w="850" w:type="dxa"/>
            <w:vAlign w:val="center"/>
          </w:tcPr>
          <w:p w14:paraId="241F76E8"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3.524</w:t>
            </w:r>
          </w:p>
        </w:tc>
        <w:tc>
          <w:tcPr>
            <w:tcW w:w="1276" w:type="dxa"/>
            <w:vAlign w:val="center"/>
          </w:tcPr>
          <w:p w14:paraId="66217992"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2D41C75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Surgery</w:t>
            </w:r>
          </w:p>
        </w:tc>
        <w:tc>
          <w:tcPr>
            <w:tcW w:w="1541" w:type="dxa"/>
            <w:noWrap/>
            <w:vAlign w:val="center"/>
            <w:hideMark/>
          </w:tcPr>
          <w:p w14:paraId="4F88D3EE"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4F373950"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149E827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Inpatient payments prior to lower extremity arthroplasty</w:t>
            </w:r>
          </w:p>
        </w:tc>
      </w:tr>
      <w:tr w:rsidR="00A427B2" w:rsidRPr="00A427B2" w14:paraId="3AAB32C1" w14:textId="77777777" w:rsidTr="001B1FC9">
        <w:trPr>
          <w:trHeight w:val="510"/>
        </w:trPr>
        <w:tc>
          <w:tcPr>
            <w:tcW w:w="1701" w:type="dxa"/>
            <w:noWrap/>
            <w:vAlign w:val="center"/>
            <w:hideMark/>
          </w:tcPr>
          <w:p w14:paraId="314AD20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MB Wilson</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{"citationItems":[{"id":"ITEM-1","itemData":{"DOI":"10.1177/0194599819868178","ISSN":"10976817","abstract":"Peritonsillar abscess (PTA) is a difficult diagnosis to make clinically, with clinical examination of even otolaryngologists showing poor sensitivity and specificity. Machine learning is a form of artificial intelligence that “learns” from data to make predictions. We developed a machine learning classifier to predict the diagnosis of PTA based on patient symptoms. We retrospectively collected clinical data and symptomatology from 916 patients who underwent attempted needle aspiration for PTA. Machine learning classifiers were trained on a subset of the data to predict the presence or absence of purulence on attempted aspiration. The performance of the model was evaluated on a holdout set. The accuracy of the top-performing algorithm, the artificial neural network, was 72.3%. Artificial neural networks can use patient symptoms to exceed human ability to predict PTA in patients with clinical suspicion for PTA. Similar models can assist medical decision making for clinicians who have suspicion of PTA.","author":[{"dropping-particle":"","family":"Wilson","given":"Michael B.","non-dropping-particle":"","parse-names":false,"suffix":""},{"dropping-particle":"","family":"Ali","given":"S. Ahmed","non-dropping-particle":"","parse-names":false,"suffix":""},{"dropping-particle":"","family":"Kovatch","given":"Kevin J.","non-dropping-particle":"","parse-names":false,"suffix":""},{"dropping-particle":"","family":"Smith","given":"Josh D.","non-dropping-particle":"","parse-names":false,"suffix":""},{"dropping-particle":"","family":"Hoff","given":"Paul T.","non-dropping-particle":"","parse-names":false,"suffix":""}],"container-title":"Otolaryngology - Head and Neck Surgery (United States)","id":"ITEM-1","issue":"5","issued":{"date-parts":[["2019"]]},"page":"796-799","title":"Machine Learning Diagnosis of Peritonsillar Abscess","type":"article-journal","volume":"161"},"uris":["http://www.mendeley.com/documents/?uuid=68374cd0-b8e0-44e1-a5a6-53b2260f7d26"]}],"mendeley":{"formattedCitation":"&lt;sup&gt;70&lt;/sup&gt;","plainTextFormattedCitation":"70","previouslyFormattedCitation":"&lt;sup&gt;69&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70</w:t>
            </w:r>
            <w:r w:rsidRPr="00A427B2">
              <w:rPr>
                <w:rFonts w:ascii="Segoe UI" w:eastAsia="Times New Roman" w:hAnsi="Segoe UI" w:cs="Segoe UI"/>
                <w:color w:val="000000"/>
                <w:sz w:val="16"/>
                <w:szCs w:val="16"/>
              </w:rPr>
              <w:fldChar w:fldCharType="end"/>
            </w:r>
          </w:p>
        </w:tc>
        <w:tc>
          <w:tcPr>
            <w:tcW w:w="2122" w:type="dxa"/>
            <w:vAlign w:val="center"/>
          </w:tcPr>
          <w:p w14:paraId="1E67F591"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Otolaryngology-Head and Neck Surgery</w:t>
            </w:r>
          </w:p>
        </w:tc>
        <w:tc>
          <w:tcPr>
            <w:tcW w:w="850" w:type="dxa"/>
            <w:vAlign w:val="center"/>
          </w:tcPr>
          <w:p w14:paraId="154476C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2.341</w:t>
            </w:r>
          </w:p>
        </w:tc>
        <w:tc>
          <w:tcPr>
            <w:tcW w:w="1276" w:type="dxa"/>
            <w:vAlign w:val="center"/>
          </w:tcPr>
          <w:p w14:paraId="7E8E2FA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2FC6CE58"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Otolaryngology</w:t>
            </w:r>
          </w:p>
        </w:tc>
        <w:tc>
          <w:tcPr>
            <w:tcW w:w="1541" w:type="dxa"/>
            <w:noWrap/>
            <w:vAlign w:val="center"/>
            <w:hideMark/>
          </w:tcPr>
          <w:p w14:paraId="78E6D41E"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Diagnosis</w:t>
            </w:r>
          </w:p>
        </w:tc>
        <w:tc>
          <w:tcPr>
            <w:tcW w:w="2481" w:type="dxa"/>
            <w:noWrap/>
            <w:vAlign w:val="center"/>
            <w:hideMark/>
          </w:tcPr>
          <w:p w14:paraId="4A646E0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09DE929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Peritonsillar abscess</w:t>
            </w:r>
          </w:p>
        </w:tc>
      </w:tr>
      <w:tr w:rsidR="00A427B2" w:rsidRPr="00A427B2" w14:paraId="193786E1" w14:textId="77777777" w:rsidTr="001B1FC9">
        <w:trPr>
          <w:trHeight w:val="510"/>
        </w:trPr>
        <w:tc>
          <w:tcPr>
            <w:tcW w:w="1701" w:type="dxa"/>
            <w:noWrap/>
            <w:vAlign w:val="center"/>
            <w:hideMark/>
          </w:tcPr>
          <w:p w14:paraId="54C6E5E9"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B Lu</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{"citationItems":[{"id":"ITEM-1","itemData":{"DOI":"10.3390/s19235333","ISSN":"14248220","abstract":"The electronic nose (e-nose) system is a newly developing detection technology for its advantages of non-invasiveness, simple operation, and low cost. However, lung cancer screening through e-nose requires effective pattern recognition frameworks. Existing frameworks rely heavily on hand-crafted features and have relatively low diagnostic sensitivity. To handle these problems, gated recurrent unit based autoencoder (GRU-AE) is adopted to automatically extract features from temporal and high-dimensional e-nose data. Moreover, we propose a novel margin and sensitivity based ordering ensemble pruning (MSEP) model for effective classification. The proposed heuristic model aims to reduce missed diagnosis rate of lung cancer patients while maintaining a high rate of overall identification. In the experiments, five state-of-the-art classification models and two popular dimensionality reduction methods were involved for comparison to demonstrate the validity of the proposed GRU-AE-MSEP framework, through 214 collected breath samples measured by e-nose. Experimental results indicated that the proposed intelligent framework achieved high sensitivity of 94.22%, accuracy of 93.55%, and specificity of 92.80%, thereby providing a new practical means for wide disease screening by e-nose in medical scenarios.","author":[{"dropping-particle":"","family":"Lu","given":"Binchun","non-dropping-particle":"","parse-names":false,"suffix":""},{"dropping-particle":"","family":"Fu","given":"Lidan","non-dropping-particle":"","parse-names":false,"suffix":""},{"dropping-particle":"","family":"Nie","given":"Bo","non-dropping-particle":"","parse-names":false,"suffix":""},{"dropping-particle":"","family":"Peng","given":"Zhiyun","non-dropping-particle":"","parse-names":false,"suffix":""},{"dropping-particle":"","family":"Liu","given":"Hongying","non-dropping-particle":"","parse-names":false,"suffix":""}],"container-title":"Sensors (Switzerland)","id":"ITEM-1","issue":"23","issued":{"date-parts":[["2019"]]},"page":"1-29","title":"A novel framework with high diagnostic sensitivity for lung cancer detection by electronic nose","type":"article-journal","volume":"19"},"uris":["http://www.mendeley.com/documents/?uuid=06792793-8bf8-4694-b65b-90a594edd4ff"]}],"mendeley":{"formattedCitation":"&lt;sup&gt;71&lt;/sup&gt;","plainTextFormattedCitation":"71","previouslyFormattedCitation":"&lt;sup&gt;70&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71</w:t>
            </w:r>
            <w:r w:rsidRPr="00A427B2">
              <w:rPr>
                <w:rFonts w:ascii="Segoe UI" w:eastAsia="Times New Roman" w:hAnsi="Segoe UI" w:cs="Segoe UI"/>
                <w:color w:val="000000"/>
                <w:sz w:val="16"/>
                <w:szCs w:val="16"/>
              </w:rPr>
              <w:fldChar w:fldCharType="end"/>
            </w:r>
          </w:p>
        </w:tc>
        <w:tc>
          <w:tcPr>
            <w:tcW w:w="2122" w:type="dxa"/>
            <w:vAlign w:val="center"/>
          </w:tcPr>
          <w:p w14:paraId="6D6F06A4"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Sensors</w:t>
            </w:r>
          </w:p>
        </w:tc>
        <w:tc>
          <w:tcPr>
            <w:tcW w:w="850" w:type="dxa"/>
            <w:vAlign w:val="center"/>
          </w:tcPr>
          <w:p w14:paraId="575EAA1A"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3.275</w:t>
            </w:r>
          </w:p>
        </w:tc>
        <w:tc>
          <w:tcPr>
            <w:tcW w:w="1276" w:type="dxa"/>
            <w:vAlign w:val="center"/>
          </w:tcPr>
          <w:p w14:paraId="65B0904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419B8554"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Oncology</w:t>
            </w:r>
          </w:p>
        </w:tc>
        <w:tc>
          <w:tcPr>
            <w:tcW w:w="1541" w:type="dxa"/>
            <w:noWrap/>
            <w:vAlign w:val="center"/>
            <w:hideMark/>
          </w:tcPr>
          <w:p w14:paraId="0656AE54"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Diagnosis</w:t>
            </w:r>
          </w:p>
        </w:tc>
        <w:tc>
          <w:tcPr>
            <w:tcW w:w="2481" w:type="dxa"/>
            <w:noWrap/>
            <w:vAlign w:val="center"/>
            <w:hideMark/>
          </w:tcPr>
          <w:p w14:paraId="466A7294"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7CBA7C1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 xml:space="preserve">Lung cancer </w:t>
            </w:r>
          </w:p>
        </w:tc>
      </w:tr>
      <w:tr w:rsidR="00A427B2" w:rsidRPr="00A427B2" w14:paraId="3D57E0B7" w14:textId="77777777" w:rsidTr="001B1FC9">
        <w:trPr>
          <w:trHeight w:val="510"/>
        </w:trPr>
        <w:tc>
          <w:tcPr>
            <w:tcW w:w="1701" w:type="dxa"/>
            <w:noWrap/>
            <w:vAlign w:val="center"/>
            <w:hideMark/>
          </w:tcPr>
          <w:p w14:paraId="023E176B"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Y Xu</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{"citationItems":[{"id":"ITEM-1","itemData":{"DOI":"10.1186/s12885-019-5432-8","ISSN":"14712407","abstract":"Background: Recurrence is not explicitly documented in cancer registry data that are widely used for research. Patterns of events after initial treatment such as oncology visits, re-operation, and receipt of subsequent chemotherapy or radiation may indicate recurrence. This study aimed to develop and validate algorithms for identifying breast cancer recurrence using routinely collected administrative data. Methods: The study cohort included all young (≤ 40 years) breast cancer patients (2007-2010), and all patients receiving neoadjuvant chemotherapy (2012-2014) in Alberta, Canada. Health events (including mastectomy, chemotherapy, radiation, biopsy and specialist visits) were obtained from provincial administrative data. The algorithms were developed using classification and regression tree (CART) models and validated against primary chart review. Results: Among 598 patients, 121 (20.2%) had recurrence after a median follow-up of 4 years. The high sensitivity algorithm achieved 94.2% (95% CI: 90.1-98.4%) sensitivity, 93.7% (91.5-95.9%) specificity, 79.2% (72.5-85.8%) positive predictive value (PPV), and 98.5% (97.3-99.6%) negative predictive value (NPV). The high PPV algorithm had 75.2% (67.5-82.9%) sensitivity, 98.3% (97.2-99.5%) specificity, 91.9% (86.6-97.3%) PPV, and 94% (91.9-96.1%) NPV. Combining high PPV and high sensitivity algorithms with additional (7.5%) chart review to resolve discordant cases resulted in 94.2% (90.1-98.4%) sensitivity, 98.3% (97.2-99.5%) specificity, 93.4% (89.1-97.8%) PPV, and 98.5% (97.4-99.6%) NPV. Conclusion: The proposed algorithms based on routinely collected administrative data achieved favorably high validity for identifying breast cancer recurrences in a universal healthcare system in Canada.","author":[{"dropping-particle":"","family":"Xu","given":"Yuan","non-dropping-particle":"","parse-names":false,"suffix":""},{"dropping-particle":"","family":"Kong","given":"Shiying","non-dropping-particle":"","parse-names":false,"suffix":""},{"dropping-particle":"","family":"Cheung","given":"Winson Y.","non-dropping-particle":"","parse-names":false,"suffix":""},{"dropping-particle":"","family":"Bouchard-Fortier","given":"Antoine","non-dropping-particle":"","parse-names":false,"suffix":""},{"dropping-particle":"","family":"Dort","given":"Joseph C.","non-dropping-particle":"","parse-names":false,"suffix":""},{"dropping-particle":"","family":"Quan","given":"Hude","non-dropping-particle":"","parse-names":false,"suffix":""},{"dropping-particle":"","family":"Buie","given":"Elizabeth M.","non-dropping-particle":"","parse-names":false,"suffix":""},{"dropping-particle":"","family":"McKinnon","given":"Geoff","non-dropping-particle":"","parse-names":false,"suffix":""},{"dropping-particle":"","family":"Quan","given":"May Lynn","non-dropping-particle":"","parse-names":false,"suffix":""}],"container-title":"BMC Cancer","id":"ITEM-1","issue":"1","issued":{"date-parts":[["2019"]]},"page":"1-10","publisher":"BMC Cancer","title":"Development and validation of case-finding algorithms for recurrence of breast cancer using routinely collected administrative data","type":"article-journal","volume":"19"},"uris":["http://www.mendeley.com/documents/?uuid=e3346b65-5a28-4de4-a531-3e91f84ac5ce"]}],"mendeley":{"formattedCitation":"&lt;sup&gt;72&lt;/sup&gt;","plainTextFormattedCitation":"72","previouslyFormattedCitation":"&lt;sup&gt;71&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72</w:t>
            </w:r>
            <w:r w:rsidRPr="00A427B2">
              <w:rPr>
                <w:rFonts w:ascii="Segoe UI" w:eastAsia="Times New Roman" w:hAnsi="Segoe UI" w:cs="Segoe UI"/>
                <w:color w:val="000000"/>
                <w:sz w:val="16"/>
                <w:szCs w:val="16"/>
              </w:rPr>
              <w:fldChar w:fldCharType="end"/>
            </w:r>
          </w:p>
        </w:tc>
        <w:tc>
          <w:tcPr>
            <w:tcW w:w="2122" w:type="dxa"/>
            <w:vAlign w:val="center"/>
          </w:tcPr>
          <w:p w14:paraId="231527C2"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BMC Cancer</w:t>
            </w:r>
          </w:p>
        </w:tc>
        <w:tc>
          <w:tcPr>
            <w:tcW w:w="850" w:type="dxa"/>
            <w:vAlign w:val="center"/>
          </w:tcPr>
          <w:p w14:paraId="7DA306AE"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3.150</w:t>
            </w:r>
          </w:p>
        </w:tc>
        <w:tc>
          <w:tcPr>
            <w:tcW w:w="1276" w:type="dxa"/>
            <w:vAlign w:val="center"/>
          </w:tcPr>
          <w:p w14:paraId="724443CF"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3FEA4D1E"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Oncology</w:t>
            </w:r>
          </w:p>
        </w:tc>
        <w:tc>
          <w:tcPr>
            <w:tcW w:w="1541" w:type="dxa"/>
            <w:noWrap/>
            <w:vAlign w:val="center"/>
            <w:hideMark/>
          </w:tcPr>
          <w:p w14:paraId="1A9D478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Diagnosis</w:t>
            </w:r>
          </w:p>
        </w:tc>
        <w:tc>
          <w:tcPr>
            <w:tcW w:w="2481" w:type="dxa"/>
            <w:noWrap/>
            <w:vAlign w:val="center"/>
            <w:hideMark/>
          </w:tcPr>
          <w:p w14:paraId="1ECEA2E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784D0223"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Breast cancer recurrence</w:t>
            </w:r>
          </w:p>
        </w:tc>
      </w:tr>
      <w:tr w:rsidR="00A427B2" w:rsidRPr="00A427B2" w14:paraId="4B10CA1E" w14:textId="77777777" w:rsidTr="001B1FC9">
        <w:trPr>
          <w:trHeight w:val="510"/>
        </w:trPr>
        <w:tc>
          <w:tcPr>
            <w:tcW w:w="1701" w:type="dxa"/>
            <w:noWrap/>
            <w:vAlign w:val="center"/>
            <w:hideMark/>
          </w:tcPr>
          <w:p w14:paraId="6F54AAD0"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lastRenderedPageBreak/>
              <w:t>S Cohen</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{"citationItems":[{"id":"ITEM-1","itemData":{"DOI":"10.1002/aur.1899","ISSN":"19393806","abstract":"Increased severity of problematic daytime behavior has been associated with poorer sleep quality in individuals with autism spectrum disorder. In this work, we investigate whether this relationship holds in a real-time setting, such that an individual's prior sleep can be used to predict their subsequent daytime behavior. We analyzed an extensive real-world dataset containing over 20,000 nightly sleep observations matched to subsequent challenging daytime behaviors (aggression, self-injury, tantrums, property destruction and a challenging behavior index) across 67 individuals with low-functioning autism living in two U.S. residential facilities. Using support vector machine classifiers, a statistically significant predictive relationship was found in 81% of individuals studied (P &lt; 0.05). For all five behaviors examined, prediction accuracy increased up to approximately eight nights of prior sleep used to make the prediction, indicating that the behavioral effects of sleep may manifest on extended timescales. Accurate prediction was most strongly driven by sleep variability measures, highlighting the importance of regular sleep patterns. Our findings constitute an initial step towards the development of a real-time monitoring tool to pre-empt behavioral episodes and guide prophylactic treatment for individuals with autism. Autism Res 2018, 11: 391–403. © 2017 International Society for Autism Research, Wiley Periodicals, Inc. Lay Summary: We analyzed over 20,000 nights of sleep from 67 individuals with autism to investigate whether daytime behaviors can be predicted from prior sleep patterns. Better-than-chance accuracy was obtained for 81% of individuals, with measures of night-to-night variation in sleep timing and duration most relevant for accurate prediction. Our results highlight the importance of regular sleep patterns for better daytime functioning and represent a step toward the development of ‘smart sleep technologies' to pre-empt behavior in individuals with autism.","author":[{"dropping-particle":"","family":"Cohen","given":"Simonne","non-dropping-particle":"","parse-names":false,"suffix":""},{"dropping-particle":"","family":"Fulcher","given":"Ben D.","non-dropping-particle":"","parse-names":false,"suffix":""},{"dropping-particle":"","family":"Rajaratnam","given":"Shantha M.W.","non-dropping-particle":"","parse-names":false,"suffix":""},{"dropping-particle":"","family":"Conduit","given":"Russell","non-dropping-particle":"","parse-names":false,"suffix":""},{"dropping-particle":"","family":"Sullivan","given":"Jason P.","non-dropping-particle":"","parse-names":false,"suffix":""},{"dropping-particle":"","family":"St Hilaire","given":"Melissa A.","non-dropping-particle":"","parse-names":false,"suffix":""},{"dropping-particle":"","family":"Phillips","given":"Andrew J.K.","non-dropping-particle":"","parse-names":false,"suffix":""},{"dropping-particle":"","family":"Loddenkemper","given":"Tobias","non-dropping-particle":"","parse-names":false,"suffix":""},{"dropping-particle":"V.","family":"Kothare","given":"Sanjeev","non-dropping-particle":"","parse-names":false,"suffix":""},{"dropping-particle":"","family":"McConnell","given":"Kelly","non-dropping-particle":"","parse-names":false,"suffix":""},{"dropping-particle":"","family":"Braga-Kenyon","given":"Paula","non-dropping-particle":"","parse-names":false,"suffix":""},{"dropping-particle":"","family":"Ahearn","given":"William","non-dropping-particle":"","parse-names":false,"suffix":""},{"dropping-particle":"","family":"Shlesinger","given":"Andrew","non-dropping-particle":"","parse-names":false,"suffix":""},{"dropping-particle":"","family":"Potter","given":"Jacqueline","non-dropping-particle":"","parse-names":false,"suffix":""},{"dropping-particle":"","family":"Bird","given":"Frank","non-dropping-particle":"","parse-names":false,"suffix":""},{"dropping-particle":"","family":"Cornish","given":"Kim M.","non-dropping-particle":"","parse-names":false,"suffix":""},{"dropping-particle":"","family":"Lockley","given":"Steven W.","non-dropping-particle":"","parse-names":false,"suffix":""}],"container-title":"Autism Research","id":"ITEM-1","issue":"2","issued":{"date-parts":[["2018"]]},"page":"391-403","title":"Sleep patterns predictive of daytime challenging behavior in individuals with low-functioning autism","type":"article-journal","volume":"11"},"uris":["http://www.mendeley.com/documents/?uuid=40872d3a-2caa-4c6b-a798-a33632c896e8"]}],"mendeley":{"formattedCitation":"&lt;sup&gt;73&lt;/sup&gt;","plainTextFormattedCitation":"73","previouslyFormattedCitation":"&lt;sup&gt;72&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73</w:t>
            </w:r>
            <w:r w:rsidRPr="00A427B2">
              <w:rPr>
                <w:rFonts w:ascii="Segoe UI" w:eastAsia="Times New Roman" w:hAnsi="Segoe UI" w:cs="Segoe UI"/>
                <w:color w:val="000000"/>
                <w:sz w:val="16"/>
                <w:szCs w:val="16"/>
              </w:rPr>
              <w:fldChar w:fldCharType="end"/>
            </w:r>
          </w:p>
        </w:tc>
        <w:tc>
          <w:tcPr>
            <w:tcW w:w="2122" w:type="dxa"/>
            <w:vAlign w:val="center"/>
          </w:tcPr>
          <w:p w14:paraId="1E29E1B4"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Autism Research</w:t>
            </w:r>
          </w:p>
        </w:tc>
        <w:tc>
          <w:tcPr>
            <w:tcW w:w="850" w:type="dxa"/>
            <w:vAlign w:val="center"/>
          </w:tcPr>
          <w:p w14:paraId="47C47ED9"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3.697</w:t>
            </w:r>
          </w:p>
        </w:tc>
        <w:tc>
          <w:tcPr>
            <w:tcW w:w="1276" w:type="dxa"/>
            <w:vAlign w:val="center"/>
          </w:tcPr>
          <w:p w14:paraId="5843171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2018</w:t>
            </w:r>
          </w:p>
        </w:tc>
        <w:tc>
          <w:tcPr>
            <w:tcW w:w="1559" w:type="dxa"/>
            <w:noWrap/>
            <w:vAlign w:val="center"/>
            <w:hideMark/>
          </w:tcPr>
          <w:p w14:paraId="20DA6391"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Psychiatry</w:t>
            </w:r>
          </w:p>
        </w:tc>
        <w:tc>
          <w:tcPr>
            <w:tcW w:w="1541" w:type="dxa"/>
            <w:noWrap/>
            <w:vAlign w:val="center"/>
            <w:hideMark/>
          </w:tcPr>
          <w:p w14:paraId="752A75B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78F29E41"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0EAE2D69"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Daytime challenging behaviors</w:t>
            </w:r>
          </w:p>
        </w:tc>
      </w:tr>
      <w:tr w:rsidR="00A427B2" w:rsidRPr="00A427B2" w14:paraId="209CD365" w14:textId="77777777" w:rsidTr="001B1FC9">
        <w:trPr>
          <w:trHeight w:val="510"/>
        </w:trPr>
        <w:tc>
          <w:tcPr>
            <w:tcW w:w="1701" w:type="dxa"/>
            <w:noWrap/>
            <w:vAlign w:val="center"/>
            <w:hideMark/>
          </w:tcPr>
          <w:p w14:paraId="5E26CAD8"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Y Wang</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{"citationItems":[{"id":"ITEM-1","itemData":{"DOI":"10.1016/j.acra.2019.10.020","ISSN":"18784046","abstract":"Rationale and Objectives: The aim of this study was to investigate the value of computed tomography (CT) radiomics for the differentiation between T2 and T3/4 stage lesions in gastric cancer. Materials and methods: A total of 244 consecutive patients with pathologically proven gastric cancer were retrospectively included and split into a training cohort (171 patients) and a test cohort (73 patients). Preoperative arterial phase and portal phase contrast enhanced CT images were retrieved for tumor segmentation and feature extraction by using a dedicated postprocessing software. The random forest method was used to build the classifier models. Results: The performance of single phase radiomics models were favorable in the differentiation between T2 and T3/4 stage tumors. Arterial phase-based radiomics model exhibited areas under the curve of 0.899 (95% CI: 0.812–0.955) in the training cohort and 0.825 (95% CI: 0.718–0.904) in the test cohort. Portal phase-based radiomics model showed areas under the curve of 0.843 (95% CI: 0.746–0.914) and 0.818 (95% CI: 0.711–0.899) in the training and test cohort, respectively. Conclusion: CT radiomics approach has a potential role in differentiation between T2 and T3/4 stage tumors in gastric cancer.","author":[{"dropping-particle":"","family":"Wang","given":"Yue","non-dropping-particle":"","parse-names":false,"suffix":""},{"dropping-particle":"","family":"Liu","given":"Wei","non-dropping-particle":"","parse-names":false,"suffix":""},{"dropping-particle":"","family":"Yu","given":"Yang","non-dropping-particle":"","parse-names":false,"suffix":""},{"dropping-particle":"","family":"Liu","given":"Jing Juan","non-dropping-particle":"","parse-names":false,"suffix":""},{"dropping-particle":"","family":"Jiang","given":"Lin","non-dropping-particle":"","parse-names":false,"suffix":""},{"dropping-particle":"","family":"Xue","given":"Hua Dan","non-dropping-particle":"","parse-names":false,"suffix":""},{"dropping-particle":"","family":"Lei","given":"Jing","non-dropping-particle":"","parse-names":false,"suffix":""},{"dropping-particle":"","family":"Jin","given":"Zheng Yu","non-dropping-particle":"","parse-names":false,"suffix":""},{"dropping-particle":"","family":"Yu","given":"Jian Chun","non-dropping-particle":"","parse-names":false,"suffix":""}],"container-title":"Academic Radiology","id":"ITEM-1","issue":"6","issued":{"date-parts":[["2019"]]},"page":"1-8","publisher":"Elsevier Inc.","title":"Prediction of the Depth of Tumor Invasion in Gastric Cancer: Potential Role of CT Radiomics","type":"article-journal"},"uris":["http://www.mendeley.com/documents/?uuid=e32cb3ee-a6a5-49f7-9871-974e032069ca"]}],"mendeley":{"formattedCitation":"&lt;sup&gt;74&lt;/sup&gt;","plainTextFormattedCitation":"74","previouslyFormattedCitation":"&lt;sup&gt;73&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74</w:t>
            </w:r>
            <w:r w:rsidRPr="00A427B2">
              <w:rPr>
                <w:rFonts w:ascii="Segoe UI" w:eastAsia="Times New Roman" w:hAnsi="Segoe UI" w:cs="Segoe UI"/>
                <w:color w:val="000000"/>
                <w:sz w:val="16"/>
                <w:szCs w:val="16"/>
              </w:rPr>
              <w:fldChar w:fldCharType="end"/>
            </w:r>
          </w:p>
        </w:tc>
        <w:tc>
          <w:tcPr>
            <w:tcW w:w="2122" w:type="dxa"/>
            <w:vAlign w:val="center"/>
          </w:tcPr>
          <w:p w14:paraId="1140BA88"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Academic Radiology</w:t>
            </w:r>
          </w:p>
        </w:tc>
        <w:tc>
          <w:tcPr>
            <w:tcW w:w="850" w:type="dxa"/>
            <w:vAlign w:val="center"/>
          </w:tcPr>
          <w:p w14:paraId="7B40A2C2"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2.488</w:t>
            </w:r>
          </w:p>
        </w:tc>
        <w:tc>
          <w:tcPr>
            <w:tcW w:w="1276" w:type="dxa"/>
            <w:vAlign w:val="center"/>
          </w:tcPr>
          <w:p w14:paraId="79B0E4E2"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1249AE69"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Medical imaging</w:t>
            </w:r>
          </w:p>
        </w:tc>
        <w:tc>
          <w:tcPr>
            <w:tcW w:w="1541" w:type="dxa"/>
            <w:noWrap/>
            <w:vAlign w:val="center"/>
            <w:hideMark/>
          </w:tcPr>
          <w:p w14:paraId="2FB4B2CF"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Diagnosis</w:t>
            </w:r>
          </w:p>
        </w:tc>
        <w:tc>
          <w:tcPr>
            <w:tcW w:w="2481" w:type="dxa"/>
            <w:noWrap/>
            <w:vAlign w:val="center"/>
            <w:hideMark/>
          </w:tcPr>
          <w:p w14:paraId="423C7FA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25FAC679"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Differentiation between T2 and T3/T4 stage in gastric cancer</w:t>
            </w:r>
          </w:p>
        </w:tc>
      </w:tr>
      <w:tr w:rsidR="00A427B2" w:rsidRPr="00A427B2" w14:paraId="11269EEC" w14:textId="77777777" w:rsidTr="001B1FC9">
        <w:trPr>
          <w:trHeight w:val="510"/>
        </w:trPr>
        <w:tc>
          <w:tcPr>
            <w:tcW w:w="1701" w:type="dxa"/>
            <w:noWrap/>
            <w:vAlign w:val="center"/>
            <w:hideMark/>
          </w:tcPr>
          <w:p w14:paraId="3B668F73"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A Mortezagholi</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{"citationItems":[{"id":"ITEM-1","itemData":{"DOI":"10.31557/APJCP.2019.20.9.2607","ISSN":"2476762X","abstract":"Objective: Gastric cancer is one of the most common types of cancers, which will result in irreparable harm in the case of misdiagnosis or late diagnosis. The purpose of this study is to investigate the capability of data mining techniques and disease risk factor characteristics to predict and diagnose the gastric cancer. Methods: In this retrospective descriptive-analytic study, we selected 405 samples from two groups of patient and healthy participants. A total of 11 characteristics and risk factors were examined. we used four Machine learning methods, Include support vector machine (SVM), decision tree (DT), naive Bayesian model, and k nearest neighborhood (KNN) to classify the patients with gastric cancer. The evaluation criteria to investigate the model on the database of patients with gastric cancer included Recall, Precision, F-score, and Accuracy. Data was analyzed using MATLAB® software, version 3.2 (Mathworks Inc., Natick, MA, USA). Results: Based on the results achieved from the evaluation of four methods, the accuracy rates of SVM, DT, naive Bayesian model, and KNN algorithms were 90.08, 87.89, 87.60, and 87.60 percent, respectively. The findings showed that the highest level of F-Score was related to the SVM (91.99); whereas, the lowest rate was associated with the KNN algorithm (87.17). Conclusion: According to the findings, the SVM algorithm showed the best results in classification of Test samples. So, this intelligent system can be used as a physician assistant in medical education hospitals, where the diagnosis processes are performed by medical students.","author":[{"dropping-particle":"","family":"Mortezagholi","given":"Asghar","non-dropping-particle":"","parse-names":false,"suffix":""},{"dropping-particle":"","family":"Khosravizadehorcid","given":"Omid","non-dropping-particle":"","parse-names":false,"suffix":""},{"dropping-particle":"","family":"Menhaj","given":"Mohammad Bagher","non-dropping-particle":"","parse-names":false,"suffix":""},{"dropping-particle":"","family":"Shafigh","given":"Younes","non-dropping-particle":"","parse-names":false,"suffix":""},{"dropping-particle":"","family":"Kalhor","given":"Rohollah","non-dropping-particle":"","parse-names":false,"suffix":""}],"container-title":"Asian Pacific Journal of Cancer Prevention","id":"ITEM-1","issue":"9","issued":{"date-parts":[["2019"]]},"page":"2607-2610","title":"Make intelligent of gastric cancer diagnosis error in Qazvin's medical centers: Using data mining method","type":"article-journal","volume":"20"},"uris":["http://www.mendeley.com/documents/?uuid=3c98b9fd-fa90-4e7b-a056-15d913197a14"]}],"mendeley":{"formattedCitation":"&lt;sup&gt;75&lt;/sup&gt;","plainTextFormattedCitation":"75","previouslyFormattedCitation":"&lt;sup&gt;74&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75</w:t>
            </w:r>
            <w:r w:rsidRPr="00A427B2">
              <w:rPr>
                <w:rFonts w:ascii="Segoe UI" w:eastAsia="Times New Roman" w:hAnsi="Segoe UI" w:cs="Segoe UI"/>
                <w:color w:val="000000"/>
                <w:sz w:val="16"/>
                <w:szCs w:val="16"/>
              </w:rPr>
              <w:fldChar w:fldCharType="end"/>
            </w:r>
          </w:p>
        </w:tc>
        <w:tc>
          <w:tcPr>
            <w:tcW w:w="2122" w:type="dxa"/>
            <w:vAlign w:val="center"/>
          </w:tcPr>
          <w:p w14:paraId="689A0CBC"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Asian pacific journal of cancer prevention</w:t>
            </w:r>
          </w:p>
        </w:tc>
        <w:tc>
          <w:tcPr>
            <w:tcW w:w="850" w:type="dxa"/>
            <w:vAlign w:val="center"/>
          </w:tcPr>
          <w:p w14:paraId="78E77FF4"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0.00</w:t>
            </w:r>
          </w:p>
        </w:tc>
        <w:tc>
          <w:tcPr>
            <w:tcW w:w="1276" w:type="dxa"/>
            <w:vAlign w:val="center"/>
          </w:tcPr>
          <w:p w14:paraId="6424B6EA"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6F8A11D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Oncology</w:t>
            </w:r>
          </w:p>
        </w:tc>
        <w:tc>
          <w:tcPr>
            <w:tcW w:w="1541" w:type="dxa"/>
            <w:noWrap/>
            <w:vAlign w:val="center"/>
            <w:hideMark/>
          </w:tcPr>
          <w:p w14:paraId="1EDB2EF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Diagnosis</w:t>
            </w:r>
          </w:p>
        </w:tc>
        <w:tc>
          <w:tcPr>
            <w:tcW w:w="2481" w:type="dxa"/>
            <w:noWrap/>
            <w:vAlign w:val="center"/>
            <w:hideMark/>
          </w:tcPr>
          <w:p w14:paraId="59A65748"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5D6F47E9"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Gastric cancer</w:t>
            </w:r>
          </w:p>
        </w:tc>
      </w:tr>
      <w:tr w:rsidR="00A427B2" w:rsidRPr="00A427B2" w14:paraId="422313F8" w14:textId="77777777" w:rsidTr="001B1FC9">
        <w:trPr>
          <w:trHeight w:val="510"/>
        </w:trPr>
        <w:tc>
          <w:tcPr>
            <w:tcW w:w="1701" w:type="dxa"/>
            <w:noWrap/>
            <w:vAlign w:val="center"/>
            <w:hideMark/>
          </w:tcPr>
          <w:p w14:paraId="11AB7F1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UJ Muehlematter</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{"citationItems":[{"id":"ITEM-1","itemData":{"DOI":"10.1007/s00330-018-5846-8","ISSN":"14321084","abstract":"Purpose: To evaluate the diagnostic performance of bone texture analysis (TA) combined with machine learning (ML) algorithms in standard CT scans to identify patients with vertebrae at risk for insufficiency fractures. Materials and methods: Standard CT scans of 58 patients with insufficiency fractures of the spine, performed between 2006 and 2013, were analyzed retrospectively. Every included patient had at least two CT scans. Intact vertebrae in a first scan that either fractured (“unstable”) or remained intact (“stable”) in the consecutive scan were manually segmented on mid-sagittal reformations. TA features for all vertebrae were extracted using open-source software (MaZda). In a paired control study, all vertebrae of the study cohort “cases” and matched controls were classified using ROC analysis of Hounsfield unit (HU) measurements and supervised ML techniques. In a within-subject vertebra comparison, vertebrae of the cases were classified into “unstable” and “stable” using identical techniques. Results: One hundred twenty vertebrae were included. Classification of cases/controls using ROC analysis of HU measurements showed an AUC of 0.83 (95% confidence interval [CI], 0.77–0.88), and ML-based classification showed an AUC of 0.97 (CI, 0.97–0.98). Classification of unstable/stable vertebrae using ROC analysis showed an AUC of 0.52 (CI, 0.42–0.63), and ML-based classification showed an AUC of 0.64 (CI, 0.61–0.67). Conclusion: TA combined with ML allows to identifying patients who will suffer from vertebral insufficiency fractures in standard CT scans with high accuracy. However, identification of single vertebra at risk remains challenging. Key Points: • Bone texture analysis combined with machine learning allows to identify patients at risk for vertebral body insufficiency fractures on standard CT scans with high accuracy. • Compared to mere Hounsfield unit measurements on CT scans, application of bone texture analysis combined with machine learning improve fracture risk prediction. • This analysis has the potential to identify vertebrae at risk for insufficiency fracture and may thus increase diagnostic value of standard CT scans.","author":[{"dropping-particle":"","family":"Muehlematter","given":"Urs J.","non-dropping-particle":"","parse-names":false,"suffix":""},{"dropping-particle":"","family":"Mannil","given":"Manoj","non-dropping-particle":"","parse-names":false,"suffix":""},{"dropping-particle":"","family":"Becker","given":"Anton S.","non-dropping-particle":"","parse-names":false,"suffix":""},{"dropping-particle":"","family":"Vokinger","given":"Kerstin N.","non-dropping-particle":"","parse-names":false,"suffix":""},{"dropping-particle":"","family":"Finkenstaedt","given":"Tim","non-dropping-particle":"","parse-names":false,"suffix":""},{"dropping-particle":"","family":"Osterhoff","given":"Georg","non-dropping-particle":"","parse-names":false,"suffix":""},{"dropping-particle":"","family":"Fischer","given":"Michael A.","non-dropping-particle":"","parse-names":false,"suffix":""},{"dropping-particle":"","family":"Guggenberger","given":"Roman","non-dropping-particle":"","parse-names":false,"suffix":""}],"container-title":"European Radiology","id":"ITEM-1","issue":"5","issued":{"date-parts":[["2019"]]},"page":"2207-2217","publisher":"European Radiology","title":"Vertebral body insufficiency fractures: detection of vertebrae at risk on standard CT images using texture analysis and machine learning","type":"article-journal","volume":"29"},"uris":["http://www.mendeley.com/documents/?uuid=3b0d6cd7-49dc-44f2-afd0-5ec2f38dcf4b"]}],"mendeley":{"formattedCitation":"&lt;sup&gt;76&lt;/sup&gt;","plainTextFormattedCitation":"76","previouslyFormattedCitation":"&lt;sup&gt;75&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76</w:t>
            </w:r>
            <w:r w:rsidRPr="00A427B2">
              <w:rPr>
                <w:rFonts w:ascii="Segoe UI" w:eastAsia="Times New Roman" w:hAnsi="Segoe UI" w:cs="Segoe UI"/>
                <w:color w:val="000000"/>
                <w:sz w:val="16"/>
                <w:szCs w:val="16"/>
              </w:rPr>
              <w:fldChar w:fldCharType="end"/>
            </w:r>
          </w:p>
        </w:tc>
        <w:tc>
          <w:tcPr>
            <w:tcW w:w="2122" w:type="dxa"/>
            <w:vAlign w:val="center"/>
          </w:tcPr>
          <w:p w14:paraId="7B36F6B5"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European Radiology</w:t>
            </w:r>
          </w:p>
        </w:tc>
        <w:tc>
          <w:tcPr>
            <w:tcW w:w="850" w:type="dxa"/>
            <w:vAlign w:val="center"/>
          </w:tcPr>
          <w:p w14:paraId="06A372C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3.962</w:t>
            </w:r>
          </w:p>
        </w:tc>
        <w:tc>
          <w:tcPr>
            <w:tcW w:w="1276" w:type="dxa"/>
            <w:vAlign w:val="center"/>
          </w:tcPr>
          <w:p w14:paraId="4777A518"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2018</w:t>
            </w:r>
          </w:p>
        </w:tc>
        <w:tc>
          <w:tcPr>
            <w:tcW w:w="1559" w:type="dxa"/>
            <w:noWrap/>
            <w:vAlign w:val="center"/>
            <w:hideMark/>
          </w:tcPr>
          <w:p w14:paraId="5405714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Medical imaging</w:t>
            </w:r>
          </w:p>
        </w:tc>
        <w:tc>
          <w:tcPr>
            <w:tcW w:w="1541" w:type="dxa"/>
            <w:noWrap/>
            <w:vAlign w:val="center"/>
            <w:hideMark/>
          </w:tcPr>
          <w:p w14:paraId="6FD73EF4"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Diagnosis</w:t>
            </w:r>
          </w:p>
        </w:tc>
        <w:tc>
          <w:tcPr>
            <w:tcW w:w="2481" w:type="dxa"/>
            <w:noWrap/>
            <w:vAlign w:val="center"/>
            <w:hideMark/>
          </w:tcPr>
          <w:p w14:paraId="2F96FD2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4E7A3A80"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Vertebral insufficiency fractures</w:t>
            </w:r>
          </w:p>
        </w:tc>
      </w:tr>
      <w:tr w:rsidR="00A427B2" w:rsidRPr="00A427B2" w14:paraId="2AE7F4BF" w14:textId="77777777" w:rsidTr="001B1FC9">
        <w:trPr>
          <w:trHeight w:val="510"/>
        </w:trPr>
        <w:tc>
          <w:tcPr>
            <w:tcW w:w="1701" w:type="dxa"/>
            <w:noWrap/>
            <w:vAlign w:val="center"/>
            <w:hideMark/>
          </w:tcPr>
          <w:p w14:paraId="56C1F84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SHA Faruqui</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{"citationItems":[{"id":"ITEM-1","itemData":{"DOI":"10.2196/14452","ISSN":"22915222","abstract":"Background: Type 2 diabetes mellitus (T2DM) is a major public health burden. Self-management of diabetes including maintaining a healthy lifestyle is essential for glycemic control and to prevent diabetes complications. Mobile-based health data can play an important role in the forecasting of blood glucose levels for lifestyle management and control of T2DM. Objective: The objective of this work was to dynamically forecast daily glucose levels in patients with T2DM based on their daily mobile health lifestyle data including diet, physical activity, weight, and glucose level from the day before. Methods: We used data from 10 T2DM patients who were overweight or obese in a behavioral lifestyle intervention using mobile tools for daily monitoring of diet, physical activity, weight, and blood glucose over 6 months. We developed a deep learning model based on long short-term memory-based recurrent neural networks to forecast the next-day glucose levels in individual patients. The neural network used several layers of computational nodes to model how mobile health data (food intake including consumed calories, fat, and carbohydrates; exercise; and weight) were progressing from one day to another from noisy data. Results: The model was validated based on a data set of 10 patients who had been monitored daily for over 6 months. The proposed deep learning model demonstrated considerable accuracy in predicting the next day glucose level based on Clark Error Grid and ±10% range of the actual values. Conclusions: Using machine learning methodologies may leverage mobile health lifestyle data to develop effective individualized prediction plans for T2DM management. However, predicting future glucose levels is challenging as glucose level is determined by multiple factors. Future study with more rigorous study design is warranted to better predict future glucose levels for T2DM management.","author":[{"dropping-particle":"","family":"Faruqui","given":"Syed Hasib Akhter","non-dropping-particle":"","parse-names":false,"suffix":""},{"dropping-particle":"","family":"Du","given":"Yan","non-dropping-particle":"","parse-names":false,"suffix":""},{"dropping-particle":"","family":"Meka","given":"Rajitha","non-dropping-particle":"","parse-names":false,"suffix":""},{"dropping-particle":"","family":"Alaeddini","given":"Adel","non-dropping-particle":"","parse-names":false,"suffix":""},{"dropping-particle":"","family":"Li","given":"Chengdong","non-dropping-particle":"","parse-names":false,"suffix":""},{"dropping-particle":"","family":"Shirinkam","given":"Sara","non-dropping-particle":"","parse-names":false,"suffix":""},{"dropping-particle":"","family":"Wang","given":"Jing","non-dropping-particle":"","parse-names":false,"suffix":""}],"container-title":"JMIR mHealth and uHealth","id":"ITEM-1","issue":"11","issued":{"date-parts":[["2019"]]},"page":"1-14","title":"Development of a deep learning model for dynamic forecasting of blood glucose level for type 2 diabetes mellitus: Secondary analysis of a randomized controlled trial","type":"article-journal","volume":"7"},"uris":["http://www.mendeley.com/documents/?uuid=6b2fbf82-f80e-4109-96a1-75a500b5db1e"]}],"mendeley":{"formattedCitation":"&lt;sup&gt;77&lt;/sup&gt;","plainTextFormattedCitation":"77","previouslyFormattedCitation":"&lt;sup&gt;76&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77</w:t>
            </w:r>
            <w:r w:rsidRPr="00A427B2">
              <w:rPr>
                <w:rFonts w:ascii="Segoe UI" w:eastAsia="Times New Roman" w:hAnsi="Segoe UI" w:cs="Segoe UI"/>
                <w:color w:val="000000"/>
                <w:sz w:val="16"/>
                <w:szCs w:val="16"/>
              </w:rPr>
              <w:fldChar w:fldCharType="end"/>
            </w:r>
          </w:p>
        </w:tc>
        <w:tc>
          <w:tcPr>
            <w:tcW w:w="2122" w:type="dxa"/>
            <w:vAlign w:val="center"/>
          </w:tcPr>
          <w:p w14:paraId="6A5E4D79"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JMIR MHealth and UHealth</w:t>
            </w:r>
          </w:p>
        </w:tc>
        <w:tc>
          <w:tcPr>
            <w:tcW w:w="850" w:type="dxa"/>
            <w:vAlign w:val="center"/>
          </w:tcPr>
          <w:p w14:paraId="3ECF1611"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4.313</w:t>
            </w:r>
          </w:p>
        </w:tc>
        <w:tc>
          <w:tcPr>
            <w:tcW w:w="1276" w:type="dxa"/>
            <w:vAlign w:val="center"/>
          </w:tcPr>
          <w:p w14:paraId="298E4E5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53610480"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Endocrinology</w:t>
            </w:r>
          </w:p>
        </w:tc>
        <w:tc>
          <w:tcPr>
            <w:tcW w:w="1541" w:type="dxa"/>
            <w:noWrap/>
            <w:vAlign w:val="center"/>
            <w:hideMark/>
          </w:tcPr>
          <w:p w14:paraId="4BF67D9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4A3DC514"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3EBE7053"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Blood glucose level for type 2 Diabetes Mellitus</w:t>
            </w:r>
          </w:p>
        </w:tc>
      </w:tr>
      <w:tr w:rsidR="00A427B2" w:rsidRPr="00A427B2" w14:paraId="60C603A9" w14:textId="77777777" w:rsidTr="001B1FC9">
        <w:trPr>
          <w:trHeight w:val="510"/>
        </w:trPr>
        <w:tc>
          <w:tcPr>
            <w:tcW w:w="1701" w:type="dxa"/>
            <w:noWrap/>
            <w:vAlign w:val="center"/>
            <w:hideMark/>
          </w:tcPr>
          <w:p w14:paraId="1FA52000"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M Molinari</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{"citationItems":[{"id":"ITEM-1","itemData":{"DOI":"10.1097/TP.0000000000002810","ISBN":"0000000000","ISSN":"00411337","abstract":"Background. There are no instruments that can identify patients at an increased risk of poor outcomes after liver transplantation (LT) based only on their preoperative characteristics. The primary aim of this study was to develop such a scoring system. Secondary outcomes were to assess the discriminative performance of the predictive model for 90-day mortality, 1-year mortality, and 5-year patient survival. Methods. The study population was represented by 30 458 adults who underwent LT in the United States between January 2002 and June 2013. Machine learning techniques identified recipient age, Model for End-Stage Liver Disease score, body mass index, diabetes, and dialysis before LT as the strongest predictors for 90-day postoperative mortality. A weighted scoring system (minimum of 0 to a maximum of 6 points) was subsequently developed. Results. Recipients with 0, 1, 2, 3, 4, 5, and 6 points had an observed 90-day mortality of 6.0%, 8.7%, 10.4%, 11.9%, 15.7%, 16.0%, and 19.7%, respectively (P ≤ 0.001). One-year mortality was 9.8%, 13.4%, 15.8%, 17.2%, 23.0%, 25.2%, and 35.8% (P ≤ 0.001) and five-year survival was 78%, 73%, 72%, 71%, 65%, 59%, and 48%, respectively (P = 0.001). The mean 90-day mortality for the cohort was 9%. The area under the curve of the model was 0.952 for the discrimination of patients with 90-day mortality risk ≥10%. Conclusions. Short- and long-term outcomes of patients undergoing cadaveric LT can be predicted using a scoring system based on recipients' preoperative characteristics. This tool could assist clinicians and researchers in identifying patients at increased risks of postoperative death.","author":[{"dropping-particle":"","family":"Molinari","given":"Michele","non-dropping-particle":"","parse-names":false,"suffix":""},{"dropping-particle":"","family":"Ayloo","given":"Subhashini","non-dropping-particle":"","parse-names":false,"suffix":""},{"dropping-particle":"","family":"Tsung","given":"Allan","non-dropping-particle":"","parse-names":false,"suffix":""},{"dropping-particle":"","family":"Jorgensen","given":"Dana","non-dropping-particle":"","parse-names":false,"suffix":""},{"dropping-particle":"","family":"Tevar","given":"Amit","non-dropping-particle":"","parse-names":false,"suffix":""},{"dropping-particle":"","family":"Rahman","given":"Sheikh Hasibur","non-dropping-particle":"","parse-names":false,"suffix":""},{"dropping-particle":"","family":"Jonassaint","given":"Naudia","non-dropping-particle":"","parse-names":false,"suffix":""}],"container-title":"Transplantation","id":"ITEM-1","issue":"10","issued":{"date-parts":[["2019"]]},"page":"E297-E307","title":"Prediction of Perioperative Mortality of Cadaveric Liver Transplant Recipients during Their Evaluations","type":"article-journal","volume":"103"},"uris":["http://www.mendeley.com/documents/?uuid=843ca0f8-6ffe-4643-827a-6623ea641aa8"]}],"mendeley":{"formattedCitation":"&lt;sup&gt;78&lt;/sup&gt;","plainTextFormattedCitation":"78","previouslyFormattedCitation":"&lt;sup&gt;77&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78</w:t>
            </w:r>
            <w:r w:rsidRPr="00A427B2">
              <w:rPr>
                <w:rFonts w:ascii="Segoe UI" w:eastAsia="Times New Roman" w:hAnsi="Segoe UI" w:cs="Segoe UI"/>
                <w:color w:val="000000"/>
                <w:sz w:val="16"/>
                <w:szCs w:val="16"/>
              </w:rPr>
              <w:fldChar w:fldCharType="end"/>
            </w:r>
          </w:p>
        </w:tc>
        <w:tc>
          <w:tcPr>
            <w:tcW w:w="2122" w:type="dxa"/>
            <w:vAlign w:val="center"/>
          </w:tcPr>
          <w:p w14:paraId="1CC966F6"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Transplantation</w:t>
            </w:r>
          </w:p>
        </w:tc>
        <w:tc>
          <w:tcPr>
            <w:tcW w:w="850" w:type="dxa"/>
            <w:vAlign w:val="center"/>
          </w:tcPr>
          <w:p w14:paraId="757F9F5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4.546</w:t>
            </w:r>
          </w:p>
        </w:tc>
        <w:tc>
          <w:tcPr>
            <w:tcW w:w="1276" w:type="dxa"/>
            <w:vAlign w:val="center"/>
          </w:tcPr>
          <w:p w14:paraId="3C11B53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0E62A1C8"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Surgery</w:t>
            </w:r>
          </w:p>
        </w:tc>
        <w:tc>
          <w:tcPr>
            <w:tcW w:w="1541" w:type="dxa"/>
            <w:noWrap/>
            <w:vAlign w:val="center"/>
            <w:hideMark/>
          </w:tcPr>
          <w:p w14:paraId="78E5271B"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0A1A328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2A10C799"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90-day mortality</w:t>
            </w:r>
          </w:p>
        </w:tc>
      </w:tr>
      <w:tr w:rsidR="00A427B2" w:rsidRPr="00A427B2" w14:paraId="1947F9A1" w14:textId="77777777" w:rsidTr="001B1FC9">
        <w:trPr>
          <w:trHeight w:val="510"/>
        </w:trPr>
        <w:tc>
          <w:tcPr>
            <w:tcW w:w="1701" w:type="dxa"/>
            <w:noWrap/>
            <w:vAlign w:val="center"/>
            <w:hideMark/>
          </w:tcPr>
          <w:p w14:paraId="27874463"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JP Jeon</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{"citationItems":[{"id":"ITEM-1","itemData":{"DOI":"10.1016/j.clineuro.2017.12.005","ISSN":"18726968","abstract":"Objectives To assess and compare predictive factors for persistent hemodynamic depression (PHD) after carotid artery angioplasty and stenting (CAS) using artificial neural network (ANN) and multiple logistic regression (MLR) or support vector machines (SVM) models. Patients and methods A retrospective data set of patients (n = 76) who underwent CAS from 2007 to 2014 was used as input (training cohort) to a back-propagation ANN using TensorFlow platform. PHD was defined when systolic blood pressure was less than 90 mm Hg or heart rate was less 50 beats/min that lasted for more than one hour. The resulting ANN was prospectively tested in 33 patients (test cohort) and compared with MLR or SVM models according to accuracy and receiver operating characteristics (ROC) curve analysis. Results No significant difference in baseline characteristics between the training cohort and the test cohort was observed. PHD was observed in 21 (27.6%) patients in the training cohort and 10 (30.3%) patients in the test cohort. In the training cohort, the accuracy of ANN for the prediction of PHD was 98.7% and the area under the ROC curve (AUROC) was 0.961. In the test cohort, the number of correctly classified instances was 32 (97.0%) using the ANN model. In contrast, the accuracy rate of MLR or SVM model was both 75.8%. ANN (AUROC: 0.950; 95% CI [confidence interval]: 0.813–0.996) showed superior predictive performance compared to MLR model (AUROC: 0.796; 95% CI: 0.620–0.915, p &lt; 0.001) or SVM model (AUROC: 0.885; 95% CI: 0.725-0.969, p &lt; 0.001). Conclusions The ANN model seems to have more powerful prediction capabilities than MLR or SVM model for persistent hemodynamic depression after CAS. External validation with a large cohort is needed to confirm our results.","author":[{"dropping-particle":"","family":"Jeon","given":"Jin Pyeong","non-dropping-particle":"","parse-names":false,"suffix":""},{"dropping-particle":"","family":"Kim","given":"Chulho","non-dropping-particle":"","parse-names":false,"suffix":""},{"dropping-particle":"","family":"Oh","given":"Byoung Doo","non-dropping-particle":"","parse-names":false,"suffix":""},{"dropping-particle":"","family":"Kim","given":"Sun Jeong","non-dropping-particle":"","parse-names":false,"suffix":""},{"dropping-particle":"","family":"Kim","given":"Yu Seop","non-dropping-particle":"","parse-names":false,"suffix":""}],"container-title":"Clinical Neurology and Neurosurgery","id":"ITEM-1","issue":"November 2017","issued":{"date-parts":[["2018"]]},"page":"127-131","publisher":"Elsevier","title":"Prediction of persistent hemodynamic depression after carotid angioplasty and stenting using artificial neural network model","type":"article-journal","volume":"164"},"uris":["http://www.mendeley.com/documents/?uuid=620cd42d-12f9-419b-b320-147a7f65914a"]}],"mendeley":{"formattedCitation":"&lt;sup&gt;79&lt;/sup&gt;","plainTextFormattedCitation":"79","previouslyFormattedCitation":"&lt;sup&gt;78&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79</w:t>
            </w:r>
            <w:r w:rsidRPr="00A427B2">
              <w:rPr>
                <w:rFonts w:ascii="Segoe UI" w:eastAsia="Times New Roman" w:hAnsi="Segoe UI" w:cs="Segoe UI"/>
                <w:color w:val="000000"/>
                <w:sz w:val="16"/>
                <w:szCs w:val="16"/>
              </w:rPr>
              <w:fldChar w:fldCharType="end"/>
            </w:r>
          </w:p>
        </w:tc>
        <w:tc>
          <w:tcPr>
            <w:tcW w:w="2122" w:type="dxa"/>
            <w:vAlign w:val="center"/>
          </w:tcPr>
          <w:p w14:paraId="0B574337"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Clinical Neurology and Neurosurgery</w:t>
            </w:r>
          </w:p>
        </w:tc>
        <w:tc>
          <w:tcPr>
            <w:tcW w:w="850" w:type="dxa"/>
            <w:vAlign w:val="center"/>
          </w:tcPr>
          <w:p w14:paraId="2DBA3FC4"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1.672</w:t>
            </w:r>
          </w:p>
        </w:tc>
        <w:tc>
          <w:tcPr>
            <w:tcW w:w="1276" w:type="dxa"/>
            <w:vAlign w:val="center"/>
          </w:tcPr>
          <w:p w14:paraId="5D2D112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2018</w:t>
            </w:r>
          </w:p>
        </w:tc>
        <w:tc>
          <w:tcPr>
            <w:tcW w:w="1559" w:type="dxa"/>
            <w:noWrap/>
            <w:vAlign w:val="center"/>
            <w:hideMark/>
          </w:tcPr>
          <w:p w14:paraId="24F8D66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Surgery</w:t>
            </w:r>
          </w:p>
        </w:tc>
        <w:tc>
          <w:tcPr>
            <w:tcW w:w="1541" w:type="dxa"/>
            <w:noWrap/>
            <w:vAlign w:val="center"/>
            <w:hideMark/>
          </w:tcPr>
          <w:p w14:paraId="7946B65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Diagnosis</w:t>
            </w:r>
          </w:p>
        </w:tc>
        <w:tc>
          <w:tcPr>
            <w:tcW w:w="2481" w:type="dxa"/>
            <w:noWrap/>
            <w:vAlign w:val="center"/>
            <w:hideMark/>
          </w:tcPr>
          <w:p w14:paraId="28CEF26A"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2636A440"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 xml:space="preserve">Persistent hemodynamic depression following CAS </w:t>
            </w:r>
          </w:p>
        </w:tc>
      </w:tr>
      <w:tr w:rsidR="00A427B2" w:rsidRPr="00A427B2" w14:paraId="032E442C" w14:textId="77777777" w:rsidTr="001B1FC9">
        <w:trPr>
          <w:trHeight w:val="510"/>
        </w:trPr>
        <w:tc>
          <w:tcPr>
            <w:tcW w:w="1701" w:type="dxa"/>
            <w:noWrap/>
            <w:vAlign w:val="center"/>
            <w:hideMark/>
          </w:tcPr>
          <w:p w14:paraId="794048D0"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VE Staartjes</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{"citationItems":[{"id":"ITEM-1","itemData":{"DOI":"10.3171/2018.8.FOCUS18243","ISSN":"10920684","PMID":"30453454","abstract":"OBJECTIVE Gross-total resection (GTR) is often the primary surgical goal in transsphenoidal surgery for pituitary adenoma. Existing classifications are effective at predicting GTR but are often hampered by limited discriminatory ability in moderate cases and by poor interrater agreement. Deep learning, a subset of machine learning, has recently established itself as highly effective in forecasting medical outcomes. In this pilot study, the authors aimed to evaluate the utility of using deep learning to predict GTR after transsphenoidal surgery for pituitary adenoma. METHODS Data from a prospective registry were used. The authors trained a deep neural network to predict GTR from 16 preoperatively available radiological and procedural variables. Class imbalance adjustment, cross-validation, and random dropout were applied to prevent overfitting and ensure robustness of the predictive model. The authors subsequently compared the deep learning model to a conventional logistic regression model and to the Knosp classification as a gold standard. RESULTS Overall, 140 patients who underwent endoscopic transsphenoidal surgery were included. GTR was achieved in 95 patients (68%), with a mean extent of resection of 96.8% ± 10.6%. Intraoperative high-field MRI was used in 116 (83%) procedures. The deep learning model achieved excellent area under the curve (AUC; 0.96), accuracy (91%), sensitivity (94%), and specificity (89%). This represents an improvement in comparison with the Knosp classification (AUC: 0.87, accuracy: 81%, sensitivity: 92%, specificity: 70%) and a statistically significant improvement in comparison with logistic regression (AUC: 0.86, accuracy: 82%, sensitivity: 81%, specificity: 83%) (all p &lt; 0.001). CONCLUSIONS In this pilot study, the authors demonstrated the utility of applying deep learning to preoperatively predict the likelihood of GTR with excellent performance. Further training and validation in a prospective multicentric cohort will enable the development of an easy-to-use interface for use in clinical practice.","author":[{"dropping-particle":"","family":"Staartjes","given":"Victor E.","non-dropping-particle":"","parse-names":false,"suffix":""},{"dropping-particle":"","family":"Serra","given":"Carlo","non-dropping-particle":"","parse-names":false,"suffix":""},{"dropping-particle":"","family":"Muscas","given":"Giovanni","non-dropping-particle":"","parse-names":false,"suffix":""},{"dropping-particle":"","family":"Maldaner","given":"Nicolai","non-dropping-particle":"","parse-names":false,"suffix":""},{"dropping-particle":"","family":"Akeret","given":"Kevin","non-dropping-particle":"","parse-names":false,"suffix":""},{"dropping-particle":"","family":"Niftrik","given":"Christiaan H.B.","non-dropping-particle":"van","parse-names":false,"suffix":""},{"dropping-particle":"","family":"Fierstra","given":"Jorn","non-dropping-particle":"","parse-names":false,"suffix":""},{"dropping-particle":"","family":"Holzmann","given":"David","non-dropping-particle":"","parse-names":false,"suffix":""},{"dropping-particle":"","family":"Regli","given":"Luca","non-dropping-particle":"","parse-names":false,"suffix":""}],"container-title":"Neurosurgical Focus","id":"ITEM-1","issue":"5","issued":{"date-parts":[["2018"]]},"page":"1-7","title":"Utility of deep neural networks in predicting gross-total resection after transsphenoidal surgery for pituitary adenoma: A pilot study","type":"article-journal","volume":"45"},"uris":["http://www.mendeley.com/documents/?uuid=e51865fe-d6fa-4be5-85a5-6bd748e98e35"]}],"mendeley":{"formattedCitation":"&lt;sup&gt;80&lt;/sup&gt;","plainTextFormattedCitation":"80","previouslyFormattedCitation":"&lt;sup&gt;79&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80</w:t>
            </w:r>
            <w:r w:rsidRPr="00A427B2">
              <w:rPr>
                <w:rFonts w:ascii="Segoe UI" w:eastAsia="Times New Roman" w:hAnsi="Segoe UI" w:cs="Segoe UI"/>
                <w:color w:val="000000"/>
                <w:sz w:val="16"/>
                <w:szCs w:val="16"/>
              </w:rPr>
              <w:fldChar w:fldCharType="end"/>
            </w:r>
          </w:p>
        </w:tc>
        <w:tc>
          <w:tcPr>
            <w:tcW w:w="2122" w:type="dxa"/>
            <w:vAlign w:val="center"/>
          </w:tcPr>
          <w:p w14:paraId="32363DAA"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Neurosurgical Focus</w:t>
            </w:r>
          </w:p>
        </w:tc>
        <w:tc>
          <w:tcPr>
            <w:tcW w:w="850" w:type="dxa"/>
            <w:vAlign w:val="center"/>
          </w:tcPr>
          <w:p w14:paraId="65E85E0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2.891</w:t>
            </w:r>
          </w:p>
        </w:tc>
        <w:tc>
          <w:tcPr>
            <w:tcW w:w="1276" w:type="dxa"/>
            <w:vAlign w:val="center"/>
          </w:tcPr>
          <w:p w14:paraId="1E6C000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2018</w:t>
            </w:r>
          </w:p>
        </w:tc>
        <w:tc>
          <w:tcPr>
            <w:tcW w:w="1559" w:type="dxa"/>
            <w:noWrap/>
            <w:vAlign w:val="center"/>
            <w:hideMark/>
          </w:tcPr>
          <w:p w14:paraId="3049929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Surgery</w:t>
            </w:r>
          </w:p>
        </w:tc>
        <w:tc>
          <w:tcPr>
            <w:tcW w:w="1541" w:type="dxa"/>
            <w:noWrap/>
            <w:vAlign w:val="center"/>
            <w:hideMark/>
          </w:tcPr>
          <w:p w14:paraId="118A5FD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048C5810"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171B08D3"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Gross-total resection in transspheinoidal surgery for pituitary adenoma at 3 months</w:t>
            </w:r>
          </w:p>
        </w:tc>
      </w:tr>
      <w:tr w:rsidR="00A427B2" w:rsidRPr="00A427B2" w14:paraId="7E51A5DB" w14:textId="77777777" w:rsidTr="001B1FC9">
        <w:trPr>
          <w:trHeight w:val="510"/>
        </w:trPr>
        <w:tc>
          <w:tcPr>
            <w:tcW w:w="1701" w:type="dxa"/>
            <w:noWrap/>
            <w:vAlign w:val="center"/>
            <w:hideMark/>
          </w:tcPr>
          <w:p w14:paraId="20FA045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C-F Lu</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{"citationItems":[{"id":"ITEM-1","itemData":{"DOI":"10.1158/1078-0432.CCR-17-3445","ISSN":"15573265","abstract":"Purpose: The new classification announced by the World Health Organization in 2016 recognized five molecular subtypes of diffuse gliomas based on isocitrate dehydrogenase (IDH) and 1p/19q genotypes in addition to histologic phenotypes. We aim to determine whether clinical MRI can stratify these molecular subtypes to benefit the diagnosis and monitoring of gliomas. Experimental Design: The data from 456 subjects with gliomas were obtained from The Cancer Imaging Archive. Overall, 214 subjects, including 106 cases of glioblastomas and 108 cases of lower grade gliomas with preoperative MRI, survival data, histology, IDH, and 1p/19q status were included. We proposed a three-level machine-learning model based on multimodal MR radiomics to classify glioma subtypes. An independent dataset with 70 glioma subjects was further collected to verify the model performance. Results: The IDH and 1p/19q status of gliomas can be classified by radiomics and machine-learning approaches, with areas under ROC curves between 0.922 and 0.975 and accuracies between 87.7% and 96.1% estimated on the training dataset. The test on the validation dataset showed a comparable model performance with that on the training dataset, suggesting the efficacy of the trained classifiers. The classification of 5 molecular subtypes solely based on the MR phenotypes achieved an 81.8% accuracy, and a higher accuracy of 89.2% could be achieved if the histology diagnosis is available. Conclusions: The MR radiomics-based method provides a reliable alternative to determine the histology and molecular subtypes of gliomas.","author":[{"dropping-particle":"","family":"Lu","given":"Chia Feng","non-dropping-particle":"","parse-names":false,"suffix":""},{"dropping-particle":"","family":"Hsu","given":"Fei Ting","non-dropping-particle":"","parse-names":false,"suffix":""},{"dropping-particle":"","family":"Hsieh","given":"Kevin Li Chun","non-dropping-particle":"","parse-names":false,"suffix":""},{"dropping-particle":"","family":"Kao","given":"Yu Chieh Jill","non-dropping-particle":"","parse-names":false,"suffix":""},{"dropping-particle":"","family":"Cheng","given":"Sho Jen","non-dropping-particle":"","parse-names":false,"suffix":""},{"dropping-particle":"","family":"Hsu","given":"Justin Bo Kai","non-dropping-particle":"","parse-names":false,"suffix":""},{"dropping-particle":"","family":"Tsai","given":"Ping Huei","non-dropping-particle":"","parse-names":false,"suffix":""},{"dropping-particle":"","family":"Chen","given":"Ray Jade","non-dropping-particle":"","parse-names":false,"suffix":""},{"dropping-particle":"","family":"Huang","given":"Chao Ching","non-dropping-particle":"","parse-names":false,"suffix":""},{"dropping-particle":"","family":"Yen","given":"Yun","non-dropping-particle":"","parse-names":false,"suffix":""},{"dropping-particle":"","family":"Chen","given":"Cheng Yu","non-dropping-particle":"","parse-names":false,"suffix":""}],"container-title":"Clinical Cancer Research","id":"ITEM-1","issue":"18","issued":{"date-parts":[["2018"]]},"page":"4429-4436","title":"Machine learning–based radiomics for molecular subtyping of gliomas","type":"article-journal","volume":"24"},"uris":["http://www.mendeley.com/documents/?uuid=877c6c16-8b14-4c52-b2dd-287e41075c90"]}],"mendeley":{"formattedCitation":"&lt;sup&gt;81&lt;/sup&gt;","plainTextFormattedCitation":"81","previouslyFormattedCitation":"&lt;sup&gt;80&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81</w:t>
            </w:r>
            <w:r w:rsidRPr="00A427B2">
              <w:rPr>
                <w:rFonts w:ascii="Segoe UI" w:eastAsia="Times New Roman" w:hAnsi="Segoe UI" w:cs="Segoe UI"/>
                <w:color w:val="000000"/>
                <w:sz w:val="16"/>
                <w:szCs w:val="16"/>
              </w:rPr>
              <w:fldChar w:fldCharType="end"/>
            </w:r>
          </w:p>
        </w:tc>
        <w:tc>
          <w:tcPr>
            <w:tcW w:w="2122" w:type="dxa"/>
            <w:vAlign w:val="center"/>
          </w:tcPr>
          <w:p w14:paraId="3284FB23"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Clinical Cancer Research</w:t>
            </w:r>
          </w:p>
        </w:tc>
        <w:tc>
          <w:tcPr>
            <w:tcW w:w="850" w:type="dxa"/>
            <w:vAlign w:val="center"/>
          </w:tcPr>
          <w:p w14:paraId="32A3386B"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8.911</w:t>
            </w:r>
          </w:p>
        </w:tc>
        <w:tc>
          <w:tcPr>
            <w:tcW w:w="1276" w:type="dxa"/>
            <w:vAlign w:val="center"/>
          </w:tcPr>
          <w:p w14:paraId="3AB83E62"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2018</w:t>
            </w:r>
          </w:p>
        </w:tc>
        <w:tc>
          <w:tcPr>
            <w:tcW w:w="1559" w:type="dxa"/>
            <w:noWrap/>
            <w:vAlign w:val="center"/>
            <w:hideMark/>
          </w:tcPr>
          <w:p w14:paraId="493E0374"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Medical imaging</w:t>
            </w:r>
          </w:p>
        </w:tc>
        <w:tc>
          <w:tcPr>
            <w:tcW w:w="1541" w:type="dxa"/>
            <w:noWrap/>
            <w:vAlign w:val="center"/>
            <w:hideMark/>
          </w:tcPr>
          <w:p w14:paraId="6B17486A"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Diagnosis</w:t>
            </w:r>
          </w:p>
        </w:tc>
        <w:tc>
          <w:tcPr>
            <w:tcW w:w="2481" w:type="dxa"/>
            <w:noWrap/>
            <w:vAlign w:val="center"/>
            <w:hideMark/>
          </w:tcPr>
          <w:p w14:paraId="7741EB1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with external validation (same model)</w:t>
            </w:r>
          </w:p>
        </w:tc>
        <w:tc>
          <w:tcPr>
            <w:tcW w:w="2860" w:type="dxa"/>
            <w:noWrap/>
            <w:vAlign w:val="center"/>
            <w:hideMark/>
          </w:tcPr>
          <w:p w14:paraId="36E4B071"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Glioblastoma vs lower grade gliomas</w:t>
            </w:r>
          </w:p>
        </w:tc>
      </w:tr>
      <w:tr w:rsidR="00A427B2" w:rsidRPr="00A427B2" w14:paraId="387142D2" w14:textId="77777777" w:rsidTr="001B1FC9">
        <w:trPr>
          <w:trHeight w:val="510"/>
        </w:trPr>
        <w:tc>
          <w:tcPr>
            <w:tcW w:w="1701" w:type="dxa"/>
            <w:noWrap/>
            <w:vAlign w:val="center"/>
            <w:hideMark/>
          </w:tcPr>
          <w:p w14:paraId="1D54B55A"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N Park</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{"citationItems":[{"id":"ITEM-1","itemData":{"DOI":"10.1371/journal.pone.0199839","ISBN":"1111111111","ISSN":"19326203","abstract":"How can we predict the occurrence of acute kidney injury (AKI) in cancer patients based on machine learning with serum creatinine data? Given irregular and heterogeneous clinical data, how can we make the most of it for accurate AKI prediction? AKI is a common and significant complication in cancer patients, and correlates with substantial morbidity and mortality. Since no effective treatment for AKI still exists, it is important to take timely preventive measures. While several approaches have been proposed for predicting AKI, their scope and applicability are limited as they either assume regular data measured over a short hospital stay, or do not fully utilize heterogeneous data. In this paper, we provide an AKI prediction model with a greater applicability, which relaxes the constraints of existing approaches, and fully utilizes irregular and heterogeneous data for learning the model. In a cohort of 21,022 cancer patients who were registered into Korea Central Cancer Registry (KCCR) in Seoul National University Hospital between January 1, 2004 and December 31, 2013, our method achieves 0.7892 precision, 0.7506 recall, and 0.7576 F-measure in predicting whether a patient will develop AKI during the next 14 days.","author":[{"dropping-particle":"","family":"Park","given":"Namyong","non-dropping-particle":"","parse-names":false,"suffix":""},{"dropping-particle":"","family":"Kang","given":"Eunjeong","non-dropping-particle":"","parse-names":false,"suffix":""},{"dropping-particle":"","family":"Park","given":"Minsu","non-dropping-particle":"","parse-names":false,"suffix":""},{"dropping-particle":"","family":"Lee","given":"Hajeong","non-dropping-particle":"","parse-names":false,"suffix":""},{"dropping-particle":"","family":"Kang","given":"Hee Gyung","non-dropping-particle":"","parse-names":false,"suffix":""},{"dropping-particle":"","family":"Yoon","given":"Hyung Jin","non-dropping-particle":"","parse-names":false,"suffix":""},{"dropping-particle":"","family":"Kang","given":"U.","non-dropping-particle":"","parse-names":false,"suffix":""}],"container-title":"PLoS ONE","id":"ITEM-1","issue":"7","issued":{"date-parts":[["2018"]]},"page":"1-21","title":"Predicting acute kidney injury in cancer patients using heterogeneous and irregular data","type":"article-journal","volume":"13"},"uris":["http://www.mendeley.com/documents/?uuid=ab3590f4-0004-4d77-88eb-3bbfc8b517c4"]}],"mendeley":{"formattedCitation":"&lt;sup&gt;82&lt;/sup&gt;","plainTextFormattedCitation":"82","previouslyFormattedCitation":"&lt;sup&gt;81&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82</w:t>
            </w:r>
            <w:r w:rsidRPr="00A427B2">
              <w:rPr>
                <w:rFonts w:ascii="Segoe UI" w:eastAsia="Times New Roman" w:hAnsi="Segoe UI" w:cs="Segoe UI"/>
                <w:color w:val="000000"/>
                <w:sz w:val="16"/>
                <w:szCs w:val="16"/>
              </w:rPr>
              <w:fldChar w:fldCharType="end"/>
            </w:r>
          </w:p>
        </w:tc>
        <w:tc>
          <w:tcPr>
            <w:tcW w:w="2122" w:type="dxa"/>
            <w:vAlign w:val="center"/>
          </w:tcPr>
          <w:p w14:paraId="55BDFBA9"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PLoS ONE</w:t>
            </w:r>
          </w:p>
        </w:tc>
        <w:tc>
          <w:tcPr>
            <w:tcW w:w="850" w:type="dxa"/>
            <w:vAlign w:val="center"/>
          </w:tcPr>
          <w:p w14:paraId="746C648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2.776</w:t>
            </w:r>
          </w:p>
        </w:tc>
        <w:tc>
          <w:tcPr>
            <w:tcW w:w="1276" w:type="dxa"/>
            <w:vAlign w:val="center"/>
          </w:tcPr>
          <w:p w14:paraId="7D5A4D1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2018</w:t>
            </w:r>
          </w:p>
        </w:tc>
        <w:tc>
          <w:tcPr>
            <w:tcW w:w="1559" w:type="dxa"/>
            <w:noWrap/>
            <w:vAlign w:val="center"/>
            <w:hideMark/>
          </w:tcPr>
          <w:p w14:paraId="0C4D2DE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Oncology</w:t>
            </w:r>
          </w:p>
        </w:tc>
        <w:tc>
          <w:tcPr>
            <w:tcW w:w="1541" w:type="dxa"/>
            <w:noWrap/>
            <w:vAlign w:val="center"/>
            <w:hideMark/>
          </w:tcPr>
          <w:p w14:paraId="07E78F3A"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596E6B6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7C1B2542"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AKI occurrence in 14 days</w:t>
            </w:r>
          </w:p>
        </w:tc>
      </w:tr>
      <w:tr w:rsidR="00A427B2" w:rsidRPr="00A427B2" w14:paraId="270DB770" w14:textId="77777777" w:rsidTr="001B1FC9">
        <w:trPr>
          <w:trHeight w:val="510"/>
        </w:trPr>
        <w:tc>
          <w:tcPr>
            <w:tcW w:w="1701" w:type="dxa"/>
            <w:noWrap/>
            <w:vAlign w:val="center"/>
            <w:hideMark/>
          </w:tcPr>
          <w:p w14:paraId="6C1D573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T Ballarini</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{"citationItems":[{"id":"ITEM-1","itemData":{"DOI":"10.1016/j.nicl.2018.101636","ISSN":"22131582","abstract":"We aimed at testing the potential of biomarkers in predicting individual patient response to dopaminergic therapy for Parkinson's disease. Treatment efficacy was assessed in 30 Parkinson's disease patients as motor symptoms improvement from unmedicated to medicated state as assessed by the Unified Parkinson's Disease Rating Scale score III. Patients were stratified into weak and strong responders according to the individual treatment response. A multiple regression was implemented to test the prediction accuracy of age, disease duration and treatment dose and length. Univariate voxel-based morphometry was applied to investigate differences between the two groups on age-corrected T1-weighted magnetic resonance images. Multivariate support vector machine classification was used to predict individual treatment response based on neuroimaging data. Among clinical data, increasing age predicted a weaker treatment response. Additionally, weak responders presented greater brain atrophy in the left temporoparietal operculum. Support vector machine classification revealed that gray matter density in this brain region, including additionally the supplementary and primary motor areas and the cerebellum, was able to differentiate weak and strong responders with 74% accuracy. Remarkably, age and regional gray matter density of the left temporoparietal operculum predicted both and independently treatment response as shown in a combined regression analysis. In conclusion, both increasing age and reduced gray matter density are valid and independent predictors of dopaminergic therapy response in Parkinson's disease.","author":[{"dropping-particle":"","family":"Ballarini","given":"Tommaso","non-dropping-particle":"","parse-names":false,"suffix":""},{"dropping-particle":"","family":"Mueller","given":"Karsten","non-dropping-particle":"","parse-names":false,"suffix":""},{"dropping-particle":"","family":"Albrecht","given":"Franziska","non-dropping-particle":"","parse-names":false,"suffix":""},{"dropping-particle":"","family":"Růžička","given":"Filip","non-dropping-particle":"","parse-names":false,"suffix":""},{"dropping-particle":"","family":"Bezdicek","given":"Ondrej","non-dropping-particle":"","parse-names":false,"suffix":""},{"dropping-particle":"","family":"Růžička","given":"Evžen","non-dropping-particle":"","parse-names":false,"suffix":""},{"dropping-particle":"","family":"Roth","given":"Jan","non-dropping-particle":"","parse-names":false,"suffix":""},{"dropping-particle":"","family":"Vymazal","given":"Josef","non-dropping-particle":"","parse-names":false,"suffix":""},{"dropping-particle":"","family":"Jech","given":"Robert","non-dropping-particle":"","parse-names":false,"suffix":""},{"dropping-particle":"","family":"Schroeter","given":"Matthias L.","non-dropping-particle":"","parse-names":false,"suffix":""}],"container-title":"NeuroImage: Clinical","id":"ITEM-1","issue":"May 2018","issued":{"date-parts":[["2019"]]},"title":"Regional gray matter changes and age predict individual treatment response in Parkinson's disease","type":"article-journal","volume":"21"},"uris":["http://www.mendeley.com/documents/?uuid=5c9b93f2-5e67-40bd-986a-ab8f8a3f7029"]}],"mendeley":{"formattedCitation":"&lt;sup&gt;83&lt;/sup&gt;","plainTextFormattedCitation":"83","previouslyFormattedCitation":"&lt;sup&gt;82&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83</w:t>
            </w:r>
            <w:r w:rsidRPr="00A427B2">
              <w:rPr>
                <w:rFonts w:ascii="Segoe UI" w:eastAsia="Times New Roman" w:hAnsi="Segoe UI" w:cs="Segoe UI"/>
                <w:color w:val="000000"/>
                <w:sz w:val="16"/>
                <w:szCs w:val="16"/>
              </w:rPr>
              <w:fldChar w:fldCharType="end"/>
            </w:r>
          </w:p>
        </w:tc>
        <w:tc>
          <w:tcPr>
            <w:tcW w:w="2122" w:type="dxa"/>
            <w:vAlign w:val="center"/>
          </w:tcPr>
          <w:p w14:paraId="3CA7CC85"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NeuroImage: Clinical 21</w:t>
            </w:r>
          </w:p>
        </w:tc>
        <w:tc>
          <w:tcPr>
            <w:tcW w:w="850" w:type="dxa"/>
            <w:vAlign w:val="center"/>
          </w:tcPr>
          <w:p w14:paraId="0C5DE7C1"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4.350</w:t>
            </w:r>
          </w:p>
        </w:tc>
        <w:tc>
          <w:tcPr>
            <w:tcW w:w="1276" w:type="dxa"/>
            <w:vAlign w:val="center"/>
          </w:tcPr>
          <w:p w14:paraId="09909E00"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0C0A1309"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Neurology</w:t>
            </w:r>
          </w:p>
        </w:tc>
        <w:tc>
          <w:tcPr>
            <w:tcW w:w="1541" w:type="dxa"/>
            <w:noWrap/>
            <w:vAlign w:val="center"/>
            <w:hideMark/>
          </w:tcPr>
          <w:p w14:paraId="7988FA1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Diagnosis</w:t>
            </w:r>
          </w:p>
        </w:tc>
        <w:tc>
          <w:tcPr>
            <w:tcW w:w="2481" w:type="dxa"/>
            <w:noWrap/>
            <w:vAlign w:val="center"/>
            <w:hideMark/>
          </w:tcPr>
          <w:p w14:paraId="16F00D12"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123219A0"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Individual treatment response</w:t>
            </w:r>
          </w:p>
        </w:tc>
      </w:tr>
      <w:tr w:rsidR="00A427B2" w:rsidRPr="00A427B2" w14:paraId="2691C709" w14:textId="77777777" w:rsidTr="001B1FC9">
        <w:trPr>
          <w:trHeight w:val="510"/>
        </w:trPr>
        <w:tc>
          <w:tcPr>
            <w:tcW w:w="1701" w:type="dxa"/>
            <w:noWrap/>
            <w:vAlign w:val="center"/>
            <w:hideMark/>
          </w:tcPr>
          <w:p w14:paraId="544312E3"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 Chen</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{"citationItems":[{"id":"ITEM-1","itemData":{"DOI":"10.1200/cci.18.00137","ISSN":"2473-4276","abstract":"PURPOSE Time to event is an important aspect of clinical decision\nmaking. This is particularly true when diseases have highly\nheterogeneous presentations and prognoses, as in chronic lymphocytic\nlymphoma (CLL). Although machine learning methods can readily learn\ncomplex nonlinear relationships, many methods are criticized as\ninadequate because of limited interpretability. We propose using\nunsupervised clustering of the continuous output of machine learning\nmodels to provide discrete risk stratification for predicting time to\nfirst treatment in a cohort of patients with CLL.\nPATIENTS AND METHODS A total of 737 treatment-naive patients with CLL\ndiagnosed at Mayo Clinic were included in this study. We compared\npredictive abilities for two survival models (Cox proportional hazards\nand random survival forest) and four classification methods (logistic\nregression, support vector machines, random forest, and gradient\nboosting machine). Probability of treatment was then stratified.\nRESULTS Machine learning methods did not yield significantly more\naccurate predictions of time to first treatment. However, automated risk\nstratification provided by clustering was able to better differentiate\npatients who were at risk for treatment within 1 year than models\ndeveloped using standard survival analysis techniques.\nCONCLUSION Clustering the posterior probabilities of machine learning\nmodels provides a way to better interpret machine learning models. (C)\n2019 by American Society of Clinical Oncology","author":[{"dropping-particle":"","family":"Chen","given":"David","non-dropping-particle":"","parse-names":false,"suffix":""},{"dropping-particle":"","family":"Goyal","given":"Gaurav","non-dropping-particle":"","parse-names":false,"suffix":""},{"dropping-particle":"","family":"Go","given":"Ronald S.","non-dropping-particle":"","parse-names":false,"suffix":""},{"dropping-particle":"","family":"Parikh","given":"Sameer A.","non-dropping-particle":"","parse-names":false,"suffix":""},{"dropping-particle":"","family":"Ngufor","given":"Che G.","non-dropping-particle":"","parse-names":false,"suffix":""}],"container-title":"JCO Clinical Cancer Informatics","id":"ITEM-1","issue":"3","issued":{"date-parts":[["2019"]]},"page":"1-11","title":"Improved Interpretability of Machine Learning Model Using Unsupervised Clustering: Predicting Time to First Treatment in Chronic Lymphocytic Leukemia","type":"article-journal"},"uris":["http://www.mendeley.com/documents/?uuid=6bc1c166-9dd6-40d9-8e33-83de522d26e8"]}],"mendeley":{"formattedCitation":"&lt;sup&gt;84&lt;/sup&gt;","plainTextFormattedCitation":"84","previouslyFormattedCitation":"&lt;sup&gt;83&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84</w:t>
            </w:r>
            <w:r w:rsidRPr="00A427B2">
              <w:rPr>
                <w:rFonts w:ascii="Segoe UI" w:eastAsia="Times New Roman" w:hAnsi="Segoe UI" w:cs="Segoe UI"/>
                <w:color w:val="000000"/>
                <w:sz w:val="16"/>
                <w:szCs w:val="16"/>
              </w:rPr>
              <w:fldChar w:fldCharType="end"/>
            </w:r>
          </w:p>
        </w:tc>
        <w:tc>
          <w:tcPr>
            <w:tcW w:w="2122" w:type="dxa"/>
            <w:vAlign w:val="center"/>
          </w:tcPr>
          <w:p w14:paraId="2C386815"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Clinical Cancer Informatics(</w:t>
            </w:r>
            <w:r w:rsidRPr="00A427B2">
              <w:rPr>
                <w:rFonts w:ascii="Segoe UI" w:hAnsi="Segoe UI" w:cs="Segoe UI"/>
                <w:color w:val="000000"/>
                <w:sz w:val="16"/>
                <w:szCs w:val="16"/>
                <w:vertAlign w:val="superscript"/>
              </w:rPr>
              <w:t>b</w:t>
            </w:r>
            <w:r w:rsidRPr="00A427B2">
              <w:rPr>
                <w:rFonts w:ascii="Segoe UI" w:hAnsi="Segoe UI" w:cs="Segoe UI"/>
                <w:color w:val="000000"/>
                <w:sz w:val="16"/>
                <w:szCs w:val="16"/>
              </w:rPr>
              <w:t>)</w:t>
            </w:r>
          </w:p>
        </w:tc>
        <w:tc>
          <w:tcPr>
            <w:tcW w:w="850" w:type="dxa"/>
            <w:vAlign w:val="center"/>
          </w:tcPr>
          <w:p w14:paraId="0AFDAA6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0.43</w:t>
            </w:r>
          </w:p>
        </w:tc>
        <w:tc>
          <w:tcPr>
            <w:tcW w:w="1276" w:type="dxa"/>
            <w:vAlign w:val="center"/>
          </w:tcPr>
          <w:p w14:paraId="407ECA72"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5B294484"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Oncology</w:t>
            </w:r>
          </w:p>
        </w:tc>
        <w:tc>
          <w:tcPr>
            <w:tcW w:w="1541" w:type="dxa"/>
            <w:noWrap/>
            <w:vAlign w:val="center"/>
            <w:hideMark/>
          </w:tcPr>
          <w:p w14:paraId="5936524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13FF0480"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395C576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Time to first treatment in Chronic Lymphocytic Leukemia</w:t>
            </w:r>
          </w:p>
        </w:tc>
      </w:tr>
      <w:tr w:rsidR="00A427B2" w:rsidRPr="00A427B2" w14:paraId="452B144F" w14:textId="77777777" w:rsidTr="001B1FC9">
        <w:trPr>
          <w:trHeight w:val="510"/>
        </w:trPr>
        <w:tc>
          <w:tcPr>
            <w:tcW w:w="1701" w:type="dxa"/>
            <w:noWrap/>
            <w:vAlign w:val="center"/>
            <w:hideMark/>
          </w:tcPr>
          <w:p w14:paraId="418D7C1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J Malycha</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{"citationItems":[{"id":"ITEM-1","itemData":{"DOI":"10.1016/j.resuscitation.2019.04.002","ISSN":"18731570","abstract":"Objectives: To calculate fractional inspired oxygen concentration (FiO2) thresholds in ward patients and add these to the National Early Warning Score (NEWS). To evaluate the performance of NEWS-FiO2 against NEWS when predicting in-hospital death and unplanned intensive care unit (ICU) admission. Methods: A multi-centre, retrospective, observational cohort study was carried out in five hospitals from two UK NHS Trusts. Adult admissions with at least one complete set of vital sign observations recorded electronically were eligible. The primary outcome measure was an ‘adverse event’ which comprised either in-hospital death or unplanned ICU admission. Discrimination was assessed using the Area Under the Receiver Operating Characteristic curve (AUROC). Results: A cohort of 83,304 patients from a total of 271,363 adult admissions were prescribed oxygen. In this cohort, NEWS-FiO2 (AUROC 0.823, 95% CI 0.819–0.824) outperformed NEWS (AUORC 0.811, 95% CI 0.809–0.814) when predicting in-hospital death or unplanned ICU admission within 24 h of a complete set of vital sign observations. Conclusions: NEWS-FiO2 generates a performance gain over NEWS when studied in ward patients requiring oxygen. This warrants further study, particularly in patients with respiratory disorders.","author":[{"dropping-particle":"","family":"Malycha","given":"James","non-dropping-particle":"","parse-names":false,"suffix":""},{"dropping-particle":"","family":"Farajidavar","given":"Nazli","non-dropping-particle":"","parse-names":false,"suffix":""},{"dropping-particle":"","family":"Pimentel","given":"Marco A.F.","non-dropping-particle":"","parse-names":false,"suffix":""},{"dropping-particle":"","family":"Redfern","given":"Oliver","non-dropping-particle":"","parse-names":false,"suffix":""},{"dropping-particle":"","family":"Clifton","given":"David A.","non-dropping-particle":"","parse-names":false,"suffix":""},{"dropping-particle":"","family":"Tarassenko","given":"Lionel","non-dropping-particle":"","parse-names":false,"suffix":""},{"dropping-particle":"","family":"Meredith","given":"Paul","non-dropping-particle":"","parse-names":false,"suffix":""},{"dropping-particle":"","family":"Prytherch","given":"David","non-dropping-particle":"","parse-names":false,"suffix":""},{"dropping-particle":"","family":"Ludbrook","given":"Guy","non-dropping-particle":"","parse-names":false,"suffix":""},{"dropping-particle":"","family":"Young","given":"J. Duncan","non-dropping-particle":"","parse-names":false,"suffix":""},{"dropping-particle":"","family":"Watkinson","given":"Peter J.","non-dropping-particle":"","parse-names":false,"suffix":""}],"container-title":"Resuscitation","id":"ITEM-1","issue":"April 2019","issued":{"date-parts":[["2019"]]},"page":"192-199","publisher":"European Resuscitation Council, American Heart Association, Inc., and International Liaison Committee on Resuscitation.~Published by Elsevier Ireland Ltd","title":"The effect of fractional inspired oxygen concentration on early warning score performance: A database analysis","type":"article-journal","volume":"139"},"uris":["http://www.mendeley.com/documents/?uuid=70815fce-eaaf-4320-85ce-5ae1eedc79c9"]}],"mendeley":{"formattedCitation":"&lt;sup&gt;85&lt;/sup&gt;","plainTextFormattedCitation":"85","previouslyFormattedCitation":"&lt;sup&gt;84&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85</w:t>
            </w:r>
            <w:r w:rsidRPr="00A427B2">
              <w:rPr>
                <w:rFonts w:ascii="Segoe UI" w:eastAsia="Times New Roman" w:hAnsi="Segoe UI" w:cs="Segoe UI"/>
                <w:color w:val="000000"/>
                <w:sz w:val="16"/>
                <w:szCs w:val="16"/>
              </w:rPr>
              <w:fldChar w:fldCharType="end"/>
            </w:r>
          </w:p>
        </w:tc>
        <w:tc>
          <w:tcPr>
            <w:tcW w:w="2122" w:type="dxa"/>
            <w:vAlign w:val="center"/>
          </w:tcPr>
          <w:p w14:paraId="6BDE2D55"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 xml:space="preserve">Resuscitation </w:t>
            </w:r>
          </w:p>
        </w:tc>
        <w:tc>
          <w:tcPr>
            <w:tcW w:w="850" w:type="dxa"/>
            <w:vAlign w:val="center"/>
          </w:tcPr>
          <w:p w14:paraId="457E11CF"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4.215</w:t>
            </w:r>
          </w:p>
        </w:tc>
        <w:tc>
          <w:tcPr>
            <w:tcW w:w="1276" w:type="dxa"/>
            <w:vAlign w:val="center"/>
          </w:tcPr>
          <w:p w14:paraId="107E1CD3"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5124905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Critical care</w:t>
            </w:r>
          </w:p>
        </w:tc>
        <w:tc>
          <w:tcPr>
            <w:tcW w:w="1541" w:type="dxa"/>
            <w:noWrap/>
            <w:vAlign w:val="center"/>
            <w:hideMark/>
          </w:tcPr>
          <w:p w14:paraId="02C20A3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690F753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11109B8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FiO2 Added value</w:t>
            </w:r>
          </w:p>
        </w:tc>
      </w:tr>
      <w:tr w:rsidR="00A427B2" w:rsidRPr="00A427B2" w14:paraId="7C000923" w14:textId="77777777" w:rsidTr="001B1FC9">
        <w:trPr>
          <w:trHeight w:val="510"/>
        </w:trPr>
        <w:tc>
          <w:tcPr>
            <w:tcW w:w="1701" w:type="dxa"/>
            <w:noWrap/>
            <w:vAlign w:val="center"/>
            <w:hideMark/>
          </w:tcPr>
          <w:p w14:paraId="20B6F01F"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Z Xie</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{"citationItems":[{"id":"ITEM-1","itemData":{"DOI":"10.5888/pcd16.190109","ISSN":"21665435","PMID":"31538566","abstract":"Introduction As one of the most prevalent chronic diseases in the United States, diabetes, especially type 2 diabetes, affects the health of millions of people and puts an enormous financial burden on the US economy. We aimed to develop predictive models to identify risk factors for type 2 diabetes, which could help facilitate early diagnosis and intervention and also reduce medical costs. Methods We analyzed cross-sectional data on 138,146 participants, including 20,467 with type 2 diabetes, from the 2014 Behavioral Risk Factor Surveillance System. We built several machine learning models for predicting type 2 diabetes, including support vector machine, decision tree, logistic regression, random forest, neural network, and Gaussian Naive Bayes classifiers. We used univariable and multivariable weighted logistic regression models to investigate the associations of potential risk factors with type 2 diabetes. Results All predictive models for type 2 diabetes achieved a high area under the curve (AUC), ranging from 0.7182 to 0.7949. Although the neural network model had the highest accuracy (82.4%), specificity (90.2%), and AUC (0.7949), the decision tree model had the highest sensitivity (51.6%) for type 2 diabetes. We found that people who slept 9 or more hours per day (adjusted odds ratio [aOR] = 1.13, 95% confidence interval [CI], 1.03-1.25) or had checkup frequency of less than 1 year (aOR = 2.31, 95% CI, 1.86-2.85) had higher risk for type 2 diabetes. Conclusion Of the 8 predictive models, the neural network model gave the best model performance with the highest AUC value; however, the decision tree model is preferred for initial screening for type 2 diabetes because it had the highest sensitivity and, therefore, detection rate. We confirmed previously reported risk factors and also identified sleeping time and frequency of checkup as 2 new potential risk factors related to type 2 diabetes.","author":[{"dropping-particle":"","family":"Xie","given":"Zidian","non-dropping-particle":"","parse-names":false,"suffix":""},{"dropping-particle":"","family":"Nikolayeva","given":"Olga","non-dropping-particle":"","parse-names":false,"suffix":""},{"dropping-particle":"","family":"Luo","given":"Jiebo","non-dropping-particle":"","parse-names":false,"suffix":""},{"dropping-particle":"","family":"Li","given":"Dongmei","non-dropping-particle":"","parse-names":false,"suffix":""}],"container-title":"Preventing Chronic Disease","id":"ITEM-1","issue":"9","issued":{"date-parts":[["2019"]]},"page":"1-9","title":"Building risk prediction models for type 2 diabetes using machine learning techniques","type":"article-journal","volume":"16"},"uris":["http://www.mendeley.com/documents/?uuid=bc656781-c1bc-45ec-86c6-6e5bbf0365b3"]}],"mendeley":{"formattedCitation":"&lt;sup&gt;86&lt;/sup&gt;","plainTextFormattedCitation":"86","previouslyFormattedCitation":"&lt;sup&gt;85&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86</w:t>
            </w:r>
            <w:r w:rsidRPr="00A427B2">
              <w:rPr>
                <w:rFonts w:ascii="Segoe UI" w:eastAsia="Times New Roman" w:hAnsi="Segoe UI" w:cs="Segoe UI"/>
                <w:color w:val="000000"/>
                <w:sz w:val="16"/>
                <w:szCs w:val="16"/>
              </w:rPr>
              <w:fldChar w:fldCharType="end"/>
            </w:r>
          </w:p>
        </w:tc>
        <w:tc>
          <w:tcPr>
            <w:tcW w:w="2122" w:type="dxa"/>
            <w:vAlign w:val="center"/>
          </w:tcPr>
          <w:p w14:paraId="25268B70"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 xml:space="preserve">Preventing chronic disease </w:t>
            </w:r>
          </w:p>
        </w:tc>
        <w:tc>
          <w:tcPr>
            <w:tcW w:w="850" w:type="dxa"/>
            <w:vAlign w:val="center"/>
          </w:tcPr>
          <w:p w14:paraId="52C007A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2.144</w:t>
            </w:r>
          </w:p>
        </w:tc>
        <w:tc>
          <w:tcPr>
            <w:tcW w:w="1276" w:type="dxa"/>
            <w:vAlign w:val="center"/>
          </w:tcPr>
          <w:p w14:paraId="2BF3565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3143D698"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Endocrinology</w:t>
            </w:r>
          </w:p>
        </w:tc>
        <w:tc>
          <w:tcPr>
            <w:tcW w:w="1541" w:type="dxa"/>
            <w:noWrap/>
            <w:vAlign w:val="center"/>
            <w:hideMark/>
          </w:tcPr>
          <w:p w14:paraId="128C4549"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2A4AC09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10CBF844"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type 2 diabetes risk</w:t>
            </w:r>
          </w:p>
        </w:tc>
      </w:tr>
      <w:tr w:rsidR="00A427B2" w:rsidRPr="00A427B2" w14:paraId="7B8B79AC" w14:textId="77777777" w:rsidTr="001B1FC9">
        <w:trPr>
          <w:trHeight w:val="510"/>
        </w:trPr>
        <w:tc>
          <w:tcPr>
            <w:tcW w:w="1701" w:type="dxa"/>
            <w:noWrap/>
            <w:vAlign w:val="center"/>
            <w:hideMark/>
          </w:tcPr>
          <w:p w14:paraId="286B8C03"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B Thanathornwong</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{"citationItems":[{"id":"ITEM-1","itemData":{"DOI":"10.4258/hir.2018.24.1.22","ISSN":"2093369X","abstract":"Objectives: In this study, a clinical decision support system was developed to help general practitioners assess the need for orthodontic treatment in patients with permanent dentition. Methods: We chose a Bayesian network (BN) as the underlying model for assessing the need for orthodontic treatment. One thousand permanent dentition patient data sets chosen from a hospital record system were prepared in which one data element represented one participant with information for all variables and their stated need for orthodontic treatment. To evaluate the system, we compared the assessment results based on the judgements of two orthodontists to those recommended by the decision support system. Results: In a BN decision support model, each variable is modelled as a node, and the causal relationship between two variables may be represented as a directed arc. For each node, a conditional probability table is supplied that represents the probabilities of each value of this node, given the conditions of its parents. There was a high degree of agreement between the two orthodontists (kappa value = 0.894) in their diagnoses and their judgements regarding the need for orthodontic treatment. Also, there was a high degree of agreement between the decision support system and orthodontists A (kappa value = 1.00) and B (kappa value = 0.894). Conclusions: The study was the first testing phase in which the results generated by the proposed system were compared with those suggested by expert orthodontists. The system delivered promising results; it showed a high degree of accuracy in classifying patients into groups needing and not needing orthodontic treatment.","author":[{"dropping-particle":"","family":"Thanathornwong","given":"Bhornsawan","non-dropping-particle":"","parse-names":false,"suffix":""}],"container-title":"Healthcare Informatics Research","id":"ITEM-1","issue":"1","issued":{"date-parts":[["2018"]]},"page":"22-28","title":"Bayesian-based decision support system for assessing the needs for orthodontic treatment","type":"article-journal","volume":"24"},"uris":["http://www.mendeley.com/documents/?uuid=3ad93f83-6953-4538-b44b-06004ff0e94f"]}],"mendeley":{"formattedCitation":"&lt;sup&gt;87&lt;/sup&gt;","plainTextFormattedCitation":"87","previouslyFormattedCitation":"&lt;sup&gt;86&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87</w:t>
            </w:r>
            <w:r w:rsidRPr="00A427B2">
              <w:rPr>
                <w:rFonts w:ascii="Segoe UI" w:eastAsia="Times New Roman" w:hAnsi="Segoe UI" w:cs="Segoe UI"/>
                <w:color w:val="000000"/>
                <w:sz w:val="16"/>
                <w:szCs w:val="16"/>
              </w:rPr>
              <w:fldChar w:fldCharType="end"/>
            </w:r>
          </w:p>
        </w:tc>
        <w:tc>
          <w:tcPr>
            <w:tcW w:w="2122" w:type="dxa"/>
            <w:vAlign w:val="center"/>
          </w:tcPr>
          <w:p w14:paraId="40E71227" w14:textId="77777777" w:rsidR="00A427B2" w:rsidRPr="00A427B2" w:rsidRDefault="00A427B2" w:rsidP="001B1FC9">
            <w:pPr>
              <w:rPr>
                <w:rFonts w:ascii="Segoe UI" w:eastAsia="Times New Roman" w:hAnsi="Segoe UI" w:cs="Segoe UI"/>
                <w:color w:val="000000"/>
                <w:sz w:val="16"/>
                <w:szCs w:val="16"/>
                <w:highlight w:val="yellow"/>
              </w:rPr>
            </w:pPr>
            <w:r w:rsidRPr="00A427B2">
              <w:rPr>
                <w:rFonts w:ascii="Segoe UI" w:hAnsi="Segoe UI" w:cs="Segoe UI"/>
                <w:color w:val="000000"/>
                <w:sz w:val="16"/>
                <w:szCs w:val="16"/>
              </w:rPr>
              <w:t>Health Informatics Research</w:t>
            </w:r>
          </w:p>
        </w:tc>
        <w:tc>
          <w:tcPr>
            <w:tcW w:w="850" w:type="dxa"/>
            <w:vAlign w:val="center"/>
          </w:tcPr>
          <w:p w14:paraId="7BB02B72"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2.939</w:t>
            </w:r>
          </w:p>
        </w:tc>
        <w:tc>
          <w:tcPr>
            <w:tcW w:w="1276" w:type="dxa"/>
            <w:vAlign w:val="center"/>
          </w:tcPr>
          <w:p w14:paraId="307FA6FB"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2018</w:t>
            </w:r>
          </w:p>
        </w:tc>
        <w:tc>
          <w:tcPr>
            <w:tcW w:w="1559" w:type="dxa"/>
            <w:noWrap/>
            <w:vAlign w:val="center"/>
            <w:hideMark/>
          </w:tcPr>
          <w:p w14:paraId="2C35BAAF"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Dentistry</w:t>
            </w:r>
          </w:p>
        </w:tc>
        <w:tc>
          <w:tcPr>
            <w:tcW w:w="1541" w:type="dxa"/>
            <w:noWrap/>
            <w:vAlign w:val="center"/>
            <w:hideMark/>
          </w:tcPr>
          <w:p w14:paraId="24479AB3"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Diagnosis</w:t>
            </w:r>
          </w:p>
        </w:tc>
        <w:tc>
          <w:tcPr>
            <w:tcW w:w="2481" w:type="dxa"/>
            <w:noWrap/>
            <w:vAlign w:val="center"/>
            <w:hideMark/>
          </w:tcPr>
          <w:p w14:paraId="6A0697A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19F588B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 xml:space="preserve">Need of orthodontic treatment in permanent dentition </w:t>
            </w:r>
          </w:p>
        </w:tc>
      </w:tr>
      <w:tr w:rsidR="00A427B2" w:rsidRPr="00A427B2" w14:paraId="7CA4D4AE" w14:textId="77777777" w:rsidTr="001B1FC9">
        <w:trPr>
          <w:trHeight w:val="510"/>
        </w:trPr>
        <w:tc>
          <w:tcPr>
            <w:tcW w:w="1701" w:type="dxa"/>
            <w:noWrap/>
            <w:vAlign w:val="center"/>
            <w:hideMark/>
          </w:tcPr>
          <w:p w14:paraId="30C7B279"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CQ Ngo</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{"citationItems":[{"id":"ITEM-1","itemData":{"DOI":"10.1109/EMBC.2018.8513069","ISBN":"9781538636466","ISSN":"1557170X","PMID":"30441206","abstract":"Nocturnal hypoglycemia is dangerous that threatens patients because of its unclear symptoms during sleep. This paper is a study of hypoglycemia from 8 patients with type 1 diabetes (T1D) at night. O1 and O2 EEG data of the occipital lobe associated with glycemic episodes were analyzed. Frequency features were computed from Power Spectral Density using Welch's method. Centroid alpha frequency reduced significantly (P &lt; 0.0001) while centroid theta increased considerably (P &lt; 0.01). Spectral entropy of the unified theta-alpha band rose significantly (P &lt; 0.005). These occipital features acted as the input of a Bayesian regularized neural network for detecting hypoglycemic episodes. The classification results were 73% and 60% of sensitivity and specificity, respectively.","author":[{"dropping-particle":"","family":"Ngo","given":"Cuong Q.","non-dropping-particle":"","parse-names":false,"suffix":""},{"dropping-particle":"","family":"Truong","given":"Bao C.Q.","non-dropping-particle":"","parse-names":false,"suffix":""},{"dropping-particle":"","family":"Jones","given":"Timothy W.","non-dropping-particle":"","parse-names":false,"suffix":""},{"dropping-particle":"","family":"Nguyen","given":"Hung T.","non-dropping-particle":"","parse-names":false,"suffix":""}],"container-title":"Proceedings of the Annual International Conference of the IEEE Engineering in Medicine and Biology Society, EMBS","id":"ITEM-1","issued":{"date-parts":[["2018"]]},"page":"3862-3865","title":"Occipital EEG Activity for the Detection of Nocturnal Hypoglycemia","type":"article-journal","volume":"2018-July"},"uris":["http://www.mendeley.com/documents/?uuid=59de7936-46f2-4fb6-b701-16cb801e941f"]}],"mendeley":{"formattedCitation":"&lt;sup&gt;88&lt;/sup&gt;","plainTextFormattedCitation":"88","previouslyFormattedCitation":"&lt;sup&gt;87&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88</w:t>
            </w:r>
            <w:r w:rsidRPr="00A427B2">
              <w:rPr>
                <w:rFonts w:ascii="Segoe UI" w:eastAsia="Times New Roman" w:hAnsi="Segoe UI" w:cs="Segoe UI"/>
                <w:color w:val="000000"/>
                <w:sz w:val="16"/>
                <w:szCs w:val="16"/>
              </w:rPr>
              <w:fldChar w:fldCharType="end"/>
            </w:r>
          </w:p>
        </w:tc>
        <w:tc>
          <w:tcPr>
            <w:tcW w:w="2122" w:type="dxa"/>
            <w:vAlign w:val="center"/>
          </w:tcPr>
          <w:p w14:paraId="78169083" w14:textId="77777777" w:rsidR="00A427B2" w:rsidRPr="00A427B2" w:rsidRDefault="00A427B2" w:rsidP="001B1FC9">
            <w:pPr>
              <w:rPr>
                <w:rFonts w:ascii="Segoe UI" w:eastAsia="Times New Roman" w:hAnsi="Segoe UI" w:cs="Segoe UI"/>
                <w:color w:val="000000"/>
                <w:sz w:val="16"/>
                <w:szCs w:val="16"/>
                <w:highlight w:val="yellow"/>
              </w:rPr>
            </w:pPr>
            <w:r w:rsidRPr="00A427B2">
              <w:rPr>
                <w:rFonts w:ascii="Segoe UI" w:hAnsi="Segoe UI" w:cs="Segoe UI"/>
                <w:color w:val="000000"/>
                <w:sz w:val="16"/>
                <w:szCs w:val="16"/>
              </w:rPr>
              <w:t>Annual International Conference of the IEEE Engineering in Medicine and Biology Society(</w:t>
            </w:r>
            <w:r w:rsidRPr="00A427B2">
              <w:rPr>
                <w:rFonts w:ascii="Segoe UI" w:hAnsi="Segoe UI" w:cs="Segoe UI"/>
                <w:color w:val="000000"/>
                <w:sz w:val="16"/>
                <w:szCs w:val="16"/>
                <w:vertAlign w:val="superscript"/>
              </w:rPr>
              <w:t>b</w:t>
            </w:r>
            <w:r w:rsidRPr="00A427B2">
              <w:rPr>
                <w:rFonts w:ascii="Segoe UI" w:hAnsi="Segoe UI" w:cs="Segoe UI"/>
                <w:color w:val="000000"/>
                <w:sz w:val="16"/>
                <w:szCs w:val="16"/>
              </w:rPr>
              <w:t>)</w:t>
            </w:r>
          </w:p>
        </w:tc>
        <w:tc>
          <w:tcPr>
            <w:tcW w:w="850" w:type="dxa"/>
            <w:vAlign w:val="center"/>
          </w:tcPr>
          <w:p w14:paraId="14B2F983"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1.01</w:t>
            </w:r>
          </w:p>
        </w:tc>
        <w:tc>
          <w:tcPr>
            <w:tcW w:w="1276" w:type="dxa"/>
            <w:vAlign w:val="center"/>
          </w:tcPr>
          <w:p w14:paraId="311ADD40"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2018</w:t>
            </w:r>
          </w:p>
        </w:tc>
        <w:tc>
          <w:tcPr>
            <w:tcW w:w="1559" w:type="dxa"/>
            <w:noWrap/>
            <w:vAlign w:val="center"/>
            <w:hideMark/>
          </w:tcPr>
          <w:p w14:paraId="6EA69EB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Endocrinology</w:t>
            </w:r>
          </w:p>
        </w:tc>
        <w:tc>
          <w:tcPr>
            <w:tcW w:w="1541" w:type="dxa"/>
            <w:noWrap/>
            <w:vAlign w:val="center"/>
            <w:hideMark/>
          </w:tcPr>
          <w:p w14:paraId="0924A53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Diagnosis</w:t>
            </w:r>
          </w:p>
        </w:tc>
        <w:tc>
          <w:tcPr>
            <w:tcW w:w="2481" w:type="dxa"/>
            <w:noWrap/>
            <w:vAlign w:val="center"/>
            <w:hideMark/>
          </w:tcPr>
          <w:p w14:paraId="5DE3A9EA"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01FA5BEA"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Hypoglycemia episode</w:t>
            </w:r>
          </w:p>
        </w:tc>
      </w:tr>
      <w:tr w:rsidR="00A427B2" w:rsidRPr="00A427B2" w14:paraId="44180C25" w14:textId="77777777" w:rsidTr="001B1FC9">
        <w:trPr>
          <w:trHeight w:val="510"/>
        </w:trPr>
        <w:tc>
          <w:tcPr>
            <w:tcW w:w="1701" w:type="dxa"/>
            <w:noWrap/>
            <w:vAlign w:val="center"/>
            <w:hideMark/>
          </w:tcPr>
          <w:p w14:paraId="5A800BA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SH Hyun</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{"citationItems":[{"id":"ITEM-1","itemData":{"DOI":"10.1097/RLU.0000000000002810","ISSN":"0363-9762 (Linking)","abstract":"PURPOSE: We sought to distinguish lung adenocarcinoma (ADC) from squamous cell carcinoma using a machine-learning algorithm with PET-based radiomic features. METHODS: A total of 396 patients with 210 ADCs and 186 squamous cell carcinomas who underwent FDG PET/CT prior to treatment were retrospectively analyzed. Four clinical features (age, sex, tumor size, and smoking status) and 40 radiomic features were investigated in terms of lung ADC subtype prediction. Radiomic features were extracted from the PET images of segmented tumors using the LIFEx package. The clinical and radiomic features were ranked, and a subset of useful features was selected based on Gini coefficient scores in terms of associations with histological class. The areas under the receiver operating characteristic curves (AUCs) of classifications afforded by several machine-learning algorithms (random forest, neural network, naive Bayes, logistic regression, and a support vector machine) were compared and validated via random sampling. RESULTS: We developed and validated a PET-based radiomic model predicting the histological subtypes of lung cancer. Sex, SUVmax, gray-level zone length nonuniformity, gray-level nonuniformity for zone, and total lesion glycolysis were the 5 best predictors of lung ADC. The logistic regression model outperformed all other classifiers (AUC = 0.859, accuracy = 0.769, F1 score = 0.774, precision = 0.804, recall = 0.746) followed by the neural network model (AUC = 0.854, accuracy = 0.772, F1 score = 0.777, precision = 0.807, recall = 0.750). CONCLUSIONS: A machine-learning approach successfully identified the histological subtypes of lung cancer. A PET-based radiomic features may help clinicians improve the histopathologic diagnosis in a noninvasive manner.","author":[{"dropping-particle":"","family":"SH","given":"Hyun","non-dropping-particle":"","parse-names":false,"suffix":""},{"dropping-particle":"","family":"MS","given":"Ahn","non-dropping-particle":"","parse-names":false,"suffix":""},{"dropping-particle":"","family":"YW","given":"Koh","non-dropping-particle":"","parse-names":false,"suffix":""},{"dropping-particle":"","family":"SJ","given":"Lee","non-dropping-particle":"","parse-names":false,"suffix":""}],"container-title":"Clinical nuclear medicine","id":"ITEM-1","issue":"12","issued":{"date-parts":[["2019","12"]]},"page":"956-960","publisher-place":"United States","title":"A Machine-Learning Approach Using PET-Based Radiomics to Predict the Histological Subtypes of Lung Cancer.","type":"article-journal","volume":"44"},"uris":["http://www.mendeley.com/documents/?uuid=2c4fa510-d8f3-466a-8414-cb71b805bd19"]}],"mendeley":{"formattedCitation":"&lt;sup&gt;89&lt;/sup&gt;","plainTextFormattedCitation":"89","previouslyFormattedCitation":"&lt;sup&gt;88&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89</w:t>
            </w:r>
            <w:r w:rsidRPr="00A427B2">
              <w:rPr>
                <w:rFonts w:ascii="Segoe UI" w:eastAsia="Times New Roman" w:hAnsi="Segoe UI" w:cs="Segoe UI"/>
                <w:color w:val="000000"/>
                <w:sz w:val="16"/>
                <w:szCs w:val="16"/>
              </w:rPr>
              <w:fldChar w:fldCharType="end"/>
            </w:r>
          </w:p>
        </w:tc>
        <w:tc>
          <w:tcPr>
            <w:tcW w:w="2122" w:type="dxa"/>
            <w:vAlign w:val="center"/>
          </w:tcPr>
          <w:p w14:paraId="7D4BDA8F"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Clinical Nuclear Medicine</w:t>
            </w:r>
          </w:p>
        </w:tc>
        <w:tc>
          <w:tcPr>
            <w:tcW w:w="850" w:type="dxa"/>
            <w:vAlign w:val="center"/>
          </w:tcPr>
          <w:p w14:paraId="620C986F"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6.622</w:t>
            </w:r>
          </w:p>
        </w:tc>
        <w:tc>
          <w:tcPr>
            <w:tcW w:w="1276" w:type="dxa"/>
            <w:vAlign w:val="center"/>
          </w:tcPr>
          <w:p w14:paraId="1840B72A"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05BF7BC3"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Oncology</w:t>
            </w:r>
          </w:p>
        </w:tc>
        <w:tc>
          <w:tcPr>
            <w:tcW w:w="1541" w:type="dxa"/>
            <w:noWrap/>
            <w:vAlign w:val="center"/>
            <w:hideMark/>
          </w:tcPr>
          <w:p w14:paraId="1DFB8F7B"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Diagnosis</w:t>
            </w:r>
          </w:p>
        </w:tc>
        <w:tc>
          <w:tcPr>
            <w:tcW w:w="2481" w:type="dxa"/>
            <w:noWrap/>
            <w:vAlign w:val="center"/>
            <w:hideMark/>
          </w:tcPr>
          <w:p w14:paraId="56BC1888"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0905F1C0"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adenocarcinoma vs squamous cell carcinoma</w:t>
            </w:r>
          </w:p>
        </w:tc>
      </w:tr>
      <w:tr w:rsidR="00A427B2" w:rsidRPr="00A427B2" w14:paraId="1C5DE88E" w14:textId="77777777" w:rsidTr="001B1FC9">
        <w:trPr>
          <w:trHeight w:val="510"/>
        </w:trPr>
        <w:tc>
          <w:tcPr>
            <w:tcW w:w="1701" w:type="dxa"/>
            <w:noWrap/>
            <w:vAlign w:val="center"/>
            <w:hideMark/>
          </w:tcPr>
          <w:p w14:paraId="6996C68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A Rozet</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{"citationItems":[{"id":"ITEM-1","itemData":{"DOI":"10.2196/12910","ISSN":"14388871","PMID":"31025942","abstract":"Background: Investigations into person-specific predictors of stress have typically taken either a population-level nomothetic approach or an individualized ideographic approach. Nomothetic approaches can quickly identify predictors but can be hindered by the heterogeneity of these predictors across individuals and time. Ideographic approaches may result in more predictive models at the individual level but require a longer period of data collection to identify robust predictors. Objective: Our objectives were to compare predictors of stress identified through nomothetic and ideographic models and to assess whether sequentially combining nomothetic and ideographic models could yield more accurate and actionable predictions of stress than relying on either model. At the same time, we sought to maintain the interpretability necessary to retrieve individual predictors of stress despite using nomothetic models. Methods: Data collected in a 1-year observational study of 79 participants performing low levels of exercise were used. Physical activity was continuously and objectively monitored by actigraphy. Perceived stress was recorded by participants via daily ecological momentary assessments on a mobile app. Environmental variables including daylight time, temperature, and precipitation were retrieved from the public archives. Using these environmental, actigraphy, and mobile assessment data, we built machine learning models to predict individual stress ratings using linear, decision tree, and neural network techniques employing nomothetic and ideographic approaches. The accuracy of the approaches for predicting individual stress ratings was compared based on classification errors. Results: Across the group of patients, an individual's recent history of stress ratings was most heavily weighted in predicting a future stress rating in the nomothetic recurrent neural network model, whereas environmental factors such as temperature and daylight, as well as duration and frequency of bouts of exercise, were more heavily weighted in the ideographic models. The nomothetic recurrent neural network model was the highest performing nomothetic model and yielded 72% accuracy for an 80%/20% train/test split. Using the same 80/20 split, the ideographic models yielded 75% accuracy. However, restricting ideographic models to participants with more than 50 valid days in the training set, with the same 80/20 split, yielded 85% accuracy. Conclusions: We conclude that for some a…","author":[{"dropping-particle":"","family":"Rozet","given":"Alan","non-dropping-particle":"","parse-names":false,"suffix":""},{"dropping-particle":"","family":"Kronish","given":"Ian M.","non-dropping-particle":"","parse-names":false,"suffix":""},{"dropping-particle":"","family":"Schwartz","given":"Joseph E.","non-dropping-particle":"","parse-names":false,"suffix":""},{"dropping-particle":"","family":"Davidson","given":"Karina W.","non-dropping-particle":"","parse-names":false,"suffix":""}],"container-title":"Journal of Medical Internet Research","id":"ITEM-1","issue":"4","issued":{"date-parts":[["2019"]]},"page":"1-16","title":"Using machine learning to derive just-in-time and personalized predictors of stress: Observational study bridging the gap between nomothetic and ideographic approaches","type":"article-journal","volume":"21"},"uris":["http://www.mendeley.com/documents/?uuid=5be617ca-968d-47e0-8a3b-817be1c0118d"]}],"mendeley":{"formattedCitation":"&lt;sup&gt;90&lt;/sup&gt;","plainTextFormattedCitation":"90","previouslyFormattedCitation":"&lt;sup&gt;89&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90</w:t>
            </w:r>
            <w:r w:rsidRPr="00A427B2">
              <w:rPr>
                <w:rFonts w:ascii="Segoe UI" w:eastAsia="Times New Roman" w:hAnsi="Segoe UI" w:cs="Segoe UI"/>
                <w:color w:val="000000"/>
                <w:sz w:val="16"/>
                <w:szCs w:val="16"/>
              </w:rPr>
              <w:fldChar w:fldCharType="end"/>
            </w:r>
          </w:p>
        </w:tc>
        <w:tc>
          <w:tcPr>
            <w:tcW w:w="2122" w:type="dxa"/>
            <w:vAlign w:val="center"/>
          </w:tcPr>
          <w:p w14:paraId="584AEFC6"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Journal of Medical Internet Research</w:t>
            </w:r>
          </w:p>
        </w:tc>
        <w:tc>
          <w:tcPr>
            <w:tcW w:w="850" w:type="dxa"/>
            <w:vAlign w:val="center"/>
          </w:tcPr>
          <w:p w14:paraId="4DDD6AC0"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5.034</w:t>
            </w:r>
          </w:p>
        </w:tc>
        <w:tc>
          <w:tcPr>
            <w:tcW w:w="1276" w:type="dxa"/>
            <w:vAlign w:val="center"/>
          </w:tcPr>
          <w:p w14:paraId="42553033"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5926F64F"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Psychiatry</w:t>
            </w:r>
          </w:p>
        </w:tc>
        <w:tc>
          <w:tcPr>
            <w:tcW w:w="1541" w:type="dxa"/>
            <w:noWrap/>
            <w:vAlign w:val="center"/>
            <w:hideMark/>
          </w:tcPr>
          <w:p w14:paraId="46C4101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6AAAF31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3B3C88EE"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Self-reported stress over 100 days</w:t>
            </w:r>
          </w:p>
        </w:tc>
      </w:tr>
      <w:tr w:rsidR="00A427B2" w:rsidRPr="00A427B2" w14:paraId="580A55DF" w14:textId="77777777" w:rsidTr="001B1FC9">
        <w:trPr>
          <w:trHeight w:val="510"/>
        </w:trPr>
        <w:tc>
          <w:tcPr>
            <w:tcW w:w="1701" w:type="dxa"/>
            <w:noWrap/>
            <w:vAlign w:val="center"/>
            <w:hideMark/>
          </w:tcPr>
          <w:p w14:paraId="59AF5E1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lastRenderedPageBreak/>
              <w:t>MS Mellem</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{"citationItems":[{"id":"ITEM-1","itemData":{"DOI":"10.1016/j.bpsc.2019.07.007","ISSN":"24519030","PMID":"31543457","abstract":"Background: Insights from neuroimaging-based biomarker research have not yet translated into clinical practice. This translational gap may stem from a focus on diagnostic classification, rather than on prediction of transdiagnostic psychiatric symptom severity. Currently, no transdiagnostic, multimodal predictive models of symptom severity that include neurobiological characteristics have emerged. Methods: We built predictive models of 3 common symptoms in psychiatric disorders (dysregulated mood, anhedonia, and anxiety) from the Consortium for Neuropsychiatric Phenomics dataset (N = 272), which includes clinical scale assessments, resting-state functional magnetic resonance imaging (MRI), and structural MRI measures from patients with schizophrenia, bipolar disorder, and attention-deficit/hyperactivity disorder and healthy control subjects. We used an efficient, data-driven feature selection approach to identify the most predictive features from these high-dimensional data. Results: This approach optimized modeling and explained 65% to 90% of variance across the 3 symptom domains, compared to 22% without using the feature selection approach. The top performing multimodal models retained a high level of interpretability that enabled several clinical and scientific insights. First, to our surprise, structural features did not substantially contribute to the predictive strength of these models. Second, the Temperament and Character Inventory scale emerged as a highly important predictor of symptom variation across diagnoses. Third, predictive resting-state functional MRI connectivity features were widely distributed across many intrinsic resting-state networks. Conclusions: Combining resting-state functional MRI with select questions from clinical scales enabled high prediction of symptom severity across diagnostically distinct patient groups and revealed that connectivity measures beyond a few intrinsic resting-state networks may carry relevant information for symptom severity.","author":[{"dropping-particle":"","family":"Mellem","given":"Monika S.","non-dropping-particle":"","parse-names":false,"suffix":""},{"dropping-particle":"","family":"Liu","given":"Yuelu","non-dropping-particle":"","parse-names":false,"suffix":""},{"dropping-particle":"","family":"Gonzalez","given":"Humberto","non-dropping-particle":"","parse-names":false,"suffix":""},{"dropping-particle":"","family":"Kollada","given":"Matthew","non-dropping-particle":"","parse-names":false,"suffix":""},{"dropping-particle":"","family":"Martin","given":"William J.","non-dropping-particle":"","parse-names":false,"suffix":""},{"dropping-particle":"","family":"Ahammad","given":"Parvez","non-dropping-particle":"","parse-names":false,"suffix":""}],"container-title":"Biological Psychiatry: Cognitive Neuroscience and Neuroimaging","id":"ITEM-1","issue":"1","issued":{"date-parts":[["2020"]]},"page":"56-67","publisher":"Elsevier Inc","title":"Machine Learning Models Identify Multimodal Measurements Highly Predictive of Transdiagnostic Symptom Severity for Mood, Anhedonia, and Anxiety","type":"article-journal","volume":"5"},"uris":["http://www.mendeley.com/documents/?uuid=692afb33-d000-4af2-a692-55148cd5cb3b"]}],"mendeley":{"formattedCitation":"&lt;sup&gt;91&lt;/sup&gt;","plainTextFormattedCitation":"91","previouslyFormattedCitation":"&lt;sup&gt;90&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91</w:t>
            </w:r>
            <w:r w:rsidRPr="00A427B2">
              <w:rPr>
                <w:rFonts w:ascii="Segoe UI" w:eastAsia="Times New Roman" w:hAnsi="Segoe UI" w:cs="Segoe UI"/>
                <w:color w:val="000000"/>
                <w:sz w:val="16"/>
                <w:szCs w:val="16"/>
              </w:rPr>
              <w:fldChar w:fldCharType="end"/>
            </w:r>
          </w:p>
        </w:tc>
        <w:tc>
          <w:tcPr>
            <w:tcW w:w="2122" w:type="dxa"/>
            <w:vAlign w:val="center"/>
          </w:tcPr>
          <w:p w14:paraId="37BA3FCC"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Biological Psychiatry: CNNI</w:t>
            </w:r>
          </w:p>
        </w:tc>
        <w:tc>
          <w:tcPr>
            <w:tcW w:w="850" w:type="dxa"/>
            <w:vAlign w:val="center"/>
          </w:tcPr>
          <w:p w14:paraId="7F2E56F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5.335</w:t>
            </w:r>
          </w:p>
        </w:tc>
        <w:tc>
          <w:tcPr>
            <w:tcW w:w="1276" w:type="dxa"/>
            <w:vAlign w:val="center"/>
          </w:tcPr>
          <w:p w14:paraId="2FCB241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1F35330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Psychiatry</w:t>
            </w:r>
          </w:p>
        </w:tc>
        <w:tc>
          <w:tcPr>
            <w:tcW w:w="1541" w:type="dxa"/>
            <w:noWrap/>
            <w:vAlign w:val="center"/>
            <w:hideMark/>
          </w:tcPr>
          <w:p w14:paraId="56F403E9"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Diagnosis</w:t>
            </w:r>
          </w:p>
        </w:tc>
        <w:tc>
          <w:tcPr>
            <w:tcW w:w="2481" w:type="dxa"/>
            <w:noWrap/>
            <w:vAlign w:val="center"/>
            <w:hideMark/>
          </w:tcPr>
          <w:p w14:paraId="6A46F67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3F69C729"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 xml:space="preserve">Transdiagnostic Symptom Severity </w:t>
            </w:r>
          </w:p>
        </w:tc>
      </w:tr>
      <w:tr w:rsidR="00A427B2" w:rsidRPr="00A427B2" w14:paraId="4C175A7D" w14:textId="77777777" w:rsidTr="001B1FC9">
        <w:trPr>
          <w:trHeight w:val="510"/>
        </w:trPr>
        <w:tc>
          <w:tcPr>
            <w:tcW w:w="1701" w:type="dxa"/>
            <w:noWrap/>
            <w:vAlign w:val="center"/>
            <w:hideMark/>
          </w:tcPr>
          <w:p w14:paraId="1F8D2E0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AV Karhade</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{"citationItems":[{"id":"ITEM-1","itemData":{"DOI":"10.1016/j.spinee.2019.06.002","ISSN":"18781632","PMID":"31185292","abstract":"BACKGROUND CONTEXT: Spine surgery has been identified as a risk factor for prolonged postoperative opioid use. Preoperative prediction of opioid use could improve risk stratification, shared decision-making, and patient counseling before surgery. PURPOSE: The primary purpose of this study was to develop algorithms for prediction of prolonged opioid prescription after surgery for lumbar disc herniation. STUDY DESIGN/SETTING: Retrospective, case-control study at five medical centers. PATIENT SAMPLE: Chart review was conducted for patients undergoing surgery for lumbar disc herniation between January 1, 2000 and March 1, 2018. OUTCOME MEASURES: The primary outcome of interest was sustained opioid prescription after surgery to at least 90 to 180 days postoperatively. METHODS: Five models (elastic-net penalized logistic regression, random forest, stochastic gradient boosting, neural network, and support vector machine) were developed to predict prolonged opioid prescription. Explanations of predictions were provided globally (averaged across all patients) and locally (for individual patients). RESULTS: Overall, 5,413 patients were identified, with sustained postoperative opioid prescription of 416 (7.7%) at 90 to 180 days after surgery. The elastic-net penalized logistic regression model had the best discrimination (c-statistic 0.81) and good calibration and overall performance; the three most important predictors were: instrumentation, duration of preoperative opioid prescription, and comorbidity of depression. The final models were incorporated into an open access web application able to provide predictions as well as patient-specific explanations of the results generated by the algorithms. The application can be found here: https://sorg-apps.shinyapps.io/lumbardiscopioid/ CONCLUSION: Preoperative prediction of prolonged postoperative opioid prescription can help identify candidates for increased surveillance after surgery. Patient-centered explanations of predictions can enhance both shared decision-making and quality of care.","author":[{"dropping-particle":"V.","family":"Karhade","given":"Aditya","non-dropping-particle":"","parse-names":false,"suffix":""},{"dropping-particle":"","family":"Ogink","given":"Paul T.","non-dropping-particle":"","parse-names":false,"suffix":""},{"dropping-particle":"","family":"Thio","given":"Quirina C.B.S.","non-dropping-particle":"","parse-names":false,"suffix":""},{"dropping-particle":"","family":"Cha","given":"Thomas D.","non-dropping-particle":"","parse-names":false,"suffix":""},{"dropping-particle":"","family":"Gormley","given":"William B.","non-dropping-particle":"","parse-names":false,"suffix":""},{"dropping-particle":"","family":"Hershman","given":"Stuart H.","non-dropping-particle":"","parse-names":false,"suffix":""},{"dropping-particle":"","family":"Smith","given":"Timothy R.","non-dropping-particle":"","parse-names":false,"suffix":""},{"dropping-particle":"","family":"Mao","given":"Jianren","non-dropping-particle":"","parse-names":false,"suffix":""},{"dropping-particle":"","family":"Schoenfeld","given":"Andrew J.","non-dropping-particle":"","parse-names":false,"suffix":""},{"dropping-particle":"","family":"Bono","given":"Christopher M.","non-dropping-particle":"","parse-names":false,"suffix":""},{"dropping-particle":"","family":"Schwab","given":"Joseph H.","non-dropping-particle":"","parse-names":false,"suffix":""}],"container-title":"Spine Journal","id":"ITEM-1","issue":"11","issued":{"date-parts":[["2019"]]},"page":"1764-1771","publisher":"Elsevier Inc.","title":"Development of machine learning algorithms for prediction of prolonged opioid prescription after surgery for lumbar disc herniation","type":"article-journal","volume":"19"},"uris":["http://www.mendeley.com/documents/?uuid=40280cf8-3361-4ba3-88db-96f6902122cf"]}],"mendeley":{"formattedCitation":"&lt;sup&gt;92&lt;/sup&gt;","plainTextFormattedCitation":"92","previouslyFormattedCitation":"&lt;sup&gt;91&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92</w:t>
            </w:r>
            <w:r w:rsidRPr="00A427B2">
              <w:rPr>
                <w:rFonts w:ascii="Segoe UI" w:eastAsia="Times New Roman" w:hAnsi="Segoe UI" w:cs="Segoe UI"/>
                <w:color w:val="000000"/>
                <w:sz w:val="16"/>
                <w:szCs w:val="16"/>
              </w:rPr>
              <w:fldChar w:fldCharType="end"/>
            </w:r>
          </w:p>
        </w:tc>
        <w:tc>
          <w:tcPr>
            <w:tcW w:w="2122" w:type="dxa"/>
            <w:vAlign w:val="center"/>
          </w:tcPr>
          <w:p w14:paraId="062B3FC6"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The Spine Journal</w:t>
            </w:r>
          </w:p>
        </w:tc>
        <w:tc>
          <w:tcPr>
            <w:tcW w:w="850" w:type="dxa"/>
            <w:vAlign w:val="center"/>
          </w:tcPr>
          <w:p w14:paraId="443A4D1F"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3.191</w:t>
            </w:r>
          </w:p>
        </w:tc>
        <w:tc>
          <w:tcPr>
            <w:tcW w:w="1276" w:type="dxa"/>
            <w:vAlign w:val="center"/>
          </w:tcPr>
          <w:p w14:paraId="0BAD6EF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17869EE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Surgery</w:t>
            </w:r>
          </w:p>
        </w:tc>
        <w:tc>
          <w:tcPr>
            <w:tcW w:w="1541" w:type="dxa"/>
            <w:noWrap/>
            <w:vAlign w:val="center"/>
            <w:hideMark/>
          </w:tcPr>
          <w:p w14:paraId="228A94A1"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3974AB5F"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4BDF2EE8"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Prolonged opioid prescription after surgery for lumbar disc herniation to at least 90 to 180 days postoperatively</w:t>
            </w:r>
          </w:p>
        </w:tc>
      </w:tr>
      <w:tr w:rsidR="00A427B2" w:rsidRPr="00A427B2" w14:paraId="3304B439" w14:textId="77777777" w:rsidTr="001B1FC9">
        <w:trPr>
          <w:trHeight w:val="510"/>
        </w:trPr>
        <w:tc>
          <w:tcPr>
            <w:tcW w:w="1701" w:type="dxa"/>
            <w:noWrap/>
            <w:vAlign w:val="center"/>
            <w:hideMark/>
          </w:tcPr>
          <w:p w14:paraId="36F74FF1"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F Zhang</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{"citationItems":[{"id":"ITEM-1","itemData":{"DOI":"10.1016/j.neuroscience.2019.05.014","ISSN":"18737544","PMID":"31102761","abstract":"Computer-aided diagnosis has become a widely-used auxiliary tool for the diagnosis of Alzheimer's disease (AD). In this study, we developed an extreme learning machine (ELM) model to discriminate between patients with AD and normal controls (NCs) using voxel-based morphometry (VBM) obtained from magnetic resonance imaging. Support vector machine (SVM), Gaussian process regression (GPR), and partial least squares (PLS) regression were compared with the ELM model. The calculated characteristics, i.e., texture features, VBM parameters, and clinical information, were adopted as the classification features. A 10-fold cross validation was used to evaluate the performance of ELM, SVM, GPR, and PLS models. We applied the proposed methods to data from 58 patients with AD and 94 NCs, and achieved a classification accuracy of up to 0.96 with all classification features of the ELM model, while the results of the other three models were 0.82 (PLS), 0.79 (GPR), and 0.75 (SVM). Furthermore, the effect of VBM parameter modeling is better than texture parameter. Thus, our method was optimal in distinguishing patients with AD from NCs, and may therefore be useful for the diagnosis of AD.","author":[{"dropping-particle":"","family":"Zhang","given":"Feng","non-dropping-particle":"","parse-names":false,"suffix":""},{"dropping-particle":"","family":"Tian","given":"Sijia","non-dropping-particle":"","parse-names":false,"suffix":""},{"dropping-particle":"","family":"Chen","given":"Sipeng","non-dropping-particle":"","parse-names":false,"suffix":""},{"dropping-particle":"","family":"Ma","given":"Yuan","non-dropping-particle":"","parse-names":false,"suffix":""},{"dropping-particle":"","family":"Li","given":"Xia","non-dropping-particle":"","parse-names":false,"suffix":""},{"dropping-particle":"","family":"Guo","given":"Xiuhua","non-dropping-particle":"","parse-names":false,"suffix":""}],"container-title":"Neuroscience","id":"ITEM-1","issued":{"date-parts":[["2019"]]},"page":"273-279","publisher":"Elsevier Ltd","title":"Voxel-Based Morphometry: Improving the Diagnosis of Alzheimer's Disease Based on an Extreme Learning Machine Method from the ADNI cohort","type":"article-journal","volume":"414"},"uris":["http://www.mendeley.com/documents/?uuid=85cec1ce-96d3-4b02-8563-3c5174a519c7"]}],"mendeley":{"formattedCitation":"&lt;sup&gt;93&lt;/sup&gt;","plainTextFormattedCitation":"93","previouslyFormattedCitation":"&lt;sup&gt;92&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93</w:t>
            </w:r>
            <w:r w:rsidRPr="00A427B2">
              <w:rPr>
                <w:rFonts w:ascii="Segoe UI" w:eastAsia="Times New Roman" w:hAnsi="Segoe UI" w:cs="Segoe UI"/>
                <w:color w:val="000000"/>
                <w:sz w:val="16"/>
                <w:szCs w:val="16"/>
              </w:rPr>
              <w:fldChar w:fldCharType="end"/>
            </w:r>
          </w:p>
        </w:tc>
        <w:tc>
          <w:tcPr>
            <w:tcW w:w="2122" w:type="dxa"/>
            <w:vAlign w:val="center"/>
          </w:tcPr>
          <w:p w14:paraId="48C2A4EB"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Neuroscience</w:t>
            </w:r>
          </w:p>
        </w:tc>
        <w:tc>
          <w:tcPr>
            <w:tcW w:w="850" w:type="dxa"/>
            <w:vAlign w:val="center"/>
          </w:tcPr>
          <w:p w14:paraId="6E3DB970"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5.679</w:t>
            </w:r>
          </w:p>
        </w:tc>
        <w:tc>
          <w:tcPr>
            <w:tcW w:w="1276" w:type="dxa"/>
            <w:vAlign w:val="center"/>
          </w:tcPr>
          <w:p w14:paraId="50FFF75F"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06C1D0C1"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Neurology</w:t>
            </w:r>
          </w:p>
        </w:tc>
        <w:tc>
          <w:tcPr>
            <w:tcW w:w="1541" w:type="dxa"/>
            <w:noWrap/>
            <w:vAlign w:val="center"/>
            <w:hideMark/>
          </w:tcPr>
          <w:p w14:paraId="54723C6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Diagnosis</w:t>
            </w:r>
          </w:p>
        </w:tc>
        <w:tc>
          <w:tcPr>
            <w:tcW w:w="2481" w:type="dxa"/>
            <w:noWrap/>
            <w:vAlign w:val="center"/>
            <w:hideMark/>
          </w:tcPr>
          <w:p w14:paraId="3D840F6A"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0E5020B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Alzheimer's disease</w:t>
            </w:r>
          </w:p>
        </w:tc>
      </w:tr>
      <w:tr w:rsidR="00A427B2" w:rsidRPr="00A427B2" w14:paraId="1B61104C" w14:textId="77777777" w:rsidTr="001B1FC9">
        <w:trPr>
          <w:trHeight w:val="510"/>
        </w:trPr>
        <w:tc>
          <w:tcPr>
            <w:tcW w:w="1701" w:type="dxa"/>
            <w:noWrap/>
            <w:vAlign w:val="center"/>
            <w:hideMark/>
          </w:tcPr>
          <w:p w14:paraId="5682C613"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 Leightley</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{"citationItems":[{"id":"ITEM-1","itemData":{"DOI":"10.1080/09638237.2018.1521946","ISSN":"13600567","PMID":"30445899","abstract":"Background: Early identification of probable post-traumatic stress disorder (PTSD) can lead to early intervention and treatment. Aims: This study aimed to evaluate supervised machine learning (ML) classifiers for the identification of probable PTSD in those who are serving, or have recently served in the United Kingdom (UK) Armed Forces. Methods: Supervised ML classification techniques were applied to a military cohort of 13,690 serving and ex-serving UK Armed Forces personnel to identify probable PTSD based on self-reported service exposures and a range of validated self-report measures. Data were collected between 2004 and 2009. Results: The predictive performance of supervised ML classifiers to detect cases of probable PTSD were encouraging when compared to a validated measure, demonstrating a capability of supervised ML to detect the cases of probable PTSD. It was possible to identify which variables contributed to the performance, including alcohol misuse, gender and deployment status. A satisfactory sensitivity was obtained across a range of supervised ML classifiers, but sensitivity was low, indicating a potential for false negative diagnoses. Conclusions: Detection of probable PTSD based on self-reported measurement data is feasible, may greatly reduce the burden on public health and improve operational efficiencies by enabling early intervention, before manifestation of symptoms.","author":[{"dropping-particle":"","family":"Leightley","given":"Daniel","non-dropping-particle":"","parse-names":false,"suffix":""},{"dropping-particle":"","family":"Williamson","given":"Victoria","non-dropping-particle":"","parse-names":false,"suffix":""},{"dropping-particle":"","family":"Darby","given":"John","non-dropping-particle":"","parse-names":false,"suffix":""},{"dropping-particle":"","family":"Fear","given":"Nicola T.","non-dropping-particle":"","parse-names":false,"suffix":""}],"container-title":"Journal of Mental Health","id":"ITEM-1","issue":"1","issued":{"date-parts":[["2019"]]},"page":"34-41","publisher":"Routledge","title":"Identifying probable post-traumatic stress disorder: applying supervised machine learning to data from a UK military cohort","type":"article-journal","volume":"28"},"uris":["http://www.mendeley.com/documents/?uuid=4aa34d59-0a58-4a4f-acbf-77c2478bcd38"]}],"mendeley":{"formattedCitation":"&lt;sup&gt;94&lt;/sup&gt;","plainTextFormattedCitation":"94","previouslyFormattedCitation":"&lt;sup&gt;93&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94</w:t>
            </w:r>
            <w:r w:rsidRPr="00A427B2">
              <w:rPr>
                <w:rFonts w:ascii="Segoe UI" w:eastAsia="Times New Roman" w:hAnsi="Segoe UI" w:cs="Segoe UI"/>
                <w:color w:val="000000"/>
                <w:sz w:val="16"/>
                <w:szCs w:val="16"/>
              </w:rPr>
              <w:fldChar w:fldCharType="end"/>
            </w:r>
            <w:r w:rsidRPr="00A427B2">
              <w:rPr>
                <w:rFonts w:ascii="Segoe UI" w:eastAsia="Times New Roman" w:hAnsi="Segoe UI" w:cs="Segoe UI"/>
                <w:color w:val="000000"/>
                <w:sz w:val="16"/>
                <w:szCs w:val="16"/>
              </w:rPr>
              <w:t xml:space="preserve"> </w:t>
            </w:r>
          </w:p>
        </w:tc>
        <w:tc>
          <w:tcPr>
            <w:tcW w:w="2122" w:type="dxa"/>
            <w:vAlign w:val="center"/>
          </w:tcPr>
          <w:p w14:paraId="71F598CC"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Journal of Mental Health</w:t>
            </w:r>
          </w:p>
        </w:tc>
        <w:tc>
          <w:tcPr>
            <w:tcW w:w="850" w:type="dxa"/>
            <w:vAlign w:val="center"/>
          </w:tcPr>
          <w:p w14:paraId="75F3B86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2.604</w:t>
            </w:r>
          </w:p>
        </w:tc>
        <w:tc>
          <w:tcPr>
            <w:tcW w:w="1276" w:type="dxa"/>
            <w:vAlign w:val="center"/>
          </w:tcPr>
          <w:p w14:paraId="21F62FA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2018</w:t>
            </w:r>
          </w:p>
        </w:tc>
        <w:tc>
          <w:tcPr>
            <w:tcW w:w="1559" w:type="dxa"/>
            <w:noWrap/>
            <w:vAlign w:val="center"/>
            <w:hideMark/>
          </w:tcPr>
          <w:p w14:paraId="7C8E99E4"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Psychiatry</w:t>
            </w:r>
          </w:p>
        </w:tc>
        <w:tc>
          <w:tcPr>
            <w:tcW w:w="1541" w:type="dxa"/>
            <w:noWrap/>
            <w:vAlign w:val="center"/>
            <w:hideMark/>
          </w:tcPr>
          <w:p w14:paraId="05B2AE93"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Diagnosis</w:t>
            </w:r>
          </w:p>
        </w:tc>
        <w:tc>
          <w:tcPr>
            <w:tcW w:w="2481" w:type="dxa"/>
            <w:noWrap/>
            <w:vAlign w:val="center"/>
            <w:hideMark/>
          </w:tcPr>
          <w:p w14:paraId="32E002D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56DA9A5F"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Post-traumatic stress disorder</w:t>
            </w:r>
          </w:p>
        </w:tc>
      </w:tr>
      <w:tr w:rsidR="00A427B2" w:rsidRPr="00A427B2" w14:paraId="2A369360" w14:textId="77777777" w:rsidTr="001B1FC9">
        <w:trPr>
          <w:trHeight w:val="510"/>
        </w:trPr>
        <w:tc>
          <w:tcPr>
            <w:tcW w:w="1701" w:type="dxa"/>
            <w:noWrap/>
            <w:vAlign w:val="center"/>
            <w:hideMark/>
          </w:tcPr>
          <w:p w14:paraId="75BAE8A8"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M Mulder</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{"citationItems":[{"id":"ITEM-1","itemData":{"DOI":"10.1016/j.apmr.2019.04.017","ISBN":"8082310980830","ISSN":"1532821X","PMID":"31153852","abstract":"Objective: To classify patients with stroke into subgroups based on their characteristics at the moment of discharge from inpatient rehabilitation in order to predict community ambulation outcome 6 months later. Design: Prospective cohort study with a baseline measurement at discharge from inpatient care and final outcome determined after 6 months. Setting: Community. Participants: A cohort of patients (N=243) with stroke, referred for outpatient physical therapy, after completing inpatient rehabilitation in The Netherlands. Interventions: Not applicable. Main Outcome Measures: A classification model was developed using Classification And Regression Tree (CART) analysis. Final outcome was determined using the community ambulation questionnaire. Potential baseline predictors included patient demographics, stroke characteristics, use of assistive devices, comfortable gait speed, balance, strength, motivation, falls efficacy, anxiety, and depression. Results: The CART model accurately predicted independent community ambulation in 181 of 193 patients with stroke, based on a comfortable gait speed at discharge of 0.5 meters per second or faster. In contrast, 27 of 50 patients with gait speeds below 0.5 meters per second were correctly predicted to become noncommunity walkers. Conclusions: We show that comfortable gait speed is a key factor in the prognosis of community ambulation outcome. The CART model may support clinicians in organizing community services at the moment of discharge from inpatient care.","author":[{"dropping-particle":"","family":"Mulder","given":"Marijn","non-dropping-particle":"","parse-names":false,"suffix":""},{"dropping-particle":"","family":"Nijland","given":"Rinske H.","non-dropping-particle":"","parse-names":false,"suffix":""},{"dropping-particle":"","family":"Port","given":"Ingrid G.","non-dropping-particle":"van de","parse-names":false,"suffix":""},{"dropping-particle":"","family":"Wegen","given":"Erwin E.","non-dropping-particle":"van","parse-names":false,"suffix":""},{"dropping-particle":"","family":"Kwakkel","given":"Gert","non-dropping-particle":"","parse-names":false,"suffix":""}],"container-title":"Archives of Physical Medicine and Rehabilitation","id":"ITEM-1","issue":"11","issued":{"date-parts":[["2019"]]},"page":"2113-2118","publisher":"Elsevier Inc","title":"Prospectively Classifying Community Walkers After Stroke: Who Are They?","type":"article-journal","volume":"100"},"uris":["http://www.mendeley.com/documents/?uuid=a4f5e88e-3296-47c2-98c4-7597cc014ce6"]}],"mendeley":{"formattedCitation":"&lt;sup&gt;95&lt;/sup&gt;","plainTextFormattedCitation":"95","previouslyFormattedCitation":"&lt;sup&gt;94&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95</w:t>
            </w:r>
            <w:r w:rsidRPr="00A427B2">
              <w:rPr>
                <w:rFonts w:ascii="Segoe UI" w:eastAsia="Times New Roman" w:hAnsi="Segoe UI" w:cs="Segoe UI"/>
                <w:color w:val="000000"/>
                <w:sz w:val="16"/>
                <w:szCs w:val="16"/>
              </w:rPr>
              <w:fldChar w:fldCharType="end"/>
            </w:r>
          </w:p>
        </w:tc>
        <w:tc>
          <w:tcPr>
            <w:tcW w:w="2122" w:type="dxa"/>
            <w:vAlign w:val="center"/>
          </w:tcPr>
          <w:p w14:paraId="1E7C65F3"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Archives of Physical Medicine and Rehabilitation</w:t>
            </w:r>
          </w:p>
        </w:tc>
        <w:tc>
          <w:tcPr>
            <w:tcW w:w="850" w:type="dxa"/>
            <w:vAlign w:val="center"/>
          </w:tcPr>
          <w:p w14:paraId="255FEAEE"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3.098</w:t>
            </w:r>
          </w:p>
        </w:tc>
        <w:tc>
          <w:tcPr>
            <w:tcW w:w="1276" w:type="dxa"/>
            <w:vAlign w:val="center"/>
          </w:tcPr>
          <w:p w14:paraId="6BC46328"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681CE64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Neurology</w:t>
            </w:r>
          </w:p>
        </w:tc>
        <w:tc>
          <w:tcPr>
            <w:tcW w:w="1541" w:type="dxa"/>
            <w:noWrap/>
            <w:vAlign w:val="center"/>
            <w:hideMark/>
          </w:tcPr>
          <w:p w14:paraId="37BBD9B0"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3C9AF3E1"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1F8AC865" w14:textId="77777777" w:rsidR="00A427B2" w:rsidRPr="00A427B2" w:rsidRDefault="00A427B2" w:rsidP="001B1FC9">
            <w:pPr>
              <w:rPr>
                <w:rFonts w:ascii="Segoe UI" w:eastAsia="Times New Roman" w:hAnsi="Segoe UI" w:cs="Segoe UI"/>
                <w:color w:val="000000"/>
                <w:sz w:val="16"/>
                <w:szCs w:val="16"/>
                <w:highlight w:val="yellow"/>
              </w:rPr>
            </w:pPr>
            <w:r w:rsidRPr="00A427B2">
              <w:rPr>
                <w:rFonts w:ascii="Segoe UI" w:eastAsia="Times New Roman" w:hAnsi="Segoe UI" w:cs="Segoe UI"/>
                <w:color w:val="000000"/>
                <w:sz w:val="16"/>
                <w:szCs w:val="16"/>
              </w:rPr>
              <w:t>Community walkers after stoke</w:t>
            </w:r>
          </w:p>
        </w:tc>
      </w:tr>
      <w:tr w:rsidR="00A427B2" w:rsidRPr="00A427B2" w14:paraId="68BA6215" w14:textId="77777777" w:rsidTr="001B1FC9">
        <w:trPr>
          <w:trHeight w:val="510"/>
        </w:trPr>
        <w:tc>
          <w:tcPr>
            <w:tcW w:w="1701" w:type="dxa"/>
            <w:noWrap/>
            <w:vAlign w:val="center"/>
            <w:hideMark/>
          </w:tcPr>
          <w:p w14:paraId="0AC084B3"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J Debedat</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{"citationItems":[{"id":"ITEM-1","itemData":{"DOI":"10.2337/dc18-0567","ISSN":"19355548","PMID":"30082327","abstract":"OBJECTIVE: Roux-en-Y gastric bypass (RYGB) induces type 2 diabetes remission (DR) in 60% of patients at 1 year, yet long-term relapse occurs in half of these patients. Scoring methods to predict DR outcomes 1 year after surgery that include only baseline parameters cannot accurately predict 5-year DR (5y-DR). We aimed to develop a new score to better predict 5y-DR. RESEARCH DESIGN AND METHODS: We retrospectively included 175 RYGB patients with type 2 diabetes with 5-year follow-up. Using machine learning algorithms, we developed a scoring method, 5-year Advanced-Diabetes Remission (5y-Ad-DiaRem), predicting longer-term DR postsurgery by integrating medical history, bioclinical data, and antidiabetic treatments. The scoring method was based on odds ratios and variables significantly different between groups. This score was further validated in three independent RYGB cohorts from three European countries. RESULTS: Compared with 5y-DR patients, patients who had relapsed after 5 years exhibited more severe type 2 diabetes at baseline, lost significantly less weight during the 1st year after RYGB, and regained more weight afterward. The 5y-Ad-DiaRem includes baseline (diabetes duration, number of antidiabetic treatments, and HbA1C) and 1-year follow-up parameters (glycemia, number of antidiabetic treatments, remission status, 1st-year weight loss). The 5y-Ad-DiaRem was accurate (area under the receiver operating characteristic curve [AUROC], 90%; accuracy, 85%) at predicting 5y-DR, performed better than the Diabetes Remission score (DiaRem) and the Advanced-DiaRem (AUROC, 81% and 84%; accuracy, 79% and 78%, respectively), and correctly reclassified 13 of 39 patients misclassified with the DiaRem. The 5y-Ad-DiaRem robustness was confirmed in the independent cohorts. CONCLUSIONS: The 5y-Ad-DiaRem accurately predicts 5y-DR and appears relevant to identify patients at risk for relapse. Using this score could help personalize patient care after the 1st year post-RYGB to maximize weight loss, limit weight regains, and prevent relapse.","author":[{"dropping-particle":"","family":"Debédat","given":"Jean","non-dropping-particle":"","parse-names":false,"suffix":""},{"dropping-particle":"","family":"Sokolovska","given":"Nataliya","non-dropping-particle":"","parse-names":false,"suffix":""},{"dropping-particle":"","family":"Coupaye","given":"Muriel","non-dropping-particle":"","parse-names":false,"suffix":""},{"dropping-particle":"","family":"Panunzi","given":"Simona","non-dropping-particle":"","parse-names":false,"suffix":""},{"dropping-particle":"","family":"Chakaroun","given":"Rima","non-dropping-particle":"","parse-names":false,"suffix":""},{"dropping-particle":"","family":"Genser","given":"Laurent","non-dropping-particle":"","parse-names":false,"suffix":""},{"dropping-particle":"","family":"Turenne","given":"Garance","non-dropping-particle":"De","parse-names":false,"suffix":""},{"dropping-particle":"","family":"Bouillot","given":"Jean Luc","non-dropping-particle":"","parse-names":false,"suffix":""},{"dropping-particle":"","family":"Poitou","given":"Christine","non-dropping-particle":"","parse-names":false,"suffix":""},{"dropping-particle":"","family":"Oppert","given":"Jean Michel","non-dropping-particle":"","parse-names":false,"suffix":""},{"dropping-particle":"","family":"Blüher","given":"Matthias","non-dropping-particle":"","parse-names":false,"suffix":""},{"dropping-particle":"","family":"Stumvoll","given":"Michael","non-dropping-particle":"","parse-names":false,"suffix":""},{"dropping-particle":"","family":"Mingrone","given":"Geltrude","non-dropping-particle":"","parse-names":false,"suffix":""},{"dropping-particle":"","family":"Ledoux","given":"Séverine","non-dropping-particle":"","parse-names":false,"suffix":""},{"dropping-particle":"","family":"Zucker","given":"Jean Daniel","non-dropping-particle":"","parse-names":false,"suffix":""},{"dropping-particle":"","family":"Clément","given":"Karine","non-dropping-particle":"","parse-names":false,"suffix":""},{"dropping-particle":"","family":"Aron-Wisnewsky","given":"Judith","non-dropping-particle":"","parse-names":false,"suffix":""}],"container-title":"Diabetes Care","id":"ITEM-1","issue":"10","issued":{"date-parts":[["2018"]]},"page":"2086-2095","title":"Long-term Relapse of Type 2 Diabetes After Roux-en-Y Gastric Bypass: Prediction and clinical relevance","type":"article-journal","volume":"41"},"uris":["http://www.mendeley.com/documents/?uuid=fed50bbf-146f-4316-ba0d-e68b19804e21"]}],"mendeley":{"formattedCitation":"&lt;sup&gt;96&lt;/sup&gt;","plainTextFormattedCitation":"96","previouslyFormattedCitation":"&lt;sup&gt;95&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96</w:t>
            </w:r>
            <w:r w:rsidRPr="00A427B2">
              <w:rPr>
                <w:rFonts w:ascii="Segoe UI" w:eastAsia="Times New Roman" w:hAnsi="Segoe UI" w:cs="Segoe UI"/>
                <w:color w:val="000000"/>
                <w:sz w:val="16"/>
                <w:szCs w:val="16"/>
              </w:rPr>
              <w:fldChar w:fldCharType="end"/>
            </w:r>
          </w:p>
        </w:tc>
        <w:tc>
          <w:tcPr>
            <w:tcW w:w="2122" w:type="dxa"/>
            <w:vAlign w:val="center"/>
          </w:tcPr>
          <w:p w14:paraId="16AF6AB2"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Diabetes Care</w:t>
            </w:r>
          </w:p>
        </w:tc>
        <w:tc>
          <w:tcPr>
            <w:tcW w:w="850" w:type="dxa"/>
            <w:vAlign w:val="center"/>
          </w:tcPr>
          <w:p w14:paraId="629CF3D2"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15.270</w:t>
            </w:r>
          </w:p>
        </w:tc>
        <w:tc>
          <w:tcPr>
            <w:tcW w:w="1276" w:type="dxa"/>
            <w:vAlign w:val="center"/>
          </w:tcPr>
          <w:p w14:paraId="3A42B23B"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2018</w:t>
            </w:r>
          </w:p>
        </w:tc>
        <w:tc>
          <w:tcPr>
            <w:tcW w:w="1559" w:type="dxa"/>
            <w:noWrap/>
            <w:vAlign w:val="center"/>
            <w:hideMark/>
          </w:tcPr>
          <w:p w14:paraId="2BBC4D5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Endocrinology</w:t>
            </w:r>
          </w:p>
        </w:tc>
        <w:tc>
          <w:tcPr>
            <w:tcW w:w="1541" w:type="dxa"/>
            <w:noWrap/>
            <w:vAlign w:val="center"/>
            <w:hideMark/>
          </w:tcPr>
          <w:p w14:paraId="71EFB62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142BF52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with external validation (same model)</w:t>
            </w:r>
          </w:p>
        </w:tc>
        <w:tc>
          <w:tcPr>
            <w:tcW w:w="2860" w:type="dxa"/>
            <w:noWrap/>
            <w:vAlign w:val="center"/>
            <w:hideMark/>
          </w:tcPr>
          <w:p w14:paraId="75696E53"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Type 2 diabetes relapse after Gastric Bypass</w:t>
            </w:r>
          </w:p>
        </w:tc>
      </w:tr>
      <w:tr w:rsidR="00A427B2" w:rsidRPr="00A427B2" w14:paraId="1FDA9B9C" w14:textId="77777777" w:rsidTr="001B1FC9">
        <w:trPr>
          <w:trHeight w:val="510"/>
        </w:trPr>
        <w:tc>
          <w:tcPr>
            <w:tcW w:w="1701" w:type="dxa"/>
            <w:noWrap/>
            <w:vAlign w:val="center"/>
            <w:hideMark/>
          </w:tcPr>
          <w:p w14:paraId="5151AA40"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JCR Alcantud</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{"citationItems":[{"id":"ITEM-1","itemData":{"DOI":"10.1371/journal.pone.0218283","ISBN":"1111111111","ISSN":"19326203","PMID":"31216304","abstract":"Objective Lung cancer is the most common type of cancer around the world, and it represents the main cause of death in the USA. Surgical treatment is the optimal therapeutic strategy for resectable non-small cell lung cancer. The principal factor for long-term survival after complete resection is the anatomic extension of the neoplasm. However, other factors also have adverse effects on operative mortality, and influence long-term outcome. In this paper we propose an algorithmic solution for the estimation of 5-years survival rate in lung cancer patients undertaking pulmonary resection. Materials and methods We address the issue of survival analysis through decision-making techniques based on fuzzy and soft set theories. We develop an expert system based on clinical and functional data of lung cancer resections in patients with cancer that can be used to predict the survival of patients. Results The evaluation of surgical risk in patients undertaking pulmonary resection is a primary target for thoracic surgeons. Lung cancer survival is influenced by many factors. The computational performance of our algorithm is critically analyzed by an experimental study. The correct survival classification is achieved with an accuracy of 79.0%. Our novel soft-set based criterion is an effective and precise diagnosis application for the determination of the survival rate.","author":[{"dropping-particle":"","family":"Alcantud","given":"José Carlos R.","non-dropping-particle":"","parse-names":false,"suffix":""},{"dropping-particle":"","family":"Varela","given":"Gonzalo","non-dropping-particle":"","parse-names":false,"suffix":""},{"dropping-particle":"","family":"Santos-Buitrago","given":"Beatriz","non-dropping-particle":"","parse-names":false,"suffix":""},{"dropping-particle":"","family":"Santos-García","given":"Gustavo","non-dropping-particle":"","parse-names":false,"suffix":""},{"dropping-particle":"","family":"Jiménez","given":"Marcelo F.","non-dropping-particle":"","parse-names":false,"suffix":""}],"container-title":"PLoS ONE","id":"ITEM-1","issue":"6","issued":{"date-parts":[["2019"]]},"page":"1-17","title":"Analysis of survival for lung cancer resections cases with fuzzy and soft set theory in surgical decision making","type":"article-journal","volume":"14"},"uris":["http://www.mendeley.com/documents/?uuid=b4979ef4-3e65-4fac-9d0d-031c1d7a191b"]}],"mendeley":{"formattedCitation":"&lt;sup&gt;97&lt;/sup&gt;","plainTextFormattedCitation":"97","previouslyFormattedCitation":"&lt;sup&gt;96&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97</w:t>
            </w:r>
            <w:r w:rsidRPr="00A427B2">
              <w:rPr>
                <w:rFonts w:ascii="Segoe UI" w:eastAsia="Times New Roman" w:hAnsi="Segoe UI" w:cs="Segoe UI"/>
                <w:color w:val="000000"/>
                <w:sz w:val="16"/>
                <w:szCs w:val="16"/>
              </w:rPr>
              <w:fldChar w:fldCharType="end"/>
            </w:r>
          </w:p>
        </w:tc>
        <w:tc>
          <w:tcPr>
            <w:tcW w:w="2122" w:type="dxa"/>
            <w:vAlign w:val="center"/>
          </w:tcPr>
          <w:p w14:paraId="44FD454C"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PLoS ONE</w:t>
            </w:r>
          </w:p>
        </w:tc>
        <w:tc>
          <w:tcPr>
            <w:tcW w:w="850" w:type="dxa"/>
            <w:vAlign w:val="center"/>
          </w:tcPr>
          <w:p w14:paraId="43584B9A"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2.740</w:t>
            </w:r>
          </w:p>
        </w:tc>
        <w:tc>
          <w:tcPr>
            <w:tcW w:w="1276" w:type="dxa"/>
            <w:vAlign w:val="center"/>
          </w:tcPr>
          <w:p w14:paraId="2D59285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506E5452"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Oncology</w:t>
            </w:r>
          </w:p>
        </w:tc>
        <w:tc>
          <w:tcPr>
            <w:tcW w:w="1541" w:type="dxa"/>
            <w:noWrap/>
            <w:vAlign w:val="center"/>
            <w:hideMark/>
          </w:tcPr>
          <w:p w14:paraId="33A5B424"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76FCA78F"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55B51B0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5-years survival rate</w:t>
            </w:r>
          </w:p>
        </w:tc>
      </w:tr>
      <w:tr w:rsidR="00A427B2" w:rsidRPr="00A427B2" w14:paraId="159A093B" w14:textId="77777777" w:rsidTr="001B1FC9">
        <w:trPr>
          <w:trHeight w:val="510"/>
        </w:trPr>
        <w:tc>
          <w:tcPr>
            <w:tcW w:w="1701" w:type="dxa"/>
            <w:noWrap/>
            <w:vAlign w:val="center"/>
            <w:hideMark/>
          </w:tcPr>
          <w:p w14:paraId="20906EC4"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A Sandstrom</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{"citationItems":[{"id":"ITEM-1","itemData":{"DOI":"10.1371/journal.pone.0225716","ISBN":"1111111111","ISSN":"19326203","PMID":"31774875","abstract":"Objective To evaluate the capacity of multivariable prediction of preeclampsia during pregnancy, based on detailed routinely collected early pregnancy data in nulliparous women. Design and setting A population-based cohort study of 62 562 pregnancies of nulliparous women with deliveries 2008–13 in the Stockholm-Gotland Counties in Sweden. Methods Maternal social, reproductive and medical history and medical examinations (including mean arterial pressure, proteinuria, hemoglobin and capillary glucose levels) routinely collected at the first visit in antenatal care, constitute the predictive variables. Predictive models for preeclampsia were created by three methods; logistic regression models using 1) pre-specified variables (similar to the Fetal Medicine Foundation model including maternal factors and mean arterial pressure), 2) backward selection starting from the full suite of variables, and 3) a Random forest model using the same candidate variables. The performance of the British National Institute for Health and Care Excellence (NICE) binary risk classification guidelines for preeclampsia was also evaluated. The outcome measures were diagnosis of preeclampsia with delivery &lt;34, &lt;37, and ≥37 weeks’ gestation. Results A total of 2 773 (4.4%) nulliparous women subsequently developed preeclampsia. The pre-specified variables model was superior the other two models, regarding prediction of preeclampsia with delivery &lt;34 and &lt;37 weeks, both with areas under the curve of 0.68, and sensitivity of 30.6% (95% CI 24.5–37.2) and 29.2% (95% CI 25.2–33.4) at a 10% false positive rate, respectively. The performance of these customizable multivariable models at the chosen false positive rate, was significantly better than the binary NICE-guidelines for preeclampsia with delivery &lt;37 and ≥37 weeks’ gestation. Conclusion Multivariable models in early pregnancy had a modest performance, although providing advantages over the NICE-guidelines, in predicting preeclampsia in nulliparous women. Use of a machine learning algorithm (Random forest) did not result in superior prediction.","author":[{"dropping-particle":"","family":"Sandström","given":"Anna","non-dropping-particle":"","parse-names":false,"suffix":""},{"dropping-particle":"","family":"Snowden","given":"Jonathan M.","non-dropping-particle":"","parse-names":false,"suffix":""},{"dropping-particle":"","family":"Höijer","given":"Jonas","non-dropping-particle":"","parse-names":false,"suffix":""},{"dropping-particle":"","family":"Bottai","given":"Matteo","non-dropping-particle":"","parse-names":false,"suffix":""},{"dropping-particle":"","family":"Wikström","given":"Anna Karin","non-dropping-particle":"","parse-names":false,"suffix":""}],"container-title":"PLoS ONE","id":"ITEM-1","issue":"11","issued":{"date-parts":[["2019"]]},"page":"1-16","title":"Clinical risk assessment in early pregnancy for preeclampsia in nulliparous women: A population based cohort study","type":"article-journal","volume":"14"},"uris":["http://www.mendeley.com/documents/?uuid=6fe1f03c-4a0b-4522-8194-1e2e86d273aa"]}],"mendeley":{"formattedCitation":"&lt;sup&gt;98&lt;/sup&gt;","plainTextFormattedCitation":"98","previouslyFormattedCitation":"&lt;sup&gt;97&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98</w:t>
            </w:r>
            <w:r w:rsidRPr="00A427B2">
              <w:rPr>
                <w:rFonts w:ascii="Segoe UI" w:eastAsia="Times New Roman" w:hAnsi="Segoe UI" w:cs="Segoe UI"/>
                <w:color w:val="000000"/>
                <w:sz w:val="16"/>
                <w:szCs w:val="16"/>
              </w:rPr>
              <w:fldChar w:fldCharType="end"/>
            </w:r>
          </w:p>
        </w:tc>
        <w:tc>
          <w:tcPr>
            <w:tcW w:w="2122" w:type="dxa"/>
            <w:vAlign w:val="center"/>
          </w:tcPr>
          <w:p w14:paraId="5FF6066E"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PLoS ONE</w:t>
            </w:r>
          </w:p>
        </w:tc>
        <w:tc>
          <w:tcPr>
            <w:tcW w:w="850" w:type="dxa"/>
            <w:vAlign w:val="center"/>
          </w:tcPr>
          <w:p w14:paraId="7C6190C2"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2.740</w:t>
            </w:r>
          </w:p>
        </w:tc>
        <w:tc>
          <w:tcPr>
            <w:tcW w:w="1276" w:type="dxa"/>
            <w:vAlign w:val="center"/>
          </w:tcPr>
          <w:p w14:paraId="45FB6AC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593BF0F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Obstetrics &amp; Gynecology</w:t>
            </w:r>
          </w:p>
        </w:tc>
        <w:tc>
          <w:tcPr>
            <w:tcW w:w="1541" w:type="dxa"/>
            <w:noWrap/>
            <w:vAlign w:val="center"/>
            <w:hideMark/>
          </w:tcPr>
          <w:p w14:paraId="6B99098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Diagnosis</w:t>
            </w:r>
          </w:p>
        </w:tc>
        <w:tc>
          <w:tcPr>
            <w:tcW w:w="2481" w:type="dxa"/>
            <w:noWrap/>
            <w:vAlign w:val="center"/>
            <w:hideMark/>
          </w:tcPr>
          <w:p w14:paraId="691058C9"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332B0CE2"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Preeclampsia with delivery &lt;34 weeks of gestation</w:t>
            </w:r>
          </w:p>
        </w:tc>
      </w:tr>
      <w:tr w:rsidR="00A427B2" w:rsidRPr="00A427B2" w14:paraId="2784F15F" w14:textId="77777777" w:rsidTr="001B1FC9">
        <w:trPr>
          <w:trHeight w:val="510"/>
        </w:trPr>
        <w:tc>
          <w:tcPr>
            <w:tcW w:w="1701" w:type="dxa"/>
            <w:noWrap/>
            <w:vAlign w:val="center"/>
            <w:hideMark/>
          </w:tcPr>
          <w:p w14:paraId="5160C8B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C Xiao</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{"citationItems":[{"id":"ITEM-1","itemData":{"DOI":"10.1109/EMBC.2018.8513564","ISBN":"9781538636466","ISSN":"1557170X","PMID":"30441727","abstract":"The detection of early Parkinson' s disease (PD) is crucial for PD management. Most of previous efforts on PD diagnosis focus more on improving PD detection accuracies by trying using features from more modalities, which results in a common question: is it true that the more features available, the better the performance of the diagnosis system? This paper proposes an importance-driven approach for the detection of PD. The importance of features based on gradient boosting is firstly learned. The ranked features based on feature importance are input to a progressive learning pipeline to find key features of PD. The experiment results show that a comparable PD classification performance can be obtained with much less key features and therefore fewer modalities of tests are required. Such findings have critical socioeconomic values.","author":[{"dropping-particle":"","family":"Xiao","given":"Chun","non-dropping-particle":"","parse-names":false,"suffix":""},{"dropping-particle":"","family":"Liu","given":"Yingchao","non-dropping-particle":"","parse-names":false,"suffix":""},{"dropping-particle":"","family":"Feng","given":"David Dagan","non-dropping-particle":"","parse-names":false,"suffix":""},{"dropping-particle":"","family":"Wang","given":"Xiuying","non-dropping-particle":"","parse-names":false,"suffix":""}],"container-title":"Conference proceedings : ... Annual International Conference of the IEEE Engineering in Medicine and Biology Society. IEEE Engineering in Medicine and Biology Society. Annual Conference","id":"ITEM-1","issued":{"date-parts":[["2018"]]},"page":"6100-6103","title":"Key Marker Selection for the Detection of Early Parkinson' s Disease using Importance-Driven Models","type":"article-journal","volume":"2018"},"uris":["http://www.mendeley.com/documents/?uuid=070afbbf-3373-4a6a-b102-a0f819e8f2b2"]}],"mendeley":{"formattedCitation":"&lt;sup&gt;99&lt;/sup&gt;","plainTextFormattedCitation":"99","previouslyFormattedCitation":"&lt;sup&gt;98&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99</w:t>
            </w:r>
            <w:r w:rsidRPr="00A427B2">
              <w:rPr>
                <w:rFonts w:ascii="Segoe UI" w:eastAsia="Times New Roman" w:hAnsi="Segoe UI" w:cs="Segoe UI"/>
                <w:color w:val="000000"/>
                <w:sz w:val="16"/>
                <w:szCs w:val="16"/>
              </w:rPr>
              <w:fldChar w:fldCharType="end"/>
            </w:r>
          </w:p>
        </w:tc>
        <w:tc>
          <w:tcPr>
            <w:tcW w:w="2122" w:type="dxa"/>
            <w:vAlign w:val="center"/>
          </w:tcPr>
          <w:p w14:paraId="0900FBBC"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Annual International Conference of the IEEE Engineering in Medicine and Biology Society(</w:t>
            </w:r>
            <w:r w:rsidRPr="00A427B2">
              <w:rPr>
                <w:rFonts w:ascii="Segoe UI" w:hAnsi="Segoe UI" w:cs="Segoe UI"/>
                <w:color w:val="000000"/>
                <w:sz w:val="16"/>
                <w:szCs w:val="16"/>
                <w:vertAlign w:val="superscript"/>
              </w:rPr>
              <w:t>b</w:t>
            </w:r>
            <w:r w:rsidRPr="00A427B2">
              <w:rPr>
                <w:rFonts w:ascii="Segoe UI" w:hAnsi="Segoe UI" w:cs="Segoe UI"/>
                <w:color w:val="000000"/>
                <w:sz w:val="16"/>
                <w:szCs w:val="16"/>
              </w:rPr>
              <w:t>)</w:t>
            </w:r>
          </w:p>
        </w:tc>
        <w:tc>
          <w:tcPr>
            <w:tcW w:w="850" w:type="dxa"/>
            <w:vAlign w:val="center"/>
          </w:tcPr>
          <w:p w14:paraId="05C61A51"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1.01</w:t>
            </w:r>
          </w:p>
        </w:tc>
        <w:tc>
          <w:tcPr>
            <w:tcW w:w="1276" w:type="dxa"/>
            <w:vAlign w:val="center"/>
          </w:tcPr>
          <w:p w14:paraId="1BEC3FB0"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2018</w:t>
            </w:r>
          </w:p>
        </w:tc>
        <w:tc>
          <w:tcPr>
            <w:tcW w:w="1559" w:type="dxa"/>
            <w:noWrap/>
            <w:vAlign w:val="center"/>
            <w:hideMark/>
          </w:tcPr>
          <w:p w14:paraId="5154077F"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Neurology</w:t>
            </w:r>
          </w:p>
        </w:tc>
        <w:tc>
          <w:tcPr>
            <w:tcW w:w="1541" w:type="dxa"/>
            <w:noWrap/>
            <w:vAlign w:val="center"/>
            <w:hideMark/>
          </w:tcPr>
          <w:p w14:paraId="1FB074B2"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Diagnosis</w:t>
            </w:r>
          </w:p>
        </w:tc>
        <w:tc>
          <w:tcPr>
            <w:tcW w:w="2481" w:type="dxa"/>
            <w:noWrap/>
            <w:vAlign w:val="center"/>
            <w:hideMark/>
          </w:tcPr>
          <w:p w14:paraId="4F79972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06A949E8"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Parkinson's disease</w:t>
            </w:r>
          </w:p>
        </w:tc>
      </w:tr>
      <w:tr w:rsidR="00A427B2" w:rsidRPr="00A427B2" w14:paraId="4C165E82" w14:textId="77777777" w:rsidTr="001B1FC9">
        <w:trPr>
          <w:trHeight w:val="510"/>
        </w:trPr>
        <w:tc>
          <w:tcPr>
            <w:tcW w:w="1701" w:type="dxa"/>
            <w:noWrap/>
            <w:vAlign w:val="center"/>
            <w:hideMark/>
          </w:tcPr>
          <w:p w14:paraId="322C83CF"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JN Cooper</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{"citationItems":[{"id":"ITEM-1","itemData":{"DOI":"10.1016/j.jss.2017.09.002","ISSN":"10958673","PMID":"29229144","abstract":"Background The variable risks associated with neonatal surgery present a challenge to accurate mortality prediction. We aimed to apply superlearning, an ensemble machine learning method, to the prediction of 30-day neonatal postoperative mortality. Materials and methods We included neonates in the 2012-2014 National Surgical Quality Improvement Program Pediatric. Patients treated in 2012-13 were used in model development (n = 6499), and patients treated in 2014 formed the validation sample (n = 3552). Our superlearner algorithm included 14 regression and machine learning algorithms and included all preoperative patient demographic and clinical characteristics, including indicator variables for surgical procedures. Performance was evaluated using mean squared error and measures of discrimination and calibration. Results The superlearner out-performed all individual algorithms with regard to cross-validated mean squared error. It showed excellent discrimination, with an area under the receiver-operating characteristic curve of 0.91 in development and 0.87 in validation. The superlearner showed good calibration in development but not in validation (Cox calibration test P = 0.06 and P &lt; 0.001, respectively). Performance was improved when the superlearner was fit using only variables strongly associated with mortality in bivariate analysis (area under the receiver-operating characteristic curve 0.89, calibration test P = 0.63 in validation). Conclusions Superlearning provided improved or equivalent performance compared with individual regression and machine learning algorithms for predicting neonatal surgical mortality. This method should be considered for prediction in large data sets whenever complex mechanisms make parametric modeling assumptions unrealistic.","author":[{"dropping-particle":"","family":"Cooper","given":"Jennifer N.","non-dropping-particle":"","parse-names":false,"suffix":""},{"dropping-particle":"","family":"Minneci","given":"Peter C.","non-dropping-particle":"","parse-names":false,"suffix":""},{"dropping-particle":"","family":"Deans","given":"Katherine J.","non-dropping-particle":"","parse-names":false,"suffix":""}],"container-title":"Journal of Surgical Research","id":"ITEM-1","issued":{"date-parts":[["2018"]]},"page":"311-319","publisher":"Elsevier Inc","title":"Postoperative neonatal mortality prediction using superlearning","type":"article-journal","volume":"221"},"uris":["http://www.mendeley.com/documents/?uuid=db549410-7959-4487-bf83-4fec77a9f1fc"]}],"mendeley":{"formattedCitation":"&lt;sup&gt;100&lt;/sup&gt;","plainTextFormattedCitation":"100","previouslyFormattedCitation":"&lt;sup&gt;99&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100</w:t>
            </w:r>
            <w:r w:rsidRPr="00A427B2">
              <w:rPr>
                <w:rFonts w:ascii="Segoe UI" w:eastAsia="Times New Roman" w:hAnsi="Segoe UI" w:cs="Segoe UI"/>
                <w:color w:val="000000"/>
                <w:sz w:val="16"/>
                <w:szCs w:val="16"/>
              </w:rPr>
              <w:fldChar w:fldCharType="end"/>
            </w:r>
          </w:p>
        </w:tc>
        <w:tc>
          <w:tcPr>
            <w:tcW w:w="2122" w:type="dxa"/>
            <w:vAlign w:val="center"/>
          </w:tcPr>
          <w:p w14:paraId="70C95BD0"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Journal of surgical research</w:t>
            </w:r>
          </w:p>
        </w:tc>
        <w:tc>
          <w:tcPr>
            <w:tcW w:w="850" w:type="dxa"/>
            <w:vAlign w:val="center"/>
          </w:tcPr>
          <w:p w14:paraId="77D41C91"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1.872</w:t>
            </w:r>
          </w:p>
        </w:tc>
        <w:tc>
          <w:tcPr>
            <w:tcW w:w="1276" w:type="dxa"/>
            <w:vAlign w:val="center"/>
          </w:tcPr>
          <w:p w14:paraId="1F58D6FF"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2018</w:t>
            </w:r>
          </w:p>
        </w:tc>
        <w:tc>
          <w:tcPr>
            <w:tcW w:w="1559" w:type="dxa"/>
            <w:noWrap/>
            <w:vAlign w:val="center"/>
            <w:hideMark/>
          </w:tcPr>
          <w:p w14:paraId="2E3CB2E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Surgery</w:t>
            </w:r>
          </w:p>
        </w:tc>
        <w:tc>
          <w:tcPr>
            <w:tcW w:w="1541" w:type="dxa"/>
            <w:noWrap/>
            <w:vAlign w:val="center"/>
            <w:hideMark/>
          </w:tcPr>
          <w:p w14:paraId="69A81F9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71D084E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with external validation (same model)</w:t>
            </w:r>
          </w:p>
        </w:tc>
        <w:tc>
          <w:tcPr>
            <w:tcW w:w="2860" w:type="dxa"/>
            <w:noWrap/>
            <w:vAlign w:val="center"/>
            <w:hideMark/>
          </w:tcPr>
          <w:p w14:paraId="6787495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30-day postoperative neonatal mortality</w:t>
            </w:r>
          </w:p>
        </w:tc>
      </w:tr>
      <w:tr w:rsidR="00A427B2" w:rsidRPr="00A427B2" w14:paraId="3E971BF5" w14:textId="77777777" w:rsidTr="001B1FC9">
        <w:trPr>
          <w:trHeight w:val="510"/>
        </w:trPr>
        <w:tc>
          <w:tcPr>
            <w:tcW w:w="1701" w:type="dxa"/>
            <w:noWrap/>
            <w:vAlign w:val="center"/>
            <w:hideMark/>
          </w:tcPr>
          <w:p w14:paraId="11348662"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C-S Rau</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{"citationItems":[{"id":"ITEM-1","itemData":{"DOI":"10.1371/journal.pone.0207192","ISBN":"1111111111","ISSN":"19326203","PMID":"30412613","abstract":"Background The purpose of this study was to build a model of machine learning (ML) for the prediction of mortality in patients with isolated moderate and severe traumatic brain injury (TBI). Methods Hospitalized adult patients registered in the Trauma Registry System between January 2009 and December 2015 were enrolled in this study. Only patients with an Abbreviated Injury Scale (AIS) score ≥ 3 points related to head injuries were included in this study. A total of 1734 (1564 survival and 170 non-survival) and 325 (293 survival and 32 non-survival) patients were included in the training and test sets, respectively. Results Using demographics and injury characteristics, as well as patient laboratory data, predictive tools (e.g., logistic regression [LR], support vector machine [SVM], decision tree [DT], naive Bayes [NB], and artificial neural networks [ANN]) were used to determine the mortality of individual patients. The predictive performance was evaluated by accuracy, sensitivity, and specificity, as well as by area under the curve (AUC) measures of receiver operator characteristic curves. In the training set, all five ML models had a specificity of more than 90% and all ML models (except the NB) achieved an accuracy of more than 90%. Among them, the ANN had the highest sensitivity (80.59%) in mortality prediction. Regarding performance, the ANN had the highest AUC (0.968), followed by the LR (0.942), SVM (0.935), NB (0.908), and DT (0.872). In the test set, the ANN had the highest sensitivity (84.38%) in mortality prediction, followed by the SVM (65.63%), LR (59.38%), NB (59.38%), and DT (43.75%). Conclusions The ANN model provided the best prediction of mortality for patients with isolated moderate and severe TBI.","author":[{"dropping-particle":"","family":"Rau","given":"Cheng Shyuan","non-dropping-particle":"","parse-names":false,"suffix":""},{"dropping-particle":"","family":"Kuo","given":"Pao Jen","non-dropping-particle":"","parse-names":false,"suffix":""},{"dropping-particle":"","family":"Chien","given":"Peng Chen","non-dropping-particle":"","parse-names":false,"suffix":""},{"dropping-particle":"","family":"Huang","given":"Chun Ying","non-dropping-particle":"","parse-names":false,"suffix":""},{"dropping-particle":"","family":"Hsieh","given":"Hsiao Yun","non-dropping-particle":"","parse-names":false,"suffix":""},{"dropping-particle":"","family":"Hsieh","given":"Ching Hua","non-dropping-particle":"","parse-names":false,"suffix":""}],"container-title":"PLoS ONE","id":"ITEM-1","issue":"11","issued":{"date-parts":[["2018"]]},"page":"1-12","title":"Mortality prediction in patients with isolated moderate and severe traumatic brain injury using machine learning models","type":"article-journal","volume":"13"},"uris":["http://www.mendeley.com/documents/?uuid=422c5fd2-be19-4c48-903d-ad8e9c22287b"]}],"mendeley":{"formattedCitation":"&lt;sup&gt;101&lt;/sup&gt;","plainTextFormattedCitation":"101","previouslyFormattedCitation":"&lt;sup&gt;100&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101</w:t>
            </w:r>
            <w:r w:rsidRPr="00A427B2">
              <w:rPr>
                <w:rFonts w:ascii="Segoe UI" w:eastAsia="Times New Roman" w:hAnsi="Segoe UI" w:cs="Segoe UI"/>
                <w:color w:val="000000"/>
                <w:sz w:val="16"/>
                <w:szCs w:val="16"/>
              </w:rPr>
              <w:fldChar w:fldCharType="end"/>
            </w:r>
          </w:p>
        </w:tc>
        <w:tc>
          <w:tcPr>
            <w:tcW w:w="2122" w:type="dxa"/>
            <w:vAlign w:val="center"/>
          </w:tcPr>
          <w:p w14:paraId="27141952"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PLoS ONE</w:t>
            </w:r>
          </w:p>
        </w:tc>
        <w:tc>
          <w:tcPr>
            <w:tcW w:w="850" w:type="dxa"/>
            <w:vAlign w:val="center"/>
          </w:tcPr>
          <w:p w14:paraId="491C2FB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2.776</w:t>
            </w:r>
          </w:p>
        </w:tc>
        <w:tc>
          <w:tcPr>
            <w:tcW w:w="1276" w:type="dxa"/>
            <w:vAlign w:val="center"/>
          </w:tcPr>
          <w:p w14:paraId="595F398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2018</w:t>
            </w:r>
          </w:p>
        </w:tc>
        <w:tc>
          <w:tcPr>
            <w:tcW w:w="1559" w:type="dxa"/>
            <w:noWrap/>
            <w:vAlign w:val="center"/>
            <w:hideMark/>
          </w:tcPr>
          <w:p w14:paraId="352FA74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Surgery</w:t>
            </w:r>
          </w:p>
        </w:tc>
        <w:tc>
          <w:tcPr>
            <w:tcW w:w="1541" w:type="dxa"/>
            <w:noWrap/>
            <w:vAlign w:val="center"/>
            <w:hideMark/>
          </w:tcPr>
          <w:p w14:paraId="0031D69F"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1303343B"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7CF78430"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In-hospital mortality after severe traumatic brain injury</w:t>
            </w:r>
          </w:p>
        </w:tc>
      </w:tr>
      <w:tr w:rsidR="00A427B2" w:rsidRPr="00A427B2" w14:paraId="43CB010E" w14:textId="77777777" w:rsidTr="001B1FC9">
        <w:trPr>
          <w:trHeight w:val="510"/>
        </w:trPr>
        <w:tc>
          <w:tcPr>
            <w:tcW w:w="1701" w:type="dxa"/>
            <w:noWrap/>
            <w:vAlign w:val="center"/>
            <w:hideMark/>
          </w:tcPr>
          <w:p w14:paraId="46184F0F"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RS Anand</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{"citationItems":[{"id":"ITEM-1","itemData":{"ISSN":"2153-4063","PMID":"29888089","abstract":"Diabetes constitutes a significant health problem that leads to many long term health issues including renal, cardiovascular, and neuropathic complications. Many of these problems can result in increased health care costs, as well risk of ICU stay and mortality. To date, no published study has used predictive modeling to examine the relative influence of diabetes, diabetic health maintenance, and comorbidities on outcomes in ICU patients. Using the MIMIC-III database, machine learning and binomial logistic regression modeling were applied to predict risk of mortality. The final models achieved good fit with AUC values of 0.787 and 0.785 respectively. Additionally, this study demonstrated that robust classification can be done as a combination of five variables (HbA1c, mean glucose during stay, diagnoses upon admission, age, and type of admission) to predict risk as compared with other machine learning models that require nearly 35 variables for similar risk assessment and prediction.","author":[{"dropping-particle":"","family":"Anand","given":"Rajsavi S","non-dropping-particle":"","parse-names":false,"suffix":""},{"dropping-particle":"","family":"Stey","given":"Paul","non-dropping-particle":"","parse-names":false,"suffix":""},{"dropping-particle":"","family":"Jain","given":"Sukrit","non-dropping-particle":"","parse-names":false,"suffix":""},{"dropping-particle":"","family":"Biron","given":"Dustin R","non-dropping-particle":"","parse-names":false,"suffix":""},{"dropping-particle":"","family":"Bhatt","given":"Harikrishna","non-dropping-particle":"","parse-names":false,"suffix":""},{"dropping-particle":"","family":"Monteiro","given":"Kristina","non-dropping-particle":"","parse-names":false,"suffix":""},{"dropping-particle":"","family":"Feller","given":"Edward","non-dropping-particle":"","parse-names":false,"suffix":""},{"dropping-particle":"","family":"Ranney","given":"Megan L","non-dropping-particle":"","parse-names":false,"suffix":""},{"dropping-particle":"","family":"Sarkar","given":"Indra Neil","non-dropping-particle":"","parse-names":false,"suffix":""},{"dropping-particle":"","family":"Chen","given":"Elizabeth S","non-dropping-particle":"","parse-names":false,"suffix":""}],"container-title":"AMIA Joint Summits on Translational Science proceedings. AMIA Joint Summits on Translational Science","id":"ITEM-1","issued":{"date-parts":[["2018"]]},"page":"310-319","title":"Predicting Mortality in Diabetic ICU Patients Using Machine Learning and Severity Indices.","type":"article-journal","volume":"2017"},"uris":["http://www.mendeley.com/documents/?uuid=649313b1-49f8-4b20-8fe4-076d0f6a0308"]}],"mendeley":{"formattedCitation":"&lt;sup&gt;102&lt;/sup&gt;","plainTextFormattedCitation":"102","previouslyFormattedCitation":"&lt;sup&gt;101&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102</w:t>
            </w:r>
            <w:r w:rsidRPr="00A427B2">
              <w:rPr>
                <w:rFonts w:ascii="Segoe UI" w:eastAsia="Times New Roman" w:hAnsi="Segoe UI" w:cs="Segoe UI"/>
                <w:color w:val="000000"/>
                <w:sz w:val="16"/>
                <w:szCs w:val="16"/>
              </w:rPr>
              <w:fldChar w:fldCharType="end"/>
            </w:r>
          </w:p>
        </w:tc>
        <w:tc>
          <w:tcPr>
            <w:tcW w:w="2122" w:type="dxa"/>
            <w:vAlign w:val="center"/>
          </w:tcPr>
          <w:p w14:paraId="2D9DD01C"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AMIA Joint Summits on Translational Sciences Proceedings(</w:t>
            </w:r>
            <w:r w:rsidRPr="00A427B2">
              <w:rPr>
                <w:rFonts w:ascii="Segoe UI" w:hAnsi="Segoe UI" w:cs="Segoe UI"/>
                <w:color w:val="000000"/>
                <w:sz w:val="16"/>
                <w:szCs w:val="16"/>
                <w:vertAlign w:val="superscript"/>
              </w:rPr>
              <w:t>c</w:t>
            </w:r>
            <w:r w:rsidRPr="00A427B2">
              <w:rPr>
                <w:rFonts w:ascii="Segoe UI" w:hAnsi="Segoe UI" w:cs="Segoe UI"/>
                <w:color w:val="000000"/>
                <w:sz w:val="16"/>
                <w:szCs w:val="16"/>
              </w:rPr>
              <w:t>)</w:t>
            </w:r>
          </w:p>
        </w:tc>
        <w:tc>
          <w:tcPr>
            <w:tcW w:w="850" w:type="dxa"/>
            <w:vAlign w:val="center"/>
          </w:tcPr>
          <w:p w14:paraId="1A459DF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w:t>
            </w:r>
          </w:p>
        </w:tc>
        <w:tc>
          <w:tcPr>
            <w:tcW w:w="1276" w:type="dxa"/>
            <w:vAlign w:val="center"/>
          </w:tcPr>
          <w:p w14:paraId="7BC9AD6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2018</w:t>
            </w:r>
          </w:p>
        </w:tc>
        <w:tc>
          <w:tcPr>
            <w:tcW w:w="1559" w:type="dxa"/>
            <w:noWrap/>
            <w:vAlign w:val="center"/>
            <w:hideMark/>
          </w:tcPr>
          <w:p w14:paraId="030E0364"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Critical care</w:t>
            </w:r>
          </w:p>
        </w:tc>
        <w:tc>
          <w:tcPr>
            <w:tcW w:w="1541" w:type="dxa"/>
            <w:noWrap/>
            <w:vAlign w:val="center"/>
            <w:hideMark/>
          </w:tcPr>
          <w:p w14:paraId="4BA4C501"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0B26A19E"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6412E43E"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All cause in-hospital mortality</w:t>
            </w:r>
          </w:p>
        </w:tc>
      </w:tr>
      <w:tr w:rsidR="00A427B2" w:rsidRPr="00A427B2" w14:paraId="3208793C" w14:textId="77777777" w:rsidTr="001B1FC9">
        <w:trPr>
          <w:trHeight w:val="510"/>
        </w:trPr>
        <w:tc>
          <w:tcPr>
            <w:tcW w:w="1701" w:type="dxa"/>
            <w:noWrap/>
            <w:vAlign w:val="center"/>
            <w:hideMark/>
          </w:tcPr>
          <w:p w14:paraId="5DF44A74"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Y Aperstein</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{"citationItems":[{"id":"ITEM-1","itemData":{"DOI":"10.1371/journal.pone.0222599","ISBN":"1111111111","ISSN":"19326203","PMID":"31568512","abstract":"Background The Sequential Organ Failure Assessment (SOFA) score is commonly used in ICUs around the world, designed to assess the severity of the patient’s clinical state based on function/ dysfunction of six major organ systems. The goal of this work is to build a computational model to predict mortality based on a series of SOFA scores. In addition, we examined the possibility of improving the prediction by incorporating a new component designed to measure the performance of the gastrointestinal system, added to the other six components. Methods In this retrospective study, we used patients’ three latest SOFA scores recorded during an individual ICU stay as input to different machine learning models and ensemble learning models. We added three validated parameters representing gastrointestinal failure. Among others, we used classification models such as Support Vector Machines (SVMs), Neural Networks, Logistic Regression and a penalty function used to increase model robustness in regard to certain extreme cases, which may be found in ICU population. We used the Area under Curve (AUC) performance metric to examine performance. Results We found an ensemble model of linear and logistic regression achieves a higher AUC compared related works in past years. After incorporating the gastrointestinal failure score along with the penalty function, our best performing ensemble model resulted in an additional improvement in terms of AUC metrics. We implemented and compared 36 different models that were built using both the information from the SOFA score as well as that of the gastrointestinal system. All compared models have approximately similar and relatively large AUC (between 0.8645 and 0.9146) with the best results are achieved by incorporating the gastrointestinal parameters into the prediction models. Conclusions Our findings indicate that gastrointestinal parameters carry significant information as a mortality predictor in addition to the conventional SOFA score. This information improves the predictive power of machine learning models by extending the SOFA to include information related to gastrointestinal organ system. The described method improves mortality prediction by considering the dynamics of the extended SOFA score. Although tested on a limited data set, the results’ stability across different models suggests robustness in real-time use.","author":[{"dropping-particle":"","family":"Aperstein","given":"Yehudit","non-dropping-particle":"","parse-names":false,"suffix":""},{"dropping-particle":"","family":"Cohen","given":"Lidor","non-dropping-particle":"","parse-names":false,"suffix":""},{"dropping-particle":"","family":"Bendavid","given":"Itai","non-dropping-particle":"","parse-names":false,"suffix":""},{"dropping-particle":"","family":"Cohen","given":"Jonathan","non-dropping-particle":"","parse-names":false,"suffix":""},{"dropping-particle":"","family":"Grozovsky","given":"Elad","non-dropping-particle":"","parse-names":false,"suffix":""},{"dropping-particle":"","family":"Rotem","given":"Tammy","non-dropping-particle":"","parse-names":false,"suffix":""},{"dropping-particle":"","family":"Singer","given":"Pierre","non-dropping-particle":"","parse-names":false,"suffix":""}],"container-title":"PLoS ONE","id":"ITEM-1","issue":"9","issued":{"date-parts":[["2019"]]},"page":"1-11","title":"Improved ICU mortality prediction based on SOFA scores and gastrointestinal parameters","type":"article-journal","volume":"14"},"uris":["http://www.mendeley.com/documents/?uuid=b48a63f0-4865-4aad-8793-d5f7280630c6"]}],"mendeley":{"formattedCitation":"&lt;sup&gt;103&lt;/sup&gt;","plainTextFormattedCitation":"103","previouslyFormattedCitation":"&lt;sup&gt;102&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103</w:t>
            </w:r>
            <w:r w:rsidRPr="00A427B2">
              <w:rPr>
                <w:rFonts w:ascii="Segoe UI" w:eastAsia="Times New Roman" w:hAnsi="Segoe UI" w:cs="Segoe UI"/>
                <w:color w:val="000000"/>
                <w:sz w:val="16"/>
                <w:szCs w:val="16"/>
              </w:rPr>
              <w:fldChar w:fldCharType="end"/>
            </w:r>
          </w:p>
        </w:tc>
        <w:tc>
          <w:tcPr>
            <w:tcW w:w="2122" w:type="dxa"/>
            <w:vAlign w:val="center"/>
          </w:tcPr>
          <w:p w14:paraId="7FD93235"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PLoS ONE</w:t>
            </w:r>
          </w:p>
        </w:tc>
        <w:tc>
          <w:tcPr>
            <w:tcW w:w="850" w:type="dxa"/>
            <w:vAlign w:val="center"/>
          </w:tcPr>
          <w:p w14:paraId="4A6814F0"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2.740</w:t>
            </w:r>
          </w:p>
        </w:tc>
        <w:tc>
          <w:tcPr>
            <w:tcW w:w="1276" w:type="dxa"/>
            <w:vAlign w:val="center"/>
          </w:tcPr>
          <w:p w14:paraId="15F8146E"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6934803F"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Critical care</w:t>
            </w:r>
          </w:p>
        </w:tc>
        <w:tc>
          <w:tcPr>
            <w:tcW w:w="1541" w:type="dxa"/>
            <w:noWrap/>
            <w:vAlign w:val="center"/>
            <w:hideMark/>
          </w:tcPr>
          <w:p w14:paraId="1E28EB3F"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22D59B1E"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77AC8F7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ICU mortality</w:t>
            </w:r>
          </w:p>
        </w:tc>
      </w:tr>
      <w:tr w:rsidR="00A427B2" w:rsidRPr="00A427B2" w14:paraId="6507E6DE" w14:textId="77777777" w:rsidTr="001B1FC9">
        <w:trPr>
          <w:trHeight w:val="510"/>
        </w:trPr>
        <w:tc>
          <w:tcPr>
            <w:tcW w:w="1701" w:type="dxa"/>
            <w:noWrap/>
            <w:vAlign w:val="center"/>
            <w:hideMark/>
          </w:tcPr>
          <w:p w14:paraId="0A1FC4D9"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J Park</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{"citationItems":[{"id":"ITEM-1","itemData":{"DOI":"10.2196/11757","ISSN":"14388871","PMID":"30767907","abstract":"Background: Prevention and management of chronic diseases are the main goals of national health maintenance programs. Previously widely used screening tools, such as Health Risk Appraisal, are restricted in their achievement this goal due to their limitations, such as static characteristics, accessibility, and generalizability. Hypertension is one of the most important chronic diseases requiring management via the nationwide health maintenance program, and health care providers should inform patients about their risks of a complication caused by hypertension. Objective: Our goal was to develop and compare machine learning models predicting high-risk vascular diseases for hypertensive patients so that they can manage their blood pressure based on their risk level. Methods: We used a 12-year longitudinal dataset of the nationwide sample cohort, which contains the data of 514,866 patients and allows tracking of patients’ medical history across all health care providers in Korea (N=51,920). To ensure the generalizability of our models, we conducted an external validation using another national sample cohort dataset, comprising one million different patients, published by the National Health Insurance Service. From each dataset, we obtained the data of 74,535 and 59,738 patients with essential hypertension and developed machine learning models for predicting cardiovascular and cerebrovascular events. Six machine learning models were developed and compared for evaluating performances based on validation metrics. Results: Machine learning algorithms enabled us to detect high-risk patients based on their medical history. The long short-term memory-based algorithm outperformed in the within test (F1-score=.772, external test F1-score=.613), and the random forest-based algorithm of risk prediction showed better performance over other machine learning algorithms concerning generalization (within test F1-score=.757, external test F1-score=.705). Concerning the number of features, in the within test, the long short-term memory-based algorithms outperformed regardless of the number of features. However, in the external test, the random forest-based algorithm was the best, irrespective of the number of features it encountered. Conclusions: We developed and compared machine learning models predicting high-risk vascular diseases in hypertensive patients so that they may manage their blood pressure based on their risk level. By relying on the prediction model, a governme…","author":[{"dropping-particle":"","family":"Park","given":"Jaram","non-dropping-particle":"","parse-names":false,"suffix":""},{"dropping-particle":"","family":"Kim","given":"Jeong Whun","non-dropping-particle":"","parse-names":false,"suffix":""},{"dropping-particle":"","family":"Ryu","given":"Borim","non-dropping-particle":"","parse-names":false,"suffix":""},{"dropping-particle":"","family":"Heo","given":"Eunyoung","non-dropping-particle":"","parse-names":false,"suffix":""},{"dropping-particle":"","family":"Jung","given":"Se Young","non-dropping-particle":"","parse-names":false,"suffix":""},{"dropping-particle":"","family":"Yoo","given":"Sooyoung","non-dropping-particle":"","parse-names":false,"suffix":""}],"container-title":"Journal of Medical Internet Research","id":"ITEM-1","issue":"2","issued":{"date-parts":[["2019"]]},"title":"Patient-level prediction of cardio-cerebrovascular events in hypertension using nationwide claims data","type":"article-journal","volume":"21"},"uris":["http://www.mendeley.com/documents/?uuid=cadc2c9a-89ca-424c-9ece-fbca317b5286"]}],"mendeley":{"formattedCitation":"&lt;sup&gt;104&lt;/sup&gt;","plainTextFormattedCitation":"104","previouslyFormattedCitation":"&lt;sup&gt;103&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104</w:t>
            </w:r>
            <w:r w:rsidRPr="00A427B2">
              <w:rPr>
                <w:rFonts w:ascii="Segoe UI" w:eastAsia="Times New Roman" w:hAnsi="Segoe UI" w:cs="Segoe UI"/>
                <w:color w:val="000000"/>
                <w:sz w:val="16"/>
                <w:szCs w:val="16"/>
              </w:rPr>
              <w:fldChar w:fldCharType="end"/>
            </w:r>
          </w:p>
        </w:tc>
        <w:tc>
          <w:tcPr>
            <w:tcW w:w="2122" w:type="dxa"/>
            <w:vAlign w:val="center"/>
          </w:tcPr>
          <w:p w14:paraId="7FCF6855"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Journal of Medical Internet Research</w:t>
            </w:r>
          </w:p>
        </w:tc>
        <w:tc>
          <w:tcPr>
            <w:tcW w:w="850" w:type="dxa"/>
            <w:vAlign w:val="center"/>
          </w:tcPr>
          <w:p w14:paraId="52E28B39"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5.034</w:t>
            </w:r>
          </w:p>
        </w:tc>
        <w:tc>
          <w:tcPr>
            <w:tcW w:w="1276" w:type="dxa"/>
            <w:vAlign w:val="center"/>
          </w:tcPr>
          <w:p w14:paraId="5803FDC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2C2B564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Cardiovascular medicine</w:t>
            </w:r>
          </w:p>
        </w:tc>
        <w:tc>
          <w:tcPr>
            <w:tcW w:w="1541" w:type="dxa"/>
            <w:noWrap/>
            <w:vAlign w:val="center"/>
            <w:hideMark/>
          </w:tcPr>
          <w:p w14:paraId="15995788"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36BFB44E"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with external validation (same model)</w:t>
            </w:r>
          </w:p>
        </w:tc>
        <w:tc>
          <w:tcPr>
            <w:tcW w:w="2860" w:type="dxa"/>
            <w:noWrap/>
            <w:vAlign w:val="center"/>
            <w:hideMark/>
          </w:tcPr>
          <w:p w14:paraId="7374DB24"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Cardio-cerebrovascular event in patients with hypertension</w:t>
            </w:r>
          </w:p>
        </w:tc>
      </w:tr>
      <w:tr w:rsidR="00A427B2" w:rsidRPr="00A427B2" w14:paraId="69DE91C7" w14:textId="77777777" w:rsidTr="001B1FC9">
        <w:trPr>
          <w:trHeight w:val="510"/>
        </w:trPr>
        <w:tc>
          <w:tcPr>
            <w:tcW w:w="1701" w:type="dxa"/>
            <w:noWrap/>
            <w:vAlign w:val="center"/>
            <w:hideMark/>
          </w:tcPr>
          <w:p w14:paraId="7B30B6F9"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 Gökçay</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{"citationItems":[{"id":"ITEM-1","itemData":{"DOI":"10.1109/JBHI.2018.2844300","ISSN":"21682208","abstract":"Among several features used for clinical binary classification, behavioral performance, questionnaire scores, test results, and physical exam reports can be counted. Attempts to include neuroimaging findings to support clinical diagnosis are scarce due to difficulties in collecting such data, as well as problems in integration of neuroimaging findings with other features. The binary classification method proposed here aims to merge small samples from multiple sites so that a large cohort, which better describes the features of the disease can be built. We implemented a simple and robust framework for detection of fibromyalgia, using likelihood during decision level fusion. This framework supports sharing of classifier applications across clinical sites and arrives at a decision by fusing results from multiple classifiers. If there are missing opinions from some classifiers due to inability to collect their input features, such degradation in information is tolerated. We implemented this method using functional near infrared spectroscopy (fNIRS) data collected from fibromyalgia patients across three different tasks. Functional connectivity maps are derived from these tasks as features. In addition, self-reported clinical features are also used. Five classifiers are trained using k nearest neighborhood (kNN), linear discriminant analysis (LDA), and support vector machine (SVM). Fusion of classification opinions from multiple classifiers based on likelihood ratios outperformed individual classifier performances. When 2, 3, 4, and 5 different classifiers are fused, sensitivity, and specificity figures of 100% could be obtained based on the choice of the classifier set.","author":[{"dropping-particle":"","family":"Gökçay","given":"Didem","non-dropping-particle":"","parse-names":false,"suffix":""},{"dropping-particle":"","family":"Eken","given":"Aykut","non-dropping-particle":"","parse-names":false,"suffix":""},{"dropping-particle":"","family":"Baltaci","given":"Serdar","non-dropping-particle":"","parse-names":false,"suffix":""}],"container-title":"IEEE Journal of Biomedical and Health Informatics","id":"ITEM-1","issue":"4","issued":{"date-parts":[["2019"]]},"page":"1490-1498","title":"Binary Classification Using Neural and Clinical Features: An Application in Fibromyalgia with Likelihood-Based Decision Level Fusion","type":"article-journal","volume":"23"},"uris":["http://www.mendeley.com/documents/?uuid=d458f73b-f535-47d9-88c9-d4d085fa5298"]}],"mendeley":{"formattedCitation":"&lt;sup&gt;105&lt;/sup&gt;","plainTextFormattedCitation":"105","previouslyFormattedCitation":"&lt;sup&gt;104&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105</w:t>
            </w:r>
            <w:r w:rsidRPr="00A427B2">
              <w:rPr>
                <w:rFonts w:ascii="Segoe UI" w:eastAsia="Times New Roman" w:hAnsi="Segoe UI" w:cs="Segoe UI"/>
                <w:color w:val="000000"/>
                <w:sz w:val="16"/>
                <w:szCs w:val="16"/>
              </w:rPr>
              <w:fldChar w:fldCharType="end"/>
            </w:r>
          </w:p>
        </w:tc>
        <w:tc>
          <w:tcPr>
            <w:tcW w:w="2122" w:type="dxa"/>
            <w:vAlign w:val="center"/>
          </w:tcPr>
          <w:p w14:paraId="16E876FB"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IEEE Journal of Biomedical and Health Informatics</w:t>
            </w:r>
          </w:p>
        </w:tc>
        <w:tc>
          <w:tcPr>
            <w:tcW w:w="850" w:type="dxa"/>
            <w:vAlign w:val="center"/>
          </w:tcPr>
          <w:p w14:paraId="6F292CD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5.223</w:t>
            </w:r>
          </w:p>
        </w:tc>
        <w:tc>
          <w:tcPr>
            <w:tcW w:w="1276" w:type="dxa"/>
            <w:vAlign w:val="center"/>
          </w:tcPr>
          <w:p w14:paraId="19AADE2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4B1A075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Rheumatology</w:t>
            </w:r>
          </w:p>
        </w:tc>
        <w:tc>
          <w:tcPr>
            <w:tcW w:w="1541" w:type="dxa"/>
            <w:noWrap/>
            <w:vAlign w:val="center"/>
            <w:hideMark/>
          </w:tcPr>
          <w:p w14:paraId="409867C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Diagnosis</w:t>
            </w:r>
          </w:p>
        </w:tc>
        <w:tc>
          <w:tcPr>
            <w:tcW w:w="2481" w:type="dxa"/>
            <w:noWrap/>
            <w:vAlign w:val="center"/>
            <w:hideMark/>
          </w:tcPr>
          <w:p w14:paraId="31D20899"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61A09E1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Fibromyalgia</w:t>
            </w:r>
          </w:p>
        </w:tc>
      </w:tr>
      <w:tr w:rsidR="00A427B2" w:rsidRPr="00A427B2" w14:paraId="6AD971CA" w14:textId="77777777" w:rsidTr="001B1FC9">
        <w:trPr>
          <w:trHeight w:val="510"/>
        </w:trPr>
        <w:tc>
          <w:tcPr>
            <w:tcW w:w="1701" w:type="dxa"/>
            <w:noWrap/>
            <w:vAlign w:val="center"/>
            <w:hideMark/>
          </w:tcPr>
          <w:p w14:paraId="1A8B77EE"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R Gupta</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{"citationItems":[{"id":"ITEM-1","itemData":{"DOI":"10.1016/j.jcjo.2018.08.004","ISSN":"17153360","abstract":"Objective: This study was conducted to identify factors associated with visual outcome in patients with open globe injuries (OGIs). Design: Retrospective case series of OGIs presenting to a tertiary eye care institute in North India from October 2009 to December 2016. Methods: A total of 157 patients with open globe injury have been included in the study. Multivariate analysis to ascertain the effects of different identified variables on the likelihood of poor visual outcome was done using binomial logistic regression. “Visual survival” (counting fingers or better) versus “minimal/no vision” (hand motion, light perception, and no light perception) was predicted using the classification and regression tree (CART) model. Main outcome measures were visual outcomes, risk factors, and rates of postoperative complications. Results: Univariate analysis determined 9 predictors associated with poor visual outcome. Out of these, presence of relative afferent pupillary defect (RAPD), poor presenting visual acuity, presence of adnexal injuries, and location of injuries were the most significant predictors of vision loss. Absence of RAPD led to 79% chance of vision survival. Sixty-eight percent of patients with RAPD and initial visual acuity (VA) of less than 6/60 resulted in poor vision. Conclusion: The CART model is useful in predicting final VA based on some prognostic factors present initially.","author":[{"dropping-particle":"","family":"Gupta","given":"Richa","non-dropping-particle":"","parse-names":false,"suffix":""},{"dropping-particle":"","family":"Gupta","given":"Surabhi","non-dropping-particle":"","parse-names":false,"suffix":""},{"dropping-particle":"","family":"Chauhan","given":"Lokesh","non-dropping-particle":"","parse-names":false,"suffix":""}],"container-title":"Canadian Journal of Ophthalmology","id":"ITEM-1","issue":"4","issued":{"date-parts":[["2019"]]},"page":"473-478","publisher":"Elsevier Inc.","title":"Predicting visual outcome after open globe injury using classification and regression tree model: the Moradabad ocular trauma study","type":"article-journal","volume":"54"},"uris":["http://www.mendeley.com/documents/?uuid=53a18d3f-291d-4d7a-b0ce-f32e87503191"]}],"mendeley":{"formattedCitation":"&lt;sup&gt;106&lt;/sup&gt;","plainTextFormattedCitation":"106","previouslyFormattedCitation":"&lt;sup&gt;105&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106</w:t>
            </w:r>
            <w:r w:rsidRPr="00A427B2">
              <w:rPr>
                <w:rFonts w:ascii="Segoe UI" w:eastAsia="Times New Roman" w:hAnsi="Segoe UI" w:cs="Segoe UI"/>
                <w:color w:val="000000"/>
                <w:sz w:val="16"/>
                <w:szCs w:val="16"/>
              </w:rPr>
              <w:fldChar w:fldCharType="end"/>
            </w:r>
          </w:p>
        </w:tc>
        <w:tc>
          <w:tcPr>
            <w:tcW w:w="2122" w:type="dxa"/>
            <w:vAlign w:val="center"/>
          </w:tcPr>
          <w:p w14:paraId="7384A9DE"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Canadian Journal of Ophthalmology</w:t>
            </w:r>
          </w:p>
        </w:tc>
        <w:tc>
          <w:tcPr>
            <w:tcW w:w="850" w:type="dxa"/>
            <w:vAlign w:val="center"/>
          </w:tcPr>
          <w:p w14:paraId="4375A3A2"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1.369</w:t>
            </w:r>
          </w:p>
        </w:tc>
        <w:tc>
          <w:tcPr>
            <w:tcW w:w="1276" w:type="dxa"/>
            <w:vAlign w:val="center"/>
          </w:tcPr>
          <w:p w14:paraId="13134C9B"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666E861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Ophthalmology</w:t>
            </w:r>
          </w:p>
        </w:tc>
        <w:tc>
          <w:tcPr>
            <w:tcW w:w="1541" w:type="dxa"/>
            <w:noWrap/>
            <w:vAlign w:val="center"/>
            <w:hideMark/>
          </w:tcPr>
          <w:p w14:paraId="391BDC0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7CD4DC0B"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0D0A9A98"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Visual outcome after open globe injury</w:t>
            </w:r>
          </w:p>
        </w:tc>
      </w:tr>
      <w:tr w:rsidR="00A427B2" w:rsidRPr="00A427B2" w14:paraId="6279C1C3" w14:textId="77777777" w:rsidTr="001B1FC9">
        <w:trPr>
          <w:trHeight w:val="510"/>
        </w:trPr>
        <w:tc>
          <w:tcPr>
            <w:tcW w:w="1701" w:type="dxa"/>
            <w:noWrap/>
            <w:vAlign w:val="center"/>
            <w:hideMark/>
          </w:tcPr>
          <w:p w14:paraId="32EF318B"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AH Butt</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{"citationItems":[{"id":"ITEM-1","itemData":{"DOI":"10.1186/s12938-018-0600-7","ISSN":"1475925X","abstract":"Background: The main objective of this paper is to develop and test the ability of the Leap Motion controller (LMC) to assess the motor dysfunction in patients with Parkinson disease (PwPD) based on the MDS-UPDRSIII exercises. Four exercises (thumb forefinger tapping, hand opening/closing, pronation/supination, postural tremor) were used to evaluate the characteristics described in MDS-UPDRSIII. Clinical ratings according to the MDS/UPDRS-section III items were used as target. For that purpose, 16 participants with PD and 12 healthy people were recruited in Ospedale Cisanello, Pisa, Italy. The participants performed standardized hand movements with camera-based marker. Time and frequency domain features related to velocity, angle, amplitude, and frequency were derived from the LMC data. Results: Different machine learning techniques were used to classify the PD and healthy subjects by comparing the subjective scale given by neurologists against the predicted diagnosis from the machine learning classifiers. Feature selection methods were used to choose the most significant features. Logistic regression (LR), naive Bayes (NB), and support vector machine (SVM) were trained with tenfold cross validation with selected features. The maximum obtained classification accuracy with LR was 70.37%; the average area under the ROC curve (AUC) was 0.831. The obtained classification accuracy with NB was 81.4%, with AUC of 0.811. The obtained classification accuracy with SVM was 74.07%, with AUC of 0.675. Conclusions: Results revealed that the system did not return clinically meaningful data for measuring postural tremor in PwPD. In addition, it showed limited potential to measure the forearm pronation/supination. In contrast, for finger tapping and hand opening/closing, the derived parameters showed statistical and clinical significance. Future studies should continue to validate the LMC as updated versions of the software are developed. The obtained results support the fact that most of the set of selected features contributed significantly to classify the PwPD and healthy subjects.","author":[{"dropping-particle":"","family":"Butt","given":"A. H.","non-dropping-particle":"","parse-names":false,"suffix":""},{"dropping-particle":"","family":"Rovini","given":"E.","non-dropping-particle":"","parse-names":false,"suffix":""},{"dropping-particle":"","family":"Dolciotti","given":"C.","non-dropping-particle":"","parse-names":false,"suffix":""},{"dropping-particle":"","family":"Petris","given":"G.","non-dropping-particle":"De","parse-names":false,"suffix":""},{"dropping-particle":"","family":"Bongioanni","given":"P.","non-dropping-particle":"","parse-names":false,"suffix":""},{"dropping-particle":"","family":"Carboncini","given":"M. C.","non-dropping-particle":"","parse-names":false,"suffix":""},{"dropping-particle":"","family":"Cavallo","given":"F.","non-dropping-particle":"","parse-names":false,"suffix":""}],"container-title":"BioMedical Engineering Online","id":"ITEM-1","issue":"1","issued":{"date-parts":[["2018"]]},"page":"1-21","publisher":"BioMed Central","title":"Objective and automatic classifcation of Parkinson disease with Leap Motion controller","type":"article-journal","volume":"17"},"uris":["http://www.mendeley.com/documents/?uuid=049d5c19-149d-4f4a-8720-7f4abddeb5ac"]}],"mendeley":{"formattedCitation":"&lt;sup&gt;107&lt;/sup&gt;","plainTextFormattedCitation":"107","previouslyFormattedCitation":"&lt;sup&gt;106&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107</w:t>
            </w:r>
            <w:r w:rsidRPr="00A427B2">
              <w:rPr>
                <w:rFonts w:ascii="Segoe UI" w:eastAsia="Times New Roman" w:hAnsi="Segoe UI" w:cs="Segoe UI"/>
                <w:color w:val="000000"/>
                <w:sz w:val="16"/>
                <w:szCs w:val="16"/>
              </w:rPr>
              <w:fldChar w:fldCharType="end"/>
            </w:r>
          </w:p>
        </w:tc>
        <w:tc>
          <w:tcPr>
            <w:tcW w:w="2122" w:type="dxa"/>
            <w:vAlign w:val="center"/>
          </w:tcPr>
          <w:p w14:paraId="1D4C6F59"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BioMedical Engineering OnLine</w:t>
            </w:r>
          </w:p>
        </w:tc>
        <w:tc>
          <w:tcPr>
            <w:tcW w:w="850" w:type="dxa"/>
            <w:vAlign w:val="center"/>
          </w:tcPr>
          <w:p w14:paraId="1858789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2.013</w:t>
            </w:r>
          </w:p>
        </w:tc>
        <w:tc>
          <w:tcPr>
            <w:tcW w:w="1276" w:type="dxa"/>
            <w:vAlign w:val="center"/>
          </w:tcPr>
          <w:p w14:paraId="1517B2E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2018</w:t>
            </w:r>
          </w:p>
        </w:tc>
        <w:tc>
          <w:tcPr>
            <w:tcW w:w="1559" w:type="dxa"/>
            <w:noWrap/>
            <w:vAlign w:val="center"/>
            <w:hideMark/>
          </w:tcPr>
          <w:p w14:paraId="4936B3D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Neurology</w:t>
            </w:r>
          </w:p>
        </w:tc>
        <w:tc>
          <w:tcPr>
            <w:tcW w:w="1541" w:type="dxa"/>
            <w:noWrap/>
            <w:vAlign w:val="center"/>
            <w:hideMark/>
          </w:tcPr>
          <w:p w14:paraId="529DFEDE"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Diagnosis</w:t>
            </w:r>
          </w:p>
        </w:tc>
        <w:tc>
          <w:tcPr>
            <w:tcW w:w="2481" w:type="dxa"/>
            <w:noWrap/>
            <w:vAlign w:val="center"/>
            <w:hideMark/>
          </w:tcPr>
          <w:p w14:paraId="12477A98"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5B36DAEE"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 xml:space="preserve">Patients with Parkinson disease </w:t>
            </w:r>
          </w:p>
        </w:tc>
      </w:tr>
      <w:tr w:rsidR="00A427B2" w:rsidRPr="00A427B2" w14:paraId="6A7DD470" w14:textId="77777777" w:rsidTr="001B1FC9">
        <w:trPr>
          <w:trHeight w:val="510"/>
        </w:trPr>
        <w:tc>
          <w:tcPr>
            <w:tcW w:w="1701" w:type="dxa"/>
            <w:noWrap/>
            <w:vAlign w:val="center"/>
            <w:hideMark/>
          </w:tcPr>
          <w:p w14:paraId="740B45DB"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lastRenderedPageBreak/>
              <w:t>HS Hunter-Zinck</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{"citationItems":[{"id":"ITEM-1","itemData":{"DOI":"10.1093/jamia/ocz171","ISSN":"1527974X","abstract":"Objective: Emergency departments (EDs) continue to pursue optimal patient flow without sacrificing quality of care. The speed with which a healthcare provider receives pertinent information, such as results from clinical orders, can impact flow. We seek to determine if clinical ordering behavior can be predicted at triage during an ED visit. Materials and Methods: Using data available during triage, we trained multilabel machine learning classifiers to predict clinical orders placed during an ED visit. We benchmarked 4 classifiers with 2 multilabel learning frameworks that predict orders independently (binary relevance) or simultaneously (random k-labelsets). We evaluated algorithm performance, calculated variable importance, and conducted a simple simulation study to examine the effects of algorithm implementation on length of stay and cost. Results: Aggregate performance across orders was highest when predicting orders independently with a multilayer perceptron (median F1 score = 0.56), but prediction frameworks that simultaneously predict orders for a visit enhanced predictive performance for correlated orders. Visit acuity was the most important predictor for most orders. Simulation results indicated that direct implementation of the model would increase ordering costs (from $21 to $45 per visit) but reduce length of stay (from 158 minutes to 151 minutes) over all visits. Discussion: Simulated implementations of the predictive algorithm decreased length of stay but increased ordering costs. Optimal implementation of these predictions to reduce patient length of stay without incurring additional costs requires more exploration. Conclusions: It is possible to predict common clinical orders placed during an ED visit with data available at triage.","author":[{"dropping-particle":"","family":"Hunter-Zinck","given":"Haley S.","non-dropping-particle":"","parse-names":false,"suffix":""},{"dropping-particle":"","family":"Peck","given":"Jordan S.","non-dropping-particle":"","parse-names":false,"suffix":""},{"dropping-particle":"","family":"Strout","given":"Tania D.","non-dropping-particle":"","parse-names":false,"suffix":""},{"dropping-particle":"","family":"Gaehde","given":"Stephan A.","non-dropping-particle":"","parse-names":false,"suffix":""}],"container-title":"Journal of the American Medical Informatics Association","id":"ITEM-1","issue":"12","issued":{"date-parts":[["2019"]]},"page":"1427-1436","title":"Predicting emergency department orders with multilabel machine learning techniques and simulating effects on length of stay","type":"article-journal","volume":"26"},"uris":["http://www.mendeley.com/documents/?uuid=95c005d2-e056-4960-b589-02173755ee1e"]}],"mendeley":{"formattedCitation":"&lt;sup&gt;108&lt;/sup&gt;","plainTextFormattedCitation":"108","previouslyFormattedCitation":"&lt;sup&gt;107&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108</w:t>
            </w:r>
            <w:r w:rsidRPr="00A427B2">
              <w:rPr>
                <w:rFonts w:ascii="Segoe UI" w:eastAsia="Times New Roman" w:hAnsi="Segoe UI" w:cs="Segoe UI"/>
                <w:color w:val="000000"/>
                <w:sz w:val="16"/>
                <w:szCs w:val="16"/>
              </w:rPr>
              <w:fldChar w:fldCharType="end"/>
            </w:r>
          </w:p>
        </w:tc>
        <w:tc>
          <w:tcPr>
            <w:tcW w:w="2122" w:type="dxa"/>
            <w:vAlign w:val="center"/>
          </w:tcPr>
          <w:p w14:paraId="6F83D19A"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Journal of the American Medical Informatics Association</w:t>
            </w:r>
          </w:p>
        </w:tc>
        <w:tc>
          <w:tcPr>
            <w:tcW w:w="850" w:type="dxa"/>
            <w:vAlign w:val="center"/>
          </w:tcPr>
          <w:p w14:paraId="2F0CE24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4.112</w:t>
            </w:r>
          </w:p>
        </w:tc>
        <w:tc>
          <w:tcPr>
            <w:tcW w:w="1276" w:type="dxa"/>
            <w:vAlign w:val="center"/>
          </w:tcPr>
          <w:p w14:paraId="1C5195D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00EDF6A2"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Healthcare services</w:t>
            </w:r>
          </w:p>
        </w:tc>
        <w:tc>
          <w:tcPr>
            <w:tcW w:w="1541" w:type="dxa"/>
            <w:noWrap/>
            <w:vAlign w:val="center"/>
            <w:hideMark/>
          </w:tcPr>
          <w:p w14:paraId="441B47B1"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Diagnosis</w:t>
            </w:r>
          </w:p>
        </w:tc>
        <w:tc>
          <w:tcPr>
            <w:tcW w:w="2481" w:type="dxa"/>
            <w:noWrap/>
            <w:vAlign w:val="center"/>
            <w:hideMark/>
          </w:tcPr>
          <w:p w14:paraId="659A3CE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691F2290"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Emergency department orders</w:t>
            </w:r>
          </w:p>
        </w:tc>
      </w:tr>
      <w:tr w:rsidR="00A427B2" w:rsidRPr="00A427B2" w14:paraId="3630F5D7" w14:textId="77777777" w:rsidTr="001B1FC9">
        <w:trPr>
          <w:trHeight w:val="510"/>
        </w:trPr>
        <w:tc>
          <w:tcPr>
            <w:tcW w:w="1701" w:type="dxa"/>
            <w:noWrap/>
            <w:vAlign w:val="center"/>
            <w:hideMark/>
          </w:tcPr>
          <w:p w14:paraId="784BBCA1"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A Kilic</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{"citationItems":[{"id":"ITEM-1","itemData":{"DOI":"10.1016/j.athoracsur.2019.09.049","ISSN":"15526259","abstract":"Background: This study evaluated the predictive utility of a machine learning algorithm in estimating operative mortality risk in cardiac surgery. Methods: Index adult cardiac operations performed between 2011 and 2017 at a single institution were included. The primary outcome was operative mortality. Extreme gradient boosting (XGBoost) models were developed and evaluated using 10-fold cross-validation with 1000-replication bootstrapping. Model performance was assessed using multiple measures including precision, recall, calibration plots, area under the receiver-operating characteristic curve (C-index), accuracy, and F1 score. Results: A total of 11,190 patients were included (7048 isolated coronary artery bypass grafting [CABG], 2507 isolated valves, and 1635 CABG plus valves). The Society of Thoracic Surgeons Predicted Risk of Mortality (STS PROM) was 3.2% ± 5.0%. Actual operative mortality was 2.8%. There was moderate correlation (r = 0.652) in predicted risk between XGBoost and STS PROM for the overall cohort and weak correlation (r = 0.473) in predicted risk between the models specifically in patients with operative mortality. XGBoost demonstrated improvements in all measures of model performance when compared with the STS PROM in the validation cohorts: mean average precision (0.221 XGBoost vs 0.180 STS PROM), C-index (0.808 XGBoost vs 0.795 STS PROM), calibration (mean observed-to-expected mortality: XGBoost 0.993 vs 0.956 STS PROM), accuracy (1%-3% improvement across discriminatory thresholds of 3%-10% risk), and F1 score (0.281 XGBoost vs 0.230 STS PROM). Conclusions: Machine learning algorithms such as XGBoost have promise in predictive analytics in cardiac surgery. The modest improvements in model performance demonstrated in the current study warrant further validation in larger cohorts of patients.","author":[{"dropping-particle":"","family":"Kilic","given":"Arman","non-dropping-particle":"","parse-names":false,"suffix":""},{"dropping-particle":"","family":"Goyal","given":"Anshul","non-dropping-particle":"","parse-names":false,"suffix":""},{"dropping-particle":"","family":"Miller","given":"James K.","non-dropping-particle":"","parse-names":false,"suffix":""},{"dropping-particle":"","family":"Gjekmarkaj","given":"Eva","non-dropping-particle":"","parse-names":false,"suffix":""},{"dropping-particle":"","family":"Tam","given":"Weng Lam","non-dropping-particle":"","parse-names":false,"suffix":""},{"dropping-particle":"","family":"Gleason","given":"Thomas G.","non-dropping-particle":"","parse-names":false,"suffix":""},{"dropping-particle":"","family":"Sultan","given":"Ibrahim","non-dropping-particle":"","parse-names":false,"suffix":""},{"dropping-particle":"","family":"Dubrawksi","given":"Artur","non-dropping-particle":"","parse-names":false,"suffix":""}],"container-title":"Annals of Thoracic Surgery","id":"ITEM-1","issued":{"date-parts":[["2020"]]},"publisher":"Elsevier","title":"Predictive Utility of a Machine Learning Algorithm in Estimating Mortality Risk in Cardiac Surgery","type":"article-journal"},"uris":["http://www.mendeley.com/documents/?uuid=15b71d3b-a399-42a7-abdb-91f753d8ee85"]}],"mendeley":{"formattedCitation":"&lt;sup&gt;109&lt;/sup&gt;","plainTextFormattedCitation":"109","previouslyFormattedCitation":"&lt;sup&gt;108&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109</w:t>
            </w:r>
            <w:r w:rsidRPr="00A427B2">
              <w:rPr>
                <w:rFonts w:ascii="Segoe UI" w:eastAsia="Times New Roman" w:hAnsi="Segoe UI" w:cs="Segoe UI"/>
                <w:color w:val="000000"/>
                <w:sz w:val="16"/>
                <w:szCs w:val="16"/>
              </w:rPr>
              <w:fldChar w:fldCharType="end"/>
            </w:r>
          </w:p>
        </w:tc>
        <w:tc>
          <w:tcPr>
            <w:tcW w:w="2122" w:type="dxa"/>
            <w:vAlign w:val="center"/>
          </w:tcPr>
          <w:p w14:paraId="0C905491"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Annals of Thoracic Surgery</w:t>
            </w:r>
          </w:p>
        </w:tc>
        <w:tc>
          <w:tcPr>
            <w:tcW w:w="850" w:type="dxa"/>
            <w:vAlign w:val="center"/>
          </w:tcPr>
          <w:p w14:paraId="1808FDB1"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3.639</w:t>
            </w:r>
          </w:p>
        </w:tc>
        <w:tc>
          <w:tcPr>
            <w:tcW w:w="1276" w:type="dxa"/>
            <w:vAlign w:val="center"/>
          </w:tcPr>
          <w:p w14:paraId="2BF93FE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14162BA9"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Surgery</w:t>
            </w:r>
          </w:p>
        </w:tc>
        <w:tc>
          <w:tcPr>
            <w:tcW w:w="1541" w:type="dxa"/>
            <w:noWrap/>
            <w:vAlign w:val="center"/>
            <w:hideMark/>
          </w:tcPr>
          <w:p w14:paraId="3195AD9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5631405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3A7F06B4"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Operative mortality</w:t>
            </w:r>
          </w:p>
        </w:tc>
      </w:tr>
      <w:tr w:rsidR="00A427B2" w:rsidRPr="00A427B2" w14:paraId="084AB53B" w14:textId="77777777" w:rsidTr="001B1FC9">
        <w:trPr>
          <w:trHeight w:val="510"/>
        </w:trPr>
        <w:tc>
          <w:tcPr>
            <w:tcW w:w="1701" w:type="dxa"/>
            <w:noWrap/>
            <w:vAlign w:val="center"/>
            <w:hideMark/>
          </w:tcPr>
          <w:p w14:paraId="0F5419C4"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C Campillo-Artero</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{"citationItems":[{"id":"ITEM-1","itemData":{"DOI":"10.1371/journal.pone.0191248","ISBN":"1111111111","ISSN":"19326203","abstract":"Objective To increase discriminatory accuracy (DA) for emergency cesarean sections (ECSs). Study design We prospectively collected data on and studied all 6,157 births occurring in 2014 at four public hospitals located in three different autonomous communities of Spain. To identify risk factors (RFs) for ECS, we used likelihood ratios and logistic regression, fitted a classification tree (CTREE), and analyzed a random forest model (RFM). We used the areas under the receiver-operating-characteristic (ROC) curves (AUCs) to assess their DA. Results The magnitude of the LR+ for all putative individual RFs and ORs in the logistic regression models was low to moderate. Except for parity, all putative RFs were positively associated with ECS, including hospital fixed-effects and night-shift delivery. The DA of all logistic models ranged from 0.74 to 0.81. The most relevant RFs (pH, induction, and previous C-section) in the CTREEs showed the highest ORs in the logistic models. The DA of the RFM and its most relevant interaction terms was even higher (AUC = 0.94; 95% CI: 0.93–0.95). Conclusion Putative fetal, maternal, and contextual RFs alone fail to achieve reasonable DA for ECS. It is the combination of these RFs and the interactions between them at each hospital that make it possible to improve the DA for the type of delivery and tailor interventions through prediction to improve the appropriateness of ECS indications.","author":[{"dropping-particle":"","family":"Campillo-Artero","given":"Carlos","non-dropping-particle":"","parse-names":false,"suffix":""},{"dropping-particle":"","family":"Serra-Burriel","given":"Miquel","non-dropping-particle":"","parse-names":false,"suffix":""},{"dropping-particle":"","family":"Calvo-Pérez","given":"Andrés","non-dropping-particle":"","parse-names":false,"suffix":""}],"container-title":"PLoS ONE","id":"ITEM-1","issue":"1","issued":{"date-parts":[["2018"]]},"page":"1-14","title":"Predictive modeling of emergency cesarean delivery","type":"article-journal","volume":"13"},"uris":["http://www.mendeley.com/documents/?uuid=0792f24f-cc15-41ba-af94-f990a35cd2fb"]}],"mendeley":{"formattedCitation":"&lt;sup&gt;110&lt;/sup&gt;","plainTextFormattedCitation":"110","previouslyFormattedCitation":"&lt;sup&gt;109&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110</w:t>
            </w:r>
            <w:r w:rsidRPr="00A427B2">
              <w:rPr>
                <w:rFonts w:ascii="Segoe UI" w:eastAsia="Times New Roman" w:hAnsi="Segoe UI" w:cs="Segoe UI"/>
                <w:color w:val="000000"/>
                <w:sz w:val="16"/>
                <w:szCs w:val="16"/>
              </w:rPr>
              <w:fldChar w:fldCharType="end"/>
            </w:r>
          </w:p>
        </w:tc>
        <w:tc>
          <w:tcPr>
            <w:tcW w:w="2122" w:type="dxa"/>
            <w:vAlign w:val="center"/>
          </w:tcPr>
          <w:p w14:paraId="286D33D2"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PLoS One</w:t>
            </w:r>
          </w:p>
        </w:tc>
        <w:tc>
          <w:tcPr>
            <w:tcW w:w="850" w:type="dxa"/>
            <w:vAlign w:val="center"/>
          </w:tcPr>
          <w:p w14:paraId="0069BAF0"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2.776</w:t>
            </w:r>
          </w:p>
        </w:tc>
        <w:tc>
          <w:tcPr>
            <w:tcW w:w="1276" w:type="dxa"/>
            <w:vAlign w:val="center"/>
          </w:tcPr>
          <w:p w14:paraId="73352CC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2018</w:t>
            </w:r>
          </w:p>
        </w:tc>
        <w:tc>
          <w:tcPr>
            <w:tcW w:w="1559" w:type="dxa"/>
            <w:noWrap/>
            <w:vAlign w:val="center"/>
            <w:hideMark/>
          </w:tcPr>
          <w:p w14:paraId="5A03B2D9"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Obstetrics &amp; Gynaecology</w:t>
            </w:r>
          </w:p>
        </w:tc>
        <w:tc>
          <w:tcPr>
            <w:tcW w:w="1541" w:type="dxa"/>
            <w:noWrap/>
            <w:vAlign w:val="center"/>
            <w:hideMark/>
          </w:tcPr>
          <w:p w14:paraId="5AF10DEA"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6CAFB71A"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2C104C4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Emergency cesarean section</w:t>
            </w:r>
          </w:p>
        </w:tc>
      </w:tr>
      <w:tr w:rsidR="00A427B2" w:rsidRPr="00A427B2" w14:paraId="04F5BBBB" w14:textId="77777777" w:rsidTr="001B1FC9">
        <w:trPr>
          <w:trHeight w:val="510"/>
        </w:trPr>
        <w:tc>
          <w:tcPr>
            <w:tcW w:w="1701" w:type="dxa"/>
            <w:noWrap/>
            <w:vAlign w:val="center"/>
            <w:hideMark/>
          </w:tcPr>
          <w:p w14:paraId="35175AD2"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ML Zhang</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{"citationItems":[{"id":"ITEM-1","itemData":{"DOI":"10.1093/ajcp/aqz150","ISSN":"19437722","abstract":"Objectives: Peripheral blood flow cytometry (PBFC) is useful for evaluating circulating hematologic malignancies (HM) but has limited diagnostic value for screening. We used machine learning to evaluate whether clinical history and CBC/differential parameters could improve PBFC utilization. Methods: PBFC cases with concurrent/recent CBC/differential were split into training (n = 626) and test (n = 159) cohorts. We classified PBFC results with abnormal blast/lymphoid populations as positive and used two models to predict results. Results: Positive PBFC results were seen in 58% and 21% of training cases with and without prior HM (P &lt;. 001). % neutrophils, absolute lymphocyte count, and % blasts/other cells differed significantly between positive and negative PBFC groups (areas under the curve [AUC] &gt; 0.7). Among test cases, a decision tree model achieved 98% sensitivity and 65% specificity (AUC = 0.906). A logistic regression model achieved 100% sensitivity and 54% specificity (AUC = 0.919). Conclusions: We outline machine learning-based triaging strategies to decrease unnecessary utilization of PBFC by 35% to 40%.","author":[{"dropping-particle":"","family":"Zhang","given":"M. Lisa","non-dropping-particle":"","parse-names":false,"suffix":""},{"dropping-particle":"","family":"Guo","given":"Alan X.","non-dropping-particle":"","parse-names":false,"suffix":""},{"dropping-particle":"","family":"Kadauke","given":"Stephan","non-dropping-particle":"","parse-names":false,"suffix":""},{"dropping-particle":"","family":"Dighe","given":"Anand S.","non-dropping-particle":"","parse-names":false,"suffix":""},{"dropping-particle":"","family":"Baron","given":"Jason M.","non-dropping-particle":"","parse-names":false,"suffix":""},{"dropping-particle":"","family":"Sohani","given":"Aliyah R.","non-dropping-particle":"","parse-names":false,"suffix":""}],"container-title":"American Journal of Clinical Pathology","id":"ITEM-1","issue":"2","issued":{"date-parts":[["2020"]]},"page":"235-242","title":"Machine Learning Models Improve the Diagnostic Yield of Peripheral Blood Flow Cytometry","type":"article-journal","volume":"153"},"uris":["http://www.mendeley.com/documents/?uuid=70e471f4-e6e5-42ed-ac76-ae47eaef542f"]}],"mendeley":{"formattedCitation":"&lt;sup&gt;111&lt;/sup&gt;","plainTextFormattedCitation":"111","previouslyFormattedCitation":"&lt;sup&gt;110&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111</w:t>
            </w:r>
            <w:r w:rsidRPr="00A427B2">
              <w:rPr>
                <w:rFonts w:ascii="Segoe UI" w:eastAsia="Times New Roman" w:hAnsi="Segoe UI" w:cs="Segoe UI"/>
                <w:color w:val="000000"/>
                <w:sz w:val="16"/>
                <w:szCs w:val="16"/>
              </w:rPr>
              <w:fldChar w:fldCharType="end"/>
            </w:r>
          </w:p>
        </w:tc>
        <w:tc>
          <w:tcPr>
            <w:tcW w:w="2122" w:type="dxa"/>
            <w:vAlign w:val="center"/>
          </w:tcPr>
          <w:p w14:paraId="5C040194"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American Journal of Clinical Pathology</w:t>
            </w:r>
          </w:p>
        </w:tc>
        <w:tc>
          <w:tcPr>
            <w:tcW w:w="850" w:type="dxa"/>
            <w:vAlign w:val="center"/>
          </w:tcPr>
          <w:p w14:paraId="20BD7C0F"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2.094</w:t>
            </w:r>
          </w:p>
        </w:tc>
        <w:tc>
          <w:tcPr>
            <w:tcW w:w="1276" w:type="dxa"/>
            <w:vAlign w:val="center"/>
          </w:tcPr>
          <w:p w14:paraId="204D1781"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488B715A"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Pathology</w:t>
            </w:r>
          </w:p>
        </w:tc>
        <w:tc>
          <w:tcPr>
            <w:tcW w:w="1541" w:type="dxa"/>
            <w:noWrap/>
            <w:vAlign w:val="center"/>
            <w:hideMark/>
          </w:tcPr>
          <w:p w14:paraId="28885A18"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Diagnosis</w:t>
            </w:r>
          </w:p>
        </w:tc>
        <w:tc>
          <w:tcPr>
            <w:tcW w:w="2481" w:type="dxa"/>
            <w:noWrap/>
            <w:vAlign w:val="center"/>
            <w:hideMark/>
          </w:tcPr>
          <w:p w14:paraId="11F520B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03F5BA38"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 xml:space="preserve">PBFC with current/recent CBC/differential </w:t>
            </w:r>
          </w:p>
        </w:tc>
      </w:tr>
      <w:tr w:rsidR="00A427B2" w:rsidRPr="00A427B2" w14:paraId="5CA0D5D6" w14:textId="77777777" w:rsidTr="001B1FC9">
        <w:trPr>
          <w:trHeight w:val="510"/>
        </w:trPr>
        <w:tc>
          <w:tcPr>
            <w:tcW w:w="1701" w:type="dxa"/>
            <w:noWrap/>
            <w:vAlign w:val="center"/>
            <w:hideMark/>
          </w:tcPr>
          <w:p w14:paraId="622FB00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WS Hong</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{"citationItems":[{"id":"ITEM-1","itemData":{"DOI":"10.1371/journal.pone.0201016","ISBN":"1111111111","ISSN":"19326203","abstract":"Objective To predict hospital admission at the time of ED triage using patient history in addition to information collected at triage. Methods This retrospective study included all adult ED visits between March 2014 and July 2017 from one academic and two community emergency rooms that resulted in either admission or discharge. A total of 972 variables were extracted per patient visit. Samples were randomly partitioned into training (80%), validation (10%), and test (10%) sets. We trained a series of nine binary classifiers using logistic regression (LR), gradient boosting (XGBoost), and deep neural networks (DNN) on three dataset types: one using only triage information, one using only patient history, and one using the full set of variables. Next, we tested the potential benefit of additional training samples by training models on increasing fractions of our data. Lastly, variables of importance were identified using information gain as a metric to create a low-dimensional model. Results A total of 560,486 patient visits were included in the study, with an overall admission risk of 29.7%. Models trained on triage information yielded a test AUC of 0.87 for LR (95% CI 0.86–0.87), 0.87 for XGBoost (95% CI 0.87–0.88) and 0.87 for DNN (95% CI 0.87–0.88). Models trained on patient history yielded an AUC of 0.86 for LR (95% CI 0.86–0.87), 0.87 for XGBoost (95% CI 0.87–0.87) and 0.87 for DNN (95% CI 0.87–0.88). Models trained on the full set of variables yielded an AUC of 0.91 for LR (95% CI 0.91–0.91), 0.92 for XGBoost (95% CI 0.92–0.93) and 0.92 for DNN (95% CI 0.92–0.92). All algorithms reached maximum performance at 50% of the training set or less. A low-dimensional XGBoost model built on ESI level, outpatient medication counts, demographics, and hospital usage statistics yielded an AUC of 0.91 (95% CI 0.91–0.91). Conclusion Machine learning can robustly predict hospital admission using triage information and patient history. The addition of historical information improves predictive performance significantly compared to using triage information alone, highlighting the need to incorporate these variables into prediction models.","author":[{"dropping-particle":"","family":"Hong","given":"Woo Suk","non-dropping-particle":"","parse-names":false,"suffix":""},{"dropping-particle":"","family":"Haimovich","given":"Adrian Daniel","non-dropping-particle":"","parse-names":false,"suffix":""},{"dropping-particle":"","family":"Taylor","given":"R. Andrew","non-dropping-particle":"","parse-names":false,"suffix":""}],"container-title":"PLoS ONE","id":"ITEM-1","issue":"7","issued":{"date-parts":[["2018"]]},"page":"1-13","title":"Predicting hospital admission at emergency department triage using machine learning","type":"article-journal","volume":"13"},"uris":["http://www.mendeley.com/documents/?uuid=4110ba61-cded-496a-b119-0ccbb573e565"]}],"mendeley":{"formattedCitation":"&lt;sup&gt;112&lt;/sup&gt;","plainTextFormattedCitation":"112","previouslyFormattedCitation":"&lt;sup&gt;111&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112</w:t>
            </w:r>
            <w:r w:rsidRPr="00A427B2">
              <w:rPr>
                <w:rFonts w:ascii="Segoe UI" w:eastAsia="Times New Roman" w:hAnsi="Segoe UI" w:cs="Segoe UI"/>
                <w:color w:val="000000"/>
                <w:sz w:val="16"/>
                <w:szCs w:val="16"/>
              </w:rPr>
              <w:fldChar w:fldCharType="end"/>
            </w:r>
          </w:p>
        </w:tc>
        <w:tc>
          <w:tcPr>
            <w:tcW w:w="2122" w:type="dxa"/>
            <w:vAlign w:val="center"/>
          </w:tcPr>
          <w:p w14:paraId="5A81C8A0"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PLoS One</w:t>
            </w:r>
          </w:p>
        </w:tc>
        <w:tc>
          <w:tcPr>
            <w:tcW w:w="850" w:type="dxa"/>
            <w:vAlign w:val="center"/>
          </w:tcPr>
          <w:p w14:paraId="3FFA7D2A"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2.776</w:t>
            </w:r>
          </w:p>
        </w:tc>
        <w:tc>
          <w:tcPr>
            <w:tcW w:w="1276" w:type="dxa"/>
            <w:vAlign w:val="center"/>
          </w:tcPr>
          <w:p w14:paraId="07A0825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2018</w:t>
            </w:r>
          </w:p>
        </w:tc>
        <w:tc>
          <w:tcPr>
            <w:tcW w:w="1559" w:type="dxa"/>
            <w:noWrap/>
            <w:vAlign w:val="center"/>
            <w:hideMark/>
          </w:tcPr>
          <w:p w14:paraId="33B4DB0F"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Healthcare services</w:t>
            </w:r>
          </w:p>
        </w:tc>
        <w:tc>
          <w:tcPr>
            <w:tcW w:w="1541" w:type="dxa"/>
            <w:noWrap/>
            <w:vAlign w:val="center"/>
            <w:hideMark/>
          </w:tcPr>
          <w:p w14:paraId="3C44A2AB"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30215A41"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0A904B2E"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patient's disposition (discharge, admission)</w:t>
            </w:r>
          </w:p>
        </w:tc>
      </w:tr>
      <w:tr w:rsidR="00A427B2" w:rsidRPr="00A427B2" w14:paraId="3607868F" w14:textId="77777777" w:rsidTr="001B1FC9">
        <w:trPr>
          <w:trHeight w:val="510"/>
        </w:trPr>
        <w:tc>
          <w:tcPr>
            <w:tcW w:w="1701" w:type="dxa"/>
            <w:noWrap/>
            <w:vAlign w:val="center"/>
            <w:hideMark/>
          </w:tcPr>
          <w:p w14:paraId="21386070"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O Beauchet</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{"citationItems":[{"id":"ITEM-1","itemData":{"abstract":"Aging 2 predictive value [PPV], negative predictive value [NPV], and accuracy (ACC)) for fall prediction resulting from a nurse assessment and ANNs analysis in older inpatients hospitalized in acute care medical wards. Methods Design and Participants This prospective observational cohort study was performed in 10 acute care medical wards consecutively older adults (mean age 83.6±7.5 years, 57.9% women) were admitted in 10 acute care medical wards of Angers University Hospital, France. Inclusion criteria were: aged 65 years and over, hospitalized for longer than 24 hours in one of the 10 acute care medical wards participating in recruitment, and willingness to participate. A total of 246 (18.5%) participants had missing data due to incomplete assessment and were excluded from analysis. There was no specific pattern of characteristics with missing data. In addition, 237 (17.8%) participants who had a length of hospital stay longer than 21 days without falling were also excluded from analysis because they were not considered as acute care inpatients. Participants were censored after twenty-one-first days for the survival analysis. In total, 848 participants (mean age, 83.0±7.2 years; 41.8% female) were included in the analysis (Figure 1). Research staff informed hospital representatives about the study, including the provision of study materials (e.g., the incident report form), and gave them oral and written instructions detailing the data collection strategy to ensure data quality and uniformity.","author":[{"dropping-particle":"","family":"Health","given":"J Nutr","non-dropping-particle":"","parse-names":false,"suffix":""}],"id":"ITEM-1","issued":{"date-parts":[["2013"]]},"title":"Prediction of in-Hospital Falls","type":"article-journal"},"uris":["http://www.mendeley.com/documents/?uuid=55f0b94d-cc7a-45f9-bb10-4e89c9b69d04"]}],"mendeley":{"formattedCitation":"&lt;sup&gt;113&lt;/sup&gt;","plainTextFormattedCitation":"113","previouslyFormattedCitation":"&lt;sup&gt;112&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113</w:t>
            </w:r>
            <w:r w:rsidRPr="00A427B2">
              <w:rPr>
                <w:rFonts w:ascii="Segoe UI" w:eastAsia="Times New Roman" w:hAnsi="Segoe UI" w:cs="Segoe UI"/>
                <w:color w:val="000000"/>
                <w:sz w:val="16"/>
                <w:szCs w:val="16"/>
              </w:rPr>
              <w:fldChar w:fldCharType="end"/>
            </w:r>
          </w:p>
        </w:tc>
        <w:tc>
          <w:tcPr>
            <w:tcW w:w="2122" w:type="dxa"/>
            <w:vAlign w:val="center"/>
          </w:tcPr>
          <w:p w14:paraId="0AD87F88"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Journal of Nutrition Health and Aging</w:t>
            </w:r>
          </w:p>
        </w:tc>
        <w:tc>
          <w:tcPr>
            <w:tcW w:w="850" w:type="dxa"/>
            <w:vAlign w:val="center"/>
          </w:tcPr>
          <w:p w14:paraId="2EA14BE4"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2.660</w:t>
            </w:r>
          </w:p>
        </w:tc>
        <w:tc>
          <w:tcPr>
            <w:tcW w:w="1276" w:type="dxa"/>
            <w:vAlign w:val="center"/>
          </w:tcPr>
          <w:p w14:paraId="7CE9283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2018</w:t>
            </w:r>
          </w:p>
        </w:tc>
        <w:tc>
          <w:tcPr>
            <w:tcW w:w="1559" w:type="dxa"/>
            <w:noWrap/>
            <w:vAlign w:val="center"/>
            <w:hideMark/>
          </w:tcPr>
          <w:p w14:paraId="17B9B821"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Geriatric</w:t>
            </w:r>
          </w:p>
        </w:tc>
        <w:tc>
          <w:tcPr>
            <w:tcW w:w="1541" w:type="dxa"/>
            <w:noWrap/>
            <w:vAlign w:val="center"/>
            <w:hideMark/>
          </w:tcPr>
          <w:p w14:paraId="4AD9892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166F7BBB"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4DEA7140"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Fall in acute care medical wards</w:t>
            </w:r>
          </w:p>
        </w:tc>
      </w:tr>
      <w:tr w:rsidR="00A427B2" w:rsidRPr="00A427B2" w14:paraId="3A4D129C" w14:textId="77777777" w:rsidTr="001B1FC9">
        <w:trPr>
          <w:trHeight w:val="510"/>
        </w:trPr>
        <w:tc>
          <w:tcPr>
            <w:tcW w:w="1701" w:type="dxa"/>
            <w:noWrap/>
            <w:vAlign w:val="center"/>
            <w:hideMark/>
          </w:tcPr>
          <w:p w14:paraId="59C1DB6A"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Z Ma</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{"citationItems":[{"id":"ITEM-1","itemData":{"DOI":"10.1371/journal.pone.0205872","ISBN":"1111111111","ISSN":"19326203","abstract":"Warfarin dosing remains challenging due to narrow therapeutic index and highly individual variability. Incorrect warfarin dosing is associated with devastating adverse events. Remarkable efforts have been made to develop the machine learning based warfarin dosing algorithms incorporating clinical factors and genetic variants such as polymorphisms in CYP2C9 and VKORC1. The most widely validated pharmacogenetic algorithm is the IWPC algorithm based on multivariate linear regression (MLR). However, with only a single algorithm, the prediction performance may reach an upper limit even with optimal parameters. Here, we present novel algorithms using stacked generalization frameworks to estimate the warfarin dose, within which different types of machine learning algorithms function together through a meta-machine learning model to maximize the prediction accuracy. Compared to the IWPC-derived MLR algorithm, Stack 1 and 2 based on stacked generalization frameworks performed significantly better overall. Subgroup analysis revealed that the mean of the percentage of patients whose predicted dose of warfarin within 20% of the actual stable therapeutic dose (mean percentage within 20%) for Stack 1 was improved by 12.7% (from 42.47% to 47.86%) in Asians and by 13.5% (from 22.08% to 25.05%) in the low-dose group compared to that for MLR, respectively. These data suggest that our algorithms would especially benefit patients requiring low warfarin maintenance dose, as subtle changes in warfarin dose could lead to adverse clinical events (thrombosis or bleeding) in patients with low dose. Our study offers novel pharmacogenetic algorithms for clinical trials and practice.","author":[{"dropping-particle":"","family":"Ma","given":"Zhiyuan","non-dropping-particle":"","parse-names":false,"suffix":""},{"dropping-particle":"","family":"Wang","given":"Ping","non-dropping-particle":"","parse-names":false,"suffix":""},{"dropping-particle":"","family":"Gao","given":"Zehui","non-dropping-particle":"","parse-names":false,"suffix":""},{"dropping-particle":"","family":"Wang","given":"Ruobing","non-dropping-particle":"","parse-names":false,"suffix":""},{"dropping-particle":"","family":"Khalighi","given":"Koroush","non-dropping-particle":"","parse-names":false,"suffix":""}],"container-title":"PLoS ONE","id":"ITEM-1","issue":"10","issued":{"date-parts":[["2018"]]},"page":"1-12","title":"Ensemble of machine learning algorithms using the stacked generalization approach to estimate the warfarin dose","type":"article-journal","volume":"13"},"uris":["http://www.mendeley.com/documents/?uuid=ec53e93a-a296-4839-9f6f-8b6f96069f2e"]}],"mendeley":{"formattedCitation":"&lt;sup&gt;114&lt;/sup&gt;","plainTextFormattedCitation":"114","previouslyFormattedCitation":"&lt;sup&gt;113&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114</w:t>
            </w:r>
            <w:r w:rsidRPr="00A427B2">
              <w:rPr>
                <w:rFonts w:ascii="Segoe UI" w:eastAsia="Times New Roman" w:hAnsi="Segoe UI" w:cs="Segoe UI"/>
                <w:color w:val="000000"/>
                <w:sz w:val="16"/>
                <w:szCs w:val="16"/>
              </w:rPr>
              <w:fldChar w:fldCharType="end"/>
            </w:r>
          </w:p>
        </w:tc>
        <w:tc>
          <w:tcPr>
            <w:tcW w:w="2122" w:type="dxa"/>
            <w:vAlign w:val="center"/>
          </w:tcPr>
          <w:p w14:paraId="7D0B4593"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PLoS One</w:t>
            </w:r>
          </w:p>
        </w:tc>
        <w:tc>
          <w:tcPr>
            <w:tcW w:w="850" w:type="dxa"/>
            <w:vAlign w:val="center"/>
          </w:tcPr>
          <w:p w14:paraId="347910F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2.776</w:t>
            </w:r>
          </w:p>
        </w:tc>
        <w:tc>
          <w:tcPr>
            <w:tcW w:w="1276" w:type="dxa"/>
            <w:vAlign w:val="center"/>
          </w:tcPr>
          <w:p w14:paraId="238C9140"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2018</w:t>
            </w:r>
          </w:p>
        </w:tc>
        <w:tc>
          <w:tcPr>
            <w:tcW w:w="1559" w:type="dxa"/>
            <w:noWrap/>
            <w:vAlign w:val="center"/>
            <w:hideMark/>
          </w:tcPr>
          <w:p w14:paraId="62ACFC98"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Cardiovascular medicine</w:t>
            </w:r>
          </w:p>
        </w:tc>
        <w:tc>
          <w:tcPr>
            <w:tcW w:w="1541" w:type="dxa"/>
            <w:noWrap/>
            <w:vAlign w:val="center"/>
            <w:hideMark/>
          </w:tcPr>
          <w:p w14:paraId="216343D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782E42CE"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21C5BF6A"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Warfarin dose</w:t>
            </w:r>
          </w:p>
        </w:tc>
      </w:tr>
      <w:tr w:rsidR="00A427B2" w:rsidRPr="00A427B2" w14:paraId="5DCD3820" w14:textId="77777777" w:rsidTr="001B1FC9">
        <w:trPr>
          <w:trHeight w:val="510"/>
        </w:trPr>
        <w:tc>
          <w:tcPr>
            <w:tcW w:w="1701" w:type="dxa"/>
            <w:noWrap/>
            <w:vAlign w:val="center"/>
            <w:hideMark/>
          </w:tcPr>
          <w:p w14:paraId="39CFC0F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SPK Veeranki</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{"citationItems":[{"id":"ITEM-1","itemData":{"DOI":"10.3233/SHTI190537","ISBN":"9781643680026","ISSN":"18798365","abstract":"With the vast increase of digital healthcare data, there is an opportunity to mine the data for understanding inherent health patterns. Although machine-learning techniques demonstrated their applications in healthcare to answer several questions, there is still room for improvement in every aspect. In this paper, we are demonstrating a method that improves the performance of a delirium prediction model using random forest in combination with logistic regression.","author":[{"dropping-particle":"","family":"Veeranki","given":"Sai Pavan Kumar","non-dropping-particle":"","parse-names":false,"suffix":""},{"dropping-particle":"","family":"Hayn","given":"Dieter","non-dropping-particle":"","parse-names":false,"suffix":""},{"dropping-particle":"","family":"Jauk","given":"Stefanie","non-dropping-particle":"","parse-names":false,"suffix":""},{"dropping-particle":"","family":"Quehenberger","given":"Franz","non-dropping-particle":"","parse-names":false,"suffix":""},{"dropping-particle":"","family":"Kramer","given":"Diether","non-dropping-particle":"","parse-names":false,"suffix":""},{"dropping-particle":"","family":"Leodolter","given":"Werner","non-dropping-particle":"","parse-names":false,"suffix":""},{"dropping-particle":"","family":"Schreier","given":"Günter","non-dropping-particle":"","parse-names":false,"suffix":""}],"container-title":"Studies in Health Technology and Informatics","id":"ITEM-1","issued":{"date-parts":[["2019"]]},"page":"1566-1567","title":"An improvised classification model for predicting delirium","type":"article-journal","volume":"264"},"uris":["http://www.mendeley.com/documents/?uuid=796b5111-9ec1-4766-a8c7-cdf2a79fdb91"]}],"mendeley":{"formattedCitation":"&lt;sup&gt;115&lt;/sup&gt;","plainTextFormattedCitation":"115","previouslyFormattedCitation":"&lt;sup&gt;114&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115</w:t>
            </w:r>
            <w:r w:rsidRPr="00A427B2">
              <w:rPr>
                <w:rFonts w:ascii="Segoe UI" w:eastAsia="Times New Roman" w:hAnsi="Segoe UI" w:cs="Segoe UI"/>
                <w:color w:val="000000"/>
                <w:sz w:val="16"/>
                <w:szCs w:val="16"/>
              </w:rPr>
              <w:fldChar w:fldCharType="end"/>
            </w:r>
          </w:p>
        </w:tc>
        <w:tc>
          <w:tcPr>
            <w:tcW w:w="2122" w:type="dxa"/>
            <w:vAlign w:val="center"/>
          </w:tcPr>
          <w:p w14:paraId="722B8D56"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Studies in Health Technology and Informatics(</w:t>
            </w:r>
            <w:r w:rsidRPr="00A427B2">
              <w:rPr>
                <w:rFonts w:ascii="Segoe UI" w:hAnsi="Segoe UI" w:cs="Segoe UI"/>
                <w:color w:val="000000"/>
                <w:sz w:val="16"/>
                <w:szCs w:val="16"/>
                <w:vertAlign w:val="superscript"/>
              </w:rPr>
              <w:t>b</w:t>
            </w:r>
            <w:r w:rsidRPr="00A427B2">
              <w:rPr>
                <w:rFonts w:ascii="Segoe UI" w:hAnsi="Segoe UI" w:cs="Segoe UI"/>
                <w:color w:val="000000"/>
                <w:sz w:val="16"/>
                <w:szCs w:val="16"/>
              </w:rPr>
              <w:t>)</w:t>
            </w:r>
          </w:p>
        </w:tc>
        <w:tc>
          <w:tcPr>
            <w:tcW w:w="850" w:type="dxa"/>
            <w:vAlign w:val="center"/>
          </w:tcPr>
          <w:p w14:paraId="0BDA1DDF"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0.71</w:t>
            </w:r>
          </w:p>
        </w:tc>
        <w:tc>
          <w:tcPr>
            <w:tcW w:w="1276" w:type="dxa"/>
            <w:vAlign w:val="center"/>
          </w:tcPr>
          <w:p w14:paraId="49B8B0C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4D62A80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Neurology</w:t>
            </w:r>
          </w:p>
        </w:tc>
        <w:tc>
          <w:tcPr>
            <w:tcW w:w="1541" w:type="dxa"/>
            <w:noWrap/>
            <w:vAlign w:val="center"/>
            <w:hideMark/>
          </w:tcPr>
          <w:p w14:paraId="5CD5A17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0AA00230"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3780A881"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Delirium</w:t>
            </w:r>
          </w:p>
        </w:tc>
      </w:tr>
      <w:tr w:rsidR="00A427B2" w:rsidRPr="00A427B2" w14:paraId="67F9CF0E" w14:textId="77777777" w:rsidTr="001B1FC9">
        <w:trPr>
          <w:trHeight w:val="510"/>
        </w:trPr>
        <w:tc>
          <w:tcPr>
            <w:tcW w:w="1701" w:type="dxa"/>
            <w:noWrap/>
            <w:vAlign w:val="center"/>
            <w:hideMark/>
          </w:tcPr>
          <w:p w14:paraId="24EF069B"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H Maharlou</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{"citationItems":[{"id":"ITEM-1","itemData":{"DOI":"10.4258/hir.2018.24.2.109","ISSN":"2093369X","abstract":"Objectives: Accurate prediction of patients’ length of stay is highly important. This study compared the performance of artificial neural network and adaptive neuro-fuzzy system algorithms to predict patients’ length of stay in intensive care units (ICU) after cardiac surgery. Methods: A cross-sectional, analytical, and applied study was conducted. The required data were collected from 311 cardiac patients admitted to intensive care units after surgery at three hospitals of Shiraz, Iran, through a non-random convenience sampling method during the second quarter of 2016. Following the initial processing of influential factors, models were created and evaluated. Results: The results showed that the adaptive neuro-fuzzy algorithm (with mean squared error [MSE] = 7 and R = 0.88) resulted in the creation of a more precise model than the artificial neural network (with MSE = 21 and R = 0.60). Conclusions: The adaptive neuro-fuzzy algorithm produces a more accurate model as it applies both the capabilities of a neural network architecture and experts’ knowledge as a hybrid algorithm. It identifies nonlinear components, yielding remarkable results for prediction the length of stay, which is a useful calculation output to support ICU management, enabling higher quality of administration and cost reduction.","author":[{"dropping-particle":"","family":"Maharlou","given":"Hamidreza","non-dropping-particle":"","parse-names":false,"suffix":""},{"dropping-particle":"","family":"Niakan Kalhori","given":"Sharareh R.","non-dropping-particle":"","parse-names":false,"suffix":""},{"dropping-particle":"","family":"Shahbazi","given":"Shahrbanoo","non-dropping-particle":"","parse-names":false,"suffix":""},{"dropping-particle":"","family":"Ravangard","given":"Ramin","non-dropping-particle":"","parse-names":false,"suffix":""}],"container-title":"Healthcare Informatics Research","id":"ITEM-1","issue":"2","issued":{"date-parts":[["2018"]]},"page":"109-117","title":"Predicting length of stay in intensive care units after cardiac surgery: Comparison of artificial neural networks and adaptive neuro-fuzzy system","type":"article-journal","volume":"24"},"uris":["http://www.mendeley.com/documents/?uuid=21485e4a-809c-44a7-8345-7e7c2187eaf6"]}],"mendeley":{"formattedCitation":"&lt;sup&gt;116&lt;/sup&gt;","plainTextFormattedCitation":"116","previouslyFormattedCitation":"&lt;sup&gt;115&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116</w:t>
            </w:r>
            <w:r w:rsidRPr="00A427B2">
              <w:rPr>
                <w:rFonts w:ascii="Segoe UI" w:eastAsia="Times New Roman" w:hAnsi="Segoe UI" w:cs="Segoe UI"/>
                <w:color w:val="000000"/>
                <w:sz w:val="16"/>
                <w:szCs w:val="16"/>
              </w:rPr>
              <w:fldChar w:fldCharType="end"/>
            </w:r>
          </w:p>
        </w:tc>
        <w:tc>
          <w:tcPr>
            <w:tcW w:w="2122" w:type="dxa"/>
            <w:vAlign w:val="center"/>
          </w:tcPr>
          <w:p w14:paraId="00DD4021"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Healthcare Informatics Research</w:t>
            </w:r>
          </w:p>
        </w:tc>
        <w:tc>
          <w:tcPr>
            <w:tcW w:w="850" w:type="dxa"/>
            <w:vAlign w:val="center"/>
          </w:tcPr>
          <w:p w14:paraId="42F1E0F8"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2.939</w:t>
            </w:r>
          </w:p>
        </w:tc>
        <w:tc>
          <w:tcPr>
            <w:tcW w:w="1276" w:type="dxa"/>
            <w:vAlign w:val="center"/>
          </w:tcPr>
          <w:p w14:paraId="54505FAA"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2018</w:t>
            </w:r>
          </w:p>
        </w:tc>
        <w:tc>
          <w:tcPr>
            <w:tcW w:w="1559" w:type="dxa"/>
            <w:noWrap/>
            <w:vAlign w:val="center"/>
            <w:hideMark/>
          </w:tcPr>
          <w:p w14:paraId="2A72CC5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Healthcare services</w:t>
            </w:r>
          </w:p>
        </w:tc>
        <w:tc>
          <w:tcPr>
            <w:tcW w:w="1541" w:type="dxa"/>
            <w:noWrap/>
            <w:vAlign w:val="center"/>
            <w:hideMark/>
          </w:tcPr>
          <w:p w14:paraId="1115AEFA"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07E654F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2A5708D0"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Length of stay in ICU after cardiac surgery</w:t>
            </w:r>
          </w:p>
        </w:tc>
      </w:tr>
      <w:tr w:rsidR="00A427B2" w:rsidRPr="00A427B2" w14:paraId="4D0EEB94" w14:textId="77777777" w:rsidTr="001B1FC9">
        <w:trPr>
          <w:trHeight w:val="510"/>
        </w:trPr>
        <w:tc>
          <w:tcPr>
            <w:tcW w:w="1701" w:type="dxa"/>
            <w:noWrap/>
            <w:vAlign w:val="center"/>
            <w:hideMark/>
          </w:tcPr>
          <w:p w14:paraId="75892E7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C Castillo-Olea</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{"citationItems":[{"id":"ITEM-1","itemData":{"DOI":"10.3390/ijerph16183275","ISSN":"1660-4601 (Linking)","abstract":"This paper presents a study based on data analysis of the sarcopenia level in older adults. Sarcopenia is a prevalent pathology in adults of around 50 years of age, whereby the muscle mass decreases by 1 to 2% a year, and muscle strength experiences an annual decrease of 1.5% between 50 and 60 years of age, subsequently increasing by 3% each year. The World Health Organisation estimates that 5-13% of individuals of between 60 and 70 years of age and 11-50% of persons of 80 years of age or over have sarcopenia. This study was conducted with 166 patients and 99 variables. Demographic data was compiled including age, gender, place of residence, schooling, marital status, level of education, income, profession, and financial support from the State of Baja California, and biochemical parameters such as glycemia, cholesterolemia, and triglyceridemia were determined. A total of 166 patients took part in the study, with an average age of 77.24 years. The purpose of the study was to provide an automatic classifier of sarcopenia level in older adults using artificial intelligence in addition to identifying the weight of each variable used in the study. We used machine learning techniques in this work, in which 10 classifiers were employed to assess the variables and determine which would provide the best results, namely, Nearest Neighbors (3), Linear SVM (Support Vector Machines) (C = 0.025), RBF (Radial Basis Function) SVM (gamma = 2, C = 1), Gaussian Process (RBF (1.0)), Decision Tree (max_depth = 3), Random Forest (max_depth=3, n_estimators = 10), MPL (Multilayer Perceptron) (alpha = 1), AdaBoost, Gaussian Naive Bayes, and QDA (Quadratic Discriminant Analysis). Feature selection determined by the mean for the variable ranking suggests that Age, Systolic Arterial Hypertension (HAS), Mini Nutritional Assessment (MNA), Number of chronic diseases (ECNumber), and Sodium are the five most important variables in determining the sarcopenia level, and are thus of great importance prior to establishing any treatment or preventive measure. Analysis of the relationships existing between the presence of the variables and classifiers used in moderate and severe sarcopenia revealed that the sarcopenia level using the RBF SVM classifier with Age, HAS, MNA, ECNumber, and Sodium variables has 82'5 accuracy, a 90'2 F1, and 82'8 precision.","author":[{"dropping-particle":"","family":"Castillo-Olea","given":"C","non-dropping-particle":"","parse-names":false,"suffix":""},{"dropping-particle":"","family":"B","given":"Garcia-Zapirain Soto","non-dropping-particle":"","parse-names":false,"suffix":""},{"dropping-particle":"","family":"C","given":"Carballo Lozano","non-dropping-particle":"","parse-names":false,"suffix":""},{"dropping-particle":"","family":"Zuniga","given":"C","non-dropping-particle":"","parse-names":false,"suffix":""}],"container-title":"International journal of environmental research and public health","id":"ITEM-1","issue":"18","issued":{"date-parts":[["2019","9"]]},"publisher-place":"Switzerland","title":"Automatic Classification of Sarcopenia Level in Older Adults: A Case Study at Tijuana General Hospital.","type":"article-journal","volume":"16"},"uris":["http://www.mendeley.com/documents/?uuid=a6a81e47-a33d-421e-83f8-676ec1cc5a7f"]}],"mendeley":{"formattedCitation":"&lt;sup&gt;117&lt;/sup&gt;","plainTextFormattedCitation":"117","previouslyFormattedCitation":"&lt;sup&gt;116&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117</w:t>
            </w:r>
            <w:r w:rsidRPr="00A427B2">
              <w:rPr>
                <w:rFonts w:ascii="Segoe UI" w:eastAsia="Times New Roman" w:hAnsi="Segoe UI" w:cs="Segoe UI"/>
                <w:color w:val="000000"/>
                <w:sz w:val="16"/>
                <w:szCs w:val="16"/>
              </w:rPr>
              <w:fldChar w:fldCharType="end"/>
            </w:r>
          </w:p>
        </w:tc>
        <w:tc>
          <w:tcPr>
            <w:tcW w:w="2122" w:type="dxa"/>
            <w:vAlign w:val="center"/>
          </w:tcPr>
          <w:p w14:paraId="2AC87807"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International Journal of Environmental Research and Public Health</w:t>
            </w:r>
          </w:p>
        </w:tc>
        <w:tc>
          <w:tcPr>
            <w:tcW w:w="850" w:type="dxa"/>
            <w:vAlign w:val="center"/>
          </w:tcPr>
          <w:p w14:paraId="67B1747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2.468</w:t>
            </w:r>
          </w:p>
        </w:tc>
        <w:tc>
          <w:tcPr>
            <w:tcW w:w="1276" w:type="dxa"/>
            <w:vAlign w:val="center"/>
          </w:tcPr>
          <w:p w14:paraId="1DCED859"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234E8841"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Geriatric</w:t>
            </w:r>
          </w:p>
        </w:tc>
        <w:tc>
          <w:tcPr>
            <w:tcW w:w="1541" w:type="dxa"/>
            <w:noWrap/>
            <w:vAlign w:val="center"/>
            <w:hideMark/>
          </w:tcPr>
          <w:p w14:paraId="16CDE8C0"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Diagnosis</w:t>
            </w:r>
          </w:p>
        </w:tc>
        <w:tc>
          <w:tcPr>
            <w:tcW w:w="2481" w:type="dxa"/>
            <w:noWrap/>
            <w:vAlign w:val="center"/>
            <w:hideMark/>
          </w:tcPr>
          <w:p w14:paraId="7466DDFF"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295F6E1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Sarcopenia</w:t>
            </w:r>
          </w:p>
        </w:tc>
      </w:tr>
      <w:tr w:rsidR="00A427B2" w:rsidRPr="00A427B2" w14:paraId="03E047CD" w14:textId="77777777" w:rsidTr="001B1FC9">
        <w:trPr>
          <w:trHeight w:val="510"/>
        </w:trPr>
        <w:tc>
          <w:tcPr>
            <w:tcW w:w="1701" w:type="dxa"/>
            <w:noWrap/>
            <w:vAlign w:val="center"/>
            <w:hideMark/>
          </w:tcPr>
          <w:p w14:paraId="50705F5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C Sa-ngamuang</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{"citationItems":[{"id":"ITEM-1","itemData":{"DOI":"10.1371/journal.pntd.0006573","ISBN":"1111111111","ISSN":"19352735","abstract":"Differentiating dengue patients from other acute febrile illness patients is a great challenge among physicians. Several dengue diagnosis methods are recommended by WHO. The application of specific laboratory tests is still limited due to high cost, lack of equipment, and uncertain validity. Therefore, clinical diagnosis remains a common practice especially in resource limited settings. Bayesian networks have been shown to be a useful tool for diagnostic decision support. This study aimed to construct Bayesian network models using basic demographic, clinical, and laboratory profiles of acute febrile illness patients to diagnose dengue. Data of 397 acute undifferentiated febrile illness patients who visited the fever clinic of the Bangkok Hospital for Tropical Diseases, Thailand, were used for model construction and validation. The two best final models were selected: one with and one without NS1 rapid test result. The diagnostic accuracy of the models was compared with that of physicians on the same set of patients. The Bayesian network models provided good diagnostic accuracy of dengue infection, with ROC AUC of 0.80 and 0.75 for models with and without NS1 rapid test result, respectively. The models had approximately 80% specificity and 70% sensitivity, similar to the diagnostic accuracy of the hospital’s fellows in infectious disease. Including information on NS1 rapid test improved the specificity, but reduced the sensitivity, both in model and physician diagnoses. The Bayesian network model developed in this study could be useful to assist physicians in diagnosing dengue, particularly in regions where experienced physicians and laboratory confirmation tests are limited.","author":[{"dropping-particle":"","family":"Sa-ngamuang","given":"Chaitawat","non-dropping-particle":"","parse-names":false,"suffix":""},{"dropping-particle":"","family":"Haddawy","given":"Peter","non-dropping-particle":"","parse-names":false,"suffix":""},{"dropping-particle":"","family":"Luvira","given":"Viravarn","non-dropping-particle":"","parse-names":false,"suffix":""},{"dropping-particle":"","family":"Piyaphanee","given":"Watcharapong","non-dropping-particle":"","parse-names":false,"suffix":""},{"dropping-particle":"","family":"Iamsirithaworn","given":"Sopon","non-dropping-particle":"","parse-names":false,"suffix":""},{"dropping-particle":"","family":"Lawpoolsri","given":"Saranath","non-dropping-particle":"","parse-names":false,"suffix":""}],"container-title":"PLoS Neglected Tropical Diseases","id":"ITEM-1","issue":"6","issued":{"date-parts":[["2018"]]},"page":"1-14","title":"Accuracy of dengue clinical diagnosis with and without NS1 antigen rapid test: Comparison between human and Bayesian network model decision","type":"article-journal","volume":"12"},"uris":["http://www.mendeley.com/documents/?uuid=fdfb9de0-5810-4b22-90ed-b557e97d7fdc"]}],"mendeley":{"formattedCitation":"&lt;sup&gt;118&lt;/sup&gt;","plainTextFormattedCitation":"118","previouslyFormattedCitation":"&lt;sup&gt;117&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118</w:t>
            </w:r>
            <w:r w:rsidRPr="00A427B2">
              <w:rPr>
                <w:rFonts w:ascii="Segoe UI" w:eastAsia="Times New Roman" w:hAnsi="Segoe UI" w:cs="Segoe UI"/>
                <w:color w:val="000000"/>
                <w:sz w:val="16"/>
                <w:szCs w:val="16"/>
              </w:rPr>
              <w:fldChar w:fldCharType="end"/>
            </w:r>
          </w:p>
        </w:tc>
        <w:tc>
          <w:tcPr>
            <w:tcW w:w="2122" w:type="dxa"/>
            <w:vAlign w:val="center"/>
          </w:tcPr>
          <w:p w14:paraId="02064687"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PLoS neglected tropical diseases</w:t>
            </w:r>
          </w:p>
        </w:tc>
        <w:tc>
          <w:tcPr>
            <w:tcW w:w="850" w:type="dxa"/>
            <w:vAlign w:val="center"/>
          </w:tcPr>
          <w:p w14:paraId="45CC6C2E"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4.487</w:t>
            </w:r>
          </w:p>
        </w:tc>
        <w:tc>
          <w:tcPr>
            <w:tcW w:w="1276" w:type="dxa"/>
            <w:vAlign w:val="center"/>
          </w:tcPr>
          <w:p w14:paraId="4E5EF0F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2018</w:t>
            </w:r>
          </w:p>
        </w:tc>
        <w:tc>
          <w:tcPr>
            <w:tcW w:w="1559" w:type="dxa"/>
            <w:noWrap/>
            <w:vAlign w:val="center"/>
            <w:hideMark/>
          </w:tcPr>
          <w:p w14:paraId="2B4EEC74"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Infectious diseases</w:t>
            </w:r>
          </w:p>
        </w:tc>
        <w:tc>
          <w:tcPr>
            <w:tcW w:w="1541" w:type="dxa"/>
            <w:noWrap/>
            <w:vAlign w:val="center"/>
            <w:hideMark/>
          </w:tcPr>
          <w:p w14:paraId="0DD1E4E0"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Diagnosis</w:t>
            </w:r>
          </w:p>
        </w:tc>
        <w:tc>
          <w:tcPr>
            <w:tcW w:w="2481" w:type="dxa"/>
            <w:noWrap/>
            <w:vAlign w:val="center"/>
            <w:hideMark/>
          </w:tcPr>
          <w:p w14:paraId="48462AD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46E615D4"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Dengue</w:t>
            </w:r>
          </w:p>
        </w:tc>
      </w:tr>
      <w:tr w:rsidR="00A427B2" w:rsidRPr="00A427B2" w14:paraId="77333513" w14:textId="77777777" w:rsidTr="001B1FC9">
        <w:trPr>
          <w:trHeight w:val="510"/>
        </w:trPr>
        <w:tc>
          <w:tcPr>
            <w:tcW w:w="1701" w:type="dxa"/>
            <w:noWrap/>
            <w:vAlign w:val="center"/>
            <w:hideMark/>
          </w:tcPr>
          <w:p w14:paraId="4E2F388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A Talaei-Khoei</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{"citationItems":[{"id":"ITEM-1","itemData":{"DOI":"10.1016/j.ijmedinf.2018.08.008","ISSN":"18728243","abstract":"Background: The present study aims to identify the patients at risk of type 2 diabetes (T2D). There is a body of literature that uses machine learning classification algorithms to predict development of T2D among patients. The current study compares the performance of these classification algorithms to identify patients who are at risk of developing T2D in short, medium and long terms. In addition, the list of predictor variables important for prediction for T2D progression is provided. Methods: This study uses 10,911 records generated in 36 clinics from the 15th of November 2008–15th of November 2016. Syntactic minority oversampling and random under sampling were used to create a balanced dataset. The performance of Neural Networks, Support Vector Machines, Decision Tress and Logistic Regression to identify patients developing T2D in short, medium and long terms was compared. The measures were Area Under Curve, Sensitivity, Specificity, Matthew correlation coefficient and Mean Calibration Error. Through importance analysis and information fusion techniques the predictors of developing T2D were identified for short, medium and long-term risk analysis. Results: The findings show that the performance of analytics techniques depends on both period and purpose of prediction whether the prediction is to identify people who will not develop T2D or to determine at risk patients. Oversampling as opposed to under sampling improved performance. 16 predictors and their importance to determine patients at risk of T2D in short, medium and long terms were identified. Conclusions: This study provides guidelines for an automated system to prompt patients for screening. Several predictors are reportable by patients, others can be examined by physicians or ordered for further lab examination, which offers a potential reduction of the burden placed upon the clinical settings.","author":[{"dropping-particle":"","family":"Talaei-Khoei","given":"Amir","non-dropping-particle":"","parse-names":false,"suffix":""},{"dropping-particle":"","family":"Wilson","given":"James M.","non-dropping-particle":"","parse-names":false,"suffix":""}],"container-title":"International Journal of Medical Informatics","id":"ITEM-1","issue":"January","issued":{"date-parts":[["2018"]]},"page":"22-38","publisher":"Elsevier","title":"Identifying people at risk of developing type 2 diabetes: A comparison of predictive analytics techniques and predictor variables","type":"article-journal","volume":"119"},"uris":["http://www.mendeley.com/documents/?uuid=19193856-016a-401f-8730-84ea2123ab24"]}],"mendeley":{"formattedCitation":"&lt;sup&gt;119&lt;/sup&gt;","plainTextFormattedCitation":"119","previouslyFormattedCitation":"&lt;sup&gt;118&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119</w:t>
            </w:r>
            <w:r w:rsidRPr="00A427B2">
              <w:rPr>
                <w:rFonts w:ascii="Segoe UI" w:eastAsia="Times New Roman" w:hAnsi="Segoe UI" w:cs="Segoe UI"/>
                <w:color w:val="000000"/>
                <w:sz w:val="16"/>
                <w:szCs w:val="16"/>
              </w:rPr>
              <w:fldChar w:fldCharType="end"/>
            </w:r>
          </w:p>
        </w:tc>
        <w:tc>
          <w:tcPr>
            <w:tcW w:w="2122" w:type="dxa"/>
            <w:vAlign w:val="center"/>
          </w:tcPr>
          <w:p w14:paraId="0498373D"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International Journal of Medical Informatics</w:t>
            </w:r>
          </w:p>
        </w:tc>
        <w:tc>
          <w:tcPr>
            <w:tcW w:w="850" w:type="dxa"/>
            <w:vAlign w:val="center"/>
          </w:tcPr>
          <w:p w14:paraId="5E8BC85F"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2.731</w:t>
            </w:r>
          </w:p>
        </w:tc>
        <w:tc>
          <w:tcPr>
            <w:tcW w:w="1276" w:type="dxa"/>
            <w:vAlign w:val="center"/>
          </w:tcPr>
          <w:p w14:paraId="3392BA9B"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2018</w:t>
            </w:r>
          </w:p>
        </w:tc>
        <w:tc>
          <w:tcPr>
            <w:tcW w:w="1559" w:type="dxa"/>
            <w:noWrap/>
            <w:vAlign w:val="center"/>
            <w:hideMark/>
          </w:tcPr>
          <w:p w14:paraId="1F0D9AD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Endocrinology</w:t>
            </w:r>
          </w:p>
        </w:tc>
        <w:tc>
          <w:tcPr>
            <w:tcW w:w="1541" w:type="dxa"/>
            <w:noWrap/>
            <w:vAlign w:val="center"/>
            <w:hideMark/>
          </w:tcPr>
          <w:p w14:paraId="67F9C501"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7407993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628DDBB9"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Type 2 diabetes risk at 1, 3 and 8 years</w:t>
            </w:r>
          </w:p>
        </w:tc>
      </w:tr>
      <w:tr w:rsidR="00A427B2" w:rsidRPr="00A427B2" w14:paraId="450C5FD1" w14:textId="77777777" w:rsidTr="001B1FC9">
        <w:trPr>
          <w:trHeight w:val="510"/>
        </w:trPr>
        <w:tc>
          <w:tcPr>
            <w:tcW w:w="1701" w:type="dxa"/>
            <w:noWrap/>
            <w:vAlign w:val="center"/>
            <w:hideMark/>
          </w:tcPr>
          <w:p w14:paraId="02881730"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 Bertsimas</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{"citationItems":[{"id":"ITEM-1","itemData":{"DOI":"10.1097/SLA.0000000000002956","ISBN":"0000000000","ISSN":"15281140","abstract":"INTRODUCTION: Most risk assessment tools assume that the impact of risk factors is linear and cumulative. Using novel machine-learning techniques, we sought to design an interactive, nonlinear risk calculator for Emergency Surgery (ES). METHODS: All ES patients in the American College of Surgeons National Surgical Quality Improvement Program (ACS-NSQIP) 2007 to 2013 database were included (derivation cohort). Optimal Classification Trees (OCT) were leveraged to train machine-learning algorithms to predict postoperative mortality, morbidity, and 18 specific complications (eg, sepsis, surgical site infection). Unlike classic heuristics (eg, logistic regression), OCT is adaptive and reboots itself with each variable, thus accounting for nonlinear interactions among variables. An application [Predictive OpTimal Trees in Emergency Surgery Risk (POTTER)] was then designed as the algorithms' interactive and user-friendly interface. POTTER performance was measured (c-statistic) using the 2014 ACS-NSQIP database (validation cohort) and compared with the American Society of Anesthesiologists (ASA), Emergency Surgery Score (ESS), and ACS-NSQIP calculators' performance. RESULTS: Based on 382,960 ES patients, comprehensive decision-making algorithms were derived, and POTTER was created where the provider's answer to a question interactively dictates the subsequent question. For any specific patient, the number of questions needed to predict mortality ranged from 4 to 11. The mortality c-statistic was 0.9162, higher than ASA (0.8743), ESS (0.8910), and ACS (0.8975). The morbidity c-statistics was similarly the highest (0.8414). CONCLUSION: POTTER is a highly accurate and user-friendly ES risk calculator with the potential to continuously improve accuracy with ongoing machine-learning. POTTER might prove useful as a tool for bedside preoperative counseling of ES patients and families.","author":[{"dropping-particle":"","family":"Bertsimas","given":"Dimitris","non-dropping-particle":"","parse-names":false,"suffix":""},{"dropping-particle":"","family":"Dunn","given":"Jack","non-dropping-particle":"","parse-names":false,"suffix":""},{"dropping-particle":"","family":"Velmahos","given":"George C.","non-dropping-particle":"","parse-names":false,"suffix":""},{"dropping-particle":"","family":"Kaafarani","given":"Haytham M.A.","non-dropping-particle":"","parse-names":false,"suffix":""}],"container-title":"Annals of surgery","id":"ITEM-1","issue":"4","issued":{"date-parts":[["2018"]]},"page":"574-583","title":"Surgical Risk Is Not Linear: Derivation and Validation of a Novel, User-friendly, and Machine-learning-based Predictive OpTimal Trees in Emergency Surgery Risk (POTTER) Calculator","type":"article-journal","volume":"268"},"uris":["http://www.mendeley.com/documents/?uuid=ceb5fa59-31b7-42e9-9c00-656b1af0cbc4"]}],"mendeley":{"formattedCitation":"&lt;sup&gt;120&lt;/sup&gt;","plainTextFormattedCitation":"120","previouslyFormattedCitation":"&lt;sup&gt;119&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120</w:t>
            </w:r>
            <w:r w:rsidRPr="00A427B2">
              <w:rPr>
                <w:rFonts w:ascii="Segoe UI" w:eastAsia="Times New Roman" w:hAnsi="Segoe UI" w:cs="Segoe UI"/>
                <w:color w:val="000000"/>
                <w:sz w:val="16"/>
                <w:szCs w:val="16"/>
              </w:rPr>
              <w:fldChar w:fldCharType="end"/>
            </w:r>
          </w:p>
        </w:tc>
        <w:tc>
          <w:tcPr>
            <w:tcW w:w="2122" w:type="dxa"/>
            <w:vAlign w:val="center"/>
          </w:tcPr>
          <w:p w14:paraId="39EE3486"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Annals of Surgery</w:t>
            </w:r>
          </w:p>
        </w:tc>
        <w:tc>
          <w:tcPr>
            <w:tcW w:w="850" w:type="dxa"/>
            <w:vAlign w:val="center"/>
          </w:tcPr>
          <w:p w14:paraId="0261D958"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9.476</w:t>
            </w:r>
          </w:p>
        </w:tc>
        <w:tc>
          <w:tcPr>
            <w:tcW w:w="1276" w:type="dxa"/>
            <w:vAlign w:val="center"/>
          </w:tcPr>
          <w:p w14:paraId="7EDBB538"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2018</w:t>
            </w:r>
          </w:p>
        </w:tc>
        <w:tc>
          <w:tcPr>
            <w:tcW w:w="1559" w:type="dxa"/>
            <w:noWrap/>
            <w:vAlign w:val="center"/>
            <w:hideMark/>
          </w:tcPr>
          <w:p w14:paraId="4DC424A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Surgery</w:t>
            </w:r>
          </w:p>
        </w:tc>
        <w:tc>
          <w:tcPr>
            <w:tcW w:w="1541" w:type="dxa"/>
            <w:noWrap/>
            <w:vAlign w:val="center"/>
            <w:hideMark/>
          </w:tcPr>
          <w:p w14:paraId="78BED61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4C27E56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with external validation (same model)</w:t>
            </w:r>
          </w:p>
        </w:tc>
        <w:tc>
          <w:tcPr>
            <w:tcW w:w="2860" w:type="dxa"/>
            <w:noWrap/>
            <w:vAlign w:val="center"/>
            <w:hideMark/>
          </w:tcPr>
          <w:p w14:paraId="3198915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30-day mortality</w:t>
            </w:r>
          </w:p>
        </w:tc>
      </w:tr>
      <w:tr w:rsidR="00A427B2" w:rsidRPr="00A427B2" w14:paraId="5F340BAB" w14:textId="77777777" w:rsidTr="001B1FC9">
        <w:trPr>
          <w:trHeight w:val="510"/>
        </w:trPr>
        <w:tc>
          <w:tcPr>
            <w:tcW w:w="1701" w:type="dxa"/>
            <w:noWrap/>
            <w:vAlign w:val="center"/>
            <w:hideMark/>
          </w:tcPr>
          <w:p w14:paraId="06C4AB0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C Liu</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{"citationItems":[{"id":"ITEM-1","itemData":{"DOI":"10.1007/s00261-019-02098-w","ISBN":"0026101902098","ISSN":"23660058","abstract":"Background: Controversy still exists on the optimal surgical resection for potentially curable gastric cancer (GC). Use of radiologic evaluation and machine learning algorithms might predict extent of lymphadenectomy to limit unnecessary surgical treatment. We purposed to design a machine learning-based clinical decision-support model for predicting extent of lymphadenectomy (D1 vs. D2) in local advanced GC. Methods: Clinicoradiologic features available from routine clinical assignments in 557 patients with GCs were retrospectively interpreted by an expert panel blinded to all histopathologic information. All patients underwent surgery using standard D2 resection. Decision models were developed with a logistic regression (LR), support vector machine (SVM) and auto-encoder (AE) algorithm in 371 training and tested in 186 test data, respectively. The primary end point was to measure diagnostic performance of decision model and a Japanese gastric cancer treatment guideline version 4th (JPN 4th) criteria for discriminate D1 (pT1 + pN0) versus D2 (≥ pT1 + ≥ pN1) lymphadenectomy. Results: The decision model with AE analysis produced highest area under ROC curve (train: 0.965, 95% confidence interval (CI) 0.948–0.978; test: 0.946, 95% CI 0.925–0.978), followed by SVM (train: 0.925, 95% CI 0.902–0.944; test: 0.942, 95% CI 0.922–0.973) and LR (train: 0.886, 95% CI 0.858–0.910; test: 0.891, 95% CI 0.891–0.952). By this improvement, overtreatment was reduced from 21.7% (121/557) by treat-all pattern, to 15.1% (84/557) by JPN 4th criteria, and to 0.7–0.9% (4–5/557) by the new approach. Conclusions: The decision model with machine learning analysis demonstrates high accuracy for identifying patients who are candidates for D1 versus D2 resection. Its approximate 14–20% improvements in overtreatment compared to treat-all pattern and JPN 4th criteria potentially increase the number of patients with local advanced GCs who can safely avoid unnecessary lymphadenectomy.","author":[{"dropping-particle":"","family":"Liu","given":"Chang","non-dropping-particle":"","parse-names":false,"suffix":""},{"dropping-particle":"","family":"Qi","given":"Liang","non-dropping-particle":"","parse-names":false,"suffix":""},{"dropping-particle":"","family":"Feng","given":"Qiu Xia","non-dropping-particle":"","parse-names":false,"suffix":""},{"dropping-particle":"","family":"Sun","given":"Shu Wen","non-dropping-particle":"","parse-names":false,"suffix":""},{"dropping-particle":"","family":"Zhang","given":"Yu Dong","non-dropping-particle":"","parse-names":false,"suffix":""},{"dropping-particle":"","family":"Liu","given":"Xi Sheng","non-dropping-particle":"","parse-names":false,"suffix":""}],"container-title":"Abdominal Radiology","id":"ITEM-1","issue":"9","issued":{"date-parts":[["2019"]]},"page":"3019-3029","publisher":"Springer US","title":"Performance of a machine learning-based decision model to help clinicians decide the extent of lymphadenectomy (D1 vs. D2) in gastric cancer before surgical resection","type":"article-journal","volume":"44"},"uris":["http://www.mendeley.com/documents/?uuid=71d84395-78e2-405e-b9b5-756a86892c97"]}],"mendeley":{"formattedCitation":"&lt;sup&gt;121&lt;/sup&gt;","plainTextFormattedCitation":"121","previouslyFormattedCitation":"&lt;sup&gt;120&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121</w:t>
            </w:r>
            <w:r w:rsidRPr="00A427B2">
              <w:rPr>
                <w:rFonts w:ascii="Segoe UI" w:eastAsia="Times New Roman" w:hAnsi="Segoe UI" w:cs="Segoe UI"/>
                <w:color w:val="000000"/>
                <w:sz w:val="16"/>
                <w:szCs w:val="16"/>
              </w:rPr>
              <w:fldChar w:fldCharType="end"/>
            </w:r>
          </w:p>
        </w:tc>
        <w:tc>
          <w:tcPr>
            <w:tcW w:w="2122" w:type="dxa"/>
            <w:vAlign w:val="center"/>
          </w:tcPr>
          <w:p w14:paraId="41E1AD57"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Abdominal Radiology</w:t>
            </w:r>
          </w:p>
        </w:tc>
        <w:tc>
          <w:tcPr>
            <w:tcW w:w="850" w:type="dxa"/>
            <w:vAlign w:val="center"/>
          </w:tcPr>
          <w:p w14:paraId="09C3CA3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2.429</w:t>
            </w:r>
          </w:p>
        </w:tc>
        <w:tc>
          <w:tcPr>
            <w:tcW w:w="1276" w:type="dxa"/>
            <w:vAlign w:val="center"/>
          </w:tcPr>
          <w:p w14:paraId="37321B4A"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184DC844"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Oncology</w:t>
            </w:r>
          </w:p>
        </w:tc>
        <w:tc>
          <w:tcPr>
            <w:tcW w:w="1541" w:type="dxa"/>
            <w:noWrap/>
            <w:vAlign w:val="center"/>
            <w:hideMark/>
          </w:tcPr>
          <w:p w14:paraId="7B089F22"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14CDD1AB"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36F13968"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Lymphadenectomy extension in gastric cancer before surgical resection</w:t>
            </w:r>
          </w:p>
        </w:tc>
      </w:tr>
      <w:tr w:rsidR="00A427B2" w:rsidRPr="00A427B2" w14:paraId="5493ED45" w14:textId="77777777" w:rsidTr="001B1FC9">
        <w:trPr>
          <w:trHeight w:val="510"/>
        </w:trPr>
        <w:tc>
          <w:tcPr>
            <w:tcW w:w="1701" w:type="dxa"/>
            <w:noWrap/>
            <w:vAlign w:val="center"/>
            <w:hideMark/>
          </w:tcPr>
          <w:p w14:paraId="6AB0847F"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G Luo</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{"citationItems":[{"id":"ITEM-1","itemData":{"DOI":"10.2196/12591","ISSN":"22919694","abstract":"Background: In children below the age of 2 years, bronchiolitis is the most common reason for hospitalization. Each year in the United States, bronchiolitis causes 287,000 emergency department visits, 32%-40% of which result in hospitalization. Due to a lack of evidence and objective criteria for managing bronchiolitis, clinicians often make emergency department disposition decisions on hospitalization or discharge to home subjectively, leading to large practice variation. Our recent study provided the first operational definition of appropriate hospital admission for emergency department patients with bronchiolitis and showed that 6.08% of emergency department disposition decisions for bronchiolitis were inappropriate. An accurate model for predicting appropriate hospital admission can guide emergency department disposition decisions for bronchiolitis and improve outcomes, but has not been developed thus far. Objective: The objective of this study was to develop a reasonably accurate model for predicting appropriate hospital admission. Methods: Using Intermountain Healthcare data from 2011-2014, we developed the first machine learning classification model to predict appropriate hospital admission for emergency department patients with bronchiolitis. Results: Our model achieved an accuracy of 90.66% (3242/3576, 95% CI: 89.68-91.64), a sensitivity of 92.09% (1083/1176, 95% CI: 90.33-93.56), a specificity of 89.96% (2159/2400, 95% CI: 88.69-91.17), and an area under the receiver operating characteristic curve of 0.960 (95% CI: 0.954-0.966). We identified possible improvements to the model to guide future research on this topic. Conclusions: Our model has good accuracy for predicting appropriate hospital admission for emergency department patients with bronchiolitis. With further improvement, our model could serve as a foundation for building decision-support tools to guide disposition decisions for children with bronchiolitis presenting to emergency departments.","author":[{"dropping-particle":"","family":"Luo","given":"Gang","non-dropping-particle":"","parse-names":false,"suffix":""},{"dropping-particle":"","family":"Stone","given":"Bryan L.","non-dropping-particle":"","parse-names":false,"suffix":""},{"dropping-particle":"","family":"Nkoy","given":"Flory L.","non-dropping-particle":"","parse-names":false,"suffix":""},{"dropping-particle":"","family":"He","given":"Shan","non-dropping-particle":"","parse-names":false,"suffix":""},{"dropping-particle":"","family":"Johnson","given":"Michael D.","non-dropping-particle":"","parse-names":false,"suffix":""}],"container-title":"JMIR Medical Informatics","id":"ITEM-1","issue":"1","issued":{"date-parts":[["2019"]]},"page":"1-15","title":"Predicting appropriate hospital admission of emergency department patients with bronchiolitis: Secondary analysis","type":"article-journal","volume":"7"},"uris":["http://www.mendeley.com/documents/?uuid=3b2cbf69-c840-40e3-afca-4da41ab849e3"]}],"mendeley":{"formattedCitation":"&lt;sup&gt;122&lt;/sup&gt;","plainTextFormattedCitation":"122","previouslyFormattedCitation":"&lt;sup&gt;121&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122</w:t>
            </w:r>
            <w:r w:rsidRPr="00A427B2">
              <w:rPr>
                <w:rFonts w:ascii="Segoe UI" w:eastAsia="Times New Roman" w:hAnsi="Segoe UI" w:cs="Segoe UI"/>
                <w:color w:val="000000"/>
                <w:sz w:val="16"/>
                <w:szCs w:val="16"/>
              </w:rPr>
              <w:fldChar w:fldCharType="end"/>
            </w:r>
            <w:r w:rsidRPr="00A427B2">
              <w:rPr>
                <w:rFonts w:ascii="Segoe UI" w:eastAsia="Times New Roman" w:hAnsi="Segoe UI" w:cs="Segoe UI"/>
                <w:color w:val="000000"/>
                <w:sz w:val="16"/>
                <w:szCs w:val="16"/>
              </w:rPr>
              <w:t xml:space="preserve"> </w:t>
            </w:r>
          </w:p>
        </w:tc>
        <w:tc>
          <w:tcPr>
            <w:tcW w:w="2122" w:type="dxa"/>
            <w:vAlign w:val="center"/>
          </w:tcPr>
          <w:p w14:paraId="10D7F320"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JMIR Medical Informatics</w:t>
            </w:r>
          </w:p>
        </w:tc>
        <w:tc>
          <w:tcPr>
            <w:tcW w:w="850" w:type="dxa"/>
            <w:vAlign w:val="center"/>
          </w:tcPr>
          <w:p w14:paraId="4796D72F"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2.577</w:t>
            </w:r>
          </w:p>
        </w:tc>
        <w:tc>
          <w:tcPr>
            <w:tcW w:w="1276" w:type="dxa"/>
            <w:vAlign w:val="center"/>
          </w:tcPr>
          <w:p w14:paraId="00CA07A3"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6193985B"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Healthcare services</w:t>
            </w:r>
          </w:p>
        </w:tc>
        <w:tc>
          <w:tcPr>
            <w:tcW w:w="1541" w:type="dxa"/>
            <w:noWrap/>
            <w:vAlign w:val="center"/>
            <w:hideMark/>
          </w:tcPr>
          <w:p w14:paraId="7648D85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63A05B84"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with external validation (same model)</w:t>
            </w:r>
          </w:p>
        </w:tc>
        <w:tc>
          <w:tcPr>
            <w:tcW w:w="2860" w:type="dxa"/>
            <w:noWrap/>
            <w:vAlign w:val="center"/>
            <w:hideMark/>
          </w:tcPr>
          <w:p w14:paraId="19E3D5F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Appropriate hospital admission for patients with bronchiolitis</w:t>
            </w:r>
          </w:p>
        </w:tc>
      </w:tr>
      <w:tr w:rsidR="00A427B2" w:rsidRPr="00A427B2" w14:paraId="24DBF226" w14:textId="77777777" w:rsidTr="001B1FC9">
        <w:trPr>
          <w:trHeight w:val="510"/>
        </w:trPr>
        <w:tc>
          <w:tcPr>
            <w:tcW w:w="1701" w:type="dxa"/>
            <w:noWrap/>
            <w:vAlign w:val="center"/>
            <w:hideMark/>
          </w:tcPr>
          <w:p w14:paraId="4A02650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K Meena</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{"citationItems":[{"id":"ITEM-1","itemData":{"DOI":"10.1016/j.artmed.2019.02.005","ISSN":"18732860","PMID":"30871679","abstract":"Anemia in children is becoming a worldwide problem owing to the unawareness among people regarding the disease, its causes and preventive measures. This study develops a decision support system using data mining techniques that are applied to a database containing data about nutritional factors for children. The data set was taken from NFHS-4, a survey conducted by the Government of India in 2015–16. The work attempts to predict anemia among children and establish a relation between mother's health and diet during pregnancy and its effects on anemic status of her child. It aims to help parents and clinicians to understand the influence of an infant's feeding practices and diet on his/her health and provide guidelines regarding diet to prevent anemia. Earlier, systems were built on computer using medical experts’ advicewhich was then translated into algorithms for use. However, this method was time consuming thus, artificial intelligence came into play utilizing knowledge discovery and data mining tools for predictive modeling. The two techniques, decision tree and association rule mining has been applied and compared to select more appropriate technique for this particular task and a model is proposed in the healthcare domain with the aim to reduce the risk of the blood-related disease anemia.","author":[{"dropping-particle":"","family":"Meena","given":"Kanak","non-dropping-particle":"","parse-names":false,"suffix":""},{"dropping-particle":"","family":"Tayal","given":"Devendra K.","non-dropping-particle":"","parse-names":false,"suffix":""},{"dropping-particle":"","family":"Gupta","given":"Vaidehi","non-dropping-particle":"","parse-names":false,"suffix":""},{"dropping-particle":"","family":"Fatima","given":"Aiman","non-dropping-particle":"","parse-names":false,"suffix":""}],"container-title":"Artificial Intelligence in Medicine","id":"ITEM-1","issue":"August 2018","issued":{"date-parts":[["2019"]]},"page":"138-152","publisher":"Elsevier","title":"Using classification techniques for statistical analysis of Anemia","type":"article-journal","volume":"94"},"uris":["http://www.mendeley.com/documents/?uuid=86570f6f-15b3-4bec-a207-dcb0f446a3c4"]}],"mendeley":{"formattedCitation":"&lt;sup&gt;123&lt;/sup&gt;","plainTextFormattedCitation":"123","previouslyFormattedCitation":"&lt;sup&gt;122&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123</w:t>
            </w:r>
            <w:r w:rsidRPr="00A427B2">
              <w:rPr>
                <w:rFonts w:ascii="Segoe UI" w:eastAsia="Times New Roman" w:hAnsi="Segoe UI" w:cs="Segoe UI"/>
                <w:color w:val="000000"/>
                <w:sz w:val="16"/>
                <w:szCs w:val="16"/>
              </w:rPr>
              <w:fldChar w:fldCharType="end"/>
            </w:r>
          </w:p>
        </w:tc>
        <w:tc>
          <w:tcPr>
            <w:tcW w:w="2122" w:type="dxa"/>
            <w:vAlign w:val="center"/>
          </w:tcPr>
          <w:p w14:paraId="58EAAC23"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Artificial Intelligence in Medicine</w:t>
            </w:r>
          </w:p>
        </w:tc>
        <w:tc>
          <w:tcPr>
            <w:tcW w:w="850" w:type="dxa"/>
            <w:vAlign w:val="center"/>
          </w:tcPr>
          <w:p w14:paraId="3DDA9873"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4.383</w:t>
            </w:r>
          </w:p>
        </w:tc>
        <w:tc>
          <w:tcPr>
            <w:tcW w:w="1276" w:type="dxa"/>
            <w:vAlign w:val="center"/>
          </w:tcPr>
          <w:p w14:paraId="06175689"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485F88AE"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Pediatrics</w:t>
            </w:r>
          </w:p>
        </w:tc>
        <w:tc>
          <w:tcPr>
            <w:tcW w:w="1541" w:type="dxa"/>
            <w:noWrap/>
            <w:vAlign w:val="center"/>
            <w:hideMark/>
          </w:tcPr>
          <w:p w14:paraId="140B5CE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Diagnosis</w:t>
            </w:r>
          </w:p>
        </w:tc>
        <w:tc>
          <w:tcPr>
            <w:tcW w:w="2481" w:type="dxa"/>
            <w:noWrap/>
            <w:vAlign w:val="center"/>
            <w:hideMark/>
          </w:tcPr>
          <w:p w14:paraId="12F877D1"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61195B99"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Anemia status in children</w:t>
            </w:r>
          </w:p>
        </w:tc>
      </w:tr>
      <w:tr w:rsidR="00A427B2" w:rsidRPr="00A427B2" w14:paraId="1C17AF51" w14:textId="77777777" w:rsidTr="001B1FC9">
        <w:trPr>
          <w:trHeight w:val="510"/>
        </w:trPr>
        <w:tc>
          <w:tcPr>
            <w:tcW w:w="1701" w:type="dxa"/>
            <w:noWrap/>
            <w:vAlign w:val="center"/>
            <w:hideMark/>
          </w:tcPr>
          <w:p w14:paraId="24E54F0F"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M TakeuchI</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{"citationItems":[{"id":"ITEM-1","itemData":{"DOI":"10.1007/s11605-018-3857-z","ISSN":"1091255X","PMID":"29980971","abstract":"Background or Purpose: As we previously indicated, postoperative pneumonia has a negative impact on the overall survival after planned esophagectomy. However, the impact of postoperative pneumonia after salvage esophagectomy on long-term oncologic outcomes still remains unclear. This study aimed to indicate the association between postoperative pneumonia and long-term outcomes of definitive chemoradiotherapy followed by salvage esophagectomy. Furthermore, we determined a prediction model for overall survival (OS) and disease-free survival (DFS) using a survival classification and regression tree (CART). Methods: Ninety-three patients who underwent CRT followed by esophagectomy for thoracic esophageal cancer were identified for this study. Forty-nine patients and 44 patients were included in the salvage and neoadjuvant groups, respectively. We investigated the association between postoperative pneumonia and long-term oncologic outcomes following salvage esophagectomy. Results: Patients from the salvage group tended to have a lower OS compared to neoadjuvant group (median survival: salvage, 24 months vs neoadjuvant, 43 months, p = 0.117). Multivariate analyses revealed that postoperative pneumonia adversely affected both OS (p &lt; 0.001) and DFS (p = 0.044) after salvage esophagectomy. We generated the prediction model for OS and DFS in the salvage group using survival CART. Postoperative pneumonia was the most important parameter for predicting the OS. Discussion: The present study demonstrates the long-term outcomes and risk factors for mortality of salvage esophagectomy. To improve OS after salvage surgery, the development of a means of decreasing pulmonary complications is needed.","author":[{"dropping-particle":"","family":"Takeuchi","given":"Masashi","non-dropping-particle":"","parse-names":false,"suffix":""},{"dropping-particle":"","family":"Kawakubo","given":"Hirofumi","non-dropping-particle":"","parse-names":false,"suffix":""},{"dropping-particle":"","family":"Mayanagi","given":"Shuhei","non-dropping-particle":"","parse-names":false,"suffix":""},{"dropping-particle":"","family":"Yoshida","given":"Kayo","non-dropping-particle":"","parse-names":false,"suffix":""},{"dropping-particle":"","family":"Fukuda","given":"Kazumasa","non-dropping-particle":"","parse-names":false,"suffix":""},{"dropping-particle":"","family":"Nakamura","given":"Rieko","non-dropping-particle":"","parse-names":false,"suffix":""},{"dropping-particle":"","family":"Suda","given":"Koichi","non-dropping-particle":"","parse-names":false,"suffix":""},{"dropping-particle":"","family":"Wada","given":"Norihito","non-dropping-particle":"","parse-names":false,"suffix":""},{"dropping-particle":"","family":"Takeuchi","given":"Hiroya","non-dropping-particle":"","parse-names":false,"suffix":""},{"dropping-particle":"","family":"Kitagawa","given":"Yuko","non-dropping-particle":"","parse-names":false,"suffix":""}],"container-title":"Journal of Gastrointestinal Surgery","id":"ITEM-1","issue":"11","issued":{"date-parts":[["2018"]]},"page":"1881-1889","publisher":"Journal of Gastrointestinal Surgery","title":"Postoperative Pneumonia is Associated with Long-Term Oncologic Outcomes of Definitive Chemoradiotherapy Followed by Salvage Esophagectomy for Esophageal Cancer","type":"article-journal","volume":"22"},"uris":["http://www.mendeley.com/documents/?uuid=c88bb586-c6c4-414e-8941-d0480fcd95af"]}],"mendeley":{"formattedCitation":"&lt;sup&gt;124&lt;/sup&gt;","plainTextFormattedCitation":"124","previouslyFormattedCitation":"&lt;sup&gt;123&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124</w:t>
            </w:r>
            <w:r w:rsidRPr="00A427B2">
              <w:rPr>
                <w:rFonts w:ascii="Segoe UI" w:eastAsia="Times New Roman" w:hAnsi="Segoe UI" w:cs="Segoe UI"/>
                <w:color w:val="000000"/>
                <w:sz w:val="16"/>
                <w:szCs w:val="16"/>
              </w:rPr>
              <w:fldChar w:fldCharType="end"/>
            </w:r>
          </w:p>
        </w:tc>
        <w:tc>
          <w:tcPr>
            <w:tcW w:w="2122" w:type="dxa"/>
            <w:vAlign w:val="center"/>
          </w:tcPr>
          <w:p w14:paraId="0C16AF38"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Journal of Gastrointestinal Surgery</w:t>
            </w:r>
          </w:p>
        </w:tc>
        <w:tc>
          <w:tcPr>
            <w:tcW w:w="850" w:type="dxa"/>
            <w:vAlign w:val="center"/>
          </w:tcPr>
          <w:p w14:paraId="5D4CB6BB"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2.686</w:t>
            </w:r>
          </w:p>
        </w:tc>
        <w:tc>
          <w:tcPr>
            <w:tcW w:w="1276" w:type="dxa"/>
            <w:vAlign w:val="center"/>
          </w:tcPr>
          <w:p w14:paraId="630B176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2018</w:t>
            </w:r>
          </w:p>
        </w:tc>
        <w:tc>
          <w:tcPr>
            <w:tcW w:w="1559" w:type="dxa"/>
            <w:noWrap/>
            <w:vAlign w:val="center"/>
            <w:hideMark/>
          </w:tcPr>
          <w:p w14:paraId="3B8D7A5F"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Oncology</w:t>
            </w:r>
          </w:p>
        </w:tc>
        <w:tc>
          <w:tcPr>
            <w:tcW w:w="1541" w:type="dxa"/>
            <w:noWrap/>
            <w:vAlign w:val="center"/>
            <w:hideMark/>
          </w:tcPr>
          <w:p w14:paraId="3D9C71F1"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35CC05D0"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6F07DF8A"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 xml:space="preserve">Post-operative overall survival and disease-free survival </w:t>
            </w:r>
          </w:p>
        </w:tc>
      </w:tr>
      <w:tr w:rsidR="00A427B2" w:rsidRPr="00A427B2" w14:paraId="75B6371E" w14:textId="77777777" w:rsidTr="001B1FC9">
        <w:trPr>
          <w:trHeight w:val="510"/>
        </w:trPr>
        <w:tc>
          <w:tcPr>
            <w:tcW w:w="1701" w:type="dxa"/>
            <w:noWrap/>
            <w:vAlign w:val="center"/>
            <w:hideMark/>
          </w:tcPr>
          <w:p w14:paraId="53AD6568"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H Kiiski</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{"citationItems":[{"id":"ITEM-1","itemData":{"DOI":"10.1007/s10548-018-0620-4","ISSN":"0896-0267 (Linking)","abstract":"Event-related potentials (ERPs) show promise to be objective indicators of cognitive functioning. The aim of the study was to examine if ERPs recorded during an oddball task would predict cognitive functioning and information processing speed in Multiple Sclerosis (MS) patients and controls at the individual level. Seventy-eight participants (35 MS patients, 43 healthy age-matched controls) completed visual and auditory 2- and 3-stimulus oddball tasks with 128-channel EEG, and a neuropsychological battery, at baseline (month 0) and at Months 13 and 26. ERPs from 0 to 700 ms and across the whole scalp were transformed into 1728 individual spatio-temporal datapoints per participant. A machine learning method that included penalized linear regression used the entire spatio-temporal ERP to predict composite scores of both cognitive functioning and processing speed at baseline (month 0), and months 13 and 26. The results showed ERPs during the visual oddball tasks could predict cognitive functioning and information processing speed at baseline and a year later in a sample of MS patients and healthy controls. In contrast, ERPs during auditory tasks were not predictive of cognitive performance. These objective neurophysiological indicators of cognitive functioning and processing speed, and machine learning methods that can interrogate high-dimensional data, show promise in outcome prediction.","author":[{"dropping-particle":"","family":"Kiiski","given":"H","non-dropping-particle":"","parse-names":false,"suffix":""},{"dropping-particle":"","family":"Jollans","given":"L","non-dropping-particle":"","parse-names":false,"suffix":""},{"dropping-particle":"","family":"SO","given":"Donnchadha","non-dropping-particle":"","parse-names":false,"suffix":""},{"dropping-particle":"","family":"Nolan","given":"H","non-dropping-particle":"","parse-names":false,"suffix":""},{"dropping-particle":"","family":"Lonergan","given":"R","non-dropping-particle":"","parse-names":false,"suffix":""},{"dropping-particle":"","family":"Kelly","given":"S","non-dropping-particle":"","parse-names":false,"suffix":""},{"dropping-particle":"","family":"MC","given":"O'Brien","non-dropping-particle":"","parse-names":false,"suffix":""},{"dropping-particle":"","family":"Kinsella","given":"K","non-dropping-particle":"","parse-names":false,"suffix":""},{"dropping-particle":"","family":"Bramham","given":"J","non-dropping-particle":"","parse-names":false,"suffix":""},{"dropping-particle":"","family":"Burke","given":"T","non-dropping-particle":"","parse-names":false,"suffix":""},{"dropping-particle":"","family":"Hutchinson","given":"M","non-dropping-particle":"","parse-names":false,"suffix":""},{"dropping-particle":"","family":"Tubridy","given":"N","non-dropping-particle":"","parse-names":false,"suffix":""},{"dropping-particle":"","family":"RB","given":"Reilly","non-dropping-particle":"","parse-names":false,"suffix":""},{"dropping-particle":"","family":"Whelan","given":"R","non-dropping-particle":"","parse-names":false,"suffix":""}],"container-title":"Brain topography","id":"ITEM-1","issue":"3","issued":{"date-parts":[["2018","5"]]},"page":"346-363","publisher-place":"United States","title":"Machine Learning EEG to Predict Cognitive Functioning and Processing Speed Over a 2-Year Period in Multiple Sclerosis Patients and Controls.","type":"article-journal","volume":"31"},"uris":["http://www.mendeley.com/documents/?uuid=daca91b8-9032-4a45-b819-ac63381970b5"]}],"mendeley":{"formattedCitation":"&lt;sup&gt;125&lt;/sup&gt;","plainTextFormattedCitation":"125","previouslyFormattedCitation":"&lt;sup&gt;124&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125</w:t>
            </w:r>
            <w:r w:rsidRPr="00A427B2">
              <w:rPr>
                <w:rFonts w:ascii="Segoe UI" w:eastAsia="Times New Roman" w:hAnsi="Segoe UI" w:cs="Segoe UI"/>
                <w:color w:val="000000"/>
                <w:sz w:val="16"/>
                <w:szCs w:val="16"/>
              </w:rPr>
              <w:fldChar w:fldCharType="end"/>
            </w:r>
          </w:p>
        </w:tc>
        <w:tc>
          <w:tcPr>
            <w:tcW w:w="2122" w:type="dxa"/>
            <w:vAlign w:val="center"/>
          </w:tcPr>
          <w:p w14:paraId="3E181C5A"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 xml:space="preserve">Brain Topography </w:t>
            </w:r>
          </w:p>
        </w:tc>
        <w:tc>
          <w:tcPr>
            <w:tcW w:w="850" w:type="dxa"/>
            <w:vAlign w:val="center"/>
          </w:tcPr>
          <w:p w14:paraId="3E046CCE"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3.104</w:t>
            </w:r>
          </w:p>
        </w:tc>
        <w:tc>
          <w:tcPr>
            <w:tcW w:w="1276" w:type="dxa"/>
            <w:vAlign w:val="center"/>
          </w:tcPr>
          <w:p w14:paraId="4ACEF8F2"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2018</w:t>
            </w:r>
          </w:p>
        </w:tc>
        <w:tc>
          <w:tcPr>
            <w:tcW w:w="1559" w:type="dxa"/>
            <w:noWrap/>
            <w:vAlign w:val="center"/>
            <w:hideMark/>
          </w:tcPr>
          <w:p w14:paraId="01313B2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Neurology</w:t>
            </w:r>
          </w:p>
        </w:tc>
        <w:tc>
          <w:tcPr>
            <w:tcW w:w="1541" w:type="dxa"/>
            <w:noWrap/>
            <w:vAlign w:val="center"/>
            <w:hideMark/>
          </w:tcPr>
          <w:p w14:paraId="58B6F579"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7DF40689"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15ABAA70"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Cognitive functioning and processing speed over 2-year</w:t>
            </w:r>
          </w:p>
        </w:tc>
      </w:tr>
      <w:tr w:rsidR="00A427B2" w:rsidRPr="00A427B2" w14:paraId="64E8EC93" w14:textId="77777777" w:rsidTr="001B1FC9">
        <w:trPr>
          <w:trHeight w:val="510"/>
        </w:trPr>
        <w:tc>
          <w:tcPr>
            <w:tcW w:w="1701" w:type="dxa"/>
            <w:noWrap/>
            <w:vAlign w:val="center"/>
            <w:hideMark/>
          </w:tcPr>
          <w:p w14:paraId="6A6D6F1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lastRenderedPageBreak/>
              <w:t>Z Hasnain</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{"citationItems":[{"id":"ITEM-1","itemData":{"DOI":"10.1371/journal.pone.0210976","ISBN":"1111111111","ISSN":"19326203","PMID":"30785915","abstract":"Currently in patients with bladder cancer, various clinical evaluations (imaging, operative findings at transurethral resection and radical cystectomy, pathology) are collectively used to determine disease status and prognosis, and recommend neoadjuvant, definitive and adjuvant treatments. We analyze the predictive power of these measurements in forecasting two key long-term outcomes following radical cystectomy, i.e., cancer recurrence and survival. Information theory and machine learning algorithms are employed to create predictive models using a large prospective, continuously collected, temporally resolved, primary bladder cancer dataset comprised of 3503 patients (1971-2016). Patient recurrence and survival one, three, and five years after cystectomy can be predicted with greater than 70% sensitivity and specificity. Such predictions may inform patient monitoring schedules and post-cystectomy treatments. The machine learning models provide a benchmark for predicting oncologic outcomes in patients undergoing radical cystectomy and highlight opportunities for improving care using optimal preoperative and operative data collection.","author":[{"dropping-particle":"","family":"Hasnain","given":"Zaki","non-dropping-particle":"","parse-names":false,"suffix":""},{"dropping-particle":"","family":"Mason","given":"Jeremy","non-dropping-particle":"","parse-names":false,"suffix":""},{"dropping-particle":"","family":"Gill","given":"Karanvir","non-dropping-particle":"","parse-names":false,"suffix":""},{"dropping-particle":"","family":"Miranda","given":"Gus","non-dropping-particle":"","parse-names":false,"suffix":""},{"dropping-particle":"","family":"Gill","given":"Inderbir S.","non-dropping-particle":"","parse-names":false,"suffix":""},{"dropping-particle":"","family":"Kuhn","given":"Peter","non-dropping-particle":"","parse-names":false,"suffix":""},{"dropping-particle":"","family":"Newton","given":"Paul K.","non-dropping-particle":"","parse-names":false,"suffix":""}],"container-title":"PLoS ONE","id":"ITEM-1","issue":"2","issued":{"date-parts":[["2019"]]},"page":"1-15","title":"Machine learning models for predicting post-cystectomy recurrence and survival in bladder cancer patients","type":"article-journal","volume":"14"},"uris":["http://www.mendeley.com/documents/?uuid=e3dffd87-98ee-4ac0-b734-1381cc008468"]}],"mendeley":{"formattedCitation":"&lt;sup&gt;126&lt;/sup&gt;","plainTextFormattedCitation":"126","previouslyFormattedCitation":"&lt;sup&gt;125&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126</w:t>
            </w:r>
            <w:r w:rsidRPr="00A427B2">
              <w:rPr>
                <w:rFonts w:ascii="Segoe UI" w:eastAsia="Times New Roman" w:hAnsi="Segoe UI" w:cs="Segoe UI"/>
                <w:color w:val="000000"/>
                <w:sz w:val="16"/>
                <w:szCs w:val="16"/>
              </w:rPr>
              <w:fldChar w:fldCharType="end"/>
            </w:r>
          </w:p>
        </w:tc>
        <w:tc>
          <w:tcPr>
            <w:tcW w:w="2122" w:type="dxa"/>
            <w:vAlign w:val="center"/>
          </w:tcPr>
          <w:p w14:paraId="034B7C22"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PLoS ONE</w:t>
            </w:r>
          </w:p>
        </w:tc>
        <w:tc>
          <w:tcPr>
            <w:tcW w:w="850" w:type="dxa"/>
            <w:vAlign w:val="center"/>
          </w:tcPr>
          <w:p w14:paraId="01E5CF5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2.740</w:t>
            </w:r>
          </w:p>
        </w:tc>
        <w:tc>
          <w:tcPr>
            <w:tcW w:w="1276" w:type="dxa"/>
            <w:vAlign w:val="center"/>
          </w:tcPr>
          <w:p w14:paraId="6850E04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01B9DFAF"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Oncology</w:t>
            </w:r>
          </w:p>
        </w:tc>
        <w:tc>
          <w:tcPr>
            <w:tcW w:w="1541" w:type="dxa"/>
            <w:noWrap/>
            <w:vAlign w:val="center"/>
            <w:hideMark/>
          </w:tcPr>
          <w:p w14:paraId="52C6F61E"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35DCC9E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723B383A"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Post-cystectomy recurrence</w:t>
            </w:r>
          </w:p>
        </w:tc>
      </w:tr>
      <w:tr w:rsidR="00A427B2" w:rsidRPr="00A427B2" w14:paraId="1C1481C7" w14:textId="77777777" w:rsidTr="001B1FC9">
        <w:trPr>
          <w:trHeight w:val="510"/>
        </w:trPr>
        <w:tc>
          <w:tcPr>
            <w:tcW w:w="1701" w:type="dxa"/>
            <w:noWrap/>
            <w:vAlign w:val="center"/>
            <w:hideMark/>
          </w:tcPr>
          <w:p w14:paraId="56C8A5A2"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J Dean</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{"citationItems":[{"id":"ITEM-1","itemData":{"DOI":"10.1016/j.ctro.2017.11.009","ISSN":"24056308","abstract":"Severe acute dysphagia commonly results from head and neck radiotherapy (RT). A model enabling prediction of severity of acute dysphagia for individual patients could guide clinical decision-making. Statistical associations between RT dose distributions and dysphagia could inform RT planning protocols aiming to reduce the incidence of severe dysphagia. We aimed to establish such a model and associations incorporating spatial dose metrics. Models of severe acute dysphagia were developed using pharyngeal mucosa (PM) RT dose (dose-volume and spatial dose metrics) and clinical data. Penalized logistic regression (PLR), support vector classification and random forest classification (RFC) models were generated and internally (173 patients) and externally (90 patients) validated. These were compared using area under the receiver operating characteristic curve (AUC) to assess performance. Associations between treatment features and dysphagia were explored using RFC models. The PLR model using dose-volume metrics (PLRstandard) performed as well as the more complex models and had very good discrimination (AUC = 0.82) on external validation. The features with the highest RFC importance values were the volume, length and circumference of PM receiving 1 Gy/fraction and higher. The volumes of PM receiving 1 Gy/fraction or higher should be minimized to reduce the incidence of severe acute dysphagia.","author":[{"dropping-particle":"","family":"Dean","given":"Jamie","non-dropping-particle":"","parse-names":false,"suffix":""},{"dropping-particle":"","family":"Wong","given":"Kee","non-dropping-particle":"","parse-names":false,"suffix":""},{"dropping-particle":"","family":"Gay","given":"Hiram","non-dropping-particle":"","parse-names":false,"suffix":""},{"dropping-particle":"","family":"Welsh","given":"Liam","non-dropping-particle":"","parse-names":false,"suffix":""},{"dropping-particle":"","family":"Jones","given":"Ann Britt","non-dropping-particle":"","parse-names":false,"suffix":""},{"dropping-particle":"","family":"Schick","given":"Ulricke","non-dropping-particle":"","parse-names":false,"suffix":""},{"dropping-particle":"","family":"Oh","given":"Jung Hun","non-dropping-particle":"","parse-names":false,"suffix":""},{"dropping-particle":"","family":"Apte","given":"Aditya","non-dropping-particle":"","parse-names":false,"suffix":""},{"dropping-particle":"","family":"Newbold","given":"Kate","non-dropping-particle":"","parse-names":false,"suffix":""},{"dropping-particle":"","family":"Bhide","given":"Shreerang","non-dropping-particle":"","parse-names":false,"suffix":""},{"dropping-particle":"","family":"Harrington","given":"Kevin","non-dropping-particle":"","parse-names":false,"suffix":""},{"dropping-particle":"","family":"Deasy","given":"Joseph","non-dropping-particle":"","parse-names":false,"suffix":""},{"dropping-particle":"","family":"Nutting","given":"Christopher","non-dropping-particle":"","parse-names":false,"suffix":""},{"dropping-particle":"","family":"Gulliford","given":"Sarah","non-dropping-particle":"","parse-names":false,"suffix":""}],"container-title":"Clinical and Translational Radiation Oncology","id":"ITEM-1","issued":{"date-parts":[["2018"]]},"page":"27-39","publisher":"The Authors","title":"Incorporating spatial dose metrics in machine learning-based normal tissue complication probability (NTCP) models of severe acute dysphagia resulting from head and neck radiotherapy","type":"article-journal","volume":"8"},"uris":["http://www.mendeley.com/documents/?uuid=54264a13-7849-4ffa-ba18-0612c97b520c"]}],"mendeley":{"formattedCitation":"&lt;sup&gt;127&lt;/sup&gt;","plainTextFormattedCitation":"127","previouslyFormattedCitation":"&lt;sup&gt;126&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127</w:t>
            </w:r>
            <w:r w:rsidRPr="00A427B2">
              <w:rPr>
                <w:rFonts w:ascii="Segoe UI" w:eastAsia="Times New Roman" w:hAnsi="Segoe UI" w:cs="Segoe UI"/>
                <w:color w:val="000000"/>
                <w:sz w:val="16"/>
                <w:szCs w:val="16"/>
              </w:rPr>
              <w:fldChar w:fldCharType="end"/>
            </w:r>
          </w:p>
        </w:tc>
        <w:tc>
          <w:tcPr>
            <w:tcW w:w="2122" w:type="dxa"/>
            <w:vAlign w:val="center"/>
          </w:tcPr>
          <w:p w14:paraId="6A8716B5"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Clinical and Translational Radiation Oncology</w:t>
            </w:r>
          </w:p>
        </w:tc>
        <w:tc>
          <w:tcPr>
            <w:tcW w:w="850" w:type="dxa"/>
            <w:vAlign w:val="center"/>
          </w:tcPr>
          <w:p w14:paraId="5B7F1C4E"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1.439</w:t>
            </w:r>
          </w:p>
        </w:tc>
        <w:tc>
          <w:tcPr>
            <w:tcW w:w="1276" w:type="dxa"/>
            <w:vAlign w:val="center"/>
          </w:tcPr>
          <w:p w14:paraId="366DD48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2018</w:t>
            </w:r>
          </w:p>
        </w:tc>
        <w:tc>
          <w:tcPr>
            <w:tcW w:w="1559" w:type="dxa"/>
            <w:noWrap/>
            <w:vAlign w:val="center"/>
            <w:hideMark/>
          </w:tcPr>
          <w:p w14:paraId="2E7ED9A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Oncology</w:t>
            </w:r>
          </w:p>
        </w:tc>
        <w:tc>
          <w:tcPr>
            <w:tcW w:w="1541" w:type="dxa"/>
            <w:noWrap/>
            <w:vAlign w:val="center"/>
            <w:hideMark/>
          </w:tcPr>
          <w:p w14:paraId="537054E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1776D49A"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with external validation (same model)</w:t>
            </w:r>
          </w:p>
        </w:tc>
        <w:tc>
          <w:tcPr>
            <w:tcW w:w="2860" w:type="dxa"/>
            <w:noWrap/>
            <w:vAlign w:val="center"/>
            <w:hideMark/>
          </w:tcPr>
          <w:p w14:paraId="44C6DCE1"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Severe acute dysphagia resulting from head and neck radiotherapy</w:t>
            </w:r>
          </w:p>
        </w:tc>
      </w:tr>
      <w:tr w:rsidR="00A427B2" w:rsidRPr="00A427B2" w14:paraId="6F204090" w14:textId="77777777" w:rsidTr="001B1FC9">
        <w:trPr>
          <w:trHeight w:val="510"/>
        </w:trPr>
        <w:tc>
          <w:tcPr>
            <w:tcW w:w="1701" w:type="dxa"/>
            <w:noWrap/>
            <w:vAlign w:val="center"/>
            <w:hideMark/>
          </w:tcPr>
          <w:p w14:paraId="59C36132"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M Cheung</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{"citationItems":[{"id":"ITEM-1","itemData":{"DOI":"10.1016/j.surg.2018.07.010","ISBN":"4132072819","ISSN":"15327361","PMID":"30174140","abstract":"Background: Although there exists robust literature on mortality-associated factors in burn patients, it is not known how electronic medical records affect outcomes. Using burn injury as a surgical care model of information and communication, we hypothesized that functionality and interoperability of the electronic medical record could serve as determinants of outcome. Methods: We used the state inpatient databases for New York, Washington, California, and Florida for the years 2009 and 2010 for all states, with the additional years of 2012 and 2013 for New York (n = 6,002), and the respective data from the American Hospital Association Information Technology survey. Using International Classification of Diseases, Ninth Revision, codes, we included burn patients and characterized total body surface area burned. We summed the binary answers to questions 1 and 2 and question 3 from the American Hospital Association Information Technology survey to make continuous functionality and interoperability scores. Mortality was predicted using extreme gradient boosting in Python. Results: In each state in which our models had an accuracy and area under the curve of more than 0.90, electronic medical record functionality but not interoperability was a significant predictor in New York, California, and Florida. Important predictors in each state were, age, duration of stay, total body surface area burned/severity, and total charges. Electronic medical record functionality was more important than all comorbidities except for coagulopathies and electrolyte disorders. Higher functionality scores were associated with mortality (P &lt;.01). Conclusion: Our data support our hypothesis that electronic medical records may be associated with mortality in burn patients; however, electronic medical records are not having the intended impact on outcomes, and further research needs to elucidate exactly how electronic medical records are being used in clinical settings.","author":[{"dropping-particle":"","family":"Cheung","given":"Matthew","non-dropping-particle":"","parse-names":false,"suffix":""},{"dropping-particle":"","family":"Cobb","given":"Adrienne N.","non-dropping-particle":"","parse-names":false,"suffix":""},{"dropping-particle":"","family":"Kuo","given":"Paul C.","non-dropping-particle":"","parse-names":false,"suffix":""}],"container-title":"Surgery (United States)","id":"ITEM-1","issue":"4","issued":{"date-parts":[["2018"]]},"page":"839-847","publisher":"Elsevier Inc.","title":"Predicting burn patient mortality with electronic medical records","type":"article-journal","volume":"164"},"uris":["http://www.mendeley.com/documents/?uuid=dd452453-d590-4c6a-8299-45d0177a232e"]}],"mendeley":{"formattedCitation":"&lt;sup&gt;128&lt;/sup&gt;","plainTextFormattedCitation":"128","previouslyFormattedCitation":"&lt;sup&gt;127&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128</w:t>
            </w:r>
            <w:r w:rsidRPr="00A427B2">
              <w:rPr>
                <w:rFonts w:ascii="Segoe UI" w:eastAsia="Times New Roman" w:hAnsi="Segoe UI" w:cs="Segoe UI"/>
                <w:color w:val="000000"/>
                <w:sz w:val="16"/>
                <w:szCs w:val="16"/>
              </w:rPr>
              <w:fldChar w:fldCharType="end"/>
            </w:r>
          </w:p>
        </w:tc>
        <w:tc>
          <w:tcPr>
            <w:tcW w:w="2122" w:type="dxa"/>
            <w:vAlign w:val="center"/>
          </w:tcPr>
          <w:p w14:paraId="377493F4"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Surgery</w:t>
            </w:r>
          </w:p>
        </w:tc>
        <w:tc>
          <w:tcPr>
            <w:tcW w:w="850" w:type="dxa"/>
            <w:vAlign w:val="center"/>
          </w:tcPr>
          <w:p w14:paraId="0E5CDAD9"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3.476</w:t>
            </w:r>
          </w:p>
        </w:tc>
        <w:tc>
          <w:tcPr>
            <w:tcW w:w="1276" w:type="dxa"/>
            <w:vAlign w:val="center"/>
          </w:tcPr>
          <w:p w14:paraId="1B447D31"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2018</w:t>
            </w:r>
          </w:p>
        </w:tc>
        <w:tc>
          <w:tcPr>
            <w:tcW w:w="1559" w:type="dxa"/>
            <w:noWrap/>
            <w:vAlign w:val="center"/>
            <w:hideMark/>
          </w:tcPr>
          <w:p w14:paraId="2D8389C8"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Surgery</w:t>
            </w:r>
          </w:p>
        </w:tc>
        <w:tc>
          <w:tcPr>
            <w:tcW w:w="1541" w:type="dxa"/>
            <w:noWrap/>
            <w:vAlign w:val="center"/>
            <w:hideMark/>
          </w:tcPr>
          <w:p w14:paraId="2A49945A"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63CCFA3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49A8E32E"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Mortality in burn patients</w:t>
            </w:r>
          </w:p>
        </w:tc>
      </w:tr>
      <w:tr w:rsidR="00A427B2" w:rsidRPr="00A427B2" w14:paraId="4EB94955" w14:textId="77777777" w:rsidTr="001B1FC9">
        <w:trPr>
          <w:trHeight w:val="510"/>
        </w:trPr>
        <w:tc>
          <w:tcPr>
            <w:tcW w:w="1701" w:type="dxa"/>
            <w:noWrap/>
            <w:vAlign w:val="center"/>
            <w:hideMark/>
          </w:tcPr>
          <w:p w14:paraId="4359C0E2"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JL Gowin</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{"citationItems":[{"id":"ITEM-1","itemData":{"DOI":"10.1016/j.nicl.2019.101676","ISSN":"22131582","PMID":"30665102","abstract":"Objective: Relapse rates are consistently high for stimulant user disorders. In order to obtain prognostic information about individuals in treatment, machine learning models have been applied to neuroimaging and clinical data. Yet few efforts have been made to test these models in independent samples or show that they can outperform linear models. In this exploratory study, we examine whether machine learning models relative to linear models provide greater predictive accuracy and less overfitting. Method: This longitudinal study included 63 methamphetamine-dependent (training sample) and 29 cocaine-dependent (test sample) individuals who completed an MRI scan during residential treatment. Linear and machine learning models predicting relapse at a one-year follow up that were previously developed in the methamphetamine-dependent sample using neuroimaging and clinical variables were applied to the cocaine-dependent sample. Receiver operating characteristic analysis was used to assess performance using area under the curve (AUC) as the primary outcome. Results: Twelve individuals in the cocaine-dependent sample remained abstinent, and 17 relapsed. The linear models produced more accurate prediction in the training sample than the machine learning models but showed reduced performance in the testing sample, with AUC decreasing by 0.18. The machine learning models produced similar predictive performance in the training and test samples, with AUC changing by 0.03. In the test sample, neither the linear nor the machine learning model predicted relapse at rates above chance. Conclusions: Although machine learning algorithms may have advantages, in this study neither model's performance was sufficient to be clinically useful. In order to improve predictive models, stronger predictor variables and larger samples are needed.","author":[{"dropping-particle":"","family":"Gowin","given":"Joshua L.","non-dropping-particle":"","parse-names":false,"suffix":""},{"dropping-particle":"","family":"Ernst","given":"Monique","non-dropping-particle":"","parse-names":false,"suffix":""},{"dropping-particle":"","family":"Ball","given":"Tali","non-dropping-particle":"","parse-names":false,"suffix":""},{"dropping-particle":"","family":"May","given":"April C.","non-dropping-particle":"","parse-names":false,"suffix":""},{"dropping-particle":"","family":"Sloan","given":"Matthew E.","non-dropping-particle":"","parse-names":false,"suffix":""},{"dropping-particle":"","family":"Tapert","given":"Susan F.","non-dropping-particle":"","parse-names":false,"suffix":""},{"dropping-particle":"","family":"Paulus","given":"Martin P.","non-dropping-particle":"","parse-names":false,"suffix":""}],"container-title":"NeuroImage: Clinical","id":"ITEM-1","issue":"January","issued":{"date-parts":[["2019"]]},"page":"101676","publisher":"Elsevier","title":"Using neuroimaging to predict relapse in stimulant dependence: A comparison of linear and machine learning models","type":"article-journal","volume":"21"},"uris":["http://www.mendeley.com/documents/?uuid=0e393c41-8d1c-46cd-b146-69f7bc748acc"]}],"mendeley":{"formattedCitation":"&lt;sup&gt;129&lt;/sup&gt;","plainTextFormattedCitation":"129","previouslyFormattedCitation":"&lt;sup&gt;128&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129</w:t>
            </w:r>
            <w:r w:rsidRPr="00A427B2">
              <w:rPr>
                <w:rFonts w:ascii="Segoe UI" w:eastAsia="Times New Roman" w:hAnsi="Segoe UI" w:cs="Segoe UI"/>
                <w:color w:val="000000"/>
                <w:sz w:val="16"/>
                <w:szCs w:val="16"/>
              </w:rPr>
              <w:fldChar w:fldCharType="end"/>
            </w:r>
          </w:p>
        </w:tc>
        <w:tc>
          <w:tcPr>
            <w:tcW w:w="2122" w:type="dxa"/>
            <w:vAlign w:val="center"/>
          </w:tcPr>
          <w:p w14:paraId="65497F95"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 xml:space="preserve">NeuroImage: Clinical </w:t>
            </w:r>
          </w:p>
        </w:tc>
        <w:tc>
          <w:tcPr>
            <w:tcW w:w="850" w:type="dxa"/>
            <w:vAlign w:val="center"/>
          </w:tcPr>
          <w:p w14:paraId="4FB05D08"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4.350</w:t>
            </w:r>
          </w:p>
        </w:tc>
        <w:tc>
          <w:tcPr>
            <w:tcW w:w="1276" w:type="dxa"/>
            <w:vAlign w:val="center"/>
          </w:tcPr>
          <w:p w14:paraId="3BEDD6F2"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2E5BCFFE"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Psychiatry</w:t>
            </w:r>
          </w:p>
        </w:tc>
        <w:tc>
          <w:tcPr>
            <w:tcW w:w="1541" w:type="dxa"/>
            <w:noWrap/>
            <w:vAlign w:val="center"/>
            <w:hideMark/>
          </w:tcPr>
          <w:p w14:paraId="13470118"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2601A394"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with external validation (same model)</w:t>
            </w:r>
          </w:p>
        </w:tc>
        <w:tc>
          <w:tcPr>
            <w:tcW w:w="2860" w:type="dxa"/>
            <w:noWrap/>
            <w:vAlign w:val="center"/>
            <w:hideMark/>
          </w:tcPr>
          <w:p w14:paraId="27ED1E8A"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Relapse rate at 12 months after treatment</w:t>
            </w:r>
          </w:p>
        </w:tc>
      </w:tr>
      <w:tr w:rsidR="00A427B2" w:rsidRPr="00A427B2" w14:paraId="61DA9AFC" w14:textId="77777777" w:rsidTr="001B1FC9">
        <w:trPr>
          <w:trHeight w:val="510"/>
        </w:trPr>
        <w:tc>
          <w:tcPr>
            <w:tcW w:w="1701" w:type="dxa"/>
            <w:noWrap/>
            <w:vAlign w:val="center"/>
            <w:hideMark/>
          </w:tcPr>
          <w:p w14:paraId="353F1A5F"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JC Rojas</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{"citationItems":[{"id":"ITEM-1","itemData":{"DOI":"10.1513/AnnalsATS.201710-787OC","ISSN":"23256621","PMID":"29787309","abstract":"Rationale: Patients transferred from the intensive care unit to the wards who are later readmitted to the intensive care unit have increased length of stay, healthcare expenditure, and mortality compared with those who are never readmitted. Improving risk stratification for patients transferred to the wards could have important benefits for critically ill hospitalized patients. Objectives: We aimed to use a machine-learning technique to derive and validate an intensive care unit readmission prediction model with variables available in the electronic health record in real time and compare it to previously published algorithms. Methods: This observational cohort study was conducted at an academic hospital in the United States with approximately 600 inpatient beds. A total of 24,885 intensive care unit transfers to the wards were included, with 14,962 transfers (60%) in the training cohort and 9,923 transfers (40%) in the internal validation cohort. Patient characteristics, nursing assessments, International Classification of Diseases, Ninth Revision codes from prior admissions, medications, intensive care unit interventions, diagnostic tests, vital signs, and laboratory results were extracted from the electronic health record and used as predictor variables in a gradient-boosted machine model. Accuracy for predicting intensive care unit readmission was compared with the Stability and Workload Index for Transfer score andModified EarlyWarning Score in the internal validation cohort and also externally using theMedical InformationMart for Intensive Care database (n = 42,303 intensive care unit transfers). Results: Eleven percent (2,834) of discharges to the wards were later readmitted to the intensive care unit. Themachine-learning-derivedmodel had significantly better performance (area under the receiver operating curve, 0.76) than either the Stability and Workload Index for Transfer score (area under the receiver operating curve, 0.65), or Modified Early Warning Score (area under the receiver operating curve, 0.58; P value, 0.0001 for all comparisons). At a specificity of 95%, the derived model had a sensitivity of 28% compared with 15% for Stability and Workload Index for Transfer score and 7% for the Modified Early Warning Score. Accuracy improvements with the derived model over Modified Early Warning Score and Stability and Workload Index for Transfer were similar in the Medical Information Mart for Intensive Care-III cohort. Conclusions: A machine lea…","author":[{"dropping-particle":"","family":"Rojas","given":"Juan C.","non-dropping-particle":"","parse-names":false,"suffix":""},{"dropping-particle":"","family":"Carey","given":"Kyle A.","non-dropping-particle":"","parse-names":false,"suffix":""},{"dropping-particle":"","family":"Edelson","given":"Dana P.","non-dropping-particle":"","parse-names":false,"suffix":""},{"dropping-particle":"","family":"Venable","given":"Laura R.","non-dropping-particle":"","parse-names":false,"suffix":""},{"dropping-particle":"","family":"Howell","given":"Michael D.","non-dropping-particle":"","parse-names":false,"suffix":""},{"dropping-particle":"","family":"Churpek","given":"Matthew M.","non-dropping-particle":"","parse-names":false,"suffix":""}],"container-title":"Annals of the American Thoracic Society","id":"ITEM-1","issue":"7","issued":{"date-parts":[["2018"]]},"page":"846-853","title":"Predicting intensive care unit readmission with machine learning using electronic health record data","type":"article-journal","volume":"15"},"uris":["http://www.mendeley.com/documents/?uuid=3fe756c8-c150-451c-a487-5783420fb528"]}],"mendeley":{"formattedCitation":"&lt;sup&gt;130&lt;/sup&gt;","plainTextFormattedCitation":"130","previouslyFormattedCitation":"&lt;sup&gt;129&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130</w:t>
            </w:r>
            <w:r w:rsidRPr="00A427B2">
              <w:rPr>
                <w:rFonts w:ascii="Segoe UI" w:eastAsia="Times New Roman" w:hAnsi="Segoe UI" w:cs="Segoe UI"/>
                <w:color w:val="000000"/>
                <w:sz w:val="16"/>
                <w:szCs w:val="16"/>
              </w:rPr>
              <w:fldChar w:fldCharType="end"/>
            </w:r>
          </w:p>
        </w:tc>
        <w:tc>
          <w:tcPr>
            <w:tcW w:w="2122" w:type="dxa"/>
            <w:vAlign w:val="center"/>
          </w:tcPr>
          <w:p w14:paraId="50E375D8"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Annals of the American Thoracic Society</w:t>
            </w:r>
          </w:p>
        </w:tc>
        <w:tc>
          <w:tcPr>
            <w:tcW w:w="850" w:type="dxa"/>
            <w:vAlign w:val="center"/>
          </w:tcPr>
          <w:p w14:paraId="412CB650"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4.026</w:t>
            </w:r>
          </w:p>
        </w:tc>
        <w:tc>
          <w:tcPr>
            <w:tcW w:w="1276" w:type="dxa"/>
            <w:vAlign w:val="center"/>
          </w:tcPr>
          <w:p w14:paraId="6B5AE28B"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2018</w:t>
            </w:r>
          </w:p>
        </w:tc>
        <w:tc>
          <w:tcPr>
            <w:tcW w:w="1559" w:type="dxa"/>
            <w:noWrap/>
            <w:vAlign w:val="center"/>
            <w:hideMark/>
          </w:tcPr>
          <w:p w14:paraId="18B1D34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Healthcare services</w:t>
            </w:r>
          </w:p>
        </w:tc>
        <w:tc>
          <w:tcPr>
            <w:tcW w:w="1541" w:type="dxa"/>
            <w:noWrap/>
            <w:vAlign w:val="center"/>
            <w:hideMark/>
          </w:tcPr>
          <w:p w14:paraId="79030A1B"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04A79A4F"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with external validation (same model)</w:t>
            </w:r>
          </w:p>
        </w:tc>
        <w:tc>
          <w:tcPr>
            <w:tcW w:w="2860" w:type="dxa"/>
            <w:noWrap/>
            <w:vAlign w:val="center"/>
            <w:hideMark/>
          </w:tcPr>
          <w:p w14:paraId="2CD77CC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Intensive care unit readmission</w:t>
            </w:r>
          </w:p>
        </w:tc>
      </w:tr>
      <w:tr w:rsidR="00A427B2" w:rsidRPr="00A427B2" w14:paraId="78786714" w14:textId="77777777" w:rsidTr="001B1FC9">
        <w:trPr>
          <w:trHeight w:val="510"/>
        </w:trPr>
        <w:tc>
          <w:tcPr>
            <w:tcW w:w="1701" w:type="dxa"/>
            <w:noWrap/>
            <w:vAlign w:val="center"/>
            <w:hideMark/>
          </w:tcPr>
          <w:p w14:paraId="1A78945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R Wei</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{"citationItems":[{"id":"ITEM-1","itemData":{"DOI":"10.1177/1533033818824339","ISSN":"1533-0338 (Linking)","abstract":"OBJECTIVE: Our aim was to propose a preoperative computer-aided diagnosis scheme to differentiate pancreatic serous cystic neoplasms from other pancreatic cystic neoplasms, providing supportive opinions for clinicians and avoiding overtreatment. MATERIALS AND METHODS: In this retrospective study, 260 patients with pancreatic cystic neoplasm were included. Each patient underwent a multidetector row computed tomography scan and pancreatic resection. In all, 200 patients constituted a cross-validation cohort, and 60 patients formed an independent validation cohort. Demographic information, clinical information, and multidetector row computed tomography images were obtained from Picture Archiving and Communication Systems. The peripheral margin of each neoplasm was manually outlined by experienced radiologists. A radiomics system containing 24 guideline-based features and 385 radiomics high-throughput features was designed. After the feature extraction, least absolute shrinkage selection operator regression was used to select the most important features. A support vector machine classifier with 5-fold cross-validation was applied to build the diagnostic model. The independent validation cohort was used to validate the performance. RESULTS: Only 31 of 102 serous cystic neoplasm cases in this study were recognized correctly by clinicians before the surgery. Twenty-two features were selected from the radiomics system after 100 bootstrapping repetitions of the least absolute shrinkage selection operator regression. The diagnostic scheme performed accurately and robustly, showing the area under the receiver operating characteristic curve = 0.767, sensitivity = 0.686, and specificity = 0.709. In the independent validation cohort, we acquired similar results with receiver operating characteristic curve = 0.837, sensitivity = 0.667, and specificity = 0.818. CONCLUSION: The proposed radiomics-based computer-aided diagnosis scheme could increase preoperative diagnostic accuracy and assist clinicians in making accurate management decisions.","author":[{"dropping-particle":"","family":"Wei","given":"R","non-dropping-particle":"","parse-names":false,"suffix":""},{"dropping-particle":"","family":"Lin","given":"K","non-dropping-particle":"","parse-names":false,"suffix":""},{"dropping-particle":"","family":"Yan","given":"W","non-dropping-particle":"","parse-names":false,"suffix":""},{"dropping-particle":"","family":"Guo","given":"Y","non-dropping-particle":"","parse-names":false,"suffix":""},{"dropping-particle":"","family":"Wang","given":"Y","non-dropping-particle":"","parse-names":false,"suffix":""},{"dropping-particle":"","family":"Li","given":"J","non-dropping-particle":"","parse-names":false,"suffix":""},{"dropping-particle":"","family":"Zhu","given":"J","non-dropping-particle":"","parse-names":false,"suffix":""}],"container-title":"Technology in cancer research &amp; treatment","id":"ITEM-1","issued":{"date-parts":[["2019","1"]]},"page":"1533033818824339","publisher-place":"United States","title":"Computer-Aided Diagnosis of Pancreas Serous Cystic Neoplasms: A Radiomics Method on Preoperative MDCT Images.","type":"article-journal","volume":"18"},"uris":["http://www.mendeley.com/documents/?uuid=1dc6d895-366b-4f82-9dc0-7feb80f9d947"]}],"mendeley":{"formattedCitation":"&lt;sup&gt;131&lt;/sup&gt;","plainTextFormattedCitation":"131","previouslyFormattedCitation":"&lt;sup&gt;130&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131</w:t>
            </w:r>
            <w:r w:rsidRPr="00A427B2">
              <w:rPr>
                <w:rFonts w:ascii="Segoe UI" w:eastAsia="Times New Roman" w:hAnsi="Segoe UI" w:cs="Segoe UI"/>
                <w:color w:val="000000"/>
                <w:sz w:val="16"/>
                <w:szCs w:val="16"/>
              </w:rPr>
              <w:fldChar w:fldCharType="end"/>
            </w:r>
            <w:r w:rsidRPr="00A427B2">
              <w:rPr>
                <w:rFonts w:ascii="Segoe UI" w:eastAsia="Times New Roman" w:hAnsi="Segoe UI" w:cs="Segoe UI"/>
                <w:color w:val="000000"/>
                <w:sz w:val="16"/>
                <w:szCs w:val="16"/>
              </w:rPr>
              <w:t xml:space="preserve"> </w:t>
            </w:r>
          </w:p>
        </w:tc>
        <w:tc>
          <w:tcPr>
            <w:tcW w:w="2122" w:type="dxa"/>
            <w:vAlign w:val="center"/>
          </w:tcPr>
          <w:p w14:paraId="1EDF521B"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Technology in Cancer Research &amp; Treatment</w:t>
            </w:r>
          </w:p>
        </w:tc>
        <w:tc>
          <w:tcPr>
            <w:tcW w:w="850" w:type="dxa"/>
            <w:vAlign w:val="center"/>
          </w:tcPr>
          <w:p w14:paraId="785D8563"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2.074</w:t>
            </w:r>
          </w:p>
        </w:tc>
        <w:tc>
          <w:tcPr>
            <w:tcW w:w="1276" w:type="dxa"/>
            <w:vAlign w:val="center"/>
          </w:tcPr>
          <w:p w14:paraId="36D30DEB"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59C9BA0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Medical imaging</w:t>
            </w:r>
          </w:p>
        </w:tc>
        <w:tc>
          <w:tcPr>
            <w:tcW w:w="1541" w:type="dxa"/>
            <w:noWrap/>
            <w:vAlign w:val="center"/>
            <w:hideMark/>
          </w:tcPr>
          <w:p w14:paraId="2AF2673A"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Diagnosis</w:t>
            </w:r>
          </w:p>
        </w:tc>
        <w:tc>
          <w:tcPr>
            <w:tcW w:w="2481" w:type="dxa"/>
            <w:noWrap/>
            <w:vAlign w:val="center"/>
            <w:hideMark/>
          </w:tcPr>
          <w:p w14:paraId="306ED6E4"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with external validation (same model)</w:t>
            </w:r>
          </w:p>
        </w:tc>
        <w:tc>
          <w:tcPr>
            <w:tcW w:w="2860" w:type="dxa"/>
            <w:noWrap/>
            <w:vAlign w:val="center"/>
            <w:hideMark/>
          </w:tcPr>
          <w:p w14:paraId="2736B2D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 xml:space="preserve">Pre-operative serous cystic neoplasms </w:t>
            </w:r>
          </w:p>
        </w:tc>
      </w:tr>
      <w:tr w:rsidR="00A427B2" w:rsidRPr="00A427B2" w14:paraId="747CDB69" w14:textId="77777777" w:rsidTr="001B1FC9">
        <w:trPr>
          <w:trHeight w:val="510"/>
        </w:trPr>
        <w:tc>
          <w:tcPr>
            <w:tcW w:w="1701" w:type="dxa"/>
            <w:noWrap/>
            <w:vAlign w:val="center"/>
            <w:hideMark/>
          </w:tcPr>
          <w:p w14:paraId="3E175D3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J Balani</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{"citationItems":[{"id":"ITEM-1","itemData":{"DOI":"10.1177/1753495X17754149","ISSN":"17534968","abstract":"Objective: To develop a model to predict gestational diabetes mellitus incorporating classical and a novel risk factor, visceral fat mass. Methods: Three hundred two obese non-diabetic pregnant women underwent body composition analysis at booking by bioimpedance analysis. Of this cohort, 72 (24%) developed gestational diabetes mellitus. Principal component analysis was initially performed to identify possible clustering of the gestational diabetes mellitus and non-GDM groups. A machine learning algorithm was then applied to develop a GDM predictive model utilising random forest and decision tree modelling. Results: The predictive model was trained on 227 samples and validated using an independent testing subset of 75 samples where the model achieved a validation prediction accuracy of 77.53%. According to the decision tree developed, visceral fat mass emerged as the most important variable in determining the risk of gestational diabetes mellitus. Conclusions: We present a model incorporating visceral fat mass, which is a novel risk factor in predicting gestational diabetes mellitus in obese pregnant women.","author":[{"dropping-particle":"","family":"Balani","given":"J.","non-dropping-particle":"","parse-names":false,"suffix":""},{"dropping-particle":"","family":"Hyer","given":"S. L.","non-dropping-particle":"","parse-names":false,"suffix":""},{"dropping-particle":"","family":"Shehata","given":"H.","non-dropping-particle":"","parse-names":false,"suffix":""},{"dropping-particle":"","family":"Mohareb","given":"F.","non-dropping-particle":"","parse-names":false,"suffix":""}],"container-title":"Obstetric Medicine","id":"ITEM-1","issue":"3","issued":{"date-parts":[["2018"]]},"page":"121-125","title":"Visceral fat mass as a novel risk factor for predicting gestational diabetes in obese pregnant women","type":"article-journal","volume":"11"},"uris":["http://www.mendeley.com/documents/?uuid=f51355d7-faec-4b27-ac68-ccba24522e46"]}],"mendeley":{"formattedCitation":"&lt;sup&gt;132&lt;/sup&gt;","plainTextFormattedCitation":"132","previouslyFormattedCitation":"&lt;sup&gt;131&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132</w:t>
            </w:r>
            <w:r w:rsidRPr="00A427B2">
              <w:rPr>
                <w:rFonts w:ascii="Segoe UI" w:eastAsia="Times New Roman" w:hAnsi="Segoe UI" w:cs="Segoe UI"/>
                <w:color w:val="000000"/>
                <w:sz w:val="16"/>
                <w:szCs w:val="16"/>
              </w:rPr>
              <w:fldChar w:fldCharType="end"/>
            </w:r>
          </w:p>
        </w:tc>
        <w:tc>
          <w:tcPr>
            <w:tcW w:w="2122" w:type="dxa"/>
            <w:vAlign w:val="center"/>
          </w:tcPr>
          <w:p w14:paraId="215F864F"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Obstetric Medicine(</w:t>
            </w:r>
            <w:r w:rsidRPr="00A427B2">
              <w:rPr>
                <w:rFonts w:ascii="Segoe UI" w:hAnsi="Segoe UI" w:cs="Segoe UI"/>
                <w:color w:val="000000"/>
                <w:sz w:val="16"/>
                <w:szCs w:val="16"/>
                <w:vertAlign w:val="superscript"/>
              </w:rPr>
              <w:t>b</w:t>
            </w:r>
            <w:r w:rsidRPr="00A427B2">
              <w:rPr>
                <w:rFonts w:ascii="Segoe UI" w:hAnsi="Segoe UI" w:cs="Segoe UI"/>
                <w:color w:val="000000"/>
                <w:sz w:val="16"/>
                <w:szCs w:val="16"/>
              </w:rPr>
              <w:t>)</w:t>
            </w:r>
          </w:p>
        </w:tc>
        <w:tc>
          <w:tcPr>
            <w:tcW w:w="850" w:type="dxa"/>
            <w:vAlign w:val="center"/>
          </w:tcPr>
          <w:p w14:paraId="68B0462F"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0.389</w:t>
            </w:r>
          </w:p>
        </w:tc>
        <w:tc>
          <w:tcPr>
            <w:tcW w:w="1276" w:type="dxa"/>
            <w:vAlign w:val="center"/>
          </w:tcPr>
          <w:p w14:paraId="4D816FD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2018</w:t>
            </w:r>
          </w:p>
        </w:tc>
        <w:tc>
          <w:tcPr>
            <w:tcW w:w="1559" w:type="dxa"/>
            <w:noWrap/>
            <w:vAlign w:val="center"/>
            <w:hideMark/>
          </w:tcPr>
          <w:p w14:paraId="79AC3AC2"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Endocrinology</w:t>
            </w:r>
          </w:p>
        </w:tc>
        <w:tc>
          <w:tcPr>
            <w:tcW w:w="1541" w:type="dxa"/>
            <w:noWrap/>
            <w:vAlign w:val="center"/>
            <w:hideMark/>
          </w:tcPr>
          <w:p w14:paraId="5F57126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2A699884"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300CC20B"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Gestational diabetes mellitus</w:t>
            </w:r>
          </w:p>
        </w:tc>
      </w:tr>
      <w:tr w:rsidR="00A427B2" w:rsidRPr="00A427B2" w14:paraId="2FED880C" w14:textId="77777777" w:rsidTr="001B1FC9">
        <w:trPr>
          <w:trHeight w:val="510"/>
        </w:trPr>
        <w:tc>
          <w:tcPr>
            <w:tcW w:w="1701" w:type="dxa"/>
            <w:noWrap/>
            <w:vAlign w:val="center"/>
            <w:hideMark/>
          </w:tcPr>
          <w:p w14:paraId="74FA4CEB"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L Gao</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{"citationItems":[{"id":"ITEM-1","itemData":{"DOI":"10.1089/neu.2019.6631","ISSN":"0897-7151 (Linking)","abstract":"Nonlinear physiological signal features that reveal information content and causal flow have recently been shown to be predictors of mortality after severe traumatic brain injury (TBI). The extent to which these features interact together, and with traditional measures to describe patients in a clinically meaningful way remains unclear. In this study, we incorporated basic demographics (age and initial Glasgow Coma Scale [GCS]) with linear and non-linear signal information based features (approximate entropy [ApEn], and multivariate conditional Granger causality [GC]) to evaluate their relative contributions to mortality using cardio-cerebral monitoring data from 171 severe TBI patients admitted to a single neurocritical care center over a 10 year period. Beyond linear modelling, we employed a decision tree analysis approach to define a predictive hierarchy of features. We found ApEn (p = 0.009) and GC (p = 0.004) based features to be independent predictors of mortality at a time when mean intracranial pressure (ICP) was not. Our combined model with both signal information-based features performed the strongest (area under curve = 0.86 vs. 0.77 for linear features only). Although low \"intracranial\" complexity (ApEn-ICP) outranked both age and GCS as crucial drivers of mortality (fivefold increase in mortality where ApEn-ICP &lt;1.56, 36.2% vs. 7.8%), decision tree analysis revealed clear subsets of patient populations using all three predictors. Patients with lower ApEn-ICP who were &gt;60 years of age died, whereas those with higher ApEn-ICP and GCS &gt;/=5 all survived. Yet, even with low initial intracranial complexity, as long as patients maintained robust GC and \"extracranial\" complexity (ApEn of mean arterial pressure), they all survived. Incorporating traditional linear and novel, non-linear signal information features, particularly in a framework such as decision trees, may provide better insight into \"health\" status. However, caution is required when interpreting these results in a clinical setting prior to external validation.","author":[{"dropping-particle":"","family":"Gao","given":"L","non-dropping-particle":"","parse-names":false,"suffix":""},{"dropping-particle":"","family":"Smielewski","given":"P","non-dropping-particle":"","parse-names":false,"suffix":""},{"dropping-particle":"","family":"Li","given":"P","non-dropping-particle":"","parse-names":false,"suffix":""},{"dropping-particle":"","family":"Czosnyka","given":"M","non-dropping-particle":"","parse-names":false,"suffix":""},{"dropping-particle":"","family":"Ercole","given":"A","non-dropping-particle":"","parse-names":false,"suffix":""}],"container-title":"Journal of neurotrauma","id":"ITEM-1","issued":{"date-parts":[["2019","12"]]},"publisher-place":"United States","title":"Signal Information Prediction of Mortality Identifies Unique Patient Subsets after Severe Traumatic Brain Injury: A Decision-Tree Analysis Approach.","type":"article-journal"},"uris":["http://www.mendeley.com/documents/?uuid=48055a85-474c-40fc-abd7-03509b5e7f01"]}],"mendeley":{"formattedCitation":"&lt;sup&gt;133&lt;/sup&gt;","plainTextFormattedCitation":"133","previouslyFormattedCitation":"&lt;sup&gt;132&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133</w:t>
            </w:r>
            <w:r w:rsidRPr="00A427B2">
              <w:rPr>
                <w:rFonts w:ascii="Segoe UI" w:eastAsia="Times New Roman" w:hAnsi="Segoe UI" w:cs="Segoe UI"/>
                <w:color w:val="000000"/>
                <w:sz w:val="16"/>
                <w:szCs w:val="16"/>
              </w:rPr>
              <w:fldChar w:fldCharType="end"/>
            </w:r>
          </w:p>
        </w:tc>
        <w:tc>
          <w:tcPr>
            <w:tcW w:w="2122" w:type="dxa"/>
            <w:vAlign w:val="center"/>
          </w:tcPr>
          <w:p w14:paraId="4165C44A"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Journal of Neurotrauma</w:t>
            </w:r>
          </w:p>
        </w:tc>
        <w:tc>
          <w:tcPr>
            <w:tcW w:w="850" w:type="dxa"/>
            <w:vAlign w:val="center"/>
          </w:tcPr>
          <w:p w14:paraId="78281A8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4.056</w:t>
            </w:r>
          </w:p>
        </w:tc>
        <w:tc>
          <w:tcPr>
            <w:tcW w:w="1276" w:type="dxa"/>
            <w:vAlign w:val="center"/>
          </w:tcPr>
          <w:p w14:paraId="358EB078"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3E14B62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Critical care</w:t>
            </w:r>
          </w:p>
        </w:tc>
        <w:tc>
          <w:tcPr>
            <w:tcW w:w="1541" w:type="dxa"/>
            <w:noWrap/>
            <w:vAlign w:val="center"/>
            <w:hideMark/>
          </w:tcPr>
          <w:p w14:paraId="3B9C9F61"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029B225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1480E568"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Mortality after severe traumatic brain injury at 6 months</w:t>
            </w:r>
          </w:p>
        </w:tc>
      </w:tr>
      <w:tr w:rsidR="00A427B2" w:rsidRPr="00A427B2" w14:paraId="3762C250" w14:textId="77777777" w:rsidTr="001B1FC9">
        <w:trPr>
          <w:trHeight w:val="510"/>
        </w:trPr>
        <w:tc>
          <w:tcPr>
            <w:tcW w:w="1701" w:type="dxa"/>
            <w:noWrap/>
            <w:vAlign w:val="center"/>
            <w:hideMark/>
          </w:tcPr>
          <w:p w14:paraId="468906DB"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A Garcia-Arce</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{"citationItems":[{"id":"ITEM-1","itemData":{"DOI":"10.1097/JHQ.0000000000000080","ISBN":"0000000000000","ISSN":"19451474","PMID":"28857931","abstract":"A diverse universe of statistical models in the literature aim to help hospitals understand the risk factors of their preventable readmissions. However, these models are usually not necessarily applicable in other contexts, fail to achieve good discriminatory power, or cannot be compared with other models. We built and compared predictive models based on machine learning algorithms for 30-day preventable hospital readmissions of Medicare patients. This work used the same inclusion/exclusion criteria for diseases used by the Centers for Medicare and Medicaid Services. In addition, risk stratification techniques were implemented to study covariate behavior on each risk strata. The new models resulted in improved performance measured by the area under the receiver operating characteristic curve. Finally, factors such as higher length of stay, disease severity index, being discharged to a hospital, and primary language other than English were associated with increased risk to be readmitted within 30 days. In the future, better predictive models for 30-day preventable hospital readmissions can point to the development of systems that identify patients at high risk and lead to the implementation of interventions (e.g., discharge planning and follow-up) to those patients, providing consistent improvement in the quality and efficiency of the healthcare system.","author":[{"dropping-particle":"","family":"Garcia-Arce","given":"Andres","non-dropping-particle":"","parse-names":false,"suffix":""},{"dropping-particle":"","family":"Rico","given":"Florentino","non-dropping-particle":"","parse-names":false,"suffix":""},{"dropping-particle":"","family":"Zayas-Castro","given":"José L.","non-dropping-particle":"","parse-names":false,"suffix":""}],"container-title":"Journal for Healthcare Quality","id":"ITEM-1","issue":"3","issued":{"date-parts":[["2018"]]},"page":"129-138","title":"Comparison of Machine Learning Algorithms for the Prediction of Preventable Hospital Readmissions","type":"article-journal","volume":"40"},"uris":["http://www.mendeley.com/documents/?uuid=24d22072-4462-40af-8c3d-f0e2d079db83"]}],"mendeley":{"formattedCitation":"&lt;sup&gt;134&lt;/sup&gt;","plainTextFormattedCitation":"134","previouslyFormattedCitation":"&lt;sup&gt;133&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134</w:t>
            </w:r>
            <w:r w:rsidRPr="00A427B2">
              <w:rPr>
                <w:rFonts w:ascii="Segoe UI" w:eastAsia="Times New Roman" w:hAnsi="Segoe UI" w:cs="Segoe UI"/>
                <w:color w:val="000000"/>
                <w:sz w:val="16"/>
                <w:szCs w:val="16"/>
              </w:rPr>
              <w:fldChar w:fldCharType="end"/>
            </w:r>
          </w:p>
        </w:tc>
        <w:tc>
          <w:tcPr>
            <w:tcW w:w="2122" w:type="dxa"/>
            <w:vAlign w:val="center"/>
          </w:tcPr>
          <w:p w14:paraId="11D8D8E0"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Journal for Healthcare Quality</w:t>
            </w:r>
          </w:p>
        </w:tc>
        <w:tc>
          <w:tcPr>
            <w:tcW w:w="850" w:type="dxa"/>
            <w:vAlign w:val="center"/>
          </w:tcPr>
          <w:p w14:paraId="4704D0A2"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1.092</w:t>
            </w:r>
          </w:p>
        </w:tc>
        <w:tc>
          <w:tcPr>
            <w:tcW w:w="1276" w:type="dxa"/>
            <w:vAlign w:val="center"/>
          </w:tcPr>
          <w:p w14:paraId="1EC4A6BA"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2018</w:t>
            </w:r>
          </w:p>
        </w:tc>
        <w:tc>
          <w:tcPr>
            <w:tcW w:w="1559" w:type="dxa"/>
            <w:noWrap/>
            <w:vAlign w:val="center"/>
            <w:hideMark/>
          </w:tcPr>
          <w:p w14:paraId="793CF92B"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Healthcare services</w:t>
            </w:r>
          </w:p>
        </w:tc>
        <w:tc>
          <w:tcPr>
            <w:tcW w:w="1541" w:type="dxa"/>
            <w:noWrap/>
            <w:vAlign w:val="center"/>
            <w:hideMark/>
          </w:tcPr>
          <w:p w14:paraId="332FF164"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514C4C1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770FE21F"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Preventable readmission within 30-days</w:t>
            </w:r>
          </w:p>
        </w:tc>
      </w:tr>
      <w:tr w:rsidR="00A427B2" w:rsidRPr="00A427B2" w14:paraId="185EB9A6" w14:textId="77777777" w:rsidTr="001B1FC9">
        <w:trPr>
          <w:trHeight w:val="510"/>
        </w:trPr>
        <w:tc>
          <w:tcPr>
            <w:tcW w:w="1701" w:type="dxa"/>
            <w:noWrap/>
            <w:vAlign w:val="center"/>
            <w:hideMark/>
          </w:tcPr>
          <w:p w14:paraId="62C54510"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S Papini</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{"citationItems":[{"id":"ITEM-1","itemData":{"DOI":"10.1016/j.janxdis.2018.10.004","ISSN":"18737897","PMID":"30419537","abstract":"Posttraumatic stress disorder (PTSD) develops in a substantial minority of emergency room admits. Inexpensive and accurate person-level assessment of PTSD risk after trauma exposure is a critical precursor to large-scale deployment of early interventions that may reduce individual suffering and societal costs. Toward this aim, we applied ensemble machine learning to predict PTSD screening status three months after severe injury using cost-effective and minimally invasive data. Participants (N = 271) were recruited at a Level 1 Trauma Center where they provided variables routinely collected at the hospital, including pulse, injury severity, and demographics, as well as psychological variables, including self-reported current depression, psychiatric history, and social support. Participant zip codes were used to extract contextual variables including population total and density, average annual income, and health insurance coverage rates from publicly available U.S. Census data. Machine learning yielded good prediction of PTSD screening status 3 months post-hospitalization, AUC = 0.85 95% CI [0.83, 0.86], and significantly outperformed all benchmark comparison models in a cross-validation procedure designed to yield an unbiased estimate of performance. These results demonstrate that good prediction can be attained from variables that individually have relatively weak predictive value, pointing to the promise of ensemble machine learning approaches that do not rely on strong isolated risk factors.","author":[{"dropping-particle":"","family":"Papini","given":"Santiago","non-dropping-particle":"","parse-names":false,"suffix":""},{"dropping-particle":"","family":"Pisner","given":"Derek","non-dropping-particle":"","parse-names":false,"suffix":""},{"dropping-particle":"","family":"Shumake","given":"Jason","non-dropping-particle":"","parse-names":false,"suffix":""},{"dropping-particle":"","family":"Powers","given":"Mark B.","non-dropping-particle":"","parse-names":false,"suffix":""},{"dropping-particle":"","family":"Beevers","given":"Christopher G.","non-dropping-particle":"","parse-names":false,"suffix":""},{"dropping-particle":"","family":"Rainey","given":"Evan E.","non-dropping-particle":"","parse-names":false,"suffix":""},{"dropping-particle":"","family":"Smits","given":"Jasper A.J.","non-dropping-particle":"","parse-names":false,"suffix":""},{"dropping-particle":"","family":"Warren","given":"Ann Marie","non-dropping-particle":"","parse-names":false,"suffix":""}],"container-title":"Journal of Anxiety Disorders","id":"ITEM-1","issue":"October","issued":{"date-parts":[["2018"]]},"page":"35-42","publisher":"Elsevier","title":"Ensemble machine learning prediction of posttraumatic stress disorder screening status after emergency room hospitalization","type":"article-journal","volume":"60"},"uris":["http://www.mendeley.com/documents/?uuid=974a1a6c-2cf5-4c13-9cf5-24e8639fa97c"]}],"mendeley":{"formattedCitation":"&lt;sup&gt;135&lt;/sup&gt;","plainTextFormattedCitation":"135","previouslyFormattedCitation":"&lt;sup&gt;134&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135</w:t>
            </w:r>
            <w:r w:rsidRPr="00A427B2">
              <w:rPr>
                <w:rFonts w:ascii="Segoe UI" w:eastAsia="Times New Roman" w:hAnsi="Segoe UI" w:cs="Segoe UI"/>
                <w:color w:val="000000"/>
                <w:sz w:val="16"/>
                <w:szCs w:val="16"/>
              </w:rPr>
              <w:fldChar w:fldCharType="end"/>
            </w:r>
          </w:p>
        </w:tc>
        <w:tc>
          <w:tcPr>
            <w:tcW w:w="2122" w:type="dxa"/>
            <w:vAlign w:val="center"/>
          </w:tcPr>
          <w:p w14:paraId="44F75406"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Journal of Anxiety Disorders</w:t>
            </w:r>
          </w:p>
        </w:tc>
        <w:tc>
          <w:tcPr>
            <w:tcW w:w="850" w:type="dxa"/>
            <w:vAlign w:val="center"/>
          </w:tcPr>
          <w:p w14:paraId="5F5F428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3.472</w:t>
            </w:r>
          </w:p>
        </w:tc>
        <w:tc>
          <w:tcPr>
            <w:tcW w:w="1276" w:type="dxa"/>
            <w:vAlign w:val="center"/>
          </w:tcPr>
          <w:p w14:paraId="6487C813"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2018</w:t>
            </w:r>
          </w:p>
        </w:tc>
        <w:tc>
          <w:tcPr>
            <w:tcW w:w="1559" w:type="dxa"/>
            <w:noWrap/>
            <w:vAlign w:val="center"/>
            <w:hideMark/>
          </w:tcPr>
          <w:p w14:paraId="48135FF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Psychiatry</w:t>
            </w:r>
          </w:p>
        </w:tc>
        <w:tc>
          <w:tcPr>
            <w:tcW w:w="1541" w:type="dxa"/>
            <w:noWrap/>
            <w:vAlign w:val="center"/>
            <w:hideMark/>
          </w:tcPr>
          <w:p w14:paraId="2A5633A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Diagnosis</w:t>
            </w:r>
          </w:p>
        </w:tc>
        <w:tc>
          <w:tcPr>
            <w:tcW w:w="2481" w:type="dxa"/>
            <w:noWrap/>
            <w:vAlign w:val="center"/>
            <w:hideMark/>
          </w:tcPr>
          <w:p w14:paraId="4808066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76EA5F80"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Posttraumatic stress disorders screening status 3 months post hospitalization</w:t>
            </w:r>
          </w:p>
        </w:tc>
      </w:tr>
      <w:tr w:rsidR="00A427B2" w:rsidRPr="00A427B2" w14:paraId="26CAEC26" w14:textId="77777777" w:rsidTr="001B1FC9">
        <w:trPr>
          <w:trHeight w:val="510"/>
        </w:trPr>
        <w:tc>
          <w:tcPr>
            <w:tcW w:w="1701" w:type="dxa"/>
            <w:noWrap/>
            <w:vAlign w:val="center"/>
            <w:hideMark/>
          </w:tcPr>
          <w:p w14:paraId="0504CA6F"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B-S Jang</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{"citationItems":[{"id":"ITEM-1","itemData":{"DOI":"10.1038/s41598-018-31007-2","ISSN":"20452322","PMID":"30131513","abstract":"We aimed to investigate the feasibility of machine learning (ML) algorithm to distinguish pseudoprogression (PsPD) from progression (PD) in patients with glioblastoma (GBM). We recruited the patients diagnosed as primary GBM who received gross total resection (GTR) and concurrent chemoradiotherapy in two institutions from April 2010 to April 2017 and presented suspicious contrast-enhanced lesion on brain magnetic resonance imaging (MRI) during follow-up. Patients from two institutions were allocated to training (N = 59) and testing (N = 19) datasets, respectively. We developed a convolutional neural network combined with a long short-term memory ML structure. MRI data, which was 9 axial post-contrast T1-weighted images in our study, and clinical features were incorporated (Model 1). In the testing set, the trained Model 1 resulted in AUC of 0.83, AUPRC of 0.87, and F1-score of 0.74 using optimal threshold. The performance was superior to that of Model 2 (CNN-LSTM model with MRI data alone) and Model 3 (random forest model with clinical feature alone). The developed algorithm involving MRI data and clinical features could help making decision during follow-up of patients with GBM treated with GTR and concurrent CCRT.","author":[{"dropping-particle":"","family":"Jang","given":"Bum Sup","non-dropping-particle":"","parse-names":false,"suffix":""},{"dropping-particle":"","family":"Jeon","given":"Seung Hyuck","non-dropping-particle":"","parse-names":false,"suffix":""},{"dropping-particle":"","family":"Kim","given":"Il Han","non-dropping-particle":"","parse-names":false,"suffix":""},{"dropping-particle":"","family":"Kim","given":"In Ah","non-dropping-particle":"","parse-names":false,"suffix":""}],"container-title":"Scientific Reports","id":"ITEM-1","issue":"1","issued":{"date-parts":[["2018"]]},"page":"1-9","publisher":"Springer US","title":"Prediction of Pseudoprogression versus Progression using Machine Learning Algorithm in Glioblastoma","type":"article-journal","volume":"8"},"uris":["http://www.mendeley.com/documents/?uuid=67ef5981-2675-4c94-a0ac-236b715655fb"]}],"mendeley":{"formattedCitation":"&lt;sup&gt;136&lt;/sup&gt;","plainTextFormattedCitation":"136","previouslyFormattedCitation":"&lt;sup&gt;135&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136</w:t>
            </w:r>
            <w:r w:rsidRPr="00A427B2">
              <w:rPr>
                <w:rFonts w:ascii="Segoe UI" w:eastAsia="Times New Roman" w:hAnsi="Segoe UI" w:cs="Segoe UI"/>
                <w:color w:val="000000"/>
                <w:sz w:val="16"/>
                <w:szCs w:val="16"/>
              </w:rPr>
              <w:fldChar w:fldCharType="end"/>
            </w:r>
          </w:p>
        </w:tc>
        <w:tc>
          <w:tcPr>
            <w:tcW w:w="2122" w:type="dxa"/>
            <w:vAlign w:val="center"/>
          </w:tcPr>
          <w:p w14:paraId="23D6AF7C"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Scientific Reports</w:t>
            </w:r>
          </w:p>
        </w:tc>
        <w:tc>
          <w:tcPr>
            <w:tcW w:w="850" w:type="dxa"/>
            <w:vAlign w:val="center"/>
          </w:tcPr>
          <w:p w14:paraId="7E16F37F"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4.011</w:t>
            </w:r>
          </w:p>
        </w:tc>
        <w:tc>
          <w:tcPr>
            <w:tcW w:w="1276" w:type="dxa"/>
            <w:vAlign w:val="center"/>
          </w:tcPr>
          <w:p w14:paraId="51884BF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2018</w:t>
            </w:r>
          </w:p>
        </w:tc>
        <w:tc>
          <w:tcPr>
            <w:tcW w:w="1559" w:type="dxa"/>
            <w:noWrap/>
            <w:vAlign w:val="center"/>
            <w:hideMark/>
          </w:tcPr>
          <w:p w14:paraId="74D7343E"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Medical imaging</w:t>
            </w:r>
          </w:p>
        </w:tc>
        <w:tc>
          <w:tcPr>
            <w:tcW w:w="1541" w:type="dxa"/>
            <w:noWrap/>
            <w:vAlign w:val="center"/>
            <w:hideMark/>
          </w:tcPr>
          <w:p w14:paraId="7EFC35D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Diagnosis</w:t>
            </w:r>
          </w:p>
        </w:tc>
        <w:tc>
          <w:tcPr>
            <w:tcW w:w="2481" w:type="dxa"/>
            <w:noWrap/>
            <w:vAlign w:val="center"/>
            <w:hideMark/>
          </w:tcPr>
          <w:p w14:paraId="2CAA7B1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with external validation (same model)</w:t>
            </w:r>
          </w:p>
        </w:tc>
        <w:tc>
          <w:tcPr>
            <w:tcW w:w="2860" w:type="dxa"/>
            <w:noWrap/>
            <w:vAlign w:val="center"/>
            <w:hideMark/>
          </w:tcPr>
          <w:p w14:paraId="23419A58"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Pseudoprogression in patients with glioblastoma</w:t>
            </w:r>
          </w:p>
        </w:tc>
      </w:tr>
      <w:tr w:rsidR="00A427B2" w:rsidRPr="00A427B2" w14:paraId="2271418B" w14:textId="77777777" w:rsidTr="001B1FC9">
        <w:trPr>
          <w:trHeight w:val="510"/>
        </w:trPr>
        <w:tc>
          <w:tcPr>
            <w:tcW w:w="1701" w:type="dxa"/>
            <w:noWrap/>
            <w:vAlign w:val="center"/>
            <w:hideMark/>
          </w:tcPr>
          <w:p w14:paraId="51D240E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CV Cosgriff</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{"citationItems":[{"id":"ITEM-1","itemData":{"DOI":"10.1038/s41746-019-0153-6","ISSN":"2398-6352","abstract":"Illness severity scores are regularly employed for quality improvement and benchmarking in the intensive care unit, but poor generalization performance, particularly with respect to probability calibration, has limited their use for decision support. These models tend to perform worse in patients at a high risk for mortality. We hypothesized that a sequential modeling approach wherein an initial regression model assigns risk and all patients deemed high risk then have their risk quantified by a second, high-risk-specific, regression model would result in a model with superior calibration across the risk spectrum. We compared this approach to a logistic regression model and a sophisticated machine learning approach, the gradient boosting machine. The sequential approach did not have an effect on the receiver operating characteristic curve or the precision-recall curve but resulted in improved reliability curves. The gradient boosting machine achieved a small improvement in discrimination performance and was similarly calibrated to the sequential models.","author":[{"dropping-particle":"V.","family":"Cosgriff","given":"Christopher","non-dropping-particle":"","parse-names":false,"suffix":""},{"dropping-particle":"","family":"Celi","given":"Leo Anthony","non-dropping-particle":"","parse-names":false,"suffix":""},{"dropping-particle":"","family":"Ko","given":"Stephanie","non-dropping-particle":"","parse-names":false,"suffix":""},{"dropping-particle":"","family":"Sundaresan","given":"Tejas","non-dropping-particle":"","parse-names":false,"suffix":""},{"dropping-particle":"","family":"Armengol de la Hoz","given":"Miguel Ángel","non-dropping-particle":"","parse-names":false,"suffix":""},{"dropping-particle":"","family":"Kaufman","given":"Aaron Russell","non-dropping-particle":"","parse-names":false,"suffix":""},{"dropping-particle":"","family":"Stone","given":"David J.","non-dropping-particle":"","parse-names":false,"suffix":""},{"dropping-particle":"","family":"Badawi","given":"Omar","non-dropping-particle":"","parse-names":false,"suffix":""},{"dropping-particle":"","family":"Deliberato","given":"Rodrigo Octavio","non-dropping-particle":"","parse-names":false,"suffix":""}],"container-title":"npj Digital Medicine","id":"ITEM-1","issue":"1","issued":{"date-parts":[["2019"]]},"publisher":"Springer US","title":"Developing well-calibrated illness severity scores for decision support in the critically ill","type":"article-journal","volume":"2"},"uris":["http://www.mendeley.com/documents/?uuid=ae5b7378-b490-45a4-b391-36e8aca00a70"]}],"mendeley":{"formattedCitation":"&lt;sup&gt;137&lt;/sup&gt;","plainTextFormattedCitation":"137","previouslyFormattedCitation":"&lt;sup&gt;136&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137</w:t>
            </w:r>
            <w:r w:rsidRPr="00A427B2">
              <w:rPr>
                <w:rFonts w:ascii="Segoe UI" w:eastAsia="Times New Roman" w:hAnsi="Segoe UI" w:cs="Segoe UI"/>
                <w:color w:val="000000"/>
                <w:sz w:val="16"/>
                <w:szCs w:val="16"/>
              </w:rPr>
              <w:fldChar w:fldCharType="end"/>
            </w:r>
          </w:p>
        </w:tc>
        <w:tc>
          <w:tcPr>
            <w:tcW w:w="2122" w:type="dxa"/>
            <w:vAlign w:val="center"/>
          </w:tcPr>
          <w:p w14:paraId="0A10A242"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npj Digital Medicine(</w:t>
            </w:r>
            <w:r w:rsidRPr="00A427B2">
              <w:rPr>
                <w:rFonts w:ascii="Segoe UI" w:hAnsi="Segoe UI" w:cs="Segoe UI"/>
                <w:color w:val="000000"/>
                <w:sz w:val="16"/>
                <w:szCs w:val="16"/>
                <w:vertAlign w:val="superscript"/>
              </w:rPr>
              <w:t>c</w:t>
            </w:r>
            <w:r w:rsidRPr="00A427B2">
              <w:rPr>
                <w:rFonts w:ascii="Segoe UI" w:hAnsi="Segoe UI" w:cs="Segoe UI"/>
                <w:color w:val="000000"/>
                <w:sz w:val="16"/>
                <w:szCs w:val="16"/>
              </w:rPr>
              <w:t>)</w:t>
            </w:r>
          </w:p>
        </w:tc>
        <w:tc>
          <w:tcPr>
            <w:tcW w:w="850" w:type="dxa"/>
            <w:vAlign w:val="center"/>
          </w:tcPr>
          <w:p w14:paraId="3B2D6444"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w:t>
            </w:r>
          </w:p>
        </w:tc>
        <w:tc>
          <w:tcPr>
            <w:tcW w:w="1276" w:type="dxa"/>
            <w:vAlign w:val="center"/>
          </w:tcPr>
          <w:p w14:paraId="576C5793"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72687831"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Critical care</w:t>
            </w:r>
          </w:p>
        </w:tc>
        <w:tc>
          <w:tcPr>
            <w:tcW w:w="1541" w:type="dxa"/>
            <w:noWrap/>
            <w:vAlign w:val="center"/>
            <w:hideMark/>
          </w:tcPr>
          <w:p w14:paraId="2CD7EF2E"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72FF8974"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50492DD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 xml:space="preserve">Illness severity score </w:t>
            </w:r>
          </w:p>
        </w:tc>
      </w:tr>
      <w:tr w:rsidR="00A427B2" w:rsidRPr="00A427B2" w14:paraId="147C8E93" w14:textId="77777777" w:rsidTr="001B1FC9">
        <w:trPr>
          <w:trHeight w:val="510"/>
        </w:trPr>
        <w:tc>
          <w:tcPr>
            <w:tcW w:w="1701" w:type="dxa"/>
            <w:noWrap/>
            <w:vAlign w:val="center"/>
            <w:hideMark/>
          </w:tcPr>
          <w:p w14:paraId="6DEC2532"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H Kim</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{"citationItems":[{"id":"ITEM-1","itemData":{"DOI":"10.2196/14149","ISSN":"22915222","PMID":"31621642","abstract":"Background: Although geriatric depression is prevalent, diagnosis using self-reporting instruments has limitations when measuring the depressed mood of older adults in a community setting. Ecological momentary assessment (EMA) by using wearable devices could be used to collect data to classify older adults into depression groups. Objective: The objective of this study was to develop a machine learning algorithm to predict the classification of depression groups among older adults living alone. We focused on utilizing diverse data collected through a survey, an Actiwatch, and an EMA report related to depression. Methods: The prediction model using machine learning was developed in 4 steps: (1) data collection, (2) data processing and representation, (3) data modeling (feature engineering and selection), and (4) training and validation to test the prediction model. Older adults (N=47), living alone in community settings, completed an EMA to report depressed moods 4 times a day for 2 weeks between May 2017 and January 2018. Participants wore an Actiwatch that measured their activity and ambient light exposure every 30 seconds for 2 weeks. At baseline and the end of the 2-week observation, depressive symptoms were assessed using the Korean versions of the Short Geriatric Depression Scale (SGDS-K) and the Hamilton Depression Rating Scale (K-HDRS). Conventional classification based on binary logistic regression was built and compared with 4 machine learning models (the logit, decision tree, boosted trees, and random forest models). Results: On the basis of the SGDS-K and K-HDRS, 38% (18/47) of the participants were classified into the probable depression group. They reported significantly lower scores of normal mood and physical activity and higher levels of white and red, green, and blue (RGB) light exposures at different degrees of various 4-hour time frames (all P&lt;.05). Sleep efficiency was chosen for modeling through feature selection. Comparing diverse combinations of the selected variables, daily mean EMA score, daily mean activity level, white and RGB light at 4:00 pm to 8:00 pm exposure, and daily sleep efficiency were selected for modeling. Conventional classification based on binary logistic regression had a good model fit (accuracy: 0.705; precision: 0.770; specificity: 0.859; and area under receiver operating characteristic curve or AUC: 0.754). Among the 4 machine learning models, the logit model had the best fit compared with the others (accurac…","author":[{"dropping-particle":"","family":"Kim","given":"Heejung","non-dropping-particle":"","parse-names":false,"suffix":""},{"dropping-particle":"","family":"Lee","given":"Sung Hee","non-dropping-particle":"","parse-names":false,"suffix":""},{"dropping-particle":"","family":"Lee","given":"Sang Eun","non-dropping-particle":"","parse-names":false,"suffix":""},{"dropping-particle":"","family":"Hong","given":"Soyun","non-dropping-particle":"","parse-names":false,"suffix":""},{"dropping-particle":"","family":"Kang","given":"Hee Jae","non-dropping-particle":"","parse-names":false,"suffix":""},{"dropping-particle":"","family":"Kim","given":"Namhee","non-dropping-particle":"","parse-names":false,"suffix":""}],"container-title":"JMIR mHealth and uHealth","id":"ITEM-1","issue":"10","issued":{"date-parts":[["2019"]]},"title":"Depression prediction by using ecological momentary assessment, actiwatch data, and machine learning: Observational study on older adults living alone","type":"article-journal","volume":"7"},"uris":["http://www.mendeley.com/documents/?uuid=1db3df7e-dcf7-45f2-a47d-0194e6419999"]}],"mendeley":{"formattedCitation":"&lt;sup&gt;138&lt;/sup&gt;","plainTextFormattedCitation":"138","previouslyFormattedCitation":"&lt;sup&gt;137&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138</w:t>
            </w:r>
            <w:r w:rsidRPr="00A427B2">
              <w:rPr>
                <w:rFonts w:ascii="Segoe UI" w:eastAsia="Times New Roman" w:hAnsi="Segoe UI" w:cs="Segoe UI"/>
                <w:color w:val="000000"/>
                <w:sz w:val="16"/>
                <w:szCs w:val="16"/>
              </w:rPr>
              <w:fldChar w:fldCharType="end"/>
            </w:r>
          </w:p>
        </w:tc>
        <w:tc>
          <w:tcPr>
            <w:tcW w:w="2122" w:type="dxa"/>
            <w:vAlign w:val="center"/>
          </w:tcPr>
          <w:p w14:paraId="175BD5BE"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JMIR MHealth and UHealth</w:t>
            </w:r>
          </w:p>
        </w:tc>
        <w:tc>
          <w:tcPr>
            <w:tcW w:w="850" w:type="dxa"/>
            <w:vAlign w:val="center"/>
          </w:tcPr>
          <w:p w14:paraId="3923A720"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4.313</w:t>
            </w:r>
          </w:p>
        </w:tc>
        <w:tc>
          <w:tcPr>
            <w:tcW w:w="1276" w:type="dxa"/>
            <w:vAlign w:val="center"/>
          </w:tcPr>
          <w:p w14:paraId="27CF4CF2"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56C79CFB"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Psychiatry</w:t>
            </w:r>
          </w:p>
        </w:tc>
        <w:tc>
          <w:tcPr>
            <w:tcW w:w="1541" w:type="dxa"/>
            <w:noWrap/>
            <w:vAlign w:val="center"/>
            <w:hideMark/>
          </w:tcPr>
          <w:p w14:paraId="42DE2472"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Diagnosis</w:t>
            </w:r>
          </w:p>
        </w:tc>
        <w:tc>
          <w:tcPr>
            <w:tcW w:w="2481" w:type="dxa"/>
            <w:noWrap/>
            <w:vAlign w:val="center"/>
            <w:hideMark/>
          </w:tcPr>
          <w:p w14:paraId="5F290C6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44CD5682"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Depression</w:t>
            </w:r>
          </w:p>
        </w:tc>
      </w:tr>
      <w:tr w:rsidR="00A427B2" w:rsidRPr="00A427B2" w14:paraId="2CD9AF9A" w14:textId="77777777" w:rsidTr="001B1FC9">
        <w:trPr>
          <w:trHeight w:val="510"/>
        </w:trPr>
        <w:tc>
          <w:tcPr>
            <w:tcW w:w="1701" w:type="dxa"/>
            <w:noWrap/>
            <w:vAlign w:val="center"/>
            <w:hideMark/>
          </w:tcPr>
          <w:p w14:paraId="09764C9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J Lotsch</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{"citationItems":[{"id":"ITEM-1","itemData":{"DOI":"10.1007/s10549-018-4841-8","ISBN":"1054901848","ISSN":"15737217","PMID":"29876695","abstract":"Background: Prevention of persistent pain following breast cancer surgery, via early identification of patients at high risk, is a clinical need. Supervised machine-learning was used to identify parameters that predict persistence of significant pain. Methods: Over 500 demographic, clinical and psychological parameters were acquired up to 6 months after surgery from 1,000 women (aged 28–75 years) who were treated for breast cancer. Pain was assessed using an 11-point numerical rating scale before surgery and at months 1, 6, 12, 24, and 36. The ratings at months 12, 24, and 36 were used to allocate patents to either “persisting pain” or “non-persisting pain” groups. Unsupervised machine learning was applied to map the parameters to these diagnoses. Results: A symbolic rule-based classifier tool was created that comprised 21 single or aggregated parameters, including demographic features, psychological and pain-related parameters, forming a questionnaire with “yes/no” items (decision rules). If at least 10 of the 21 rules applied, persisting pain was predicted at a cross-validated accuracy of 86% and a negative predictive value of approximately 95%. Conclusions: The present machine-learned analysis showed that, even with a large set of parameters acquired from a large cohort, early identification of these patients is only partly successful. This indicates that more parameters are needed for accurate prediction of persisting pain. However, with the current parameters it is possible, with a certainty of almost 95%, to exclude the possibility of persistent pain developing in a woman being treated for breast cancer.","author":[{"dropping-particle":"","family":"Lötsch","given":"Jörn","non-dropping-particle":"","parse-names":false,"suffix":""},{"dropping-particle":"","family":"Sipilä","given":"Reetta","non-dropping-particle":"","parse-names":false,"suffix":""},{"dropping-particle":"","family":"Tasmuth","given":"Tiina","non-dropping-particle":"","parse-names":false,"suffix":""},{"dropping-particle":"","family":"Kringel","given":"Dario","non-dropping-particle":"","parse-names":false,"suffix":""},{"dropping-particle":"","family":"Estlander","given":"Ann Mari","non-dropping-particle":"","parse-names":false,"suffix":""},{"dropping-particle":"","family":"Meretoja","given":"Tuomo","non-dropping-particle":"","parse-names":false,"suffix":""},{"dropping-particle":"","family":"Kalso","given":"Eija","non-dropping-particle":"","parse-names":false,"suffix":""},{"dropping-particle":"","family":"Ultsch","given":"Alfred","non-dropping-particle":"","parse-names":false,"suffix":""}],"container-title":"Breast Cancer Research and Treatment","id":"ITEM-1","issue":"2","issued":{"date-parts":[["2018"]]},"page":"399-411","publisher":"Springer US","title":"Machine-learning-derived classifier predicts absence of persistent pain after breast cancer surgery with high accuracy","type":"article-journal","volume":"171"},"uris":["http://www.mendeley.com/documents/?uuid=9f245af6-be56-4f12-8eaf-1f77bd176e3c"]}],"mendeley":{"formattedCitation":"&lt;sup&gt;139&lt;/sup&gt;","plainTextFormattedCitation":"139","previouslyFormattedCitation":"&lt;sup&gt;138&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139</w:t>
            </w:r>
            <w:r w:rsidRPr="00A427B2">
              <w:rPr>
                <w:rFonts w:ascii="Segoe UI" w:eastAsia="Times New Roman" w:hAnsi="Segoe UI" w:cs="Segoe UI"/>
                <w:color w:val="000000"/>
                <w:sz w:val="16"/>
                <w:szCs w:val="16"/>
              </w:rPr>
              <w:fldChar w:fldCharType="end"/>
            </w:r>
          </w:p>
        </w:tc>
        <w:tc>
          <w:tcPr>
            <w:tcW w:w="2122" w:type="dxa"/>
            <w:vAlign w:val="center"/>
          </w:tcPr>
          <w:p w14:paraId="1A65C0C9"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Breast Cancer Research and Treatment</w:t>
            </w:r>
          </w:p>
        </w:tc>
        <w:tc>
          <w:tcPr>
            <w:tcW w:w="850" w:type="dxa"/>
            <w:vAlign w:val="center"/>
          </w:tcPr>
          <w:p w14:paraId="4CA196C4"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3.471</w:t>
            </w:r>
          </w:p>
        </w:tc>
        <w:tc>
          <w:tcPr>
            <w:tcW w:w="1276" w:type="dxa"/>
            <w:vAlign w:val="center"/>
          </w:tcPr>
          <w:p w14:paraId="6E21BC6F"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2018</w:t>
            </w:r>
          </w:p>
        </w:tc>
        <w:tc>
          <w:tcPr>
            <w:tcW w:w="1559" w:type="dxa"/>
            <w:noWrap/>
            <w:vAlign w:val="center"/>
            <w:hideMark/>
          </w:tcPr>
          <w:p w14:paraId="1F46E95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Oncology</w:t>
            </w:r>
          </w:p>
        </w:tc>
        <w:tc>
          <w:tcPr>
            <w:tcW w:w="1541" w:type="dxa"/>
            <w:noWrap/>
            <w:vAlign w:val="center"/>
            <w:hideMark/>
          </w:tcPr>
          <w:p w14:paraId="7E732BC9"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2363B528"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4329922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Persistent pain after breast cancer surgery at 3 years</w:t>
            </w:r>
          </w:p>
        </w:tc>
      </w:tr>
      <w:tr w:rsidR="00A427B2" w:rsidRPr="00A427B2" w14:paraId="38B38DD2" w14:textId="77777777" w:rsidTr="001B1FC9">
        <w:trPr>
          <w:trHeight w:val="510"/>
        </w:trPr>
        <w:tc>
          <w:tcPr>
            <w:tcW w:w="1701" w:type="dxa"/>
            <w:noWrap/>
            <w:vAlign w:val="center"/>
            <w:hideMark/>
          </w:tcPr>
          <w:p w14:paraId="363265F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II Spyroglou</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{"citationItems":[{"id":"ITEM-1","itemData":{"DOI":"10.1186/s13104-018-3621-1","ISSN":"17560500","PMID":"30064478","abstract":"Objective: The achievement of the optimal control of the disease is of cardinal importance in asthma treatment. As the control of the disease is sustained the medication should be gradually reduced and then stopped. Nevertheless, the discontinuation of asthma medication may lead to loss of disease control and eventually to an exacerbation of the disease. The goal of this paper is to examine the performance of Bayesian network classifiers in predicting asthma exacerbation based on several patient's parameters such as objective measurements and medical history data. Results: In this study several Bayesian network classifiers are presented and evaluated. It is shown that the proposed semi-naive network classifier with the use of Backward Sequential Elimination and Joining algorithm is able to predict if a patient will have an exacerbation of the disease after his last assessment with 93.84% accuracy and 90.9% sensitivity. In addition, the resulting structure and the conditional probability tables give a clear view of the probabilistic relationships between the used factors. This network may help the clinicians to identify the patients who are at high risk of having an exacerbation after stopping the medication and to confirm which factors are the most important.","author":[{"dropping-particle":"","family":"Spyroglou","given":"Ioannis I.","non-dropping-particle":"","parse-names":false,"suffix":""},{"dropping-particle":"","family":"Spöck","given":"Gunter","non-dropping-particle":"","parse-names":false,"suffix":""},{"dropping-particle":"","family":"Rigas","given":"Alexandros G.","non-dropping-particle":"","parse-names":false,"suffix":""},{"dropping-particle":"","family":"Paraskakis","given":"E. N.","non-dropping-particle":"","parse-names":false,"suffix":""}],"container-title":"BMC Research Notes","id":"ITEM-1","issue":"1","issued":{"date-parts":[["2018"]]},"page":"18-23","publisher":"BioMed Central","title":"Evaluation of Bayesian classifiers in asthma exacerbation prediction after medication discontinuation","type":"article-journal","volume":"11"},"uris":["http://www.mendeley.com/documents/?uuid=b827ebf8-b463-4f6f-afc1-e9c8554f8a2e"]}],"mendeley":{"formattedCitation":"&lt;sup&gt;140&lt;/sup&gt;","plainTextFormattedCitation":"140","previouslyFormattedCitation":"&lt;sup&gt;139&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140</w:t>
            </w:r>
            <w:r w:rsidRPr="00A427B2">
              <w:rPr>
                <w:rFonts w:ascii="Segoe UI" w:eastAsia="Times New Roman" w:hAnsi="Segoe UI" w:cs="Segoe UI"/>
                <w:color w:val="000000"/>
                <w:sz w:val="16"/>
                <w:szCs w:val="16"/>
              </w:rPr>
              <w:fldChar w:fldCharType="end"/>
            </w:r>
          </w:p>
        </w:tc>
        <w:tc>
          <w:tcPr>
            <w:tcW w:w="2122" w:type="dxa"/>
            <w:vAlign w:val="center"/>
          </w:tcPr>
          <w:p w14:paraId="467E5EFD"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BMC Research Notes(</w:t>
            </w:r>
            <w:r w:rsidRPr="00A427B2">
              <w:rPr>
                <w:rFonts w:ascii="Segoe UI" w:hAnsi="Segoe UI" w:cs="Segoe UI"/>
                <w:color w:val="000000"/>
                <w:sz w:val="16"/>
                <w:szCs w:val="16"/>
                <w:vertAlign w:val="superscript"/>
              </w:rPr>
              <w:t>b</w:t>
            </w:r>
            <w:r w:rsidRPr="00A427B2">
              <w:rPr>
                <w:rFonts w:ascii="Segoe UI" w:hAnsi="Segoe UI" w:cs="Segoe UI"/>
                <w:color w:val="000000"/>
                <w:sz w:val="16"/>
                <w:szCs w:val="16"/>
              </w:rPr>
              <w:t>)</w:t>
            </w:r>
          </w:p>
        </w:tc>
        <w:tc>
          <w:tcPr>
            <w:tcW w:w="850" w:type="dxa"/>
            <w:vAlign w:val="center"/>
          </w:tcPr>
          <w:p w14:paraId="790EFAD4"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1.38</w:t>
            </w:r>
          </w:p>
        </w:tc>
        <w:tc>
          <w:tcPr>
            <w:tcW w:w="1276" w:type="dxa"/>
            <w:vAlign w:val="center"/>
          </w:tcPr>
          <w:p w14:paraId="4EB99EEF"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2018</w:t>
            </w:r>
          </w:p>
        </w:tc>
        <w:tc>
          <w:tcPr>
            <w:tcW w:w="1559" w:type="dxa"/>
            <w:noWrap/>
            <w:vAlign w:val="center"/>
            <w:hideMark/>
          </w:tcPr>
          <w:p w14:paraId="421323D8"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Immunology</w:t>
            </w:r>
          </w:p>
        </w:tc>
        <w:tc>
          <w:tcPr>
            <w:tcW w:w="1541" w:type="dxa"/>
            <w:noWrap/>
            <w:vAlign w:val="center"/>
            <w:hideMark/>
          </w:tcPr>
          <w:p w14:paraId="7352FA52"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515A085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05FF92E8"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Asthma exacerbation</w:t>
            </w:r>
          </w:p>
        </w:tc>
      </w:tr>
      <w:tr w:rsidR="00A427B2" w:rsidRPr="00A427B2" w14:paraId="16E458D1" w14:textId="77777777" w:rsidTr="001B1FC9">
        <w:trPr>
          <w:trHeight w:val="510"/>
        </w:trPr>
        <w:tc>
          <w:tcPr>
            <w:tcW w:w="1701" w:type="dxa"/>
            <w:noWrap/>
            <w:vAlign w:val="center"/>
            <w:hideMark/>
          </w:tcPr>
          <w:p w14:paraId="5B548C53"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B Goudey</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{"citationItems":[{"id":"ITEM-1","itemData":{"DOI":"10.1038/s41598-018-37149-7","ISSN":"20452322","PMID":"30853713","abstract":"It is increasingly recognized that Alzheimer’s disease (AD) exists before dementia is present and that shifts in amyloid beta occur long before clinical symptoms can be detected. Early detection of these molecular changes is a key aspect for the success of interventions aimed at slowing down rates of cognitive decline. Recent evidence indicates that of the two established methods for measuring amyloid, a decrease in cerebrospinal fluid (CSF) amyloid β1−42 (Aβ1−42) may be an earlier indicator of Alzheimer’s disease risk than measures of amyloid obtained from Positron Emission Tomography (PET). However, CSF collection is highly invasive and expensive. In contrast, blood collection is routinely performed, minimally invasive and cheap. In this work, we develop a blood-based signature that can provide a cheap and minimally invasive estimation of an individual’s CSF amyloid status using a machine learning approach. We show that a Random Forest model derived from plasma analytes can accurately predict subjects as having abnormal (low) CSF Aβ1−42 levels indicative of AD risk (0.84 AUC, 0.78 sensitivity, and 0.73 specificity). Refinement of the modeling indicates that only APOEε4 carrier status and four plasma analytes (CGA, Aβ1−42, Eotaxin 3, APOE) are required to achieve a high level of accuracy. Furthermore, we show across an independent validation cohort that individuals with predicted abnormal CSF Aβ1−42 levels transitioned to an AD diagnosis over 120 months significantly faster than those with predicted normal CSF Aβ1−42 levels and that the resulting model also validates reasonably across PET Aβ1−42 status (0.78 AUC). This is the first study to show that a machine learning approach, using plasma protein levels, age and APOEε4 carrier status, is able to predict CSF Aβ1−42 status, the earliest risk indicator for AD, with high accuracy.","author":[{"dropping-particle":"","family":"Goudey","given":"Benjamin","non-dropping-particle":"","parse-names":false,"suffix":""},{"dropping-particle":"","family":"Fung","given":"Bowen J.","non-dropping-particle":"","parse-names":false,"suffix":""},{"dropping-particle":"","family":"Schieber","given":"Christine","non-dropping-particle":"","parse-names":false,"suffix":""},{"dropping-particle":"","family":"Faux","given":"Noel G.","non-dropping-particle":"","parse-names":false,"suffix":""},{"dropping-particle":"","family":"Weiner","given":"Michael W.","non-dropping-particle":"","parse-names":false,"suffix":""},{"dropping-particle":"","family":"Aisen","given":"Paul","non-dropping-particle":"","parse-names":false,"suffix":""},{"dropping-particle":"","family":"Petersen","given":"Ronald","non-dropping-particle":"","parse-names":false,"suffix":""},{"dropping-particle":"","family":"Jack","given":"Clifford R.","non-dropping-particle":"","parse-names":false,"suffix":""},{"dropping-particle":"","family":"Jagust","given":"William","non-dropping-particle":"","parse-names":false,"suffix":""},{"dropping-particle":"","family":"Trojanowki","given":"John Q.","non-dropping-particle":"","parse-names":false,"suffix":""},{"dropping-particle":"","family":"Toga","given":"Arthur W.","non-dropping-particle":"","parse-names":false,"suffix":""},{"dropping-particle":"","family":"Beckett","given":"Laurel","non-dropping-particle":"","parse-names":false,"suffix":""},{"dropping-particle":"","family":"Green","given":"Robert C.","non-dropping-particle":"","parse-names":false,"suffix":""},{"dropping-particle":"","family":"Saykin","given":"Andrew J.","non-dropping-particle":"","parse-names":false,"suffix":""},{"dropping-particle":"","family":"Morris","given":"John C.","non-dropping-particle":"","parse-names":false,"suffix":""},{"dropping-particle":"","family":"Shaw","given":"Leslie M.","non-dropping-particle":"","parse-names":false,"suffix":""},{"dropping-particle":"","family":"Kaye","given":"Jeffrey","non-dropping-particle":"","parse-names":false,"suffix":""},{"dropping-particle":"","family":"Quinn","given":"Joseph","non-dropping-particle":"","parse-names":false,"suffix":""},{"dropping-particle":"","family":"Silbert","given":"Lisa","non-dropping-particle":"","parse-names":false,"suffix":""},{"dropping-particle":"","family":"Lind","given":"Betty","non-dropping-particle":"","parse-names":false,"suffix":""},{"dropping-particle":"","family":"Carter","given":"Raina","non-dropping-particle":"","parse-names":false,"suffix":""},{"dropping-particle":"","family":"Dolen","given":"Sara","non-dropping-particle":"","parse-names":false,"suffix":""},{"dropping-particle":"","family":"Schneider","given":"Lon S.","non-dropping-particle":"","parse-names":false,"suffix":""},{"dropping-particle":"","family":"Pawluczyk","given":"Sonia","non-dropping-particle":"","parse-names":false,"suffix":""},{"dropping-particle":"","family":"Beccera","given":"Mauricio","non-dropping-particle":"","parse-names":false,"suffix":""},{"dropping-particle":"","family":"Teodoro","given":"Liberty","non-dropping-particle":"","parse-names":false,"suffix":""},{"dropping-particle":"","family":"Spann","given":"Bryan M.","non-dropping-particle":"","parse-names":false,"suffix":""},{"dropping-particle":"","family":"Brewer","given":"James","non-dropping-particle":"","parse-names":false,"suffix":""},{"dropping-particle":"","family":"Vanderswag","given":"Helen","non-dropping-particle":"","parse-names":false,"suffix":""},{"dropping-particle":"","family":"Fleisher","given":"Adam","non-dropping-particle":"","parse-names":false,"suffix":""},{"dropping-particle":"","family":"Heidebrink","given":"Judith L.","non-dropping-particle":"","parse-names":false,"suffix":""},{"dropping-particle":"","family":"Lord","given":"Joanne L.","non-dropping-particle":"","parse-names":false,"suffix":""},{"dropping-particle":"","family":"Mason","given":"Sara S.","non-dropping-particle":"","parse-names":false,"suffix":""},{"dropping-particle":"","family":"Albers","given":"Colleen S.","non-dropping-particle":"","parse-names":false,"suffix":""},{"dropping-particle":"","family":"Knopman","given":"David","non-dropping-particle":"","parse-names":false,"suffix":""},{"dropping-particle":"","family":"Johnson","given":"Kris","non-dropping-particle":"","parse-names":false,"suffix":""},{"dropping-particle":"","family":"Doody","given":"Rachelle S.","non-dropping-particle":"","parse-names":false,"suffix":""},{"dropping-particle":"","family":"Villanueva-Meyer","given":"Javier","non-dropping-particle":"","parse-names":false,"suffix":""},{"dropping-particle":"","family":"Chowdhury","given":"Munir","non-dropping-particle":"","parse-names":false,"suffix":""},{"dropping-particle":"","family":"Rountree","given":"Susan","non-dropping-particle":"","parse-names":false,"suffix":""},{"dropping-particle":"","family":"Dang","given":"Mimi","non-dropping-particle":"","parse-names":false,"suffix":""},{"dropping-particle":"","family":"Stern","given":"Yaakov","non-dropping-particle":"","parse-names":false,"suffix":""},{"dropping-particle":"","family":"Honig","given":"Lawrence S.","non-dropping-particle":"","parse-names":false,"suffix":""},{"dropping-particle":"","family":"Bell","given":"Karen L.","non-dropping-particle":"","parse-names":false,"suffix":""},{"dropping-particle":"","family":"Ances","given":"Beau","non-dropping-particle":"","parse-names":false,"suffix":""},{"dropping-particle":"","family":"Carroll","given":"Maria","non-dropping-particle":"","parse-names":false,"suffix":""},{"dropping-particle":"","family":"Creech","given":"Mary L.","non-dropping-particle":"","parse-names":false,"suffix":""},{"dropping-particle":"","family":"Franklin","given":"Erin","non-dropping-particle":"","parse-names":false,"suffix":""},{"dropping-particle":"","family":"Mintun","given":"Mark A.","non-dropping-particle":"","parse-names":false,"suffix":""},{"dropping-particle":"","family":"Schneider","given":"Stacy","non-dropping-particle":"","parse-names":false,"suffix":""},{"dropping-particle":"","family":"Oliver","given":"Angela","non-dropping-particle":"","parse-names":false,"suffix":""},{"dropping-particle":"","family":"Marson","given":"Daniel","non-dropping-particle":"","parse-names":false,"suffix":""},{"dropping-particle":"","family":"Griffth","given":"Randall","non-dropping-particle":"","parse-names":false,"suffix":""},{"dropping-particle":"","family":"Clark","given":"David","non-dropping-particle":"","parse-names":false,"suffix":""},{"dropping-particle":"","family":"Geldmacher","given":"David","non-dropping-particle":"","parse-names":false,"suffix":""},{"dropping-particle":"","family":"Brockington","given":"John","non-dropping-particle":"","parse-names":false,"suffix":""},{"dropping-particle":"","family":"Roberson","given":"Erik","non-dropping-particle":"","parse-names":false,"suffix":""},{"dropping-particle":"","family":"Love","given":"Marissa Natelson","non-dropping-particle":"","parse-names":false,"suffix":""},{"dropping-particle":"","family":"Grossman","given":"Hillel","non-dropping-particle":"","parse-names":false,"suffix":""},{"dropping-particle":"","family":"Mitsis","given":"Effie","non-dropping-particle":"","parse-names":false,"suffix":""},{"dropping-particle":"","family":"Shah","given":"Raj C.","non-dropping-particle":"","parse-names":false,"suffix":""},{"dropping-particle":"","family":"deToledo-Morrell","given":"Leyla","non-dropping-particle":"","parse-names":false,"suffix":""},{"dropping-particle":"","family":"Duara","given":"Ranjan","non-dropping-particle":"","parse-names":false,"suffix":""},{"dropping-particle":"","family":"Varon","given":"Daniel","non-dropping-particle":"","parse-names":false,"suffix":""},{"dropping-particle":"","family":"Greig","given":"Maria T.","non-dropping-particle":"","parse-names":false,"suffix":""},{"dropping-particle":"","family":"Roberts","given":"Peggy","non-dropping-particle":"","parse-names":false,"suffix":""},{"dropping-particle":"","family":"Albert","given":"Marilyn","non-dropping-particle":"","parse-names":false,"suffix":""},{"dropping-particle":"","family":"Onyike","given":"Chiadi","non-dropping-particle":"","parse-names":false,"suffix":""},{"dropping-particle":"","family":"D’Agostino","given":"Daniel","non-dropping-particle":"","parse-names":false,"suffix":""},{"dropping-particle":"","family":"Kielb","given":"Stephanie","non-dropping-particle":"","parse-names":false,"suffix":""},{"dropping-particle":"","family":"Galvin","given":"James E.","non-dropping-particle":"","parse-names":false,"suffix":""},{"dropping-particle":"","family":"Cerbone","given":"Brittany","non-dropping-particle":"","parse-names":false,"suffix":""},{"dropping-particle":"","family":"Michel","given":"Christina A.","non-dropping-particle":"","parse-names":false,"suffix":""},{"dropping-particle":"","family":"Pogorelec","given":"Dana M.","non-dropping-particle":"","parse-names":false,"suffix":""},{"dropping-particle":"","family":"Rusinek","given":"Henry","non-dropping-particle":"","parse-names":false,"suffix":""},{"dropping-particle":"","family":"Leon","given":"Mony J.","non-dropping-particle":"de","parse-names":false,"suffix":""},{"dropping-particle":"","family":"Glodzik","given":"Lidia","non-dropping-particle":"","parse-names":false,"suffix":""},{"dropping-particle":"","family":"Santi","given":"Susan","non-dropping-particle":"De","parse-names":false,"suffix":""},{"dropping-particle":"","family":"Doraiswamy","given":"P. Murali","non-dropping-particle":"","parse-names":false,"suffix":""},{"dropping-particle":"","family":"Petrella","given":"Jeffrey R.","non-dropping-particle":"","parse-names":false,"suffix":""},{"dropping-particle":"","family":"Borges-Neto","given":"Salvador","non-dropping-particle":"","parse-names":false,"suffix":""},{"dropping-particle":"","family":"Wong","given":"Terence Z.","non-dropping-particle":"","parse-names":false,"suffix":""},{"dropping-particle":"","family":"Coleman","given":"Edward","non-dropping-particle":"","parse-names":false,"suffix":""},{"dropping-particle":"","family":"Smith","given":"Charles D.","non-dropping-particle":"","parse-names":false,"suffix":""},{"dropping-particle":"","family":"Jicha","given":"Greg","non-dropping-particle":"","parse-names":false,"suffix":""},{"dropping-particle":"","family":"Hardy","given":"Peter","non-dropping-particle":"","parse-names":false,"suffix":""},{"dropping-particle":"","family":"Sinha","given":"Partha","non-dropping-particle":"","parse-names":false,"suffix":""},{"dropping-particle":"","family":"Oates","given":"Elizabeth","non-dropping-particle":"","parse-names":false,"suffix":""},{"dropping-particle":"","family":"Conrad","given":"Gary","non-dropping-particle":"","parse-names":false,"suffix":""},{"dropping-particle":"","family":"Porsteinsson","given":"Anton P.","non-dropping-particle":"","parse-names":false,"suffix":""},{"dropping-particle":"","family":"Goldstein","given":"Bonnie S.","non-dropping-particle":"","parse-names":false,"suffix":""},{"dropping-particle":"","family":"Martin","given":"Kim","non-dropping-particle":"","parse-names":false,"suffix":""},{"dropping-particle":"","family":"Makino","given":"Kelly M.","non-dropping-particle":"","parse-names":false,"suffix":""},{"dropping-particle":"","family":"Ismail","given":"M. Saleem","non-dropping-particle":"","parse-names":false,"suffix":""},{"dropping-particle":"","family":"Brand","given":"Connie","non-dropping-particle":"","parse-names":false,"suffix":""},{"dropping-particle":"","family":"Mulnard","given":"Ruth A.","non-dropping-particle":"","parse-names":false,"suffix":""},{"dropping-particle":"","family":"Thai","given":"Gaby","non-dropping-particle":"","parse-names":false,"suffix":""},{"dropping-particle":"","family":"Mc-Adams-Ortiz","given":"Catherine","non-dropping-particle":"","parse-names":false,"suffix":""},{"dropping-particle":"","family":"Womack","given":"Kyle","non-dropping-particle":"","parse-names":false,"suffix":""},{"dropping-particle":"","family":"Mathews","given":"Dana","non-dropping-particle":"","parse-names":false,"suffix":""},{"dropping-particle":"","family":"Quiceno","given":"Mary","non-dropping-particle":"","parse-names":false,"suffix":""},{"dropping-particle":"","family":"Levey","given":"Allan I.","non-dropping-particle":"","parse-names":false,"suffix":""},{"dropping-particle":"","family":"Lah","given":"James J.","non-dropping-particle":"","parse-names":false,"suffix":""},{"dropping-particle":"","family":"Cellar","given":"Janet S.","non-dropping-particle":"","parse-names":false,"suffix":""},{"dropping-particle":"","family":"Burns","given":"Jeffrey M.","non-dropping-particle":"","parse-names":false,"suffix":""},{"dropping-particle":"","family":"Swerdlow","given":"Russell H.","non-dropping-particle":"","parse-names":false,"suffix":""},{"dropping-particle":"","family":"Brooks","given":"William M.","non-dropping-particle":"","parse-names":false,"suffix":""},{"dropping-particle":"","family":"Apostolova","given":"Liana","non-dropping-particle":"","parse-names":false,"suffix":""},{"dropping-particle":"","family":"Tingus","given":"Kathleen","non-dropping-particle":"","parse-names":false,"suffix":""},{"dropping-particle":"","family":"Woo","given":"Ellen","non-dropping-particle":"","parse-names":false,"suffix":""},{"dropping-particle":"","family":"Silverman","given":"Daniel H.S.","non-dropping-particle":"","parse-names":false,"suffix":""},{"dropping-particle":"","family":"Lu","given":"Po H.","non-dropping-particle":"","parse-names":false,"suffix":""},{"dropping-particle":"","family":"Bartzokis","given":"George","non-dropping-particle":"","parse-names":false,"suffix":""},{"dropping-particle":"","family":"Graff-Radford","given":"Neill R.","non-dropping-particle":"","parse-names":false,"suffix":""},{"dropping-particle":"","family":"Parftt","given":"Francine","non-dropping-particle":"","parse-names":false,"suffix":""},{"dropping-particle":"","family":"Kendall","given":"Tracy","non-dropping-particle":"","parse-names":false,"suffix":""},{"dropping-particle":"","family":"Johnson","given":"Heather","non-dropping-particle":"","parse-names":false,"suffix":""},{"dropping-particle":"","family":"Farlow","given":"Martin R.","non-dropping-particle":"","parse-names":false,"suffix":""},{"dropping-particle":"","family":"Hake","given":"Ann Marie","non-dropping-particle":"","parse-names":false,"suffix":""},{"dropping-particle":"","family":"Matthews","given":"Brandy R.","non-dropping-particle":"","parse-names":false,"suffix":""},{"dropping-particle":"","family":"Brosch","given":"Jared R.","non-dropping-particle":"","parse-names":false,"suffix":""},{"dropping-particle":"","family":"Herring","given":"Scott","non-dropping-particle":"","parse-names":false,"suffix":""},{"dropping-particle":"","family":"Hunt","given":"Cynthia","non-dropping-particle":"","parse-names":false,"suffix":""},{"dropping-particle":"","family":"Dyck","given":"Christopher H.","non-dropping-particle":"van","parse-names":false,"suffix":""},{"dropping-particle":"","family":"Carson","given":"Richard E.","non-dropping-particle":"","parse-names":false,"suffix":""},{"dropping-particle":"","family":"MacAvoy","given":"Martha G.","non-dropping-particle":"","parse-names":false,"suffix":""},{"dropping-particle":"","family":"Varma","given":"Pradeep","non-dropping-particle":"","parse-names":false,"suffix":""},{"dropping-particle":"","family":"Chertkow","given":"Howard","non-dropping-particle":"","parse-names":false,"suffix":""},{"dropping-particle":"","family":"Bergman","given":"Howard","non-dropping-particle":"","parse-names":false,"suffix":""},{"dropping-particle":"","family":"Hosein","given":"Chris","non-dropping-particle":"","parse-names":false,"suffix":""},{"dropping-particle":"","family":"Black","given":"Sandra","non-dropping-particle":"","parse-names":false,"suffix":""},{"dropping-particle":"","family":"Stefanovic","given":"Bojana","non-dropping-particle":"","parse-names":false,"suffix":""},{"dropping-particle":"","family":"Caldwell","given":"Curtis","non-dropping-particle":"","parse-names":false,"suffix":""},{"dropping-particle":"","family":"Hsiung","given":"Ging Yuek Robin","non-dropping-particle":"","parse-names":false,"suffix":""},{"dropping-particle":"","family":"Feldman","given":"Howard","non-dropping-particle":"","parse-names":false,"suffix":""},{"dropping-particle":"","family":"Mudge","given":"Benita","non-dropping-particle":"","parse-names":false,"suffix":""},{"dropping-particle":"","family":"Assaly","given":"Michele","non-dropping-particle":"","parse-names":false,"suffix":""},{"dropping-particle":"","family":"Finger","given":"Elizabeth","non-dropping-particle":"","parse-names":false,"suffix":""},{"dropping-particle":"","family":"Pasternack","given":"Stephen","non-dropping-particle":"","parse-names":false,"suffix":""},{"dropping-particle":"","family":"Rachisky","given":"Irina","non-dropping-particle":"","parse-names":false,"suffix":""},{"dropping-particle":"","family":"Trost","given":"Dick","non-dropping-particle":"","parse-names":false,"suffix":""},{"dropping-particle":"","family":"Kertesz","given":"Andrew","non-dropping-particle":"","parse-names":false,"suffix":""},{"dropping-particle":"","family":"Bernick","given":"Charles","non-dropping-particle":"","parse-names":false,"suffix":""},{"dropping-particle":"","family":"Munic","given":"Donna","non-dropping-particle":"","parse-names":false,"suffix":""},{"dropping-particle":"","family":"Mesulam","given":"Marek Marsel","non-dropping-particle":"","parse-names":false,"suffix":""},{"dropping-particle":"","family":"Lipowski","given":"Kristine","non-dropping-particle":"","parse-names":false,"suffix":""},{"dropping-particle":"","family":"Weintraub","given":"Sandra","non-dropping-particle":"","parse-names":false,"suffix":""},{"dropping-particle":"","family":"Bonakdarpour","given":"Borna","non-dropping-particle":"","parse-names":false,"suffix":""},{"dropping-particle":"","family":"Kerwin","given":"Diana","non-dropping-particle":"","parse-names":false,"suffix":""},{"dropping-particle":"","family":"Wu","given":"Chuang Kuo","non-dropping-particle":"","parse-names":false,"suffix":""},{"dropping-particle":"","family":"Johnson","given":"Nancy","non-dropping-particle":"","parse-names":false,"suffix":""},{"dropping-particle":"","family":"Sadowsky","given":"Carl","non-dropping-particle":"","parse-names":false,"suffix":""},{"dropping-particle":"","family":"Villena","given":"Teresa","non-dropping-particle":"","parse-names":false,"suffix":""},{"dropping-particle":"","family":"Turner","given":"Raymond Scott","non-dropping-particle":"","parse-names":false,"suffix":""},{"dropping-particle":"","family":"Johnson","given":"Kathleen","non-dropping-particle":"","parse-names":false,"suffix":""},{"dropping-particle":"","family":"Reynolds","given":"Brigid","non-dropping-particle":"","parse-names":false,"suffix":""},{"dropping-particle":"","family":"Sperling","given":"Reisa A.","non-dropping-particle":"","parse-names":false,"suffix":""},{"dropping-particle":"","family":"Johnson","given":"Keith A.","non-dropping-particle":"","parse-names":false,"suffix":""},{"dropping-particle":"","family":"Marshall","given":"Gad","non-dropping-particle":"","parse-names":false,"suffix":""},{"dropping-particle":"","family":"Yesavage","given":"Jerome","non-dropping-particle":"","parse-names":false,"suffix":""},{"dropping-particle":"","family":"Taylor","given":"Joy L.","non-dropping-particle":"","parse-names":false,"suffix":""},{"dropping-particle":"","family":"Lane","given":"Barton","non-dropping-particle":"","parse-names":false,"suffix":""},{"dropping-particle":"","family":"Rosen","given":"Allyson","non-dropping-particle":"","parse-names":false,"suffix":""},{"dropping-particle":"","family":"Tinklenberg","given":"Jared","non-dropping-particle":"","parse-names":false,"suffix":""},{"dropping-particle":"","family":"Sabbagh","given":"Marwan N.","non-dropping-particle":"","parse-names":false,"suffix":""},{"dropping-particle":"","family":"Belden","given":"Christine M.","non-dropping-particle":"","parse-names":false,"suffix":""},{"dropping-particle":"","family":"Jacobson","given":"Sandra A.","non-dropping-particle":"","parse-names":false,"suffix":""},{"dropping-particle":"","family":"Sirrel","given":"Sherye A.","non-dropping-particle":"","parse-names":false,"suffix":""},{"dropping-particle":"","family":"Kowall","given":"Neil","non-dropping-particle":"","parse-names":false,"suffix":""},{"dropping-particle":"","family":"Killiany","given":"Ronald","non-dropping-particle":"","parse-names":false,"suffix":""},{"dropping-particle":"","family":"Budson","given":"Andrew E.","non-dropping-particle":"","parse-names":false,"suffix":""},{"dropping-particle":"","family":"Norbash","given":"Alexander","non-dropping-particle":"","parse-names":false,"suffix":""},{"dropping-particle":"","family":"Johnson","given":"Patricia Lynn","non-dropping-particle":"","parse-names":false,"suffix":""},{"dropping-particle":"","family":"Obisesan","given":"Thomas O.","non-dropping-particle":"","parse-names":false,"suffix":""},{"dropping-particle":"","family":"Wolday","given":"Saba","non-dropping-particle":"","parse-names":false,"suffix":""},{"dropping-particle":"","family":"Allard","given":"Joanne","non-dropping-particle":"","parse-names":false,"suffix":""},{"dropping-particle":"","family":"Lerner","given":"Alan","non-dropping-particle":"","parse-names":false,"suffix":""},{"dropping-particle":"","family":"Ogrocki","given":"Paula","non-dropping-particle":"","parse-names":false,"suffix":""},{"dropping-particle":"","family":"Tatsuoka","given":"Curtis","non-dropping-particle":"","parse-names":false,"suffix":""},{"dropping-particle":"","family":"Fatica","given":"Parianne","non-dropping-particle":"","parse-names":false,"suffix":""},{"dropping-particle":"","family":"Fletcher","given":"Evan","non-dropping-particle":"","parse-names":false,"suffix":""},{"dropping-particle":"","family":"Maillard","given":"Pauline","non-dropping-particle":"","parse-names":false,"suffix":""},{"dropping-particle":"","family":"Olichney","given":"John","non-dropping-particle":"","parse-names":false,"suffix":""},{"dropping-particle":"","family":"DeCarli","given":"Charles","non-dropping-particle":"","parse-names":false,"suffix":""},{"dropping-particle":"","family":"Carmichael","given":"Owen","non-dropping-particle":"","parse-names":false,"suffix":""},{"dropping-particle":"","family":"Kittur","given":"Smita","non-dropping-particle":"","parse-names":false,"suffix":""},{"dropping-particle":"","family":"Borrie","given":"Michael","non-dropping-particle":"","parse-names":false,"suffix":""},{"dropping-particle":"","family":"Lee","given":"T. Y.","non-dropping-particle":"","parse-names":false,"suffix":""},{"dropping-particle":"","family":"Bartha","given":"Rob","non-dropping-particle":"","parse-names":false,"suffix":""},{"dropping-particle":"","family":"Johnson","given":"Sterling","non-dropping-particle":"","parse-names":false,"suffix":""},{"dropping-particle":"","family":"Asthana","given":"Sanjay","non-dropping-particle":"","parse-names":false,"suffix":""},{"dropping-particle":"","family":"Carlsson","given":"Cynthia M.","non-dropping-particle":"","parse-names":false,"suffix":""},{"dropping-particle":"","family":"Potkin","given":"Steven G.","non-dropping-particle":"","parse-names":false,"suffix":""},{"dropping-particle":"","family":"Preda","given":"Adrian","non-dropping-particle":"","parse-names":false,"suffix":""},{"dropping-particle":"","family":"Nguyen","given":"Dana","non-dropping-particle":"","parse-names":false,"suffix":""},{"dropping-particle":"","family":"Tariot","given":"Pierre","non-dropping-particle":"","parse-names":false,"suffix":""},{"dropping-particle":"","family":"Burke","given":"Anna","non-dropping-particle":"","parse-names":false,"suffix":""},{"dropping-particle":"","family":"Trncic","given":"Nadira","non-dropping-particle":"","parse-names":false,"suffix":""},{"dropping-particle":"","family":"Fleisher","given":"Adam","non-dropping-particle":"","parse-names":false,"suffix":""},{"dropping-particle":"","family":"Reeder","given":"Stephanie","non-dropping-particle":"","parse-names":false,"suffix":""},{"dropping-particle":"","family":"Bates","given":"Vernice","non-dropping-particle":"","parse-names":false,"suffix":""},{"dropping-particle":"","family":"Capote","given":"Horacio","non-dropping-particle":"","parse-names":false,"suffix":""},{"dropping-particle":"","family":"Rainka","given":"Michelle","non-dropping-particle":"","parse-names":false,"suffix":""},{"dropping-particle":"","family":"Scharre","given":"Douglas W.","non-dropping-particle":"","parse-names":false,"suffix":""},{"dropping-particle":"","family":"Kataki","given":"Maria","non-dropping-particle":"","parse-names":false,"suffix":""},{"dropping-particle":"","family":"Adeli","given":"Anahita","non-dropping-particle":"","parse-names":false,"suffix":""},{"dropping-particle":"","family":"Zimmerman","given":"Earl A.","non-dropping-particle":"","parse-names":false,"suffix":""},{"dropping-particle":"","family":"Celmins","given":"Dzintra","non-dropping-particle":"","parse-names":false,"suffix":""},{"dropping-particle":"","family":"Brown","given":"Alice D.","non-dropping-particle":"","parse-names":false,"suffix":""},{"dropping-particle":"","family":"Pearlson","given":"Godfrey D.","non-dropping-particle":"","parse-names":false,"suffix":""},{"dropping-particle":"","family":"Blank","given":"Karen","non-dropping-particle":"","parse-names":false,"suffix":""},{"dropping-particle":"","family":"Anderson","given":"Karen","non-dropping-particle":"","parse-names":false,"suffix":""},{"dropping-particle":"","family":"Flashman","given":"Laura A.","non-dropping-particle":"","parse-names":false,"suffix":""},{"dropping-particle":"","family":"Seltzer","given":"Marc","non-dropping-particle":"","parse-names":false,"suffix":""},{"dropping-particle":"","family":"Hynes","given":"Mary L.","non-dropping-particle":"","parse-names":false,"suffix":""},{"dropping-particle":"","family":"Santulli","given":"Robert B.","non-dropping-particle":"","parse-names":false,"suffix":""},{"dropping-particle":"","family":"Sink","given":"Kaycee M.","non-dropping-particle":"","parse-names":false,"suffix":""},{"dropping-particle":"","family":"Gordineer","given":"Leslie","non-dropping-particle":"","parse-names":false,"suffix":""},{"dropping-particle":"","family":"Williamson","given":"Je D.","non-dropping-particle":"","parse-names":false,"suffix":""},{"dropping-particle":"","family":"Garg","given":"Pradeep","non-dropping-particle":"","parse-names":false,"suffix":""},{"dropping-particle":"","family":"Watkins","given":"Franklin","non-dropping-particle":"","parse-names":false,"suffix":""},{"dropping-particle":"","family":"Ott","given":"Brian R.","non-dropping-particle":"","parse-names":false,"suffix":""},{"dropping-particle":"","family":"Querfurth","given":"Henry","non-dropping-particle":"","parse-names":false,"suffix":""},{"dropping-particle":"","family":"Tremont","given":"Geffrey","non-dropping-particle":"","parse-names":false,"suffix":""},{"dropping-particle":"","family":"Salloway","given":"Stephen","non-dropping-particle":"","parse-names":false,"suffix":""},{"dropping-particle":"","family":"Malloy","given":"Paul","non-dropping-particle":"","parse-names":false,"suffix":""},{"dropping-particle":"","family":"Correia","given":"Stephen","non-dropping-particle":"","parse-names":false,"suffix":""},{"dropping-particle":"","family":"Rosen","given":"Howard J.","non-dropping-particle":"","parse-names":false,"suffix":""},{"dropping-particle":"","family":"Miller","given":"Bruce L.","non-dropping-particle":"","parse-names":false,"suffix":""},{"dropping-particle":"","family":"Perry","given":"David","non-dropping-particle":"","parse-names":false,"suffix":""},{"dropping-particle":"","family":"Mintzer","given":"Jacobo","non-dropping-particle":"","parse-names":false,"suffix":""},{"dropping-particle":"","family":"Spicer","given":"Kenneth","non-dropping-particle":"","parse-names":false,"suffix":""},{"dropping-particle":"","family":"Bachman","given":"David","non-dropping-particle":"","parse-names":false,"suffix":""},{"dropping-particle":"","family":"Pomara","given":"Nunzio","non-dropping-particle":"","parse-names":false,"suffix":""},{"dropping-particle":"","family":"Hernando","given":"Raymundo","non-dropping-particle":"","parse-names":false,"suffix":""},{"dropping-particle":"","family":"Sarrael","given":"Antero","non-dropping-particle":"","parse-names":false,"suffix":""},{"dropping-particle":"","family":"Relkin","given":"Norman","non-dropping-particle":"","parse-names":false,"suffix":""},{"dropping-particle":"","family":"Chaing","given":"Gloria","non-dropping-particle":"","parse-names":false,"suffix":""},{"dropping-particle":"","family":"Lin","given":"Michael","non-dropping-particle":"","parse-names":false,"suffix":""},{"dropping-particle":"","family":"Ravdin","given":"Lisa","non-dropping-particle":"","parse-names":false,"suffix":""},{"dropping-particle":"","family":"Smith","given":"Amanda","non-dropping-particle":"","parse-names":false,"suffix":""},{"dropping-particle":"","family":"Raj","given":"Balebail Ashok","non-dropping-particle":"","parse-names":false,"suffix":""},{"dropping-particle":"","family":"Fargher","given":"Kristin","non-dropping-particle":"","parse-names":false,"suffix":""},{"dropping-particle":"","family":"Saykin","given":"Andrew","non-dropping-particle":"","parse-names":false,"suffix":""},{"dropping-particle":"","family":"Nho","given":"Kwangsik","non-dropping-particle":"","parse-names":false,"suffix":""},{"dropping-particle":"","family":"Kling","given":"Mitchel","non-dropping-particle":"","parse-names":false,"suffix":""},{"dropping-particle":"","family":"Toledo","given":"John","non-dropping-particle":"","parse-names":false,"suffix":""},{"dropping-particle":"","family":"Shaw","given":"Leslie","non-dropping-particle":"","parse-names":false,"suffix":""},{"dropping-particle":"","family":"Trojanowski","given":"John","non-dropping-particle":"","parse-names":false,"suffix":""},{"dropping-particle":"","family":"Farrer","given":"Lindsay","non-dropping-particle":"","parse-names":false,"suffix":""},{"dropping-particle":"","family":"Kastsenmüller","given":"Gabi","non-dropping-particle":"","parse-names":false,"suffix":""},{"dropping-particle":"","family":"Arnold","given":"Matthias","non-dropping-particle":"","parse-names":false,"suffix":""},{"dropping-particle":"","family":"Wishart","given":"David","non-dropping-particle":"","parse-names":false,"suffix":""},{"dropping-particle":"","family":"Würtz","given":"Peter","non-dropping-particle":"","parse-names":false,"suffix":""},{"dropping-particle":"","family":"Bhattcharyya","given":"Sudeepa","non-dropping-particle":"","parse-names":false,"suffix":""},{"dropping-particle":"","family":"Duijin","given":"Cornelia","non-dropping-particle":"van","parse-names":false,"suffix":""},{"dropping-particle":"","family":"Mangravite","given":"Lara","non-dropping-particle":"","parse-names":false,"suffix":""},{"dropping-particle":"","family":"Han","given":"Xianlin","non-dropping-particle":"","parse-names":false,"suffix":""},{"dropping-particle":"","family":"Hankemeier","given":"Thomas","non-dropping-particle":"","parse-names":false,"suffix":""},{"dropping-particle":"","family":"Fiehn","given":"Oliver","non-dropping-particle":"","parse-names":false,"suffix":""},{"dropping-particle":"","family":"Barupal","given":"Dinesh","non-dropping-particle":"","parse-names":false,"suffix":""},{"dropping-particle":"","family":"Thiele","given":"Ines","non-dropping-particle":"","parse-names":false,"suffix":""},{"dropping-particle":"","family":"Heinken","given":"Almut","non-dropping-particle":"","parse-names":false,"suffix":""},{"dropping-particle":"","family":"Meikle","given":"Peter","non-dropping-particle":"","parse-names":false,"suffix":""},{"dropping-particle":"","family":"Price","given":"Nathan","non-dropping-particle":"","parse-names":false,"suffix":""},{"dropping-particle":"","family":"Funk","given":"Cory","non-dropping-particle":"","parse-names":false,"suffix":""},{"dropping-particle":"","family":"Jia","given":"Wei","non-dropping-particle":"","parse-names":false,"suffix":""},{"dropping-particle":"","family":"Kueider-Paisley","given":"Alexandra","non-dropping-particle":"","parse-names":false,"suffix":""},{"dropping-particle":"","family":"Doraiswamy","given":"P. Murali","non-dropping-particle":"","parse-names":false,"suffix":""},{"dropping-particle":"","family":"Tenebaum","given":"Jessica","non-dropping-particle":"","parse-names":false,"suffix":""},{"dropping-particle":"","family":"Black","given":"Colette","non-dropping-particle":"","parse-names":false,"suffix":""},{"dropping-particle":"","family":"Moseley","given":"Arthur","non-dropping-particle":"","parse-names":false,"suffix":""},{"dropping-particle":"","family":"Thompson","given":"Will","non-dropping-particle":"","parse-names":false,"suffix":""},{"dropping-particle":"","family":"Mahmoudiandehkorki","given":"Siam","non-dropping-particle":"","parse-names":false,"suffix":""},{"dropping-particle":"","family":"Baillie","given":"Rebecca","non-dropping-particle":"","parse-names":false,"suffix":""},{"dropping-particle":"","family":"Welsh-Bohmer","given":"Kathleen","non-dropping-particle":"","parse-names":false,"suffix":""},{"dropping-particle":"","family":"Plassman","given":"Brenda","non-dropping-particle":"","parse-names":false,"suffix":""}],"container-title":"Scientific Reports","id":"ITEM-1","issue":"1","issued":{"date-parts":[["2019"]]},"page":"0-12","title":"A blood-based signature of cerebrospinal fluid Aβ 1–42 status","type":"article-journal","volume":"9"},"uris":["http://www.mendeley.com/documents/?uuid=1a1316e1-fe1d-4428-b0c3-4957b7341687"]}],"mendeley":{"formattedCitation":"&lt;sup&gt;141&lt;/sup&gt;","plainTextFormattedCitation":"141","previouslyFormattedCitation":"&lt;sup&gt;140&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141</w:t>
            </w:r>
            <w:r w:rsidRPr="00A427B2">
              <w:rPr>
                <w:rFonts w:ascii="Segoe UI" w:eastAsia="Times New Roman" w:hAnsi="Segoe UI" w:cs="Segoe UI"/>
                <w:color w:val="000000"/>
                <w:sz w:val="16"/>
                <w:szCs w:val="16"/>
              </w:rPr>
              <w:fldChar w:fldCharType="end"/>
            </w:r>
          </w:p>
        </w:tc>
        <w:tc>
          <w:tcPr>
            <w:tcW w:w="2122" w:type="dxa"/>
            <w:vAlign w:val="center"/>
          </w:tcPr>
          <w:p w14:paraId="55984097"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Scientific Reports</w:t>
            </w:r>
          </w:p>
        </w:tc>
        <w:tc>
          <w:tcPr>
            <w:tcW w:w="850" w:type="dxa"/>
            <w:vAlign w:val="center"/>
          </w:tcPr>
          <w:p w14:paraId="4CF2C509"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3.998</w:t>
            </w:r>
          </w:p>
        </w:tc>
        <w:tc>
          <w:tcPr>
            <w:tcW w:w="1276" w:type="dxa"/>
            <w:vAlign w:val="center"/>
          </w:tcPr>
          <w:p w14:paraId="187DBE7E"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2B01A18B"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Neurology</w:t>
            </w:r>
          </w:p>
        </w:tc>
        <w:tc>
          <w:tcPr>
            <w:tcW w:w="1541" w:type="dxa"/>
            <w:noWrap/>
            <w:vAlign w:val="center"/>
            <w:hideMark/>
          </w:tcPr>
          <w:p w14:paraId="789F2D0E"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Diagnosis</w:t>
            </w:r>
          </w:p>
        </w:tc>
        <w:tc>
          <w:tcPr>
            <w:tcW w:w="2481" w:type="dxa"/>
            <w:noWrap/>
            <w:vAlign w:val="center"/>
            <w:hideMark/>
          </w:tcPr>
          <w:p w14:paraId="0D9070F1"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794994F4"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Abnormal CSF Aβ1-42 level</w:t>
            </w:r>
          </w:p>
        </w:tc>
      </w:tr>
      <w:tr w:rsidR="00A427B2" w:rsidRPr="00A427B2" w14:paraId="39C55758" w14:textId="77777777" w:rsidTr="001B1FC9">
        <w:trPr>
          <w:trHeight w:val="510"/>
        </w:trPr>
        <w:tc>
          <w:tcPr>
            <w:tcW w:w="1701" w:type="dxa"/>
            <w:noWrap/>
            <w:vAlign w:val="center"/>
            <w:hideMark/>
          </w:tcPr>
          <w:p w14:paraId="51300D49"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A Facciorusso</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{"citationItems":[{"id":"ITEM-1","itemData":{"DOI":"10.1016/j.pan.2019.07.038","ISSN":"14243911","PMID":"31375433","abstract":"Background: /Objectives: Efficacy of repeat echoendoscopic celiac plexus neurolysis is still unclear. Aim of the study was to assess the efficacy of repeat celiac plexus neurolysis and to build an artificial neural network model able to predict pain response. Methods: Data regarding 156 patients treated with repeat celiac plexus neurolysis between 2004 and 2019 were reviewed. Artificial neural network and logistic regression models were built to predict pain response after treatment. Performance of the models was expressed in terms of accuracy, positive predictive value, and positive likelihood ratio. Results: Median age was 62 years (range 39–86) and most patients were male (66%) with pre-procedural visual analogue score 7. Fifty-one patients (32.6%) experienced treatment response, of which 6 (3.8%) complete pain suppression. Median duration of pain relief was 6 (2–8) weeks. Tumoral stage, interval from initial to repeat treatment, response to initial neurolysis, and tumor progression between the two treatments resulted as significant predictors of pain response. The performance of the artificial neural network in predicting treatment response was higher than regression model (area under the curve: 0.94, 0.89–0.97 versus 0.85, 0.78–0.89; p &lt; 0.001). Positive predictive value and positive likelihood ratio resulted 90.3% and 19.35, respectively. Classification error rate was 5.7% with the artificial neural network compared to 14.7% of regression model (p &lt; 0.001). These findings were confirmed through ten-fold cross validation. Conclusions: Pain response following repeat neurolysis is generally less pronounced than after initial treatment. Artificial neural network may help to identify those subjects likely to benefit from repeat neurolysis.","author":[{"dropping-particle":"","family":"Facciorusso","given":"Antonio","non-dropping-particle":"","parse-names":false,"suffix":""},{"dropping-particle":"","family":"Prete","given":"Valentina","non-dropping-particle":"Del","parse-names":false,"suffix":""},{"dropping-particle":"","family":"Antonino","given":"Matteo","non-dropping-particle":"","parse-names":false,"suffix":""},{"dropping-particle":"","family":"Buccino","given":"Vincenzo Rosario","non-dropping-particle":"","parse-names":false,"suffix":""},{"dropping-particle":"","family":"Muscatiello","given":"Nicola","non-dropping-particle":"","parse-names":false,"suffix":""}],"container-title":"Pancreatology","id":"ITEM-1","issue":"6","issued":{"date-parts":[["2019"]]},"page":"866-872","publisher":"Elsevier India, a division of Reed Elsevier India Pvt. Ltd","title":"Response to repeat echoendoscopic celiac plexus neurolysis in pancreatic cancer patients: A machine learning approach","type":"article-journal","volume":"19"},"uris":["http://www.mendeley.com/documents/?uuid=93e02f42-1b4e-4ea6-9a26-b5770ad0abf8"]}],"mendeley":{"formattedCitation":"&lt;sup&gt;142&lt;/sup&gt;","plainTextFormattedCitation":"142","previouslyFormattedCitation":"&lt;sup&gt;141&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142</w:t>
            </w:r>
            <w:r w:rsidRPr="00A427B2">
              <w:rPr>
                <w:rFonts w:ascii="Segoe UI" w:eastAsia="Times New Roman" w:hAnsi="Segoe UI" w:cs="Segoe UI"/>
                <w:color w:val="000000"/>
                <w:sz w:val="16"/>
                <w:szCs w:val="16"/>
              </w:rPr>
              <w:fldChar w:fldCharType="end"/>
            </w:r>
          </w:p>
        </w:tc>
        <w:tc>
          <w:tcPr>
            <w:tcW w:w="2122" w:type="dxa"/>
            <w:vAlign w:val="center"/>
          </w:tcPr>
          <w:p w14:paraId="3B7A8EAC"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Pancreatology</w:t>
            </w:r>
          </w:p>
        </w:tc>
        <w:tc>
          <w:tcPr>
            <w:tcW w:w="850" w:type="dxa"/>
            <w:vAlign w:val="center"/>
          </w:tcPr>
          <w:p w14:paraId="67C03E90"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3.629</w:t>
            </w:r>
          </w:p>
        </w:tc>
        <w:tc>
          <w:tcPr>
            <w:tcW w:w="1276" w:type="dxa"/>
            <w:vAlign w:val="center"/>
          </w:tcPr>
          <w:p w14:paraId="552D1199"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3D08FB04"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Oncology</w:t>
            </w:r>
          </w:p>
        </w:tc>
        <w:tc>
          <w:tcPr>
            <w:tcW w:w="1541" w:type="dxa"/>
            <w:noWrap/>
            <w:vAlign w:val="center"/>
            <w:hideMark/>
          </w:tcPr>
          <w:p w14:paraId="1C92998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3F18980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2D8DF38E"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Pain response to repeat echoendoscopic celiac plexus neurolysis</w:t>
            </w:r>
          </w:p>
        </w:tc>
      </w:tr>
      <w:tr w:rsidR="00A427B2" w:rsidRPr="00A427B2" w14:paraId="205D98A8" w14:textId="77777777" w:rsidTr="001B1FC9">
        <w:trPr>
          <w:trHeight w:val="510"/>
        </w:trPr>
        <w:tc>
          <w:tcPr>
            <w:tcW w:w="1701" w:type="dxa"/>
            <w:noWrap/>
            <w:vAlign w:val="center"/>
            <w:hideMark/>
          </w:tcPr>
          <w:p w14:paraId="62B48CC1"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DW Kim</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{"citationItems":[{"id":"ITEM-1","itemData":{"DOI":"10.1016/j.bone.2018.04.020","ISSN":"87563282","PMID":"29698784","abstract":"Introduction: The aim of this study was to build and validate five types of machine learning models that can predict the occurrence of BRONJ associated with dental extraction in patients taking bisphosphonates for the management of osteoporosis. Patients &amp; methods: A retrospective review of the medical records was conducted to obtain cases and controls for the study. Total 125 patients consisting of 41 cases and 84 controls were selected for the study. Five machine learning prediction algorithms including multivariable logistic regression model, decision tree, support vector machine, artificial neural network, and random forest were implemented. The outputs of these models were compared with each other and also with conventional methods, such as serum CTX level. Area under the receiver operating characteristic (ROC) curve (AUC) was used to compare the results. Results: The performance of machine learning models was significantly superior to conventional statistical methods and single predictors. The random forest model yielded the best performance (AUC = 0.973), followed by artificial neural network (AUC = 0.915), support vector machine (AUC = 0.882), logistic regression (AUC = 0.844), decision tree (AUC = 0.821), drug holiday alone (AUC = 0.810), and CTX level alone (AUC = 0.630). Conclusions: Machine learning methods showed superior performance in predicting BRONJ associated with dental extraction compared to conventional statistical methods using drug holiday and serum CTX level. Machine learning can thus be applied in a wide range of clinical studies.","author":[{"dropping-particle":"","family":"Kim","given":"Dong Wook","non-dropping-particle":"","parse-names":false,"suffix":""},{"dropping-particle":"","family":"Kim","given":"Hwiyoung","non-dropping-particle":"","parse-names":false,"suffix":""},{"dropping-particle":"","family":"Nam","given":"Woong","non-dropping-particle":"","parse-names":false,"suffix":""},{"dropping-particle":"","family":"Kim","given":"Hyung Jun","non-dropping-particle":"","parse-names":false,"suffix":""},{"dropping-particle":"","family":"Cha","given":"In Ho","non-dropping-particle":"","parse-names":false,"suffix":""}],"container-title":"Bone","id":"ITEM-1","issue":"January","issued":{"date-parts":[["2018"]]},"page":"207-214","publisher":"Elsevier","title":"Machine learning to predict the occurrence of bisphosphonate-related osteonecrosis of the jaw associated with dental extraction: A preliminary report","type":"article-journal","volume":"116"},"uris":["http://www.mendeley.com/documents/?uuid=555ae37b-3e67-4305-ae17-1a24ee14ce31"]}],"mendeley":{"formattedCitation":"&lt;sup&gt;143&lt;/sup&gt;","plainTextFormattedCitation":"143","previouslyFormattedCitation":"&lt;sup&gt;142&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143</w:t>
            </w:r>
            <w:r w:rsidRPr="00A427B2">
              <w:rPr>
                <w:rFonts w:ascii="Segoe UI" w:eastAsia="Times New Roman" w:hAnsi="Segoe UI" w:cs="Segoe UI"/>
                <w:color w:val="000000"/>
                <w:sz w:val="16"/>
                <w:szCs w:val="16"/>
              </w:rPr>
              <w:fldChar w:fldCharType="end"/>
            </w:r>
          </w:p>
        </w:tc>
        <w:tc>
          <w:tcPr>
            <w:tcW w:w="2122" w:type="dxa"/>
            <w:vAlign w:val="center"/>
          </w:tcPr>
          <w:p w14:paraId="4388B463"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Bone</w:t>
            </w:r>
          </w:p>
        </w:tc>
        <w:tc>
          <w:tcPr>
            <w:tcW w:w="850" w:type="dxa"/>
            <w:vAlign w:val="center"/>
          </w:tcPr>
          <w:p w14:paraId="6E7CFF7F"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4.360</w:t>
            </w:r>
          </w:p>
        </w:tc>
        <w:tc>
          <w:tcPr>
            <w:tcW w:w="1276" w:type="dxa"/>
            <w:vAlign w:val="center"/>
          </w:tcPr>
          <w:p w14:paraId="4C629A8E"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2018</w:t>
            </w:r>
          </w:p>
        </w:tc>
        <w:tc>
          <w:tcPr>
            <w:tcW w:w="1559" w:type="dxa"/>
            <w:noWrap/>
            <w:vAlign w:val="center"/>
            <w:hideMark/>
          </w:tcPr>
          <w:p w14:paraId="7DD01751"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Dentistry</w:t>
            </w:r>
          </w:p>
        </w:tc>
        <w:tc>
          <w:tcPr>
            <w:tcW w:w="1541" w:type="dxa"/>
            <w:noWrap/>
            <w:vAlign w:val="center"/>
            <w:hideMark/>
          </w:tcPr>
          <w:p w14:paraId="331B878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422BC8E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24C7CF04"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Occurrence of BRONJ associated with dental extraction</w:t>
            </w:r>
          </w:p>
        </w:tc>
      </w:tr>
      <w:tr w:rsidR="00A427B2" w:rsidRPr="00A427B2" w14:paraId="28CAB0C6" w14:textId="77777777" w:rsidTr="001B1FC9">
        <w:trPr>
          <w:trHeight w:val="510"/>
        </w:trPr>
        <w:tc>
          <w:tcPr>
            <w:tcW w:w="1701" w:type="dxa"/>
            <w:noWrap/>
            <w:vAlign w:val="center"/>
            <w:hideMark/>
          </w:tcPr>
          <w:p w14:paraId="41B6347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AV Karhade</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{"citationItems":[{"id":"ITEM-1","itemData":{"DOI":"10.1016/j.spinee.2019.06.024","ISSN":"18781632","PMID":"31255788","abstract":"Background Context: In-hospital and short-term mortality in patients with spinal epidural abscess (SEA) remains unacceptably high despite diagnostic and therapeutic advancements. Forecasting this potentially avoidable consequence at the time of admission could improve patient management and counseling. Few studies exist to meet this need, and none have explored methodologies such as machine learning. Purpose: The purpose of this study was to develop machine learning algorithms for prediction of in-hospital and 90-day postdischarge mortality in SEA. Study Design/Setting: Retrospective, case-control study at two academic medical centers and three community hospitals from 1993 to 2016. Patients Sample: Adult patients with an inpatient admission for radiologically confirmed diagnosis of SEA. Outcome Measures: In-hospital and 90-day postdischarge mortality. Methods: Five machine learning algorithms (elastic-net penalized logistic regression, random forest, stochastic gradient boosting, neural network, and support vector machine) were developed and assessed by discrimination, calibration, overall performance, and decision curve analysis. Results: Overall, 1,053 SEA patients were identified in the study, with 134 (12.7%) experiencing in-hospital or 90-day postdischarge mortality. The stochastic gradient boosting model achieved the best performance across discrimination, c-statistic=0.89, calibration, and decision curve analysis. The variables used for prediction of 90-day mortality, ranked by importance, were age, albumin, platelet count, neutrophil to lymphocyte ratio, hemodialysis, active malignancy, and diabetes. The final algorithm was incorporated into a web application available here: https://sorg-apps.shinyapps.io/seamortality/. Conclusions: Machine learning algorithms show promise on internal validation for prediction of 90-day mortality in SEA. Future studies are needed to externally validate these algorithms in independent populations.","author":[{"dropping-particle":"V.","family":"Karhade","given":"Aditya","non-dropping-particle":"","parse-names":false,"suffix":""},{"dropping-particle":"","family":"Shah","given":"Akash A.","non-dropping-particle":"","parse-names":false,"suffix":""},{"dropping-particle":"","family":"Bono","given":"Christopher M.","non-dropping-particle":"","parse-names":false,"suffix":""},{"dropping-particle":"","family":"Ferrone","given":"Marco L.","non-dropping-particle":"","parse-names":false,"suffix":""},{"dropping-particle":"","family":"Nelson","given":"Sandra B.","non-dropping-particle":"","parse-names":false,"suffix":""},{"dropping-particle":"","family":"Schoenfeld","given":"Andrew J.","non-dropping-particle":"","parse-names":false,"suffix":""},{"dropping-particle":"","family":"Harris","given":"Mitchel B.","non-dropping-particle":"","parse-names":false,"suffix":""},{"dropping-particle":"","family":"Schwab","given":"Joseph H.","non-dropping-particle":"","parse-names":false,"suffix":""}],"container-title":"Spine Journal","id":"ITEM-1","issue":"12","issued":{"date-parts":[["2019"]]},"page":"1950-1959","publisher":"Elsevier Inc.","title":"Development of machine learning algorithms for prediction of mortality in spinal epidural abscess","type":"article-journal","volume":"19"},"uris":["http://www.mendeley.com/documents/?uuid=bce63a49-aec4-439b-b161-a2a43ed0ec7b"]}],"mendeley":{"formattedCitation":"&lt;sup&gt;144&lt;/sup&gt;","plainTextFormattedCitation":"144","previouslyFormattedCitation":"&lt;sup&gt;143&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144</w:t>
            </w:r>
            <w:r w:rsidRPr="00A427B2">
              <w:rPr>
                <w:rFonts w:ascii="Segoe UI" w:eastAsia="Times New Roman" w:hAnsi="Segoe UI" w:cs="Segoe UI"/>
                <w:color w:val="000000"/>
                <w:sz w:val="16"/>
                <w:szCs w:val="16"/>
              </w:rPr>
              <w:fldChar w:fldCharType="end"/>
            </w:r>
          </w:p>
        </w:tc>
        <w:tc>
          <w:tcPr>
            <w:tcW w:w="2122" w:type="dxa"/>
            <w:vAlign w:val="center"/>
          </w:tcPr>
          <w:p w14:paraId="060734AA"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Spine Journal</w:t>
            </w:r>
          </w:p>
        </w:tc>
        <w:tc>
          <w:tcPr>
            <w:tcW w:w="850" w:type="dxa"/>
            <w:vAlign w:val="center"/>
          </w:tcPr>
          <w:p w14:paraId="5D7C0E29"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3.191</w:t>
            </w:r>
          </w:p>
        </w:tc>
        <w:tc>
          <w:tcPr>
            <w:tcW w:w="1276" w:type="dxa"/>
            <w:vAlign w:val="center"/>
          </w:tcPr>
          <w:p w14:paraId="7B3821C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33746B78"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Surgery</w:t>
            </w:r>
          </w:p>
        </w:tc>
        <w:tc>
          <w:tcPr>
            <w:tcW w:w="1541" w:type="dxa"/>
            <w:noWrap/>
            <w:vAlign w:val="center"/>
            <w:hideMark/>
          </w:tcPr>
          <w:p w14:paraId="144B997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334B068E"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60474263"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In-hospital and 90-day post-discharge mortality in SEA</w:t>
            </w:r>
          </w:p>
        </w:tc>
      </w:tr>
      <w:tr w:rsidR="00A427B2" w:rsidRPr="00A427B2" w14:paraId="3A017CA5" w14:textId="77777777" w:rsidTr="001B1FC9">
        <w:trPr>
          <w:trHeight w:val="510"/>
        </w:trPr>
        <w:tc>
          <w:tcPr>
            <w:tcW w:w="1701" w:type="dxa"/>
            <w:noWrap/>
            <w:vAlign w:val="center"/>
            <w:hideMark/>
          </w:tcPr>
          <w:p w14:paraId="02EC697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lastRenderedPageBreak/>
              <w:t>W Tu</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{"citationItems":[{"id":"ITEM-1","itemData":{"DOI":"10.1007/s13365-019-00791-6","ISSN":"15382443","PMID":"31520320","abstract":"Neurocognitive impairment (NCI) among HIV-infected patients is heterogeneous in its reported presentations and frequencies. To determine the prevalence of NCI and its associated subtypes as well as predictive variables, we investigated patients with HIV/AIDS receiving universal health care. Recruited adult HIV-infected subjects underwent a neuropsychological (NP) test battery with established normative (sex-, age-, and education-matched) values together with assessment of their demographic and clinical variables. Three patient groups were identified including neurocognitively normal (NN, n = 246), HIV-associated neurocognitive disorders (HAND, n = 78), and neurocognitively impaired-other disorders (NCI-OD, n = 46). Univariate, multiple logistic regression and machine learning analyses were applied. Univariate analyses showed variables differed significantly between groups including birth continent, quality of life, substance use, and PHQ-9. Multiple logistic regression models revealed groups again differed significantly for substance use, PHQ-9 score, VACS index, and head injury. Random forest (RF) models disclosed that classification algorithms distinguished HAND from NN and NCI-OD from NN with area under the curve (AUC) values of 0.87 and 0.77, respectively. Relative importance plots derived from the RF model exhibited distinct variable rankings that were predictive of NCI status for both NN versus HAND and NN versus NCI-OD comparisons. Thus, NCI was frequently detected (33.5%) although HAND prevalence (21%) was lower than in several earlier reports underscoring the potential contribution of other factors to NCI. Machine learning models uncovered variables related to individual NCI types that were not identified by univariate or multiple logistic regression analyses, highlighting the value of other approaches to understanding NCI in HIV/AIDS.","author":[{"dropping-particle":"","family":"Tu","given":"Wei","non-dropping-particle":"","parse-names":false,"suffix":""},{"dropping-particle":"","family":"Chen","given":"Patricia A.","non-dropping-particle":"","parse-names":false,"suffix":""},{"dropping-particle":"","family":"Koenig","given":"Noshin","non-dropping-particle":"","parse-names":false,"suffix":""},{"dropping-particle":"","family":"Gomez","given":"Daniela","non-dropping-particle":"","parse-names":false,"suffix":""},{"dropping-particle":"","family":"Fujiwara","given":"Esther","non-dropping-particle":"","parse-names":false,"suffix":""},{"dropping-particle":"","family":"Gill","given":"M. John","non-dropping-particle":"","parse-names":false,"suffix":""},{"dropping-particle":"","family":"Kong","given":"Linglong","non-dropping-particle":"","parse-names":false,"suffix":""},{"dropping-particle":"","family":"Power","given":"Christopher","non-dropping-particle":"","parse-names":false,"suffix":""}],"container-title":"Journal of NeuroVirology","id":"ITEM-1","issue":"1","issued":{"date-parts":[["2020"]]},"page":"41-51","title":"Machine learning models reveal neurocognitive impairment type and prevalence are associated with distinct variables in HIV/AIDS","type":"article-journal","volume":"26"},"uris":["http://www.mendeley.com/documents/?uuid=f27e1968-0849-4d9a-aa55-da21a800d7b2"]}],"mendeley":{"formattedCitation":"&lt;sup&gt;145&lt;/sup&gt;","plainTextFormattedCitation":"145","previouslyFormattedCitation":"&lt;sup&gt;144&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145</w:t>
            </w:r>
            <w:r w:rsidRPr="00A427B2">
              <w:rPr>
                <w:rFonts w:ascii="Segoe UI" w:eastAsia="Times New Roman" w:hAnsi="Segoe UI" w:cs="Segoe UI"/>
                <w:color w:val="000000"/>
                <w:sz w:val="16"/>
                <w:szCs w:val="16"/>
              </w:rPr>
              <w:fldChar w:fldCharType="end"/>
            </w:r>
          </w:p>
        </w:tc>
        <w:tc>
          <w:tcPr>
            <w:tcW w:w="2122" w:type="dxa"/>
            <w:vAlign w:val="center"/>
          </w:tcPr>
          <w:p w14:paraId="42976D73"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Journal of NeuroVirology</w:t>
            </w:r>
          </w:p>
        </w:tc>
        <w:tc>
          <w:tcPr>
            <w:tcW w:w="850" w:type="dxa"/>
            <w:vAlign w:val="center"/>
          </w:tcPr>
          <w:p w14:paraId="464E9F7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2.354</w:t>
            </w:r>
          </w:p>
        </w:tc>
        <w:tc>
          <w:tcPr>
            <w:tcW w:w="1276" w:type="dxa"/>
            <w:vAlign w:val="center"/>
          </w:tcPr>
          <w:p w14:paraId="51492632"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7E4B374F"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Neurology</w:t>
            </w:r>
          </w:p>
        </w:tc>
        <w:tc>
          <w:tcPr>
            <w:tcW w:w="1541" w:type="dxa"/>
            <w:noWrap/>
            <w:vAlign w:val="center"/>
            <w:hideMark/>
          </w:tcPr>
          <w:p w14:paraId="2695C82A"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Diagnosis</w:t>
            </w:r>
          </w:p>
        </w:tc>
        <w:tc>
          <w:tcPr>
            <w:tcW w:w="2481" w:type="dxa"/>
            <w:noWrap/>
            <w:vAlign w:val="center"/>
            <w:hideMark/>
          </w:tcPr>
          <w:p w14:paraId="5B2CAD7A"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5C080054"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 xml:space="preserve">HIV-associated neurocognitive disorder </w:t>
            </w:r>
          </w:p>
        </w:tc>
      </w:tr>
      <w:tr w:rsidR="00A427B2" w:rsidRPr="00A427B2" w14:paraId="1DC6A0F8" w14:textId="77777777" w:rsidTr="001B1FC9">
        <w:trPr>
          <w:trHeight w:val="510"/>
        </w:trPr>
        <w:tc>
          <w:tcPr>
            <w:tcW w:w="1701" w:type="dxa"/>
            <w:noWrap/>
            <w:vAlign w:val="center"/>
            <w:hideMark/>
          </w:tcPr>
          <w:p w14:paraId="66178F8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T van Steenkiste</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{"citationItems":[{"id":"ITEM-1","itemData":{"DOI":"10.1016/j.artmed.2018.10.008","ISSN":"18732860","PMID":"30420241","abstract":"Introduction: Blood cultures are often performed in the intensive care unit (ICU) to detect bloodstream infections and identify pathogen type, further guiding treatment. Early detection is essential, as a bloodstream infection can give cause to sepsis, a severe immune response associated with an increased risk of organ failure and death. Problem statement: The early clinical detection of a bloodstream infection is challenging but rapid targeted treatment, within the first place antimicrobials, substantially increases survival chances. As blood cultures require time to incubate, early clinical detection using physiological signals combined with indicative lab values is pivotal. Objective: In this work, a novel method is constructed and explored for the potential prediction of the outcome of a blood culture test. The approach is based on a temporal computational model which uses nine clinical parameters measured over time. Methodology: We use a bidirectional long short-term memory neural network, a type of recurrent neural network well suited for tasks where the time lag between a predictive event and outcome is unknown. Evaluation is performed using a novel high-quality database consisting of 2177 ICU admissions at the Ghent University Hospital located in Belgium. Results: The network achieves, on average, an area under the receiver operating characteristic curve of 0.99 and an area under the precision-recall curve of 0.82. In addition, our results show that predicting several hours upfront is possible with only a small decrease in predictive power. In this setting, it outperforms traditional non-temporal, machine learning models. Conclusion: Our proposed computational model accurately predicts the outcome of blood culture tests using nine clinical parameters. Moreover, it can be used in the ICU as an early warning system to detect patients at risk of blood stream infection.","author":[{"dropping-particle":"","family":"Steenkiste","given":"Tom","non-dropping-particle":"Van","parse-names":false,"suffix":""},{"dropping-particle":"","family":"Ruyssinck","given":"Joeri","non-dropping-particle":"","parse-names":false,"suffix":""},{"dropping-particle":"","family":"Baets","given":"Leen","non-dropping-particle":"De","parse-names":false,"suffix":""},{"dropping-particle":"","family":"Decruyenaere","given":"Johan","non-dropping-particle":"","parse-names":false,"suffix":""},{"dropping-particle":"","family":"Turck","given":"Filip","non-dropping-particle":"De","parse-names":false,"suffix":""},{"dropping-particle":"","family":"Ongenae","given":"Femke","non-dropping-particle":"","parse-names":false,"suffix":""},{"dropping-particle":"","family":"Dhaene","given":"Tom","non-dropping-particle":"","parse-names":false,"suffix":""}],"container-title":"Artificial Intelligence in Medicine","id":"ITEM-1","issue":"April 2017","issued":{"date-parts":[["2019"]]},"page":"38-43","publisher":"Elsevier","title":"Accurate prediction of blood culture outcome in the intensive care unit using long short-term memory neural networks","type":"article-journal","volume":"97"},"uris":["http://www.mendeley.com/documents/?uuid=ed97d02b-a78a-4658-bb63-311e7c55c8a9"]}],"mendeley":{"formattedCitation":"&lt;sup&gt;146&lt;/sup&gt;","plainTextFormattedCitation":"146","previouslyFormattedCitation":"&lt;sup&gt;145&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146</w:t>
            </w:r>
            <w:r w:rsidRPr="00A427B2">
              <w:rPr>
                <w:rFonts w:ascii="Segoe UI" w:eastAsia="Times New Roman" w:hAnsi="Segoe UI" w:cs="Segoe UI"/>
                <w:color w:val="000000"/>
                <w:sz w:val="16"/>
                <w:szCs w:val="16"/>
              </w:rPr>
              <w:fldChar w:fldCharType="end"/>
            </w:r>
          </w:p>
        </w:tc>
        <w:tc>
          <w:tcPr>
            <w:tcW w:w="2122" w:type="dxa"/>
            <w:vAlign w:val="center"/>
          </w:tcPr>
          <w:p w14:paraId="30E9C965"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Artificial Intelligence in Medicine</w:t>
            </w:r>
          </w:p>
        </w:tc>
        <w:tc>
          <w:tcPr>
            <w:tcW w:w="850" w:type="dxa"/>
            <w:vAlign w:val="center"/>
          </w:tcPr>
          <w:p w14:paraId="13DFE6A2"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4.383</w:t>
            </w:r>
          </w:p>
        </w:tc>
        <w:tc>
          <w:tcPr>
            <w:tcW w:w="1276" w:type="dxa"/>
            <w:vAlign w:val="center"/>
          </w:tcPr>
          <w:p w14:paraId="0F9F9E82"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7990A9E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Critical care</w:t>
            </w:r>
          </w:p>
        </w:tc>
        <w:tc>
          <w:tcPr>
            <w:tcW w:w="1541" w:type="dxa"/>
            <w:noWrap/>
            <w:vAlign w:val="center"/>
            <w:hideMark/>
          </w:tcPr>
          <w:p w14:paraId="3DD30A7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6445415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4FE84C5E"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Positive blood culture at 72hr</w:t>
            </w:r>
          </w:p>
        </w:tc>
      </w:tr>
      <w:tr w:rsidR="00A427B2" w:rsidRPr="00A427B2" w14:paraId="2A358C54" w14:textId="77777777" w:rsidTr="001B1FC9">
        <w:trPr>
          <w:trHeight w:val="510"/>
        </w:trPr>
        <w:tc>
          <w:tcPr>
            <w:tcW w:w="1701" w:type="dxa"/>
            <w:noWrap/>
            <w:vAlign w:val="center"/>
            <w:hideMark/>
          </w:tcPr>
          <w:p w14:paraId="681A165E"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N Paliwal</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{"citationItems":[{"id":"ITEM-1","itemData":{"DOI":"10.3171/2018.8.FOCUS18332","ISSN":"10920684","PMID":"30453461","abstract":"OBJECTIVE Flow diverters (FDs) are designed to occlude intracranial aneurysms (IAs) while preserving flow to essential arteries. Incomplete occlusion exposes patients to risks of thromboembolic complications and rupture. A priori assessment of FD treatment outcome could enable treatment optimization leading to better outcomes. To that end, the authors applied image-based computational analysis to clinically FD-treated aneurysms to extract information regarding morphology, pre- and post-treatment hemodynamics, and FD-device characteristics and then used these parameters to train machine learning algorithms to predict 6-month clinical outcomes after FD treatment. METHODS Data were retrospectively collected for 84 FD-treated sidewall aneurysms in 80 patients. Based on 6-month angiographic outcomes, IAs were classified as occluded (n = 63) or residual (incomplete occlusion, n = 21). For each case, the authors modeled FD deployment using a fast virtual stenting algorithm and hemodynamics using image-based computational fluid dynamics. Sixteen morphological, hemodynamic, and FD-based parameters were calculated for each aneurysm. Aneurysms were randomly assigned to a training or testing cohort in approximately a 3:1 ratio. The Student t-test and Mann-Whitney U-test were performed on data from the training cohort to identify significant parameters distinguishing the occluded from residual groups. Predictive models were trained using 4 types of supervised machine learning algorithms: logistic regression (LR), support vector machine (SVM; linear and Gaussian kernels), K-nearest neighbor, and neural network (NN). In the testing cohort, the authors compared outcome prediction by each model trained using all parameters versus only the significant parameters. RESULTS The training cohort (n = 64) consisted of 48 occluded and 16 residual aneurysms and the testing cohort (n = 20) consisted of 15 occluded and 5 residual aneurysms. Significance tests yielded 2 morphological (ostium ratio and neck ratio) and 3 hemodynamic (pre-treatment inflow rate, post-treatment inflow rate, and post-treatment aneurysm averaged velocity) discriminants between the occluded (good-outcome) and the residual (bad-outcome) group. In both training and testing, all the models trained using all 16 parameters performed better than all the models trained using only the 5 significant parameters. Among the all-parameter models, NN (AUC = 0.967) performed the best during training, followed by LR and l…","author":[{"dropping-particle":"","family":"Paliwal","given":"Nikhil","non-dropping-particle":"","parse-names":false,"suffix":""},{"dropping-particle":"","family":"Jaiswal","given":"Prakhar","non-dropping-particle":"","parse-names":false,"suffix":""},{"dropping-particle":"","family":"Tutino","given":"Vincent M.","non-dropping-particle":"","parse-names":false,"suffix":""},{"dropping-particle":"","family":"Shallwani","given":"Hussain","non-dropping-particle":"","parse-names":false,"suffix":""},{"dropping-particle":"","family":"Davies","given":"Jason M.","non-dropping-particle":"","parse-names":false,"suffix":""},{"dropping-particle":"","family":"Siddiqui","given":"Adnan H.","non-dropping-particle":"","parse-names":false,"suffix":""},{"dropping-particle":"","family":"Rai","given":"Rahul","non-dropping-particle":"","parse-names":false,"suffix":""},{"dropping-particle":"","family":"Meng","given":"Hui","non-dropping-particle":"","parse-names":false,"suffix":""}],"container-title":"Neurosurgical Focus","id":"ITEM-1","issue":"5","issued":{"date-parts":[["2018"]]},"page":"1-10","title":"Outcome prediction of intracranial aneurysm treatment by flow diverters using machine learning","type":"article-journal","volume":"45"},"uris":["http://www.mendeley.com/documents/?uuid=2d75fe65-eaef-4a1b-87d1-69e80f50dcc7"]}],"mendeley":{"formattedCitation":"&lt;sup&gt;147&lt;/sup&gt;","plainTextFormattedCitation":"147","previouslyFormattedCitation":"&lt;sup&gt;146&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147</w:t>
            </w:r>
            <w:r w:rsidRPr="00A427B2">
              <w:rPr>
                <w:rFonts w:ascii="Segoe UI" w:eastAsia="Times New Roman" w:hAnsi="Segoe UI" w:cs="Segoe UI"/>
                <w:color w:val="000000"/>
                <w:sz w:val="16"/>
                <w:szCs w:val="16"/>
              </w:rPr>
              <w:fldChar w:fldCharType="end"/>
            </w:r>
            <w:r w:rsidRPr="00A427B2">
              <w:rPr>
                <w:rFonts w:ascii="Segoe UI" w:eastAsia="Times New Roman" w:hAnsi="Segoe UI" w:cs="Segoe UI"/>
                <w:color w:val="000000"/>
                <w:sz w:val="16"/>
                <w:szCs w:val="16"/>
              </w:rPr>
              <w:t xml:space="preserve"> </w:t>
            </w:r>
          </w:p>
        </w:tc>
        <w:tc>
          <w:tcPr>
            <w:tcW w:w="2122" w:type="dxa"/>
            <w:vAlign w:val="center"/>
          </w:tcPr>
          <w:p w14:paraId="4BD910E7"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Neurosurgical Focus</w:t>
            </w:r>
          </w:p>
        </w:tc>
        <w:tc>
          <w:tcPr>
            <w:tcW w:w="850" w:type="dxa"/>
            <w:vAlign w:val="center"/>
          </w:tcPr>
          <w:p w14:paraId="616A5850"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2.891</w:t>
            </w:r>
          </w:p>
        </w:tc>
        <w:tc>
          <w:tcPr>
            <w:tcW w:w="1276" w:type="dxa"/>
            <w:vAlign w:val="center"/>
          </w:tcPr>
          <w:p w14:paraId="47CAF291"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2018</w:t>
            </w:r>
          </w:p>
        </w:tc>
        <w:tc>
          <w:tcPr>
            <w:tcW w:w="1559" w:type="dxa"/>
            <w:noWrap/>
            <w:vAlign w:val="center"/>
            <w:hideMark/>
          </w:tcPr>
          <w:p w14:paraId="4FC88808"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Surgery</w:t>
            </w:r>
          </w:p>
        </w:tc>
        <w:tc>
          <w:tcPr>
            <w:tcW w:w="1541" w:type="dxa"/>
            <w:noWrap/>
            <w:vAlign w:val="center"/>
            <w:hideMark/>
          </w:tcPr>
          <w:p w14:paraId="5B176F33"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Prognosis</w:t>
            </w:r>
          </w:p>
        </w:tc>
        <w:tc>
          <w:tcPr>
            <w:tcW w:w="2481" w:type="dxa"/>
            <w:noWrap/>
            <w:vAlign w:val="center"/>
            <w:hideMark/>
          </w:tcPr>
          <w:p w14:paraId="2D11DEA1"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21969DEF"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Diverters treatment outcome (Occlusion vs. residual)</w:t>
            </w:r>
          </w:p>
        </w:tc>
      </w:tr>
      <w:tr w:rsidR="00A427B2" w:rsidRPr="00A427B2" w14:paraId="750FA918" w14:textId="77777777" w:rsidTr="001B1FC9">
        <w:trPr>
          <w:trHeight w:val="510"/>
        </w:trPr>
        <w:tc>
          <w:tcPr>
            <w:tcW w:w="1701" w:type="dxa"/>
            <w:noWrap/>
            <w:vAlign w:val="center"/>
            <w:hideMark/>
          </w:tcPr>
          <w:p w14:paraId="63553653"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M Bronsert</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{"citationItems":[{"id":"ITEM-1","itemData":{"DOI":"10.1016/j.amjsurg.2019.10.009","ISSN":"18791883","PMID":"31635792","abstract":"Using the American College of Surgeons National Surgical Quality Improvement Program (NSQIP) complication status of patients who underwent an operation at the University of Colorado Hospital, we developed a machine learning algorithm for identifying patients with one or more complications using data from the electronic health record (EHR). The model achieved 88% specificity, 83% sensitivity, 97% negative predictive value, 52% positive predictive value, and an area under the curve of 0.93. The model developed could be used for electronic postoperative complication surveillance to supplement manual chart review.","author":[{"dropping-particle":"","family":"Bronsert","given":"Michael","non-dropping-particle":"","parse-names":false,"suffix":""},{"dropping-particle":"","family":"Singh","given":"Abhinav B.","non-dropping-particle":"","parse-names":false,"suffix":""},{"dropping-particle":"","family":"Henderson","given":"William G.","non-dropping-particle":"","parse-names":false,"suffix":""},{"dropping-particle":"","family":"Hammermeister","given":"Karl","non-dropping-particle":"","parse-names":false,"suffix":""},{"dropping-particle":"","family":"Meguid","given":"Robert A.","non-dropping-particle":"","parse-names":false,"suffix":""},{"dropping-particle":"","family":"Colborn","given":"Kathryn L.","non-dropping-particle":"","parse-names":false,"suffix":""}],"container-title":"American Journal of Surgery","id":"ITEM-1","issue":"1","issued":{"date-parts":[["2020"]]},"page":"114-119","publisher":"Elsevier Ltd","title":"Identification of postoperative complications using electronic health record data and machine learning","type":"article-journal","volume":"220"},"uris":["http://www.mendeley.com/documents/?uuid=b8daa5a7-d5f9-41e8-b820-ba5f65924d0c"]}],"mendeley":{"formattedCitation":"&lt;sup&gt;148&lt;/sup&gt;","plainTextFormattedCitation":"148","previouslyFormattedCitation":"&lt;sup&gt;147&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148</w:t>
            </w:r>
            <w:r w:rsidRPr="00A427B2">
              <w:rPr>
                <w:rFonts w:ascii="Segoe UI" w:eastAsia="Times New Roman" w:hAnsi="Segoe UI" w:cs="Segoe UI"/>
                <w:color w:val="000000"/>
                <w:sz w:val="16"/>
                <w:szCs w:val="16"/>
              </w:rPr>
              <w:fldChar w:fldCharType="end"/>
            </w:r>
          </w:p>
        </w:tc>
        <w:tc>
          <w:tcPr>
            <w:tcW w:w="2122" w:type="dxa"/>
            <w:vAlign w:val="center"/>
          </w:tcPr>
          <w:p w14:paraId="5711F6C0"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American Journal of Surgery</w:t>
            </w:r>
          </w:p>
        </w:tc>
        <w:tc>
          <w:tcPr>
            <w:tcW w:w="850" w:type="dxa"/>
            <w:vAlign w:val="center"/>
          </w:tcPr>
          <w:p w14:paraId="6734137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2.125</w:t>
            </w:r>
          </w:p>
        </w:tc>
        <w:tc>
          <w:tcPr>
            <w:tcW w:w="1276" w:type="dxa"/>
            <w:vAlign w:val="center"/>
          </w:tcPr>
          <w:p w14:paraId="53DBB5C3"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2ED8EB82"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Surgery</w:t>
            </w:r>
          </w:p>
        </w:tc>
        <w:tc>
          <w:tcPr>
            <w:tcW w:w="1541" w:type="dxa"/>
            <w:noWrap/>
            <w:vAlign w:val="center"/>
            <w:hideMark/>
          </w:tcPr>
          <w:p w14:paraId="52CFA2C2"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Diagnosis</w:t>
            </w:r>
          </w:p>
        </w:tc>
        <w:tc>
          <w:tcPr>
            <w:tcW w:w="2481" w:type="dxa"/>
            <w:noWrap/>
            <w:vAlign w:val="center"/>
            <w:hideMark/>
          </w:tcPr>
          <w:p w14:paraId="02A3BFBA"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5EFEEE7A"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Postoperative complications</w:t>
            </w:r>
          </w:p>
        </w:tc>
      </w:tr>
      <w:tr w:rsidR="00A427B2" w:rsidRPr="00A427B2" w14:paraId="5093C00E" w14:textId="77777777" w:rsidTr="001B1FC9">
        <w:trPr>
          <w:trHeight w:val="510"/>
        </w:trPr>
        <w:tc>
          <w:tcPr>
            <w:tcW w:w="1701" w:type="dxa"/>
            <w:noWrap/>
            <w:vAlign w:val="center"/>
            <w:hideMark/>
          </w:tcPr>
          <w:p w14:paraId="74D6E85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A Eill</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{"citationItems":[{"id":"ITEM-1","itemData":{"DOI":"10.1089/brain.2019.0689","ISSN":"21580022","PMID":"31328535","abstract":"Machine learning techniques have been implemented to reveal brain features that distinguish people with autism spectrum disorders (ASDs) from typically developing (TD) peers. However, it remains unknown whether different neuroimaging modalities are equally informative for diagnostic classification. We combined anatomical magnetic resonance imaging (aMRI), diffusion weighted imaging (DWI), and functional connectivity MRI (fcMRI) using conditional random forest (CRF) for supervised learning to compare how informative each modality was in diagnostic classification. In-house data (N = 93) included 47 TD and 46 ASD participants, matched on age, motion, and nonverbal IQ. Four main analyses consistently indicated that fcMRI variables were significantly more informative than anatomical variables from aMRI and DWI. This was found (1) when the top 100 variables from CRF (run separately in each modality) were combined for multimodal CRF; (2) when only 19 top variables reaching &gt;67% accuracy in each modality were combined in multimodal CRF; and (3) when the large number of initial variables (before dimension reduction) potentially biasing comparisons in favor of fcMRI was reduced using a less granular region of interest scheme. Consistent superiority of fcMRI was even found (4) when 100 variables per modality were randomly selected, removing any such potential bias. Greater informative value of functional than anatomical modalities may relate to the nature of fcMRI data, reflecting more closely behavioral condition, which is also the basis of diagnosis, whereas brain anatomy may be more reflective of neurodevelopmental history.","author":[{"dropping-particle":"","family":"Eill","given":"Aina","non-dropping-particle":"","parse-names":false,"suffix":""},{"dropping-particle":"","family":"Jahedi","given":"Afrooz","non-dropping-particle":"","parse-names":false,"suffix":""},{"dropping-particle":"","family":"Gao","given":"Yangfeifei","non-dropping-particle":"","parse-names":false,"suffix":""},{"dropping-particle":"","family":"Kohli","given":"Jiwandeep S.","non-dropping-particle":"","parse-names":false,"suffix":""},{"dropping-particle":"","family":"Fong","given":"Christopher H.","non-dropping-particle":"","parse-names":false,"suffix":""},{"dropping-particle":"","family":"Solders","given":"Seraphina","non-dropping-particle":"","parse-names":false,"suffix":""},{"dropping-particle":"","family":"Carper","given":"Ruth A.","non-dropping-particle":"","parse-names":false,"suffix":""},{"dropping-particle":"","family":"Valafar","given":"Faramarz","non-dropping-particle":"","parse-names":false,"suffix":""},{"dropping-particle":"","family":"Bailey","given":"Barbara A.","non-dropping-particle":"","parse-names":false,"suffix":""},{"dropping-particle":"","family":"Müller","given":"Ralph Axel","non-dropping-particle":"","parse-names":false,"suffix":""}],"container-title":"Brain Connectivity","id":"ITEM-1","issue":"8","issued":{"date-parts":[["2019"]]},"page":"604-612","title":"Functional Connectivities Are More Informative Than Anatomical Variables in Diagnostic Classification of Autism","type":"article-journal","volume":"9"},"uris":["http://www.mendeley.com/documents/?uuid=4cbed659-7ac5-4ce4-af6e-0a0a275a4a54"]}],"mendeley":{"formattedCitation":"&lt;sup&gt;149&lt;/sup&gt;","plainTextFormattedCitation":"149","previouslyFormattedCitation":"&lt;sup&gt;148&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149</w:t>
            </w:r>
            <w:r w:rsidRPr="00A427B2">
              <w:rPr>
                <w:rFonts w:ascii="Segoe UI" w:eastAsia="Times New Roman" w:hAnsi="Segoe UI" w:cs="Segoe UI"/>
                <w:color w:val="000000"/>
                <w:sz w:val="16"/>
                <w:szCs w:val="16"/>
              </w:rPr>
              <w:fldChar w:fldCharType="end"/>
            </w:r>
          </w:p>
        </w:tc>
        <w:tc>
          <w:tcPr>
            <w:tcW w:w="2122" w:type="dxa"/>
            <w:vAlign w:val="center"/>
          </w:tcPr>
          <w:p w14:paraId="739C3DB9"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Brain Connectivity</w:t>
            </w:r>
          </w:p>
        </w:tc>
        <w:tc>
          <w:tcPr>
            <w:tcW w:w="850" w:type="dxa"/>
            <w:vAlign w:val="center"/>
          </w:tcPr>
          <w:p w14:paraId="4BF8E69B"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5.263</w:t>
            </w:r>
          </w:p>
        </w:tc>
        <w:tc>
          <w:tcPr>
            <w:tcW w:w="1276" w:type="dxa"/>
            <w:vAlign w:val="center"/>
          </w:tcPr>
          <w:p w14:paraId="26B3A0A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5426E010"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Neurology</w:t>
            </w:r>
          </w:p>
        </w:tc>
        <w:tc>
          <w:tcPr>
            <w:tcW w:w="1541" w:type="dxa"/>
            <w:noWrap/>
            <w:vAlign w:val="center"/>
            <w:hideMark/>
          </w:tcPr>
          <w:p w14:paraId="726EA4E5"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Diagnosis</w:t>
            </w:r>
          </w:p>
        </w:tc>
        <w:tc>
          <w:tcPr>
            <w:tcW w:w="2481" w:type="dxa"/>
            <w:noWrap/>
            <w:vAlign w:val="center"/>
            <w:hideMark/>
          </w:tcPr>
          <w:p w14:paraId="19B8D24A"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6268265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 xml:space="preserve">Autism spectrum disorders </w:t>
            </w:r>
          </w:p>
        </w:tc>
      </w:tr>
      <w:tr w:rsidR="00A427B2" w:rsidRPr="00A427B2" w14:paraId="22B6BA40" w14:textId="77777777" w:rsidTr="001B1FC9">
        <w:trPr>
          <w:trHeight w:val="510"/>
        </w:trPr>
        <w:tc>
          <w:tcPr>
            <w:tcW w:w="1701" w:type="dxa"/>
            <w:noWrap/>
            <w:vAlign w:val="center"/>
            <w:hideMark/>
          </w:tcPr>
          <w:p w14:paraId="4F3BBADE"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F Cook</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{"citationItems":[{"id":"ITEM-1","itemData":{"DOI":"10.1016/j.bja.2018.09.021","ISSN":"14716771","PMID":"30686310","abstract":"Background: Some patients have features that indicate possible difficulty with direct laryngoscopy for tracheal intubation. Prediction of the likely outcome and selection of patients for an enhanced management algorithm would reduce the possible harm from failed intubation attempts. Methods: Adult elective patients were assessed for seven features associated with difficult direct laryngoscopy, ranked in difficulty from 0 to 3. For a patient with at least one Class 3 feature, or two or more features of class 1 or higher, the enhanced management used a channelled videolaryngoscope Airtraq™ instead of a Macintosh laryngoscope. A long flexible angulated stylet and a flexible fibrescope would be used as the second and third steps. For patients with lesser difficulty scores, a Macintosh laryngoscope was used. Outcomes of enhanced management were analysed. Logistic regression and Random Forest algorithm, using the ranks of the predictive features, were used to predict difficulty during enhanced management. Results: We prospectively studied 16 695 patients. We selected 1501 (9%) for enhanced management, and tracheal intubation was successful in all of them. Of these, 73% were intubated in less than 30 s, and only 4.5% required more than 4 min for intubation. Progression to the second and third steps of enhanced management was predicted by restriction of mouth opening and reduced cervical spine mobility. Conclusions: An enhanced management algorithm allowed successful tracheal intubation of all patients with anticipated difficult laryngoscopy. The need to combine the use of a stylet and a fibrescope with the Airtraq™ could be predicted with a high degree of certainty.","author":[{"dropping-particle":"","family":"Cook","given":"F.","non-dropping-particle":"","parse-names":false,"suffix":""},{"dropping-particle":"","family":"Lobo","given":"D.","non-dropping-particle":"","parse-names":false,"suffix":""},{"dropping-particle":"","family":"Martin","given":"M.","non-dropping-particle":"","parse-names":false,"suffix":""},{"dropping-particle":"","family":"Imbert","given":"N.","non-dropping-particle":"","parse-names":false,"suffix":""},{"dropping-particle":"","family":"Grati","given":"H.","non-dropping-particle":"","parse-names":false,"suffix":""},{"dropping-particle":"","family":"Daami","given":"N.","non-dropping-particle":"","parse-names":false,"suffix":""},{"dropping-particle":"","family":"Cherait","given":"C.","non-dropping-particle":"","parse-names":false,"suffix":""},{"dropping-particle":"","family":"Saïdi","given":"N. E.","non-dropping-particle":"","parse-names":false,"suffix":""},{"dropping-particle":"","family":"Abbay","given":"K.","non-dropping-particle":"","parse-names":false,"suffix":""},{"dropping-particle":"","family":"Jaubert","given":"J.","non-dropping-particle":"","parse-names":false,"suffix":""},{"dropping-particle":"","family":"Younsi","given":"K.","non-dropping-particle":"","parse-names":false,"suffix":""},{"dropping-particle":"","family":"Bensaid","given":"S.","non-dropping-particle":"","parse-names":false,"suffix":""},{"dropping-particle":"","family":"Ait-Mamar","given":"B.","non-dropping-particle":"","parse-names":false,"suffix":""},{"dropping-particle":"","family":"Slavov","given":"V.","non-dropping-particle":"","parse-names":false,"suffix":""},{"dropping-particle":"","family":"Mounier","given":"R.","non-dropping-particle":"","parse-names":false,"suffix":""},{"dropping-particle":"","family":"Goater","given":"P.","non-dropping-particle":"","parse-names":false,"suffix":""},{"dropping-particle":"","family":"Bloc","given":"S.","non-dropping-particle":"","parse-names":false,"suffix":""},{"dropping-particle":"","family":"Catineau","given":"J.","non-dropping-particle":"","parse-names":false,"suffix":""},{"dropping-particle":"","family":"Abdelhafidh","given":"K.","non-dropping-particle":"","parse-names":false,"suffix":""},{"dropping-particle":"","family":"Haouache","given":"H.","non-dropping-particle":"","parse-names":false,"suffix":""},{"dropping-particle":"","family":"Dhonneur","given":"G.","non-dropping-particle":"","parse-names":false,"suffix":""}],"container-title":"British Journal of Anaesthesia","id":"ITEM-1","issue":"2","issued":{"date-parts":[["2019"]]},"page":"245-254","title":"Prospective validation of a new airway management algorithm and predictive features of intubation difficulty","type":"article-journal","volume":"122"},"uris":["http://www.mendeley.com/documents/?uuid=b231b53e-3008-4746-a5e5-3ce886c19a78"]}],"mendeley":{"formattedCitation":"&lt;sup&gt;150&lt;/sup&gt;","plainTextFormattedCitation":"150","previouslyFormattedCitation":"&lt;sup&gt;149&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150</w:t>
            </w:r>
            <w:r w:rsidRPr="00A427B2">
              <w:rPr>
                <w:rFonts w:ascii="Segoe UI" w:eastAsia="Times New Roman" w:hAnsi="Segoe UI" w:cs="Segoe UI"/>
                <w:color w:val="000000"/>
                <w:sz w:val="16"/>
                <w:szCs w:val="16"/>
              </w:rPr>
              <w:fldChar w:fldCharType="end"/>
            </w:r>
          </w:p>
        </w:tc>
        <w:tc>
          <w:tcPr>
            <w:tcW w:w="2122" w:type="dxa"/>
            <w:vAlign w:val="center"/>
          </w:tcPr>
          <w:p w14:paraId="417CB210"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British Journal of Anaesthesia</w:t>
            </w:r>
          </w:p>
        </w:tc>
        <w:tc>
          <w:tcPr>
            <w:tcW w:w="850" w:type="dxa"/>
            <w:vAlign w:val="center"/>
          </w:tcPr>
          <w:p w14:paraId="67C7DA5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6.880</w:t>
            </w:r>
          </w:p>
        </w:tc>
        <w:tc>
          <w:tcPr>
            <w:tcW w:w="1276" w:type="dxa"/>
            <w:vAlign w:val="center"/>
          </w:tcPr>
          <w:p w14:paraId="791117B8"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1FC7EA4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Surgery</w:t>
            </w:r>
          </w:p>
        </w:tc>
        <w:tc>
          <w:tcPr>
            <w:tcW w:w="1541" w:type="dxa"/>
            <w:noWrap/>
            <w:vAlign w:val="center"/>
            <w:hideMark/>
          </w:tcPr>
          <w:p w14:paraId="53745A92"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Diagnosis</w:t>
            </w:r>
          </w:p>
        </w:tc>
        <w:tc>
          <w:tcPr>
            <w:tcW w:w="2481" w:type="dxa"/>
            <w:noWrap/>
            <w:vAlign w:val="center"/>
            <w:hideMark/>
          </w:tcPr>
          <w:p w14:paraId="31C381A2"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34510197"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 xml:space="preserve">Intubation difficulty </w:t>
            </w:r>
          </w:p>
        </w:tc>
      </w:tr>
      <w:tr w:rsidR="00A427B2" w:rsidRPr="00A427B2" w14:paraId="3AFEF246" w14:textId="77777777" w:rsidTr="001B1FC9">
        <w:trPr>
          <w:trHeight w:val="510"/>
        </w:trPr>
        <w:tc>
          <w:tcPr>
            <w:tcW w:w="1701" w:type="dxa"/>
            <w:noWrap/>
            <w:vAlign w:val="center"/>
            <w:hideMark/>
          </w:tcPr>
          <w:p w14:paraId="5713EC29"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B Eggleston</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{"citationItems":[{"id":"ITEM-1","itemData":{"DOI":"10.1080/02699052.2019.1655793","ISSN":"1362301X","PMID":"31476880","abstract":"Background: Research has shown that number of and blast-related Traumatic Brain Injuries (TBI) are associated with higher levels of service-connected disability (SCD) among US veterans. This study builds and tests a prediction model of SCD based on combat and training exposures experienced during active military service. Methods: Based on 492 US service member and veteran data collected at four Department of Veterans Affairs (VA) sites, traditional and Machine Learning algorithms were used to identify a best set of predictors and model type for predicting %SCD ≥50, the cut-point that allows for veteran access to 0% co-pay for VA health-care services. Results: The final model of predicting %SCD ≥50 in veterans revealed that the best blast/injury exposure-related predictors while deployed or non-deployed were: 1) number of controlled detonations experienced, 2) total number of blast exposures (including controlled and uncontrolled), and 3) the total number of uncontrolled blast and impact exposures. Conclusions and Relevance: We found that the highest blast/injury exposure predictor of %SCD ≥50 was number of controlled detonations, followed by total blasts, controlled or uncontrolled, and occurring in deployment or non-deployment settings. Further research confirming repetitive controlled blast exposure as a mechanism of chronic brain insult should be considered.","author":[{"dropping-particle":"","family":"Eggleston","given":"B.","non-dropping-particle":"","parse-names":false,"suffix":""},{"dropping-particle":"","family":"Dismuke-Greer","given":"C. E.","non-dropping-particle":"","parse-names":false,"suffix":""},{"dropping-particle":"","family":"Pogoda","given":"T. K.","non-dropping-particle":"","parse-names":false,"suffix":""},{"dropping-particle":"","family":"Denning","given":"J. H.","non-dropping-particle":"","parse-names":false,"suffix":""},{"dropping-particle":"","family":"Eapen","given":"B. C.","non-dropping-particle":"","parse-names":false,"suffix":""},{"dropping-particle":"","family":"Carlson","given":"K. F.","non-dropping-particle":"","parse-names":false,"suffix":""},{"dropping-particle":"","family":"Bhatnagar","given":"S.","non-dropping-particle":"","parse-names":false,"suffix":""},{"dropping-particle":"","family":"Nakase-Richardson","given":"R.","non-dropping-particle":"","parse-names":false,"suffix":""},{"dropping-particle":"","family":"Troyanskaya","given":"M.","non-dropping-particle":"","parse-names":false,"suffix":""},{"dropping-particle":"","family":"Nolen","given":"T.","non-dropping-particle":"","parse-names":false,"suffix":""},{"dropping-particle":"","family":"Walker","given":"W. C.","non-dropping-particle":"","parse-names":false,"suffix":""}],"container-title":"Brain Injury","id":"ITEM-1","issue":"13-14","issued":{"date-parts":[["2019"]]},"page":"1602-1614","publisher":"Taylor &amp; Francis","title":"A prediction model of military combat and training exposures on VA service-connected disability: a CENC study","type":"article-journal","volume":"33"},"uris":["http://www.mendeley.com/documents/?uuid=d0c6f296-2fcf-4ef5-a8c0-4d96606887d7"]}],"mendeley":{"formattedCitation":"&lt;sup&gt;151&lt;/sup&gt;","plainTextFormattedCitation":"151","previouslyFormattedCitation":"&lt;sup&gt;150&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151</w:t>
            </w:r>
            <w:r w:rsidRPr="00A427B2">
              <w:rPr>
                <w:rFonts w:ascii="Segoe UI" w:eastAsia="Times New Roman" w:hAnsi="Segoe UI" w:cs="Segoe UI"/>
                <w:color w:val="000000"/>
                <w:sz w:val="16"/>
                <w:szCs w:val="16"/>
              </w:rPr>
              <w:fldChar w:fldCharType="end"/>
            </w:r>
          </w:p>
        </w:tc>
        <w:tc>
          <w:tcPr>
            <w:tcW w:w="2122" w:type="dxa"/>
            <w:vAlign w:val="center"/>
          </w:tcPr>
          <w:p w14:paraId="3257C29A"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Brain Injury</w:t>
            </w:r>
          </w:p>
        </w:tc>
        <w:tc>
          <w:tcPr>
            <w:tcW w:w="850" w:type="dxa"/>
            <w:vAlign w:val="center"/>
          </w:tcPr>
          <w:p w14:paraId="6BD16263"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1.690</w:t>
            </w:r>
          </w:p>
        </w:tc>
        <w:tc>
          <w:tcPr>
            <w:tcW w:w="1276" w:type="dxa"/>
            <w:vAlign w:val="center"/>
          </w:tcPr>
          <w:p w14:paraId="5AB86500"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noWrap/>
            <w:vAlign w:val="center"/>
            <w:hideMark/>
          </w:tcPr>
          <w:p w14:paraId="6F07A6B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Healthcare services</w:t>
            </w:r>
          </w:p>
        </w:tc>
        <w:tc>
          <w:tcPr>
            <w:tcW w:w="1541" w:type="dxa"/>
            <w:noWrap/>
            <w:vAlign w:val="center"/>
            <w:hideMark/>
          </w:tcPr>
          <w:p w14:paraId="13937BAC"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Diagnosis</w:t>
            </w:r>
          </w:p>
        </w:tc>
        <w:tc>
          <w:tcPr>
            <w:tcW w:w="2481" w:type="dxa"/>
            <w:noWrap/>
            <w:vAlign w:val="center"/>
            <w:hideMark/>
          </w:tcPr>
          <w:p w14:paraId="1BFC2A29"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noWrap/>
            <w:vAlign w:val="center"/>
            <w:hideMark/>
          </w:tcPr>
          <w:p w14:paraId="33EA34F9"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Service-connected disability (SCD) ≥50 among a cohort of veterans with previous combat deployment</w:t>
            </w:r>
          </w:p>
        </w:tc>
      </w:tr>
      <w:tr w:rsidR="00A427B2" w:rsidRPr="00A427B2" w14:paraId="426D6D97" w14:textId="77777777" w:rsidTr="001B1FC9">
        <w:trPr>
          <w:trHeight w:val="510"/>
        </w:trPr>
        <w:tc>
          <w:tcPr>
            <w:tcW w:w="1701" w:type="dxa"/>
            <w:tcBorders>
              <w:bottom w:val="single" w:sz="8" w:space="0" w:color="auto"/>
            </w:tcBorders>
            <w:noWrap/>
            <w:vAlign w:val="center"/>
            <w:hideMark/>
          </w:tcPr>
          <w:p w14:paraId="61A13BA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YR Villarreal</w:t>
            </w:r>
            <w:r w:rsidRPr="00A427B2">
              <w:rPr>
                <w:rFonts w:ascii="Segoe UI" w:eastAsia="Times New Roman" w:hAnsi="Segoe UI" w:cs="Segoe UI"/>
                <w:color w:val="000000"/>
                <w:sz w:val="16"/>
                <w:szCs w:val="16"/>
              </w:rPr>
              <w:fldChar w:fldCharType="begin" w:fldLock="1"/>
            </w:r>
            <w:r w:rsidRPr="00A427B2">
              <w:rPr>
                <w:rFonts w:ascii="Segoe UI" w:eastAsia="Times New Roman" w:hAnsi="Segoe UI" w:cs="Segoe UI"/>
                <w:color w:val="000000"/>
                <w:sz w:val="16"/>
                <w:szCs w:val="16"/>
              </w:rPr>
              <w:instrText>ADDIN CSL_CITATION {"citationItems":[{"id":"ITEM-1","itemData":{"DOI":"10.1080/19371918.2019.1635948","ISSN":"1937190X","PMID":"31370744","abstract":"Hepatitis C virus (HCV) in the U.S. has tripled in the prior five years, and injecting drug use is the primary risk for HCV, with up to 90% of older and former people who inject drugs (PWIDs) testing positive. Laboratory testing of HCV for any PWIDs is the gold standard, however many PWIDs lack access to health treatment or services. Identifying risks of HCV via a data science approach would aid community health workers (CHW) to rapidly link those most at risk of infection with treatment. This study employed a data-science approach to determine the strongest risk factors of HCV in a sample of Mexican-Americans WIDs n = 221 (96 negative/125 positive). Data included 238 demographic and psychosocial predictors. A Random Forest machine learning algorithm demonstrated significant prediction improvement over baseline no information rate comparison. Strongest risks for positive HCV included sharing drug-use equipment and younger age at first heroin use; receiving drug-education during incarceration was protective. A ROC curve fit to the prediction yielded an area under the curve of 0.77. Predictive variables of HCV in the present analysis can be obtained via screening by CHW. Identification of patients most at risk of HCV within community settings can maximize treatment utilization.","author":[{"dropping-particle":"","family":"Villarreal","given":"Yolanda R.","non-dropping-particle":"","parse-names":false,"suffix":""},{"dropping-particle":"","family":"Suchting","given":"Robert","non-dropping-particle":"","parse-names":false,"suffix":""},{"dropping-particle":"","family":"Klawans","given":"Michelle R.","non-dropping-particle":"","parse-names":false,"suffix":""},{"dropping-particle":"","family":"Lane","given":"Scott D.","non-dropping-particle":"","parse-names":false,"suffix":""},{"dropping-particle":"","family":"Green","given":"Charles E.","non-dropping-particle":"","parse-names":false,"suffix":""},{"dropping-particle":"","family":"Northrup","given":"Thomas F.","non-dropping-particle":"","parse-names":false,"suffix":""},{"dropping-particle":"","family":"Stotts","given":"Angela L.","non-dropping-particle":"","parse-names":false,"suffix":""}],"container-title":"Social Work in Public Health","id":"ITEM-1","issue":"7","issued":{"date-parts":[["2019"]]},"page":"606-615","publisher":"Routledge","title":"Predicting HCV Incidence in Latinos with High-Risk Substance Use: A Data Science Approach","type":"article-journal","volume":"34"},"uris":["http://www.mendeley.com/documents/?uuid=5d8d0b61-b6cf-43b5-9f88-0b80cb7cf031"]}],"mendeley":{"formattedCitation":"&lt;sup&gt;152&lt;/sup&gt;","plainTextFormattedCitation":"152","previouslyFormattedCitation":"&lt;sup&gt;151&lt;/sup&gt;"},"properties":{"noteIndex":0},"schema":"https://github.com/citation-style-language/schema/raw/master/csl-citation.json"}</w:instrText>
            </w:r>
            <w:r w:rsidRPr="00A427B2">
              <w:rPr>
                <w:rFonts w:ascii="Segoe UI" w:eastAsia="Times New Roman" w:hAnsi="Segoe UI" w:cs="Segoe UI"/>
                <w:color w:val="000000"/>
                <w:sz w:val="16"/>
                <w:szCs w:val="16"/>
              </w:rPr>
              <w:fldChar w:fldCharType="separate"/>
            </w:r>
            <w:r w:rsidRPr="00A427B2">
              <w:rPr>
                <w:rFonts w:ascii="Segoe UI" w:eastAsia="Times New Roman" w:hAnsi="Segoe UI" w:cs="Segoe UI"/>
                <w:noProof/>
                <w:color w:val="000000"/>
                <w:sz w:val="16"/>
                <w:szCs w:val="16"/>
                <w:vertAlign w:val="superscript"/>
              </w:rPr>
              <w:t>152</w:t>
            </w:r>
            <w:r w:rsidRPr="00A427B2">
              <w:rPr>
                <w:rFonts w:ascii="Segoe UI" w:eastAsia="Times New Roman" w:hAnsi="Segoe UI" w:cs="Segoe UI"/>
                <w:color w:val="000000"/>
                <w:sz w:val="16"/>
                <w:szCs w:val="16"/>
              </w:rPr>
              <w:fldChar w:fldCharType="end"/>
            </w:r>
          </w:p>
        </w:tc>
        <w:tc>
          <w:tcPr>
            <w:tcW w:w="2122" w:type="dxa"/>
            <w:tcBorders>
              <w:bottom w:val="single" w:sz="8" w:space="0" w:color="auto"/>
            </w:tcBorders>
            <w:vAlign w:val="center"/>
          </w:tcPr>
          <w:p w14:paraId="017A2F71" w14:textId="77777777" w:rsidR="00A427B2" w:rsidRPr="00A427B2" w:rsidRDefault="00A427B2" w:rsidP="001B1FC9">
            <w:pPr>
              <w:rPr>
                <w:rFonts w:ascii="Segoe UI" w:eastAsia="Times New Roman" w:hAnsi="Segoe UI" w:cs="Segoe UI"/>
                <w:color w:val="000000"/>
                <w:sz w:val="16"/>
                <w:szCs w:val="16"/>
              </w:rPr>
            </w:pPr>
            <w:r w:rsidRPr="00A427B2">
              <w:rPr>
                <w:rFonts w:ascii="Segoe UI" w:hAnsi="Segoe UI" w:cs="Segoe UI"/>
                <w:color w:val="000000"/>
                <w:sz w:val="16"/>
                <w:szCs w:val="16"/>
              </w:rPr>
              <w:t>Social Work in Public Health</w:t>
            </w:r>
          </w:p>
        </w:tc>
        <w:tc>
          <w:tcPr>
            <w:tcW w:w="850" w:type="dxa"/>
            <w:tcBorders>
              <w:bottom w:val="single" w:sz="8" w:space="0" w:color="auto"/>
            </w:tcBorders>
            <w:vAlign w:val="center"/>
          </w:tcPr>
          <w:p w14:paraId="477AB740"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0.607</w:t>
            </w:r>
          </w:p>
        </w:tc>
        <w:tc>
          <w:tcPr>
            <w:tcW w:w="1276" w:type="dxa"/>
            <w:tcBorders>
              <w:bottom w:val="single" w:sz="8" w:space="0" w:color="auto"/>
            </w:tcBorders>
            <w:vAlign w:val="center"/>
          </w:tcPr>
          <w:p w14:paraId="49D4EABE"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2019</w:t>
            </w:r>
          </w:p>
        </w:tc>
        <w:tc>
          <w:tcPr>
            <w:tcW w:w="1559" w:type="dxa"/>
            <w:tcBorders>
              <w:bottom w:val="single" w:sz="8" w:space="0" w:color="auto"/>
            </w:tcBorders>
            <w:noWrap/>
            <w:vAlign w:val="center"/>
            <w:hideMark/>
          </w:tcPr>
          <w:p w14:paraId="083E4DD3"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Primary care</w:t>
            </w:r>
          </w:p>
        </w:tc>
        <w:tc>
          <w:tcPr>
            <w:tcW w:w="1541" w:type="dxa"/>
            <w:tcBorders>
              <w:bottom w:val="single" w:sz="8" w:space="0" w:color="auto"/>
            </w:tcBorders>
            <w:noWrap/>
            <w:vAlign w:val="center"/>
            <w:hideMark/>
          </w:tcPr>
          <w:p w14:paraId="593C401D"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Diagnosis</w:t>
            </w:r>
          </w:p>
        </w:tc>
        <w:tc>
          <w:tcPr>
            <w:tcW w:w="2481" w:type="dxa"/>
            <w:tcBorders>
              <w:bottom w:val="single" w:sz="8" w:space="0" w:color="auto"/>
            </w:tcBorders>
            <w:noWrap/>
            <w:vAlign w:val="center"/>
            <w:hideMark/>
          </w:tcPr>
          <w:p w14:paraId="777475AB"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Development only (including internal validation)</w:t>
            </w:r>
          </w:p>
        </w:tc>
        <w:tc>
          <w:tcPr>
            <w:tcW w:w="2860" w:type="dxa"/>
            <w:tcBorders>
              <w:bottom w:val="single" w:sz="8" w:space="0" w:color="auto"/>
            </w:tcBorders>
            <w:noWrap/>
            <w:vAlign w:val="center"/>
            <w:hideMark/>
          </w:tcPr>
          <w:p w14:paraId="49D318DB"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rPr>
              <w:t>Hepatitis C Virus Incidence</w:t>
            </w:r>
          </w:p>
        </w:tc>
      </w:tr>
      <w:tr w:rsidR="00A427B2" w:rsidRPr="00A427B2" w14:paraId="13D5C91A" w14:textId="77777777" w:rsidTr="001B1FC9">
        <w:trPr>
          <w:trHeight w:val="510"/>
        </w:trPr>
        <w:tc>
          <w:tcPr>
            <w:tcW w:w="14390" w:type="dxa"/>
            <w:gridSpan w:val="8"/>
            <w:tcBorders>
              <w:top w:val="single" w:sz="8" w:space="0" w:color="auto"/>
              <w:left w:val="nil"/>
              <w:bottom w:val="nil"/>
              <w:right w:val="nil"/>
            </w:tcBorders>
            <w:noWrap/>
            <w:vAlign w:val="center"/>
          </w:tcPr>
          <w:p w14:paraId="7B120023"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vertAlign w:val="superscript"/>
              </w:rPr>
              <w:t>a</w:t>
            </w:r>
            <w:r w:rsidRPr="00A427B2">
              <w:rPr>
                <w:rFonts w:ascii="Segoe UI" w:eastAsia="Times New Roman" w:hAnsi="Segoe UI" w:cs="Segoe UI"/>
                <w:color w:val="000000"/>
                <w:sz w:val="16"/>
                <w:szCs w:val="16"/>
              </w:rPr>
              <w:t xml:space="preserve"> Value is based on the Journal Citation Report from the year of publication of the article.</w:t>
            </w:r>
          </w:p>
          <w:p w14:paraId="7C9C2716"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vertAlign w:val="superscript"/>
              </w:rPr>
              <w:t>b</w:t>
            </w:r>
            <w:r w:rsidRPr="00A427B2">
              <w:rPr>
                <w:rFonts w:ascii="Segoe UI" w:eastAsia="Times New Roman" w:hAnsi="Segoe UI" w:cs="Segoe UI"/>
                <w:color w:val="000000"/>
                <w:sz w:val="16"/>
                <w:szCs w:val="16"/>
              </w:rPr>
              <w:t xml:space="preserve"> Value is based on the Scientific Journal Ranking from the year of publication of the article. </w:t>
            </w:r>
          </w:p>
          <w:p w14:paraId="0D94783F" w14:textId="77777777" w:rsidR="00A427B2" w:rsidRPr="00A427B2" w:rsidRDefault="00A427B2" w:rsidP="001B1FC9">
            <w:pPr>
              <w:rPr>
                <w:rFonts w:ascii="Segoe UI" w:eastAsia="Times New Roman" w:hAnsi="Segoe UI" w:cs="Segoe UI"/>
                <w:color w:val="000000"/>
                <w:sz w:val="16"/>
                <w:szCs w:val="16"/>
              </w:rPr>
            </w:pPr>
            <w:r w:rsidRPr="00A427B2">
              <w:rPr>
                <w:rFonts w:ascii="Segoe UI" w:eastAsia="Times New Roman" w:hAnsi="Segoe UI" w:cs="Segoe UI"/>
                <w:color w:val="000000"/>
                <w:sz w:val="16"/>
                <w:szCs w:val="16"/>
                <w:vertAlign w:val="superscript"/>
              </w:rPr>
              <w:t xml:space="preserve">c  </w:t>
            </w:r>
            <w:r w:rsidRPr="00A427B2">
              <w:rPr>
                <w:rFonts w:ascii="Segoe UI" w:eastAsia="Times New Roman" w:hAnsi="Segoe UI" w:cs="Segoe UI"/>
                <w:color w:val="000000"/>
                <w:sz w:val="16"/>
                <w:szCs w:val="16"/>
              </w:rPr>
              <w:t xml:space="preserve">Value is unavailable. </w:t>
            </w:r>
          </w:p>
        </w:tc>
      </w:tr>
    </w:tbl>
    <w:p w14:paraId="5E3813FE" w14:textId="43D932F0" w:rsidR="00A427B2" w:rsidRDefault="00A427B2"/>
    <w:p w14:paraId="7E83E8F7" w14:textId="1FDDD76D" w:rsidR="00A427B2" w:rsidRDefault="00A427B2"/>
    <w:p w14:paraId="1C9E33A9" w14:textId="1762A06D" w:rsidR="00A427B2" w:rsidRDefault="00A427B2"/>
    <w:p w14:paraId="3DB13A15" w14:textId="773ED71D" w:rsidR="00A427B2" w:rsidRDefault="00A427B2"/>
    <w:p w14:paraId="40CF6EDE" w14:textId="443EC9BB" w:rsidR="00A427B2" w:rsidRDefault="00A427B2"/>
    <w:p w14:paraId="37CDE18D" w14:textId="52F25420" w:rsidR="00A427B2" w:rsidRDefault="00A427B2"/>
    <w:p w14:paraId="35922365" w14:textId="50BA3BDA" w:rsidR="00A427B2" w:rsidRDefault="00A427B2"/>
    <w:p w14:paraId="1396F011" w14:textId="0017FD29" w:rsidR="00A427B2" w:rsidRDefault="00A427B2"/>
    <w:p w14:paraId="3357C3FE" w14:textId="3970629E" w:rsidR="00A427B2" w:rsidRDefault="00A427B2"/>
    <w:p w14:paraId="27841C4B" w14:textId="3FAA84D6" w:rsidR="00A427B2" w:rsidRDefault="00A427B2"/>
    <w:p w14:paraId="0BB6D58B" w14:textId="6E18C055" w:rsidR="00A427B2" w:rsidRDefault="00A427B2"/>
    <w:p w14:paraId="46977357" w14:textId="324661AC" w:rsidR="00A427B2" w:rsidRDefault="00A427B2"/>
    <w:p w14:paraId="52157E69" w14:textId="77777777" w:rsidR="00AD67A3" w:rsidRDefault="00AD67A3">
      <w:pPr>
        <w:rPr>
          <w:rFonts w:ascii="Segoe UI" w:hAnsi="Segoe UI" w:cs="Segoe UI"/>
          <w:b/>
          <w:sz w:val="20"/>
          <w:szCs w:val="20"/>
        </w:rPr>
        <w:sectPr w:rsidR="00AD67A3" w:rsidSect="00F35DF8">
          <w:type w:val="continuous"/>
          <w:pgSz w:w="15840" w:h="12240" w:orient="landscape"/>
          <w:pgMar w:top="720" w:right="720" w:bottom="720" w:left="720" w:header="720" w:footer="720" w:gutter="0"/>
          <w:cols w:space="720"/>
          <w:docGrid w:linePitch="360"/>
        </w:sectPr>
      </w:pPr>
    </w:p>
    <w:p w14:paraId="511DCEC9" w14:textId="3A93C5BC" w:rsidR="00A427B2" w:rsidRDefault="00A427B2">
      <w:pPr>
        <w:rPr>
          <w:rFonts w:ascii="Segoe UI" w:hAnsi="Segoe UI" w:cs="Segoe UI"/>
          <w:b/>
          <w:sz w:val="20"/>
          <w:szCs w:val="20"/>
        </w:rPr>
      </w:pPr>
      <w:r w:rsidRPr="00A427B2">
        <w:rPr>
          <w:rFonts w:ascii="Segoe UI" w:hAnsi="Segoe UI" w:cs="Segoe UI"/>
          <w:b/>
          <w:sz w:val="20"/>
          <w:szCs w:val="20"/>
        </w:rPr>
        <w:lastRenderedPageBreak/>
        <w:t>References</w:t>
      </w:r>
    </w:p>
    <w:p w14:paraId="5AC3D851" w14:textId="0577000F" w:rsidR="00A427B2" w:rsidRDefault="00A427B2" w:rsidP="00A427B2">
      <w:pPr>
        <w:widowControl w:val="0"/>
        <w:autoSpaceDE w:val="0"/>
        <w:autoSpaceDN w:val="0"/>
        <w:adjustRightInd w:val="0"/>
        <w:spacing w:line="240" w:lineRule="auto"/>
        <w:ind w:left="640" w:hanging="640"/>
        <w:rPr>
          <w:rFonts w:ascii="Arial" w:hAnsi="Arial" w:cs="Arial"/>
          <w:noProof/>
          <w:sz w:val="20"/>
          <w:szCs w:val="24"/>
        </w:rPr>
        <w:sectPr w:rsidR="00A427B2" w:rsidSect="00AD67A3">
          <w:type w:val="continuous"/>
          <w:pgSz w:w="15840" w:h="12240" w:orient="landscape"/>
          <w:pgMar w:top="720" w:right="720" w:bottom="720" w:left="720" w:header="720" w:footer="720" w:gutter="0"/>
          <w:cols w:num="2" w:space="720"/>
          <w:docGrid w:linePitch="360"/>
        </w:sectPr>
      </w:pPr>
    </w:p>
    <w:p w14:paraId="7C46D88B" w14:textId="57623F5F" w:rsidR="00A427B2" w:rsidRPr="00A427B2" w:rsidRDefault="00A427B2" w:rsidP="00A427B2">
      <w:pPr>
        <w:widowControl w:val="0"/>
        <w:autoSpaceDE w:val="0"/>
        <w:autoSpaceDN w:val="0"/>
        <w:adjustRightInd w:val="0"/>
        <w:spacing w:line="240" w:lineRule="auto"/>
        <w:ind w:left="640" w:hanging="640"/>
        <w:rPr>
          <w:rFonts w:ascii="Arial" w:hAnsi="Arial" w:cs="Arial"/>
          <w:noProof/>
          <w:sz w:val="20"/>
          <w:szCs w:val="24"/>
          <w:lang w:val="nl-NL"/>
        </w:rPr>
      </w:pPr>
      <w:r>
        <w:rPr>
          <w:rFonts w:ascii="Arial" w:hAnsi="Arial" w:cs="Arial"/>
          <w:noProof/>
          <w:sz w:val="20"/>
          <w:szCs w:val="24"/>
        </w:rPr>
        <w:t>1.</w:t>
      </w:r>
      <w:r>
        <w:rPr>
          <w:rFonts w:ascii="Arial" w:hAnsi="Arial" w:cs="Arial"/>
          <w:noProof/>
          <w:sz w:val="20"/>
          <w:szCs w:val="24"/>
        </w:rPr>
        <w:tab/>
      </w:r>
      <w:r w:rsidRPr="00757A85">
        <w:rPr>
          <w:rFonts w:ascii="Arial" w:hAnsi="Arial" w:cs="Arial"/>
          <w:noProof/>
          <w:sz w:val="20"/>
          <w:szCs w:val="24"/>
        </w:rPr>
        <w:t xml:space="preserve">Jiang X, Wells A, Brufsky A, Neapolitan R. A clinical decision support system learned from data to personalize treatment recommendations towards preventing breast cancer metastasis. </w:t>
      </w:r>
      <w:r w:rsidRPr="00A427B2">
        <w:rPr>
          <w:rFonts w:ascii="Arial" w:hAnsi="Arial" w:cs="Arial"/>
          <w:i/>
          <w:iCs/>
          <w:noProof/>
          <w:sz w:val="20"/>
          <w:szCs w:val="24"/>
          <w:lang w:val="nl-NL"/>
        </w:rPr>
        <w:t>PLoS One</w:t>
      </w:r>
      <w:r w:rsidRPr="00A427B2">
        <w:rPr>
          <w:rFonts w:ascii="Arial" w:hAnsi="Arial" w:cs="Arial"/>
          <w:noProof/>
          <w:sz w:val="20"/>
          <w:szCs w:val="24"/>
          <w:lang w:val="nl-NL"/>
        </w:rPr>
        <w:t>. 2019;14(3):1-18. doi:10.1371/journal.pone.0213292</w:t>
      </w:r>
    </w:p>
    <w:p w14:paraId="44EE5311"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A427B2">
        <w:rPr>
          <w:rFonts w:ascii="Arial" w:hAnsi="Arial" w:cs="Arial"/>
          <w:noProof/>
          <w:sz w:val="20"/>
          <w:szCs w:val="24"/>
          <w:lang w:val="nl-NL"/>
        </w:rPr>
        <w:t xml:space="preserve">2. </w:t>
      </w:r>
      <w:r w:rsidRPr="00A427B2">
        <w:rPr>
          <w:rFonts w:ascii="Arial" w:hAnsi="Arial" w:cs="Arial"/>
          <w:noProof/>
          <w:sz w:val="20"/>
          <w:szCs w:val="24"/>
          <w:lang w:val="nl-NL"/>
        </w:rPr>
        <w:tab/>
        <w:t xml:space="preserve">Adhikari L, Ozrazgat-Baslanti T, Ruppert M, et al. </w:t>
      </w:r>
      <w:r w:rsidRPr="00757A85">
        <w:rPr>
          <w:rFonts w:ascii="Arial" w:hAnsi="Arial" w:cs="Arial"/>
          <w:noProof/>
          <w:sz w:val="20"/>
          <w:szCs w:val="24"/>
        </w:rPr>
        <w:t xml:space="preserve">Improved predictive models for acute kidney injury with IDEA: Intraoperative data embedded analytics. </w:t>
      </w:r>
      <w:r w:rsidRPr="00757A85">
        <w:rPr>
          <w:rFonts w:ascii="Arial" w:hAnsi="Arial" w:cs="Arial"/>
          <w:i/>
          <w:iCs/>
          <w:noProof/>
          <w:sz w:val="20"/>
          <w:szCs w:val="24"/>
        </w:rPr>
        <w:t>PLoS One</w:t>
      </w:r>
      <w:r w:rsidRPr="00757A85">
        <w:rPr>
          <w:rFonts w:ascii="Arial" w:hAnsi="Arial" w:cs="Arial"/>
          <w:noProof/>
          <w:sz w:val="20"/>
          <w:szCs w:val="24"/>
        </w:rPr>
        <w:t>. 2019;14(4):1-26. doi:10.1371/journal.pone.0214904</w:t>
      </w:r>
    </w:p>
    <w:p w14:paraId="05F595B6"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3. </w:t>
      </w:r>
      <w:r w:rsidRPr="00757A85">
        <w:rPr>
          <w:rFonts w:ascii="Arial" w:hAnsi="Arial" w:cs="Arial"/>
          <w:noProof/>
          <w:sz w:val="20"/>
          <w:szCs w:val="24"/>
        </w:rPr>
        <w:tab/>
        <w:t xml:space="preserve">Chen WP, Chang SH, Tang CY, Liou ML, Tsai SJJ, Lin YL. Composition Analysis and Feature Selection of the Oral Microbiota Associated with Periodontal Disease. </w:t>
      </w:r>
      <w:r w:rsidRPr="00757A85">
        <w:rPr>
          <w:rFonts w:ascii="Arial" w:hAnsi="Arial" w:cs="Arial"/>
          <w:i/>
          <w:iCs/>
          <w:noProof/>
          <w:sz w:val="20"/>
          <w:szCs w:val="24"/>
        </w:rPr>
        <w:t>Biomed Res Int</w:t>
      </w:r>
      <w:r w:rsidRPr="00757A85">
        <w:rPr>
          <w:rFonts w:ascii="Arial" w:hAnsi="Arial" w:cs="Arial"/>
          <w:noProof/>
          <w:sz w:val="20"/>
          <w:szCs w:val="24"/>
        </w:rPr>
        <w:t>. 2018;2018. doi:10.1155/2018/3130607</w:t>
      </w:r>
    </w:p>
    <w:p w14:paraId="397D1520"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4. </w:t>
      </w:r>
      <w:r w:rsidRPr="00757A85">
        <w:rPr>
          <w:rFonts w:ascii="Arial" w:hAnsi="Arial" w:cs="Arial"/>
          <w:noProof/>
          <w:sz w:val="20"/>
          <w:szCs w:val="24"/>
        </w:rPr>
        <w:tab/>
        <w:t xml:space="preserve">Lorenzoni G, Sabato SS, Lanera C, et al. Comparison of Machine Learning Techniques for Prediction of Hospitalization in Heart Failure Patients. </w:t>
      </w:r>
      <w:r w:rsidRPr="00757A85">
        <w:rPr>
          <w:rFonts w:ascii="Arial" w:hAnsi="Arial" w:cs="Arial"/>
          <w:i/>
          <w:iCs/>
          <w:noProof/>
          <w:sz w:val="20"/>
          <w:szCs w:val="24"/>
        </w:rPr>
        <w:t>J Clin Med</w:t>
      </w:r>
      <w:r w:rsidRPr="00757A85">
        <w:rPr>
          <w:rFonts w:ascii="Arial" w:hAnsi="Arial" w:cs="Arial"/>
          <w:noProof/>
          <w:sz w:val="20"/>
          <w:szCs w:val="24"/>
        </w:rPr>
        <w:t>. 2019;8(9):1298. doi:10.3390/jcm8091298</w:t>
      </w:r>
    </w:p>
    <w:p w14:paraId="0EA03456"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5. </w:t>
      </w:r>
      <w:r w:rsidRPr="00757A85">
        <w:rPr>
          <w:rFonts w:ascii="Arial" w:hAnsi="Arial" w:cs="Arial"/>
          <w:noProof/>
          <w:sz w:val="20"/>
          <w:szCs w:val="24"/>
        </w:rPr>
        <w:tab/>
        <w:t xml:space="preserve">Pries LK, Lage-Castellanos A, Delespaul P, et al. Estimating Exposome Score for Schizophrenia Using Predictive Modeling Approach in Two Independent Samples: The Results from the EUGEI Study. </w:t>
      </w:r>
      <w:r w:rsidRPr="00757A85">
        <w:rPr>
          <w:rFonts w:ascii="Arial" w:hAnsi="Arial" w:cs="Arial"/>
          <w:i/>
          <w:iCs/>
          <w:noProof/>
          <w:sz w:val="20"/>
          <w:szCs w:val="24"/>
        </w:rPr>
        <w:t>Schizophr Bull</w:t>
      </w:r>
      <w:r w:rsidRPr="00757A85">
        <w:rPr>
          <w:rFonts w:ascii="Arial" w:hAnsi="Arial" w:cs="Arial"/>
          <w:noProof/>
          <w:sz w:val="20"/>
          <w:szCs w:val="24"/>
        </w:rPr>
        <w:t>. 2019;45(5):960-965. doi:10.1093/schbul/sbz054</w:t>
      </w:r>
    </w:p>
    <w:p w14:paraId="33047433"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6. </w:t>
      </w:r>
      <w:r w:rsidRPr="00757A85">
        <w:rPr>
          <w:rFonts w:ascii="Arial" w:hAnsi="Arial" w:cs="Arial"/>
          <w:noProof/>
          <w:sz w:val="20"/>
          <w:szCs w:val="24"/>
        </w:rPr>
        <w:tab/>
        <w:t xml:space="preserve">Sánchez Fernández I, Sansevere AJ, Gaínza-Lein M, Kapur K, Loddenkemper T. Machine Learning for Outcome Prediction in Electroencephalograph (EEG)-Monitored Children in the Intensive Care Unit. </w:t>
      </w:r>
      <w:r w:rsidRPr="00757A85">
        <w:rPr>
          <w:rFonts w:ascii="Arial" w:hAnsi="Arial" w:cs="Arial"/>
          <w:i/>
          <w:iCs/>
          <w:noProof/>
          <w:sz w:val="20"/>
          <w:szCs w:val="24"/>
        </w:rPr>
        <w:t>J Child Neurol</w:t>
      </w:r>
      <w:r w:rsidRPr="00757A85">
        <w:rPr>
          <w:rFonts w:ascii="Arial" w:hAnsi="Arial" w:cs="Arial"/>
          <w:noProof/>
          <w:sz w:val="20"/>
          <w:szCs w:val="24"/>
        </w:rPr>
        <w:t>. 2018;33(8):546-553. doi:10.1177/0883073818773230</w:t>
      </w:r>
    </w:p>
    <w:p w14:paraId="4CEAA1C4"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7. </w:t>
      </w:r>
      <w:r w:rsidRPr="00757A85">
        <w:rPr>
          <w:rFonts w:ascii="Arial" w:hAnsi="Arial" w:cs="Arial"/>
          <w:noProof/>
          <w:sz w:val="20"/>
          <w:szCs w:val="24"/>
        </w:rPr>
        <w:tab/>
        <w:t xml:space="preserve">Zhang H, Zhu F, Dodge HH, Higgins GA, Omenn GS, Guan Y. A similarity-based approach to leverage multi-cohort medical data on the diagnosis and prognosis of Alzheimer’s disease. </w:t>
      </w:r>
      <w:r w:rsidRPr="00757A85">
        <w:rPr>
          <w:rFonts w:ascii="Arial" w:hAnsi="Arial" w:cs="Arial"/>
          <w:i/>
          <w:iCs/>
          <w:noProof/>
          <w:sz w:val="20"/>
          <w:szCs w:val="24"/>
        </w:rPr>
        <w:t>Gigascience</w:t>
      </w:r>
      <w:r w:rsidRPr="00757A85">
        <w:rPr>
          <w:rFonts w:ascii="Arial" w:hAnsi="Arial" w:cs="Arial"/>
          <w:noProof/>
          <w:sz w:val="20"/>
          <w:szCs w:val="24"/>
        </w:rPr>
        <w:t>. 2018;7(7):1-10. doi:10.1093/gigascience/giy085</w:t>
      </w:r>
    </w:p>
    <w:p w14:paraId="604CC2DA"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8. </w:t>
      </w:r>
      <w:r w:rsidRPr="00757A85">
        <w:rPr>
          <w:rFonts w:ascii="Arial" w:hAnsi="Arial" w:cs="Arial"/>
          <w:noProof/>
          <w:sz w:val="20"/>
          <w:szCs w:val="24"/>
        </w:rPr>
        <w:tab/>
        <w:t xml:space="preserve">Koivu A, Korpimäki T, Kivelä P, Pahikkala T, Sairanen M. Evaluation of machine learning algorithms for improved risk assessment for Down’s syndrome. </w:t>
      </w:r>
      <w:r w:rsidRPr="00757A85">
        <w:rPr>
          <w:rFonts w:ascii="Arial" w:hAnsi="Arial" w:cs="Arial"/>
          <w:i/>
          <w:iCs/>
          <w:noProof/>
          <w:sz w:val="20"/>
          <w:szCs w:val="24"/>
        </w:rPr>
        <w:t>Comput Biol Med</w:t>
      </w:r>
      <w:r w:rsidRPr="00757A85">
        <w:rPr>
          <w:rFonts w:ascii="Arial" w:hAnsi="Arial" w:cs="Arial"/>
          <w:noProof/>
          <w:sz w:val="20"/>
          <w:szCs w:val="24"/>
        </w:rPr>
        <w:t>. 2018;98(April):1-7. doi:10.1016/j.compbiomed.2018.05.004</w:t>
      </w:r>
    </w:p>
    <w:p w14:paraId="7BDC1F8D"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9. </w:t>
      </w:r>
      <w:r w:rsidRPr="00757A85">
        <w:rPr>
          <w:rFonts w:ascii="Arial" w:hAnsi="Arial" w:cs="Arial"/>
          <w:noProof/>
          <w:sz w:val="20"/>
          <w:szCs w:val="24"/>
        </w:rPr>
        <w:tab/>
        <w:t xml:space="preserve">Garcia GGP, Nitta K, Lavieri MS, et al. Using Kalman Filtering to Forecast Disease Trajectory for Patients With Normal Tension Glaucoma. </w:t>
      </w:r>
      <w:r w:rsidRPr="00757A85">
        <w:rPr>
          <w:rFonts w:ascii="Arial" w:hAnsi="Arial" w:cs="Arial"/>
          <w:i/>
          <w:iCs/>
          <w:noProof/>
          <w:sz w:val="20"/>
          <w:szCs w:val="24"/>
        </w:rPr>
        <w:t>Am J Ophthalmol</w:t>
      </w:r>
      <w:r w:rsidRPr="00757A85">
        <w:rPr>
          <w:rFonts w:ascii="Arial" w:hAnsi="Arial" w:cs="Arial"/>
          <w:noProof/>
          <w:sz w:val="20"/>
          <w:szCs w:val="24"/>
        </w:rPr>
        <w:t>. 2019;199:111-119. doi:10.1016/j.ajo.2018.10.012</w:t>
      </w:r>
    </w:p>
    <w:p w14:paraId="46B355D0"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10. </w:t>
      </w:r>
      <w:r w:rsidRPr="00757A85">
        <w:rPr>
          <w:rFonts w:ascii="Arial" w:hAnsi="Arial" w:cs="Arial"/>
          <w:noProof/>
          <w:sz w:val="20"/>
          <w:szCs w:val="24"/>
        </w:rPr>
        <w:tab/>
        <w:t xml:space="preserve">Kajiwara K, Yamagami T, Toyota N, et al. New Diagnostic Criteria for the Localization of Insulinomas with the Selective Arterial Calcium Injection Test: Decision Tree Analysis. </w:t>
      </w:r>
      <w:r w:rsidRPr="00757A85">
        <w:rPr>
          <w:rFonts w:ascii="Arial" w:hAnsi="Arial" w:cs="Arial"/>
          <w:i/>
          <w:iCs/>
          <w:noProof/>
          <w:sz w:val="20"/>
          <w:szCs w:val="24"/>
        </w:rPr>
        <w:t>J Vasc Interv Radiol</w:t>
      </w:r>
      <w:r w:rsidRPr="00757A85">
        <w:rPr>
          <w:rFonts w:ascii="Arial" w:hAnsi="Arial" w:cs="Arial"/>
          <w:noProof/>
          <w:sz w:val="20"/>
          <w:szCs w:val="24"/>
        </w:rPr>
        <w:t>. 2018;29(12):1749-1753. doi:10.1016/j.jvir.2018.05.015</w:t>
      </w:r>
    </w:p>
    <w:p w14:paraId="68EFF47C"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11. </w:t>
      </w:r>
      <w:r w:rsidRPr="00757A85">
        <w:rPr>
          <w:rFonts w:ascii="Arial" w:hAnsi="Arial" w:cs="Arial"/>
          <w:noProof/>
          <w:sz w:val="20"/>
          <w:szCs w:val="24"/>
        </w:rPr>
        <w:tab/>
        <w:t xml:space="preserve">Tam A, Dansereau C, Iturria-Medina Y, et al. A highly predictive signature of cognition and brain atrophy for progression to Alzheimer’s dementia. </w:t>
      </w:r>
      <w:r w:rsidRPr="00757A85">
        <w:rPr>
          <w:rFonts w:ascii="Arial" w:hAnsi="Arial" w:cs="Arial"/>
          <w:i/>
          <w:iCs/>
          <w:noProof/>
          <w:sz w:val="20"/>
          <w:szCs w:val="24"/>
        </w:rPr>
        <w:t>Gigascience</w:t>
      </w:r>
      <w:r w:rsidRPr="00757A85">
        <w:rPr>
          <w:rFonts w:ascii="Arial" w:hAnsi="Arial" w:cs="Arial"/>
          <w:noProof/>
          <w:sz w:val="20"/>
          <w:szCs w:val="24"/>
        </w:rPr>
        <w:t>. 2019;8(5):1-16. doi:10.1093/gigascience/giz055</w:t>
      </w:r>
    </w:p>
    <w:p w14:paraId="588336C6"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12. </w:t>
      </w:r>
      <w:r w:rsidRPr="00757A85">
        <w:rPr>
          <w:rFonts w:ascii="Arial" w:hAnsi="Arial" w:cs="Arial"/>
          <w:noProof/>
          <w:sz w:val="20"/>
          <w:szCs w:val="24"/>
        </w:rPr>
        <w:tab/>
      </w:r>
      <w:r w:rsidRPr="00A427B2">
        <w:rPr>
          <w:rFonts w:ascii="Arial" w:hAnsi="Arial" w:cs="Arial"/>
          <w:noProof/>
          <w:sz w:val="20"/>
          <w:szCs w:val="24"/>
        </w:rPr>
        <w:t xml:space="preserve">Chambers LC, Manhart LE, Katz DA, et al. </w:t>
      </w:r>
      <w:r w:rsidRPr="00757A85">
        <w:rPr>
          <w:rFonts w:ascii="Arial" w:hAnsi="Arial" w:cs="Arial"/>
          <w:noProof/>
          <w:sz w:val="20"/>
          <w:szCs w:val="24"/>
        </w:rPr>
        <w:t xml:space="preserve">Comparison of Algorithms to Triage Patients to Express Care in a Sexually Transmitted Disease Clinic. </w:t>
      </w:r>
      <w:r w:rsidRPr="00757A85">
        <w:rPr>
          <w:rFonts w:ascii="Arial" w:hAnsi="Arial" w:cs="Arial"/>
          <w:i/>
          <w:iCs/>
          <w:noProof/>
          <w:sz w:val="20"/>
          <w:szCs w:val="24"/>
        </w:rPr>
        <w:t>Sex Transm Dis</w:t>
      </w:r>
      <w:r w:rsidRPr="00757A85">
        <w:rPr>
          <w:rFonts w:ascii="Arial" w:hAnsi="Arial" w:cs="Arial"/>
          <w:noProof/>
          <w:sz w:val="20"/>
          <w:szCs w:val="24"/>
        </w:rPr>
        <w:t>. 2018;45(10):696-702. doi:10.1097/OLQ.0000000000000854</w:t>
      </w:r>
    </w:p>
    <w:p w14:paraId="3CD94231"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13. </w:t>
      </w:r>
      <w:r w:rsidRPr="00757A85">
        <w:rPr>
          <w:rFonts w:ascii="Arial" w:hAnsi="Arial" w:cs="Arial"/>
          <w:noProof/>
          <w:sz w:val="20"/>
          <w:szCs w:val="24"/>
        </w:rPr>
        <w:tab/>
        <w:t xml:space="preserve">Bhat V, Tazari M, Watt KD, Bhat M. New-Onset Diabetes and Preexisting Diabetes Are Associated With Comparable Reduction in Long-Term Survival After Liver Transplant: A Machine Learning Approach. </w:t>
      </w:r>
      <w:r w:rsidRPr="00757A85">
        <w:rPr>
          <w:rFonts w:ascii="Arial" w:hAnsi="Arial" w:cs="Arial"/>
          <w:i/>
          <w:iCs/>
          <w:noProof/>
          <w:sz w:val="20"/>
          <w:szCs w:val="24"/>
        </w:rPr>
        <w:t>Mayo Clin Proc</w:t>
      </w:r>
      <w:r w:rsidRPr="00757A85">
        <w:rPr>
          <w:rFonts w:ascii="Arial" w:hAnsi="Arial" w:cs="Arial"/>
          <w:noProof/>
          <w:sz w:val="20"/>
          <w:szCs w:val="24"/>
        </w:rPr>
        <w:t>. 2018;93(12):1794-1802. doi:10.1016/j.mayocp.2018.06.020</w:t>
      </w:r>
    </w:p>
    <w:p w14:paraId="75CD19BB"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14. </w:t>
      </w:r>
      <w:r w:rsidRPr="00757A85">
        <w:rPr>
          <w:rFonts w:ascii="Arial" w:hAnsi="Arial" w:cs="Arial"/>
          <w:noProof/>
          <w:sz w:val="20"/>
          <w:szCs w:val="24"/>
        </w:rPr>
        <w:tab/>
        <w:t xml:space="preserve">Choi HW, Park HJ, Choi SY, et al. Early prediction of the severity of acute pancreatitis using radiologic and clinical scoring systems with classification tree analysis. </w:t>
      </w:r>
      <w:r w:rsidRPr="00757A85">
        <w:rPr>
          <w:rFonts w:ascii="Arial" w:hAnsi="Arial" w:cs="Arial"/>
          <w:i/>
          <w:iCs/>
          <w:noProof/>
          <w:sz w:val="20"/>
          <w:szCs w:val="24"/>
        </w:rPr>
        <w:t>Am J Roentgenol</w:t>
      </w:r>
      <w:r w:rsidRPr="00757A85">
        <w:rPr>
          <w:rFonts w:ascii="Arial" w:hAnsi="Arial" w:cs="Arial"/>
          <w:noProof/>
          <w:sz w:val="20"/>
          <w:szCs w:val="24"/>
        </w:rPr>
        <w:t>. 2018;211(5):1035-1043. doi:10.2214/AJR.18.19545</w:t>
      </w:r>
    </w:p>
    <w:p w14:paraId="58610328"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15. </w:t>
      </w:r>
      <w:r w:rsidRPr="00757A85">
        <w:rPr>
          <w:rFonts w:ascii="Arial" w:hAnsi="Arial" w:cs="Arial"/>
          <w:noProof/>
          <w:sz w:val="20"/>
          <w:szCs w:val="24"/>
        </w:rPr>
        <w:tab/>
        <w:t xml:space="preserve">Ogunleye A, Wang QG. XGBoost Model for Chronic Kidney Disease Diagnosis. </w:t>
      </w:r>
      <w:r w:rsidRPr="00757A85">
        <w:rPr>
          <w:rFonts w:ascii="Arial" w:hAnsi="Arial" w:cs="Arial"/>
          <w:i/>
          <w:iCs/>
          <w:noProof/>
          <w:sz w:val="20"/>
          <w:szCs w:val="24"/>
        </w:rPr>
        <w:t>IEEE/ACM Trans Comput Biol Bioinforma</w:t>
      </w:r>
      <w:r w:rsidRPr="00757A85">
        <w:rPr>
          <w:rFonts w:ascii="Arial" w:hAnsi="Arial" w:cs="Arial"/>
          <w:noProof/>
          <w:sz w:val="20"/>
          <w:szCs w:val="24"/>
        </w:rPr>
        <w:t>. 2020;17(6):2131-2140. doi:10.1109/TCBB.2019.2911071</w:t>
      </w:r>
    </w:p>
    <w:p w14:paraId="1CC308D9"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16. </w:t>
      </w:r>
      <w:r w:rsidRPr="00757A85">
        <w:rPr>
          <w:rFonts w:ascii="Arial" w:hAnsi="Arial" w:cs="Arial"/>
          <w:noProof/>
          <w:sz w:val="20"/>
          <w:szCs w:val="24"/>
        </w:rPr>
        <w:tab/>
        <w:t xml:space="preserve">Wu CC, Yeh WC, Hsu WD, et al. Prediction of fatty liver disease using machine learning algorithms. </w:t>
      </w:r>
      <w:r w:rsidRPr="00757A85">
        <w:rPr>
          <w:rFonts w:ascii="Arial" w:hAnsi="Arial" w:cs="Arial"/>
          <w:i/>
          <w:iCs/>
          <w:noProof/>
          <w:sz w:val="20"/>
          <w:szCs w:val="24"/>
        </w:rPr>
        <w:t>Comput Methods Programs Biomed</w:t>
      </w:r>
      <w:r w:rsidRPr="00757A85">
        <w:rPr>
          <w:rFonts w:ascii="Arial" w:hAnsi="Arial" w:cs="Arial"/>
          <w:noProof/>
          <w:sz w:val="20"/>
          <w:szCs w:val="24"/>
        </w:rPr>
        <w:t>. 2019;170:23-29. doi:10.1016/j.cmpb.2018.12.032</w:t>
      </w:r>
    </w:p>
    <w:p w14:paraId="01373538"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17. </w:t>
      </w:r>
      <w:r w:rsidRPr="00757A85">
        <w:rPr>
          <w:rFonts w:ascii="Arial" w:hAnsi="Arial" w:cs="Arial"/>
          <w:noProof/>
          <w:sz w:val="20"/>
          <w:szCs w:val="24"/>
        </w:rPr>
        <w:tab/>
        <w:t xml:space="preserve">Shigemi D, Yamaguchi S, Aso S, Yasunaga H. Predictive model for macrosomia using maternal parameters without sonography information. </w:t>
      </w:r>
      <w:r w:rsidRPr="00757A85">
        <w:rPr>
          <w:rFonts w:ascii="Arial" w:hAnsi="Arial" w:cs="Arial"/>
          <w:i/>
          <w:iCs/>
          <w:noProof/>
          <w:sz w:val="20"/>
          <w:szCs w:val="24"/>
        </w:rPr>
        <w:t>J Matern Neonatal Med</w:t>
      </w:r>
      <w:r w:rsidRPr="00757A85">
        <w:rPr>
          <w:rFonts w:ascii="Arial" w:hAnsi="Arial" w:cs="Arial"/>
          <w:noProof/>
          <w:sz w:val="20"/>
          <w:szCs w:val="24"/>
        </w:rPr>
        <w:t>. 2019;32(22):3859-3863. doi:10.1080/14767058.2018.1484090</w:t>
      </w:r>
    </w:p>
    <w:p w14:paraId="3E01444A"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18. </w:t>
      </w:r>
      <w:r w:rsidRPr="00757A85">
        <w:rPr>
          <w:rFonts w:ascii="Arial" w:hAnsi="Arial" w:cs="Arial"/>
          <w:noProof/>
          <w:sz w:val="20"/>
          <w:szCs w:val="24"/>
        </w:rPr>
        <w:tab/>
        <w:t xml:space="preserve">Friedman KG, Sleeper LA, Freud LR, et al. Improved technical success, postnatal outcome and refined predictors of outcome for fetal aortic valvuloplasty. </w:t>
      </w:r>
      <w:r w:rsidRPr="00757A85">
        <w:rPr>
          <w:rFonts w:ascii="Arial" w:hAnsi="Arial" w:cs="Arial"/>
          <w:i/>
          <w:iCs/>
          <w:noProof/>
          <w:sz w:val="20"/>
          <w:szCs w:val="24"/>
        </w:rPr>
        <w:t>Ultrasound Obstet Gynecol</w:t>
      </w:r>
      <w:r w:rsidRPr="00757A85">
        <w:rPr>
          <w:rFonts w:ascii="Arial" w:hAnsi="Arial" w:cs="Arial"/>
          <w:noProof/>
          <w:sz w:val="20"/>
          <w:szCs w:val="24"/>
        </w:rPr>
        <w:t>. 2018;52(2):212-220. doi:10.1002/uog.17530</w:t>
      </w:r>
    </w:p>
    <w:p w14:paraId="51A5A566"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19. </w:t>
      </w:r>
      <w:r w:rsidRPr="00757A85">
        <w:rPr>
          <w:rFonts w:ascii="Arial" w:hAnsi="Arial" w:cs="Arial"/>
          <w:noProof/>
          <w:sz w:val="20"/>
          <w:szCs w:val="24"/>
        </w:rPr>
        <w:tab/>
        <w:t xml:space="preserve">Duan H, Sun Z, Dong W, Huang Z. Utilizing dynamic treatment </w:t>
      </w:r>
      <w:r w:rsidRPr="00757A85">
        <w:rPr>
          <w:rFonts w:ascii="Arial" w:hAnsi="Arial" w:cs="Arial"/>
          <w:noProof/>
          <w:sz w:val="20"/>
          <w:szCs w:val="24"/>
        </w:rPr>
        <w:lastRenderedPageBreak/>
        <w:t xml:space="preserve">information for MACE prediction of acute coronary syndrome. </w:t>
      </w:r>
      <w:r w:rsidRPr="00757A85">
        <w:rPr>
          <w:rFonts w:ascii="Arial" w:hAnsi="Arial" w:cs="Arial"/>
          <w:i/>
          <w:iCs/>
          <w:noProof/>
          <w:sz w:val="20"/>
          <w:szCs w:val="24"/>
        </w:rPr>
        <w:t>BMC Med Inform Decis Mak</w:t>
      </w:r>
      <w:r w:rsidRPr="00757A85">
        <w:rPr>
          <w:rFonts w:ascii="Arial" w:hAnsi="Arial" w:cs="Arial"/>
          <w:noProof/>
          <w:sz w:val="20"/>
          <w:szCs w:val="24"/>
        </w:rPr>
        <w:t>. 2019;19(1):1-11. doi:10.1186/s12911-018-0730-7</w:t>
      </w:r>
    </w:p>
    <w:p w14:paraId="5AC7092D"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20. </w:t>
      </w:r>
      <w:r w:rsidRPr="00757A85">
        <w:rPr>
          <w:rFonts w:ascii="Arial" w:hAnsi="Arial" w:cs="Arial"/>
          <w:noProof/>
          <w:sz w:val="20"/>
          <w:szCs w:val="24"/>
        </w:rPr>
        <w:tab/>
        <w:t xml:space="preserve">Ansart M, Epelbaum S, Gagliardi G, et al. Reduction of recruitment costs in preclinical AD trials: validation of automatic pre-screening algorithm for brain amyloidosis. </w:t>
      </w:r>
      <w:r w:rsidRPr="00757A85">
        <w:rPr>
          <w:rFonts w:ascii="Arial" w:hAnsi="Arial" w:cs="Arial"/>
          <w:i/>
          <w:iCs/>
          <w:noProof/>
          <w:sz w:val="20"/>
          <w:szCs w:val="24"/>
        </w:rPr>
        <w:t>Stat Methods Med Res</w:t>
      </w:r>
      <w:r w:rsidRPr="00757A85">
        <w:rPr>
          <w:rFonts w:ascii="Arial" w:hAnsi="Arial" w:cs="Arial"/>
          <w:noProof/>
          <w:sz w:val="20"/>
          <w:szCs w:val="24"/>
        </w:rPr>
        <w:t>. 2020;29(1):151-164. doi:10.1177/0962280218823036</w:t>
      </w:r>
    </w:p>
    <w:p w14:paraId="20B7FC5C"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21. </w:t>
      </w:r>
      <w:r w:rsidRPr="00757A85">
        <w:rPr>
          <w:rFonts w:ascii="Arial" w:hAnsi="Arial" w:cs="Arial"/>
          <w:noProof/>
          <w:sz w:val="20"/>
          <w:szCs w:val="24"/>
        </w:rPr>
        <w:tab/>
        <w:t xml:space="preserve">Kwon J myoung, Jeon KH, Kim HM, et al. Deep-learning-based out-of-hospital cardiac arrest prognostic system to predict clinical outcomes. </w:t>
      </w:r>
      <w:r w:rsidRPr="00757A85">
        <w:rPr>
          <w:rFonts w:ascii="Arial" w:hAnsi="Arial" w:cs="Arial"/>
          <w:i/>
          <w:iCs/>
          <w:noProof/>
          <w:sz w:val="20"/>
          <w:szCs w:val="24"/>
        </w:rPr>
        <w:t>Resuscitation</w:t>
      </w:r>
      <w:r w:rsidRPr="00757A85">
        <w:rPr>
          <w:rFonts w:ascii="Arial" w:hAnsi="Arial" w:cs="Arial"/>
          <w:noProof/>
          <w:sz w:val="20"/>
          <w:szCs w:val="24"/>
        </w:rPr>
        <w:t>. 2019;139(April 2019):84-91. doi:10.1016/j.resuscitation.2019.04.007</w:t>
      </w:r>
    </w:p>
    <w:p w14:paraId="4D59164F"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22. </w:t>
      </w:r>
      <w:r w:rsidRPr="00757A85">
        <w:rPr>
          <w:rFonts w:ascii="Arial" w:hAnsi="Arial" w:cs="Arial"/>
          <w:noProof/>
          <w:sz w:val="20"/>
          <w:szCs w:val="24"/>
        </w:rPr>
        <w:tab/>
        <w:t xml:space="preserve">Hammond R, Athanasiadou R, Curado S, et al. Correction: Predicting childhood obesity using electronic health records and publicly </w:t>
      </w:r>
      <w:r>
        <w:rPr>
          <w:rFonts w:ascii="Arial" w:hAnsi="Arial" w:cs="Arial"/>
          <w:noProof/>
          <w:sz w:val="20"/>
          <w:szCs w:val="24"/>
        </w:rPr>
        <w:t xml:space="preserve">available data. </w:t>
      </w:r>
      <w:r w:rsidRPr="00757A85">
        <w:rPr>
          <w:rFonts w:ascii="Arial" w:hAnsi="Arial" w:cs="Arial"/>
          <w:i/>
          <w:iCs/>
          <w:noProof/>
          <w:sz w:val="20"/>
          <w:szCs w:val="24"/>
        </w:rPr>
        <w:t>PLoS One</w:t>
      </w:r>
      <w:r w:rsidRPr="00757A85">
        <w:rPr>
          <w:rFonts w:ascii="Arial" w:hAnsi="Arial" w:cs="Arial"/>
          <w:noProof/>
          <w:sz w:val="20"/>
          <w:szCs w:val="24"/>
        </w:rPr>
        <w:t>. 2019;14(10):1-18. doi:10.1371/journal.pone.0223796</w:t>
      </w:r>
    </w:p>
    <w:p w14:paraId="6DB9BA13"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23. </w:t>
      </w:r>
      <w:r w:rsidRPr="00757A85">
        <w:rPr>
          <w:rFonts w:ascii="Arial" w:hAnsi="Arial" w:cs="Arial"/>
          <w:noProof/>
          <w:sz w:val="20"/>
          <w:szCs w:val="24"/>
        </w:rPr>
        <w:tab/>
        <w:t xml:space="preserve">Zamboni S, Moschini M, Antonelli A, et al. How to improve patient selection for neoadjuvant chemotherapy in bladder cancer patients candidate for radical cystectomy and pelvic lymph node dissection. </w:t>
      </w:r>
      <w:r w:rsidRPr="00757A85">
        <w:rPr>
          <w:rFonts w:ascii="Arial" w:hAnsi="Arial" w:cs="Arial"/>
          <w:i/>
          <w:iCs/>
          <w:noProof/>
          <w:sz w:val="20"/>
          <w:szCs w:val="24"/>
        </w:rPr>
        <w:t>World J Urol</w:t>
      </w:r>
      <w:r w:rsidRPr="00757A85">
        <w:rPr>
          <w:rFonts w:ascii="Arial" w:hAnsi="Arial" w:cs="Arial"/>
          <w:noProof/>
          <w:sz w:val="20"/>
          <w:szCs w:val="24"/>
        </w:rPr>
        <w:t>. Published online August 2019. doi:10.1007/s00345-019-02916-2</w:t>
      </w:r>
    </w:p>
    <w:p w14:paraId="092461E4"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24. </w:t>
      </w:r>
      <w:r w:rsidRPr="00757A85">
        <w:rPr>
          <w:rFonts w:ascii="Arial" w:hAnsi="Arial" w:cs="Arial"/>
          <w:noProof/>
          <w:sz w:val="20"/>
          <w:szCs w:val="24"/>
        </w:rPr>
        <w:tab/>
        <w:t>Nobles AL, Glenn JJ, Barnes LE.</w:t>
      </w:r>
      <w:r>
        <w:rPr>
          <w:rFonts w:ascii="Arial" w:hAnsi="Arial" w:cs="Arial"/>
          <w:noProof/>
          <w:sz w:val="20"/>
          <w:szCs w:val="24"/>
        </w:rPr>
        <w:t xml:space="preserve"> Identification of Inminent Suicide Risk Among Young Adults</w:t>
      </w:r>
      <w:r w:rsidRPr="00757A85">
        <w:rPr>
          <w:rFonts w:ascii="Arial" w:hAnsi="Arial" w:cs="Arial"/>
          <w:noProof/>
          <w:sz w:val="20"/>
          <w:szCs w:val="24"/>
        </w:rPr>
        <w:t xml:space="preserve"> using Text Messages. </w:t>
      </w:r>
      <w:r w:rsidRPr="00255AC5">
        <w:rPr>
          <w:rFonts w:ascii="Arial" w:hAnsi="Arial" w:cs="Arial"/>
          <w:i/>
          <w:noProof/>
          <w:sz w:val="20"/>
          <w:szCs w:val="24"/>
        </w:rPr>
        <w:t>Proc SIGCHI Conf Hum Factor Comput Syst</w:t>
      </w:r>
      <w:r>
        <w:rPr>
          <w:rFonts w:ascii="Arial" w:hAnsi="Arial" w:cs="Arial"/>
          <w:noProof/>
          <w:sz w:val="20"/>
          <w:szCs w:val="24"/>
        </w:rPr>
        <w:t xml:space="preserve">. </w:t>
      </w:r>
      <w:r w:rsidRPr="00757A85">
        <w:rPr>
          <w:rFonts w:ascii="Arial" w:hAnsi="Arial" w:cs="Arial"/>
          <w:noProof/>
          <w:sz w:val="20"/>
          <w:szCs w:val="24"/>
        </w:rPr>
        <w:t>Published online 2019:1-22. doi:10.1145/3173574.3173987.Identification</w:t>
      </w:r>
    </w:p>
    <w:p w14:paraId="53CC2C63"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A427B2">
        <w:rPr>
          <w:rFonts w:ascii="Arial" w:hAnsi="Arial" w:cs="Arial"/>
          <w:noProof/>
          <w:sz w:val="20"/>
          <w:szCs w:val="24"/>
          <w:lang w:val="nl-NL"/>
        </w:rPr>
        <w:t xml:space="preserve">25. </w:t>
      </w:r>
      <w:r w:rsidRPr="00A427B2">
        <w:rPr>
          <w:rFonts w:ascii="Arial" w:hAnsi="Arial" w:cs="Arial"/>
          <w:noProof/>
          <w:sz w:val="20"/>
          <w:szCs w:val="24"/>
          <w:lang w:val="nl-NL"/>
        </w:rPr>
        <w:tab/>
        <w:t xml:space="preserve">Tse R, Garland J, Kesha K, et al. </w:t>
      </w:r>
      <w:r w:rsidRPr="00757A85">
        <w:rPr>
          <w:rFonts w:ascii="Arial" w:hAnsi="Arial" w:cs="Arial"/>
          <w:noProof/>
          <w:sz w:val="20"/>
          <w:szCs w:val="24"/>
        </w:rPr>
        <w:t xml:space="preserve">Combining Postmortem Vitreous Sodium and Chloride and Lung-Body Ratio in Aiding the Diagnosing Saltwater Drowning. </w:t>
      </w:r>
      <w:r w:rsidRPr="00757A85">
        <w:rPr>
          <w:rFonts w:ascii="Arial" w:hAnsi="Arial" w:cs="Arial"/>
          <w:i/>
          <w:iCs/>
          <w:noProof/>
          <w:sz w:val="20"/>
          <w:szCs w:val="24"/>
        </w:rPr>
        <w:t>Am J Forensic Med Pathol</w:t>
      </w:r>
      <w:r w:rsidRPr="00757A85">
        <w:rPr>
          <w:rFonts w:ascii="Arial" w:hAnsi="Arial" w:cs="Arial"/>
          <w:noProof/>
          <w:sz w:val="20"/>
          <w:szCs w:val="24"/>
        </w:rPr>
        <w:t>. 2018;39(3):229-235. doi:10.1097/PAF.0000000000000410</w:t>
      </w:r>
    </w:p>
    <w:p w14:paraId="5ACFB385"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26. </w:t>
      </w:r>
      <w:r w:rsidRPr="00757A85">
        <w:rPr>
          <w:rFonts w:ascii="Arial" w:hAnsi="Arial" w:cs="Arial"/>
          <w:noProof/>
          <w:sz w:val="20"/>
          <w:szCs w:val="24"/>
        </w:rPr>
        <w:tab/>
      </w:r>
      <w:r w:rsidRPr="00A427B2">
        <w:rPr>
          <w:rFonts w:ascii="Arial" w:hAnsi="Arial" w:cs="Arial"/>
          <w:noProof/>
          <w:sz w:val="20"/>
          <w:szCs w:val="24"/>
        </w:rPr>
        <w:t>Sterling NW, Patzer RE, Mengyu D, et. a.</w:t>
      </w:r>
      <w:r w:rsidRPr="00757A85">
        <w:rPr>
          <w:rFonts w:ascii="Arial" w:hAnsi="Arial" w:cs="Arial"/>
          <w:noProof/>
          <w:sz w:val="20"/>
          <w:szCs w:val="24"/>
        </w:rPr>
        <w:t xml:space="preserve">Prediction of emergency department patient disposition based on natural language processing of triage notes. </w:t>
      </w:r>
      <w:r w:rsidRPr="00757A85">
        <w:rPr>
          <w:rFonts w:ascii="Arial" w:hAnsi="Arial" w:cs="Arial"/>
          <w:i/>
          <w:iCs/>
          <w:noProof/>
          <w:sz w:val="20"/>
          <w:szCs w:val="24"/>
        </w:rPr>
        <w:t>Int J Med Inform</w:t>
      </w:r>
      <w:r w:rsidRPr="00757A85">
        <w:rPr>
          <w:rFonts w:ascii="Arial" w:hAnsi="Arial" w:cs="Arial"/>
          <w:noProof/>
          <w:sz w:val="20"/>
          <w:szCs w:val="24"/>
        </w:rPr>
        <w:t>. 2019;129:184-188. doi:10.1016/j.ijmedinf.2019.06.008</w:t>
      </w:r>
    </w:p>
    <w:p w14:paraId="6D26E22F"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27. </w:t>
      </w:r>
      <w:r w:rsidRPr="00757A85">
        <w:rPr>
          <w:rFonts w:ascii="Arial" w:hAnsi="Arial" w:cs="Arial"/>
          <w:noProof/>
          <w:sz w:val="20"/>
          <w:szCs w:val="24"/>
        </w:rPr>
        <w:tab/>
        <w:t xml:space="preserve">Perveen S, Shahbaz M, Keshavjee K, Guergachi A. A Systematic Machine Learning Based Approach for the Diagnosis of Non-Alcoholic Fatty Liver Disease Risk and Progression. </w:t>
      </w:r>
      <w:r w:rsidRPr="00757A85">
        <w:rPr>
          <w:rFonts w:ascii="Arial" w:hAnsi="Arial" w:cs="Arial"/>
          <w:i/>
          <w:iCs/>
          <w:noProof/>
          <w:sz w:val="20"/>
          <w:szCs w:val="24"/>
        </w:rPr>
        <w:t>Sci Rep</w:t>
      </w:r>
      <w:r w:rsidRPr="00757A85">
        <w:rPr>
          <w:rFonts w:ascii="Arial" w:hAnsi="Arial" w:cs="Arial"/>
          <w:noProof/>
          <w:sz w:val="20"/>
          <w:szCs w:val="24"/>
        </w:rPr>
        <w:t>. 2018;8(1):1-12. doi:10.1038/s41598-018-20166-x</w:t>
      </w:r>
    </w:p>
    <w:p w14:paraId="07C0225C"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28. </w:t>
      </w:r>
      <w:r w:rsidRPr="00757A85">
        <w:rPr>
          <w:rFonts w:ascii="Arial" w:hAnsi="Arial" w:cs="Arial"/>
          <w:noProof/>
          <w:sz w:val="20"/>
          <w:szCs w:val="24"/>
        </w:rPr>
        <w:tab/>
        <w:t xml:space="preserve">Pei Z, Liu J, Liu M, et al. Risk-Predicting Model for Incident of Essential Hypertension Based on Environmental and Genetic Factors </w:t>
      </w:r>
      <w:r w:rsidRPr="00757A85">
        <w:rPr>
          <w:rFonts w:ascii="Arial" w:hAnsi="Arial" w:cs="Arial"/>
          <w:noProof/>
          <w:sz w:val="20"/>
          <w:szCs w:val="24"/>
        </w:rPr>
        <w:t xml:space="preserve">with Support Vector Machine. </w:t>
      </w:r>
      <w:r w:rsidRPr="00757A85">
        <w:rPr>
          <w:rFonts w:ascii="Arial" w:hAnsi="Arial" w:cs="Arial"/>
          <w:i/>
          <w:iCs/>
          <w:noProof/>
          <w:sz w:val="20"/>
          <w:szCs w:val="24"/>
        </w:rPr>
        <w:t>Interdiscip Sci Comput Life Sci</w:t>
      </w:r>
      <w:r w:rsidRPr="00757A85">
        <w:rPr>
          <w:rFonts w:ascii="Arial" w:hAnsi="Arial" w:cs="Arial"/>
          <w:noProof/>
          <w:sz w:val="20"/>
          <w:szCs w:val="24"/>
        </w:rPr>
        <w:t>. 2018;10(1):126-130. doi:10.1007/s12539-017-0271-2</w:t>
      </w:r>
    </w:p>
    <w:p w14:paraId="70F2CB81"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29. </w:t>
      </w:r>
      <w:r w:rsidRPr="00757A85">
        <w:rPr>
          <w:rFonts w:ascii="Arial" w:hAnsi="Arial" w:cs="Arial"/>
          <w:noProof/>
          <w:sz w:val="20"/>
          <w:szCs w:val="24"/>
        </w:rPr>
        <w:tab/>
        <w:t xml:space="preserve">Bouallègue F Ben, Mariano-Goulart D, Payoux P. Joint Assessment of Quantitative 18 F-Florbetapir and 18 F-FDG Regional Uptake Using Baseline Data from the ADNI. </w:t>
      </w:r>
      <w:r w:rsidRPr="00757A85">
        <w:rPr>
          <w:rFonts w:ascii="Arial" w:hAnsi="Arial" w:cs="Arial"/>
          <w:i/>
          <w:iCs/>
          <w:noProof/>
          <w:sz w:val="20"/>
          <w:szCs w:val="24"/>
        </w:rPr>
        <w:t>J Alzheimer’s Dis</w:t>
      </w:r>
      <w:r w:rsidRPr="00757A85">
        <w:rPr>
          <w:rFonts w:ascii="Arial" w:hAnsi="Arial" w:cs="Arial"/>
          <w:noProof/>
          <w:sz w:val="20"/>
          <w:szCs w:val="24"/>
        </w:rPr>
        <w:t>. 2018;62(1):399-408. doi:10.3233/JAD-170833</w:t>
      </w:r>
    </w:p>
    <w:p w14:paraId="2D761AE3" w14:textId="77777777" w:rsidR="00A427B2" w:rsidRPr="00A427B2" w:rsidRDefault="00A427B2" w:rsidP="00A427B2">
      <w:pPr>
        <w:widowControl w:val="0"/>
        <w:autoSpaceDE w:val="0"/>
        <w:autoSpaceDN w:val="0"/>
        <w:adjustRightInd w:val="0"/>
        <w:spacing w:line="240" w:lineRule="auto"/>
        <w:ind w:left="640" w:hanging="640"/>
        <w:rPr>
          <w:rFonts w:ascii="Arial" w:hAnsi="Arial" w:cs="Arial"/>
          <w:noProof/>
          <w:sz w:val="20"/>
          <w:szCs w:val="24"/>
          <w:lang w:val="nl-NL"/>
        </w:rPr>
      </w:pPr>
      <w:r w:rsidRPr="00757A85">
        <w:rPr>
          <w:rFonts w:ascii="Arial" w:hAnsi="Arial" w:cs="Arial"/>
          <w:noProof/>
          <w:sz w:val="20"/>
          <w:szCs w:val="24"/>
        </w:rPr>
        <w:t xml:space="preserve">30. </w:t>
      </w:r>
      <w:r w:rsidRPr="00757A85">
        <w:rPr>
          <w:rFonts w:ascii="Arial" w:hAnsi="Arial" w:cs="Arial"/>
          <w:noProof/>
          <w:sz w:val="20"/>
          <w:szCs w:val="24"/>
        </w:rPr>
        <w:tab/>
      </w:r>
      <w:r w:rsidRPr="00A427B2">
        <w:rPr>
          <w:rFonts w:ascii="Arial" w:hAnsi="Arial" w:cs="Arial"/>
          <w:noProof/>
          <w:sz w:val="20"/>
          <w:szCs w:val="24"/>
        </w:rPr>
        <w:t xml:space="preserve">Tsai TL, Huang MH, Lee CY, et. al. </w:t>
      </w:r>
      <w:r w:rsidRPr="00757A85">
        <w:rPr>
          <w:rFonts w:ascii="Arial" w:hAnsi="Arial" w:cs="Arial"/>
          <w:noProof/>
          <w:sz w:val="20"/>
          <w:szCs w:val="24"/>
        </w:rPr>
        <w:t xml:space="preserve">Data Science for Extubation Prediction and Value of Information in Surgical Intensive Care Unit. </w:t>
      </w:r>
      <w:r w:rsidRPr="00A427B2">
        <w:rPr>
          <w:rFonts w:ascii="Arial" w:hAnsi="Arial" w:cs="Arial"/>
          <w:i/>
          <w:iCs/>
          <w:noProof/>
          <w:sz w:val="20"/>
          <w:szCs w:val="24"/>
          <w:lang w:val="nl-NL"/>
        </w:rPr>
        <w:t>J Clin Med</w:t>
      </w:r>
      <w:r w:rsidRPr="00A427B2">
        <w:rPr>
          <w:rFonts w:ascii="Arial" w:hAnsi="Arial" w:cs="Arial"/>
          <w:noProof/>
          <w:sz w:val="20"/>
          <w:szCs w:val="24"/>
          <w:lang w:val="nl-NL"/>
        </w:rPr>
        <w:t>. 2019;8(10). doi:10.3390/jcm8101709</w:t>
      </w:r>
    </w:p>
    <w:p w14:paraId="26F2363B"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A427B2">
        <w:rPr>
          <w:rFonts w:ascii="Arial" w:hAnsi="Arial" w:cs="Arial"/>
          <w:noProof/>
          <w:sz w:val="20"/>
          <w:szCs w:val="24"/>
          <w:lang w:val="nl-NL"/>
        </w:rPr>
        <w:t xml:space="preserve">31. </w:t>
      </w:r>
      <w:r w:rsidRPr="00A427B2">
        <w:rPr>
          <w:rFonts w:ascii="Arial" w:hAnsi="Arial" w:cs="Arial"/>
          <w:noProof/>
          <w:sz w:val="20"/>
          <w:szCs w:val="24"/>
          <w:lang w:val="nl-NL"/>
        </w:rPr>
        <w:tab/>
        <w:t xml:space="preserve">Lopes RR, van Mourik MS, Schaft E V., et al. </w:t>
      </w:r>
      <w:r w:rsidRPr="00757A85">
        <w:rPr>
          <w:rFonts w:ascii="Arial" w:hAnsi="Arial" w:cs="Arial"/>
          <w:noProof/>
          <w:sz w:val="20"/>
          <w:szCs w:val="24"/>
        </w:rPr>
        <w:t xml:space="preserve">Value of machine learning in predicting TAVI outcomes. </w:t>
      </w:r>
      <w:r w:rsidRPr="00757A85">
        <w:rPr>
          <w:rFonts w:ascii="Arial" w:hAnsi="Arial" w:cs="Arial"/>
          <w:i/>
          <w:iCs/>
          <w:noProof/>
          <w:sz w:val="20"/>
          <w:szCs w:val="24"/>
        </w:rPr>
        <w:t>Netherlands Hear J</w:t>
      </w:r>
      <w:r w:rsidRPr="00757A85">
        <w:rPr>
          <w:rFonts w:ascii="Arial" w:hAnsi="Arial" w:cs="Arial"/>
          <w:noProof/>
          <w:sz w:val="20"/>
          <w:szCs w:val="24"/>
        </w:rPr>
        <w:t>. 2019;27(9):443-450. doi:10.1007/s12471-019-1285-7</w:t>
      </w:r>
    </w:p>
    <w:p w14:paraId="35173F04"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32. </w:t>
      </w:r>
      <w:r w:rsidRPr="00757A85">
        <w:rPr>
          <w:rFonts w:ascii="Arial" w:hAnsi="Arial" w:cs="Arial"/>
          <w:noProof/>
          <w:sz w:val="20"/>
          <w:szCs w:val="24"/>
        </w:rPr>
        <w:tab/>
        <w:t xml:space="preserve">Maragatham G, Devi S. LSTM Model for Prediction of Heart Failure in Big Data. </w:t>
      </w:r>
      <w:r w:rsidRPr="00757A85">
        <w:rPr>
          <w:rFonts w:ascii="Arial" w:hAnsi="Arial" w:cs="Arial"/>
          <w:i/>
          <w:iCs/>
          <w:noProof/>
          <w:sz w:val="20"/>
          <w:szCs w:val="24"/>
        </w:rPr>
        <w:t>J Med Syst</w:t>
      </w:r>
      <w:r w:rsidRPr="00757A85">
        <w:rPr>
          <w:rFonts w:ascii="Arial" w:hAnsi="Arial" w:cs="Arial"/>
          <w:noProof/>
          <w:sz w:val="20"/>
          <w:szCs w:val="24"/>
        </w:rPr>
        <w:t>. 2019;43(5). doi:10.1007/s10916-019-1243-3</w:t>
      </w:r>
    </w:p>
    <w:p w14:paraId="57D93E2A"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33. </w:t>
      </w:r>
      <w:r w:rsidRPr="00757A85">
        <w:rPr>
          <w:rFonts w:ascii="Arial" w:hAnsi="Arial" w:cs="Arial"/>
          <w:noProof/>
          <w:sz w:val="20"/>
          <w:szCs w:val="24"/>
        </w:rPr>
        <w:tab/>
        <w:t xml:space="preserve">Shao CY, Liu KC, Li CL, et al. C-reactive protein to albumin ratio is a key indicator in a predictive model for anastomosis leakage after esophagectomy: Application of classification and regression tree analysis. </w:t>
      </w:r>
      <w:r w:rsidRPr="00757A85">
        <w:rPr>
          <w:rFonts w:ascii="Arial" w:hAnsi="Arial" w:cs="Arial"/>
          <w:i/>
          <w:iCs/>
          <w:noProof/>
          <w:sz w:val="20"/>
          <w:szCs w:val="24"/>
        </w:rPr>
        <w:t>Thorac Cancer</w:t>
      </w:r>
      <w:r w:rsidRPr="00757A85">
        <w:rPr>
          <w:rFonts w:ascii="Arial" w:hAnsi="Arial" w:cs="Arial"/>
          <w:noProof/>
          <w:sz w:val="20"/>
          <w:szCs w:val="24"/>
        </w:rPr>
        <w:t>. 2019;10(4):728-737. doi:10.1111/1759-7714.12990</w:t>
      </w:r>
    </w:p>
    <w:p w14:paraId="4432B690"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34. </w:t>
      </w:r>
      <w:r w:rsidRPr="00757A85">
        <w:rPr>
          <w:rFonts w:ascii="Arial" w:hAnsi="Arial" w:cs="Arial"/>
          <w:noProof/>
          <w:sz w:val="20"/>
          <w:szCs w:val="24"/>
        </w:rPr>
        <w:tab/>
        <w:t xml:space="preserve">Saccà V, Sarica A, Novellino F, et al. Evaluation of machine learning algorithms performance for the prediction of early multiple sclerosis from resting-state FMRI connectivity data. </w:t>
      </w:r>
      <w:r w:rsidRPr="00757A85">
        <w:rPr>
          <w:rFonts w:ascii="Arial" w:hAnsi="Arial" w:cs="Arial"/>
          <w:i/>
          <w:iCs/>
          <w:noProof/>
          <w:sz w:val="20"/>
          <w:szCs w:val="24"/>
        </w:rPr>
        <w:t>Brain Imaging Behav</w:t>
      </w:r>
      <w:r w:rsidRPr="00757A85">
        <w:rPr>
          <w:rFonts w:ascii="Arial" w:hAnsi="Arial" w:cs="Arial"/>
          <w:noProof/>
          <w:sz w:val="20"/>
          <w:szCs w:val="24"/>
        </w:rPr>
        <w:t>. 2019;13(4):1103-1114. doi:10.1007/s11682-018-9926-9</w:t>
      </w:r>
    </w:p>
    <w:p w14:paraId="68927BF7" w14:textId="77777777" w:rsidR="00A427B2" w:rsidRPr="00A427B2" w:rsidRDefault="00A427B2" w:rsidP="00A427B2">
      <w:pPr>
        <w:widowControl w:val="0"/>
        <w:autoSpaceDE w:val="0"/>
        <w:autoSpaceDN w:val="0"/>
        <w:adjustRightInd w:val="0"/>
        <w:spacing w:line="240" w:lineRule="auto"/>
        <w:ind w:left="640" w:hanging="640"/>
        <w:rPr>
          <w:rFonts w:ascii="Arial" w:hAnsi="Arial" w:cs="Arial"/>
          <w:noProof/>
          <w:sz w:val="20"/>
          <w:szCs w:val="24"/>
          <w:lang w:val="nl-NL"/>
        </w:rPr>
      </w:pPr>
      <w:r w:rsidRPr="00757A85">
        <w:rPr>
          <w:rFonts w:ascii="Arial" w:hAnsi="Arial" w:cs="Arial"/>
          <w:noProof/>
          <w:sz w:val="20"/>
          <w:szCs w:val="24"/>
        </w:rPr>
        <w:t xml:space="preserve">35. </w:t>
      </w:r>
      <w:r w:rsidRPr="00757A85">
        <w:rPr>
          <w:rFonts w:ascii="Arial" w:hAnsi="Arial" w:cs="Arial"/>
          <w:noProof/>
          <w:sz w:val="20"/>
          <w:szCs w:val="24"/>
        </w:rPr>
        <w:tab/>
        <w:t xml:space="preserve">Cearns M, Opel N, Clark S, et al. Predicting rehospitalization within 2 years of initial patient admission for a major depressive episode: a multimodal machine learning approach. </w:t>
      </w:r>
      <w:r w:rsidRPr="00A427B2">
        <w:rPr>
          <w:rFonts w:ascii="Arial" w:hAnsi="Arial" w:cs="Arial"/>
          <w:i/>
          <w:iCs/>
          <w:noProof/>
          <w:sz w:val="20"/>
          <w:szCs w:val="24"/>
          <w:lang w:val="nl-NL"/>
        </w:rPr>
        <w:t>Transl Psychiatry</w:t>
      </w:r>
      <w:r w:rsidRPr="00A427B2">
        <w:rPr>
          <w:rFonts w:ascii="Arial" w:hAnsi="Arial" w:cs="Arial"/>
          <w:noProof/>
          <w:sz w:val="20"/>
          <w:szCs w:val="24"/>
          <w:lang w:val="nl-NL"/>
        </w:rPr>
        <w:t>. 2019;9(1). doi:10.1038/s41398-019-0615-2</w:t>
      </w:r>
    </w:p>
    <w:p w14:paraId="56AAA1C6"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A427B2">
        <w:rPr>
          <w:rFonts w:ascii="Arial" w:hAnsi="Arial" w:cs="Arial"/>
          <w:noProof/>
          <w:sz w:val="20"/>
          <w:szCs w:val="24"/>
          <w:lang w:val="nl-NL"/>
        </w:rPr>
        <w:t xml:space="preserve">36. </w:t>
      </w:r>
      <w:r w:rsidRPr="00A427B2">
        <w:rPr>
          <w:rFonts w:ascii="Arial" w:hAnsi="Arial" w:cs="Arial"/>
          <w:noProof/>
          <w:sz w:val="20"/>
          <w:szCs w:val="24"/>
          <w:lang w:val="nl-NL"/>
        </w:rPr>
        <w:tab/>
        <w:t xml:space="preserve">Bouts MJRJ, van der Grond J, Vernooij MW, et al. </w:t>
      </w:r>
      <w:r w:rsidRPr="00757A85">
        <w:rPr>
          <w:rFonts w:ascii="Arial" w:hAnsi="Arial" w:cs="Arial"/>
          <w:noProof/>
          <w:sz w:val="20"/>
          <w:szCs w:val="24"/>
        </w:rPr>
        <w:t xml:space="preserve">Detection of mild cognitive impairment in a community-dwelling population using quantitative, multiparametric MRI-based classification. </w:t>
      </w:r>
      <w:r w:rsidRPr="00757A85">
        <w:rPr>
          <w:rFonts w:ascii="Arial" w:hAnsi="Arial" w:cs="Arial"/>
          <w:i/>
          <w:iCs/>
          <w:noProof/>
          <w:sz w:val="20"/>
          <w:szCs w:val="24"/>
        </w:rPr>
        <w:t>Hum Brain Mapp</w:t>
      </w:r>
      <w:r w:rsidRPr="00757A85">
        <w:rPr>
          <w:rFonts w:ascii="Arial" w:hAnsi="Arial" w:cs="Arial"/>
          <w:noProof/>
          <w:sz w:val="20"/>
          <w:szCs w:val="24"/>
        </w:rPr>
        <w:t>. 2019;40(9):2711-2722. doi:10.1002/hbm.24554</w:t>
      </w:r>
    </w:p>
    <w:p w14:paraId="6B0D0A1C"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37. </w:t>
      </w:r>
      <w:r w:rsidRPr="00757A85">
        <w:rPr>
          <w:rFonts w:ascii="Arial" w:hAnsi="Arial" w:cs="Arial"/>
          <w:noProof/>
          <w:sz w:val="20"/>
          <w:szCs w:val="24"/>
        </w:rPr>
        <w:tab/>
        <w:t xml:space="preserve">Huben NB, Hussein AA, May PR, et al. Development of a Patient-Based Model for Estimating Operative Times for Robot-Assisted Radical Prostatectomy. </w:t>
      </w:r>
      <w:r w:rsidRPr="00757A85">
        <w:rPr>
          <w:rFonts w:ascii="Arial" w:hAnsi="Arial" w:cs="Arial"/>
          <w:i/>
          <w:iCs/>
          <w:noProof/>
          <w:sz w:val="20"/>
          <w:szCs w:val="24"/>
        </w:rPr>
        <w:t>J Endourol</w:t>
      </w:r>
      <w:r w:rsidRPr="00757A85">
        <w:rPr>
          <w:rFonts w:ascii="Arial" w:hAnsi="Arial" w:cs="Arial"/>
          <w:noProof/>
          <w:sz w:val="20"/>
          <w:szCs w:val="24"/>
        </w:rPr>
        <w:t>. 2018;32(8):730-736. doi:10.1089/end.2018.0249</w:t>
      </w:r>
    </w:p>
    <w:p w14:paraId="6E49C490"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38. </w:t>
      </w:r>
      <w:r w:rsidRPr="00757A85">
        <w:rPr>
          <w:rFonts w:ascii="Arial" w:hAnsi="Arial" w:cs="Arial"/>
          <w:noProof/>
          <w:sz w:val="20"/>
          <w:szCs w:val="24"/>
        </w:rPr>
        <w:tab/>
        <w:t xml:space="preserve">Hale AT, Stonko DP, Brown A, et al. Machine-learning analysis outperforms conventional statistical models and CT classification </w:t>
      </w:r>
      <w:r w:rsidRPr="00757A85">
        <w:rPr>
          <w:rFonts w:ascii="Arial" w:hAnsi="Arial" w:cs="Arial"/>
          <w:noProof/>
          <w:sz w:val="20"/>
          <w:szCs w:val="24"/>
        </w:rPr>
        <w:lastRenderedPageBreak/>
        <w:t xml:space="preserve">systems in predicting 6-month outcomes in pediatric patients sustaining traumatic brain injury. </w:t>
      </w:r>
      <w:r w:rsidRPr="00757A85">
        <w:rPr>
          <w:rFonts w:ascii="Arial" w:hAnsi="Arial" w:cs="Arial"/>
          <w:i/>
          <w:iCs/>
          <w:noProof/>
          <w:sz w:val="20"/>
          <w:szCs w:val="24"/>
        </w:rPr>
        <w:t>Neurosurg Focus</w:t>
      </w:r>
      <w:r w:rsidRPr="00757A85">
        <w:rPr>
          <w:rFonts w:ascii="Arial" w:hAnsi="Arial" w:cs="Arial"/>
          <w:noProof/>
          <w:sz w:val="20"/>
          <w:szCs w:val="24"/>
        </w:rPr>
        <w:t>. 2018;45(5):1-7. doi:10.3171/2018.8.FOCUS17773</w:t>
      </w:r>
    </w:p>
    <w:p w14:paraId="1F06B3D6"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39. </w:t>
      </w:r>
      <w:r w:rsidRPr="00757A85">
        <w:rPr>
          <w:rFonts w:ascii="Arial" w:hAnsi="Arial" w:cs="Arial"/>
          <w:noProof/>
          <w:sz w:val="20"/>
          <w:szCs w:val="24"/>
        </w:rPr>
        <w:tab/>
        <w:t xml:space="preserve">Salvatore C, Castiglioni I. A wrapped multi-label classifier for the automatic diagnosis and prognosis of Alzheimer’s disease. </w:t>
      </w:r>
      <w:r w:rsidRPr="00757A85">
        <w:rPr>
          <w:rFonts w:ascii="Arial" w:hAnsi="Arial" w:cs="Arial"/>
          <w:i/>
          <w:iCs/>
          <w:noProof/>
          <w:sz w:val="20"/>
          <w:szCs w:val="24"/>
        </w:rPr>
        <w:t>J Neurosci Methods</w:t>
      </w:r>
      <w:r w:rsidRPr="00757A85">
        <w:rPr>
          <w:rFonts w:ascii="Arial" w:hAnsi="Arial" w:cs="Arial"/>
          <w:noProof/>
          <w:sz w:val="20"/>
          <w:szCs w:val="24"/>
        </w:rPr>
        <w:t>. 2018;302:58-65. doi:10.1016/j.jneumeth.2017.12.016</w:t>
      </w:r>
    </w:p>
    <w:p w14:paraId="5F2DE564"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40. </w:t>
      </w:r>
      <w:r w:rsidRPr="00757A85">
        <w:rPr>
          <w:rFonts w:ascii="Arial" w:hAnsi="Arial" w:cs="Arial"/>
          <w:noProof/>
          <w:sz w:val="20"/>
          <w:szCs w:val="24"/>
        </w:rPr>
        <w:tab/>
        <w:t xml:space="preserve">Yang H, Bath PA. The Use of Data Mining Methods for the Prediction of Dementia: Evidence from the English Longitudinal Study of Aging. </w:t>
      </w:r>
      <w:r w:rsidRPr="00757A85">
        <w:rPr>
          <w:rFonts w:ascii="Arial" w:hAnsi="Arial" w:cs="Arial"/>
          <w:i/>
          <w:iCs/>
          <w:noProof/>
          <w:sz w:val="20"/>
          <w:szCs w:val="24"/>
        </w:rPr>
        <w:t>IEEE J Biomed Heal Informatics</w:t>
      </w:r>
      <w:r w:rsidRPr="00757A85">
        <w:rPr>
          <w:rFonts w:ascii="Arial" w:hAnsi="Arial" w:cs="Arial"/>
          <w:noProof/>
          <w:sz w:val="20"/>
          <w:szCs w:val="24"/>
        </w:rPr>
        <w:t>. 2020;24(2):345-353. doi:10.1109/JBHI.2019.2921418</w:t>
      </w:r>
    </w:p>
    <w:p w14:paraId="7EC6268F" w14:textId="77777777" w:rsidR="00A427B2" w:rsidRPr="00A427B2" w:rsidRDefault="00A427B2" w:rsidP="00A427B2">
      <w:pPr>
        <w:widowControl w:val="0"/>
        <w:autoSpaceDE w:val="0"/>
        <w:autoSpaceDN w:val="0"/>
        <w:adjustRightInd w:val="0"/>
        <w:spacing w:line="240" w:lineRule="auto"/>
        <w:ind w:left="640" w:hanging="640"/>
        <w:rPr>
          <w:rFonts w:ascii="Arial" w:hAnsi="Arial" w:cs="Arial"/>
          <w:noProof/>
          <w:sz w:val="20"/>
          <w:szCs w:val="24"/>
          <w:lang w:val="nl-NL"/>
        </w:rPr>
      </w:pPr>
      <w:r w:rsidRPr="00757A85">
        <w:rPr>
          <w:rFonts w:ascii="Arial" w:hAnsi="Arial" w:cs="Arial"/>
          <w:noProof/>
          <w:sz w:val="20"/>
          <w:szCs w:val="24"/>
        </w:rPr>
        <w:t xml:space="preserve">41. </w:t>
      </w:r>
      <w:r w:rsidRPr="00757A85">
        <w:rPr>
          <w:rFonts w:ascii="Arial" w:hAnsi="Arial" w:cs="Arial"/>
          <w:noProof/>
          <w:sz w:val="20"/>
          <w:szCs w:val="24"/>
        </w:rPr>
        <w:tab/>
        <w:t xml:space="preserve">Zhou M, Fukuoka Y, Goldberg K, Vittinghoff E, Aswani A. Applying machine learning to predict future adherence to physical activity programs. </w:t>
      </w:r>
      <w:r w:rsidRPr="00A427B2">
        <w:rPr>
          <w:rFonts w:ascii="Arial" w:hAnsi="Arial" w:cs="Arial"/>
          <w:i/>
          <w:iCs/>
          <w:noProof/>
          <w:sz w:val="20"/>
          <w:szCs w:val="24"/>
          <w:lang w:val="nl-NL"/>
        </w:rPr>
        <w:t>BMC Med Inform Decis Mak</w:t>
      </w:r>
      <w:r w:rsidRPr="00A427B2">
        <w:rPr>
          <w:rFonts w:ascii="Arial" w:hAnsi="Arial" w:cs="Arial"/>
          <w:noProof/>
          <w:sz w:val="20"/>
          <w:szCs w:val="24"/>
          <w:lang w:val="nl-NL"/>
        </w:rPr>
        <w:t>. 2019;19(1):0-11. doi:10.1186/s12911-019-0890-0</w:t>
      </w:r>
    </w:p>
    <w:p w14:paraId="12C2381C"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A427B2">
        <w:rPr>
          <w:rFonts w:ascii="Arial" w:hAnsi="Arial" w:cs="Arial"/>
          <w:noProof/>
          <w:sz w:val="20"/>
          <w:szCs w:val="24"/>
          <w:lang w:val="nl-NL"/>
        </w:rPr>
        <w:t xml:space="preserve">42. </w:t>
      </w:r>
      <w:r w:rsidRPr="00A427B2">
        <w:rPr>
          <w:rFonts w:ascii="Arial" w:hAnsi="Arial" w:cs="Arial"/>
          <w:noProof/>
          <w:sz w:val="20"/>
          <w:szCs w:val="24"/>
          <w:lang w:val="nl-NL"/>
        </w:rPr>
        <w:tab/>
        <w:t xml:space="preserve">Kang X, Liang Y, Wang S, et al. </w:t>
      </w:r>
      <w:r w:rsidRPr="00757A85">
        <w:rPr>
          <w:rFonts w:ascii="Arial" w:hAnsi="Arial" w:cs="Arial"/>
          <w:noProof/>
          <w:sz w:val="20"/>
          <w:szCs w:val="24"/>
        </w:rPr>
        <w:t xml:space="preserve">Prediction model comparison for gestational diabetes mellitus with macrosomia based on risk factor investigation. </w:t>
      </w:r>
      <w:r w:rsidRPr="00757A85">
        <w:rPr>
          <w:rFonts w:ascii="Arial" w:hAnsi="Arial" w:cs="Arial"/>
          <w:i/>
          <w:iCs/>
          <w:noProof/>
          <w:sz w:val="20"/>
          <w:szCs w:val="24"/>
        </w:rPr>
        <w:t>J Matern Neonatal Med</w:t>
      </w:r>
      <w:r w:rsidRPr="00757A85">
        <w:rPr>
          <w:rFonts w:ascii="Arial" w:hAnsi="Arial" w:cs="Arial"/>
          <w:noProof/>
          <w:sz w:val="20"/>
          <w:szCs w:val="24"/>
        </w:rPr>
        <w:t>. 2019;0(0):1-10. doi:10.1080/14767058.2019.1668922</w:t>
      </w:r>
    </w:p>
    <w:p w14:paraId="3FEF3CE6"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43. </w:t>
      </w:r>
      <w:r w:rsidRPr="00757A85">
        <w:rPr>
          <w:rFonts w:ascii="Arial" w:hAnsi="Arial" w:cs="Arial"/>
          <w:noProof/>
          <w:sz w:val="20"/>
          <w:szCs w:val="24"/>
        </w:rPr>
        <w:tab/>
        <w:t xml:space="preserve">Sauer CM, Sasson D, Paik KE, et al. Feature selection and prediction of treatment failure in tuberculosis. </w:t>
      </w:r>
      <w:r w:rsidRPr="00757A85">
        <w:rPr>
          <w:rFonts w:ascii="Arial" w:hAnsi="Arial" w:cs="Arial"/>
          <w:i/>
          <w:iCs/>
          <w:noProof/>
          <w:sz w:val="20"/>
          <w:szCs w:val="24"/>
        </w:rPr>
        <w:t>PLoS One</w:t>
      </w:r>
      <w:r w:rsidRPr="00757A85">
        <w:rPr>
          <w:rFonts w:ascii="Arial" w:hAnsi="Arial" w:cs="Arial"/>
          <w:noProof/>
          <w:sz w:val="20"/>
          <w:szCs w:val="24"/>
        </w:rPr>
        <w:t>. 2018;13(11):1-14. doi:10.1371/journal.pone.0207491</w:t>
      </w:r>
    </w:p>
    <w:p w14:paraId="58001C45" w14:textId="77777777" w:rsidR="00A427B2" w:rsidRPr="00A427B2" w:rsidRDefault="00A427B2" w:rsidP="00A427B2">
      <w:pPr>
        <w:widowControl w:val="0"/>
        <w:autoSpaceDE w:val="0"/>
        <w:autoSpaceDN w:val="0"/>
        <w:adjustRightInd w:val="0"/>
        <w:spacing w:line="240" w:lineRule="auto"/>
        <w:ind w:left="640" w:hanging="640"/>
        <w:rPr>
          <w:rFonts w:ascii="Arial" w:hAnsi="Arial" w:cs="Arial"/>
          <w:noProof/>
          <w:sz w:val="20"/>
          <w:szCs w:val="24"/>
          <w:lang w:val="nl-NL"/>
        </w:rPr>
      </w:pPr>
      <w:r w:rsidRPr="00757A85">
        <w:rPr>
          <w:rFonts w:ascii="Arial" w:hAnsi="Arial" w:cs="Arial"/>
          <w:noProof/>
          <w:sz w:val="20"/>
          <w:szCs w:val="24"/>
        </w:rPr>
        <w:t xml:space="preserve">44. </w:t>
      </w:r>
      <w:r w:rsidRPr="00757A85">
        <w:rPr>
          <w:rFonts w:ascii="Arial" w:hAnsi="Arial" w:cs="Arial"/>
          <w:noProof/>
          <w:sz w:val="20"/>
          <w:szCs w:val="24"/>
        </w:rPr>
        <w:tab/>
        <w:t xml:space="preserve">Thornblade LW, Flum DR, Flaxman AD. Predicting Future Elective Colon Resection for Diverticulitis Using Patterns of Health Care Utilization. </w:t>
      </w:r>
      <w:r w:rsidRPr="00757A85">
        <w:rPr>
          <w:rFonts w:ascii="Arial" w:hAnsi="Arial" w:cs="Arial"/>
          <w:i/>
          <w:iCs/>
          <w:noProof/>
          <w:sz w:val="20"/>
          <w:szCs w:val="24"/>
        </w:rPr>
        <w:t>eGEMs (Generating Evid Methods to Improv patient outcomes)</w:t>
      </w:r>
      <w:r w:rsidRPr="00757A85">
        <w:rPr>
          <w:rFonts w:ascii="Arial" w:hAnsi="Arial" w:cs="Arial"/>
          <w:noProof/>
          <w:sz w:val="20"/>
          <w:szCs w:val="24"/>
        </w:rPr>
        <w:t xml:space="preserve">. </w:t>
      </w:r>
      <w:r w:rsidRPr="00A427B2">
        <w:rPr>
          <w:rFonts w:ascii="Arial" w:hAnsi="Arial" w:cs="Arial"/>
          <w:noProof/>
          <w:sz w:val="20"/>
          <w:szCs w:val="24"/>
          <w:lang w:val="nl-NL"/>
        </w:rPr>
        <w:t>2018;6(1):1. doi:10.5334/egems.193</w:t>
      </w:r>
    </w:p>
    <w:p w14:paraId="17495F4E"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A427B2">
        <w:rPr>
          <w:rFonts w:ascii="Arial" w:hAnsi="Arial" w:cs="Arial"/>
          <w:noProof/>
          <w:sz w:val="20"/>
          <w:szCs w:val="24"/>
          <w:lang w:val="nl-NL"/>
        </w:rPr>
        <w:t xml:space="preserve">45. </w:t>
      </w:r>
      <w:r w:rsidRPr="00A427B2">
        <w:rPr>
          <w:rFonts w:ascii="Arial" w:hAnsi="Arial" w:cs="Arial"/>
          <w:noProof/>
          <w:sz w:val="20"/>
          <w:szCs w:val="24"/>
          <w:lang w:val="nl-NL"/>
        </w:rPr>
        <w:tab/>
        <w:t xml:space="preserve">Lei VJ, Kennedy EH, Luong T, et al. </w:t>
      </w:r>
      <w:r w:rsidRPr="00757A85">
        <w:rPr>
          <w:rFonts w:ascii="Arial" w:hAnsi="Arial" w:cs="Arial"/>
          <w:noProof/>
          <w:sz w:val="20"/>
          <w:szCs w:val="24"/>
        </w:rPr>
        <w:t xml:space="preserve">Model performance metrics in assessing the value of adding intraoperative data for death prediction: Applications to noncardiac surgery. </w:t>
      </w:r>
      <w:r w:rsidRPr="00757A85">
        <w:rPr>
          <w:rFonts w:ascii="Arial" w:hAnsi="Arial" w:cs="Arial"/>
          <w:i/>
          <w:iCs/>
          <w:noProof/>
          <w:sz w:val="20"/>
          <w:szCs w:val="24"/>
        </w:rPr>
        <w:t>Stud Health Technol Inform</w:t>
      </w:r>
      <w:r w:rsidRPr="00757A85">
        <w:rPr>
          <w:rFonts w:ascii="Arial" w:hAnsi="Arial" w:cs="Arial"/>
          <w:noProof/>
          <w:sz w:val="20"/>
          <w:szCs w:val="24"/>
        </w:rPr>
        <w:t>. 2019;264:223-227. doi:10.3233/SHTI190216</w:t>
      </w:r>
    </w:p>
    <w:p w14:paraId="74D9FDD0"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46. </w:t>
      </w:r>
      <w:r w:rsidRPr="00757A85">
        <w:rPr>
          <w:rFonts w:ascii="Arial" w:hAnsi="Arial" w:cs="Arial"/>
          <w:noProof/>
          <w:sz w:val="20"/>
          <w:szCs w:val="24"/>
        </w:rPr>
        <w:tab/>
        <w:t xml:space="preserve">Lee SJ, Yu SH, Kim Y, et al. Development of integrated data and prediction system platform for the localized prostate cancer. </w:t>
      </w:r>
      <w:r w:rsidRPr="00757A85">
        <w:rPr>
          <w:rFonts w:ascii="Arial" w:hAnsi="Arial" w:cs="Arial"/>
          <w:i/>
          <w:iCs/>
          <w:noProof/>
          <w:sz w:val="20"/>
          <w:szCs w:val="24"/>
        </w:rPr>
        <w:t>Stud Health Technol Inform</w:t>
      </w:r>
      <w:r w:rsidRPr="00757A85">
        <w:rPr>
          <w:rFonts w:ascii="Arial" w:hAnsi="Arial" w:cs="Arial"/>
          <w:noProof/>
          <w:sz w:val="20"/>
          <w:szCs w:val="24"/>
        </w:rPr>
        <w:t>. 2019;264:1506-1507. doi:10.3233/SHTI190507</w:t>
      </w:r>
    </w:p>
    <w:p w14:paraId="69EB0387"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47. </w:t>
      </w:r>
      <w:r w:rsidRPr="00757A85">
        <w:rPr>
          <w:rFonts w:ascii="Arial" w:hAnsi="Arial" w:cs="Arial"/>
          <w:noProof/>
          <w:sz w:val="20"/>
          <w:szCs w:val="24"/>
        </w:rPr>
        <w:tab/>
        <w:t xml:space="preserve">Auffenberg GB, Ghani KR, Ramani S, et al. askMUSIC: Leveraging a Clinical Registry to Develop a New Machine Learning Model to Inform Patients of Prostate Cancer Treatments Chosen by Similar Men. </w:t>
      </w:r>
      <w:r w:rsidRPr="00757A85">
        <w:rPr>
          <w:rFonts w:ascii="Arial" w:hAnsi="Arial" w:cs="Arial"/>
          <w:i/>
          <w:iCs/>
          <w:noProof/>
          <w:sz w:val="20"/>
          <w:szCs w:val="24"/>
        </w:rPr>
        <w:t>Eur Urol</w:t>
      </w:r>
      <w:r w:rsidRPr="00757A85">
        <w:rPr>
          <w:rFonts w:ascii="Arial" w:hAnsi="Arial" w:cs="Arial"/>
          <w:noProof/>
          <w:sz w:val="20"/>
          <w:szCs w:val="24"/>
        </w:rPr>
        <w:t>. 2019;75(6):901-907. doi:10.1016/j.eururo.2018.09.050</w:t>
      </w:r>
    </w:p>
    <w:p w14:paraId="77F352B1"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48. </w:t>
      </w:r>
      <w:r w:rsidRPr="00757A85">
        <w:rPr>
          <w:rFonts w:ascii="Arial" w:hAnsi="Arial" w:cs="Arial"/>
          <w:noProof/>
          <w:sz w:val="20"/>
          <w:szCs w:val="24"/>
        </w:rPr>
        <w:tab/>
        <w:t xml:space="preserve">Wang Z, Wang B, Zhou Y, Li D, Yin Y. Weight-based multiple empirical kernel learning with neighbor discriminant constraint for heart failure mortality prediction. </w:t>
      </w:r>
      <w:r w:rsidRPr="00757A85">
        <w:rPr>
          <w:rFonts w:ascii="Arial" w:hAnsi="Arial" w:cs="Arial"/>
          <w:i/>
          <w:iCs/>
          <w:noProof/>
          <w:sz w:val="20"/>
          <w:szCs w:val="24"/>
        </w:rPr>
        <w:t>J Biomed Inform</w:t>
      </w:r>
      <w:r w:rsidRPr="00757A85">
        <w:rPr>
          <w:rFonts w:ascii="Arial" w:hAnsi="Arial" w:cs="Arial"/>
          <w:noProof/>
          <w:sz w:val="20"/>
          <w:szCs w:val="24"/>
        </w:rPr>
        <w:t>. 2020;101(November 2018):103340. doi:10.1016/j.jbi.2019.103340</w:t>
      </w:r>
    </w:p>
    <w:p w14:paraId="4CB84BC8"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49. </w:t>
      </w:r>
      <w:r w:rsidRPr="00757A85">
        <w:rPr>
          <w:rFonts w:ascii="Arial" w:hAnsi="Arial" w:cs="Arial"/>
          <w:noProof/>
          <w:sz w:val="20"/>
          <w:szCs w:val="24"/>
        </w:rPr>
        <w:tab/>
        <w:t xml:space="preserve">Nelson A, Herron D, Rees G, Nachev P. Predicting scheduled hospital attendance with artificial intelligence. </w:t>
      </w:r>
      <w:r w:rsidRPr="00757A85">
        <w:rPr>
          <w:rFonts w:ascii="Arial" w:hAnsi="Arial" w:cs="Arial"/>
          <w:i/>
          <w:iCs/>
          <w:noProof/>
          <w:sz w:val="20"/>
          <w:szCs w:val="24"/>
        </w:rPr>
        <w:t>npj Digit Med</w:t>
      </w:r>
      <w:r w:rsidRPr="00757A85">
        <w:rPr>
          <w:rFonts w:ascii="Arial" w:hAnsi="Arial" w:cs="Arial"/>
          <w:noProof/>
          <w:sz w:val="20"/>
          <w:szCs w:val="24"/>
        </w:rPr>
        <w:t>. 2019;2(1):1-7. doi:10.1038/s41746-019-0103-3</w:t>
      </w:r>
    </w:p>
    <w:p w14:paraId="55401EAF"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50. </w:t>
      </w:r>
      <w:r w:rsidRPr="00757A85">
        <w:rPr>
          <w:rFonts w:ascii="Arial" w:hAnsi="Arial" w:cs="Arial"/>
          <w:noProof/>
          <w:sz w:val="20"/>
          <w:szCs w:val="24"/>
        </w:rPr>
        <w:tab/>
        <w:t xml:space="preserve">Shibahara T, Ikuta S, Muragaki Y. Machine-Learning Approach for Modeling Myelosuppression Attributed to Nimustine Hydrochloride. </w:t>
      </w:r>
      <w:r w:rsidRPr="00757A85">
        <w:rPr>
          <w:rFonts w:ascii="Arial" w:hAnsi="Arial" w:cs="Arial"/>
          <w:i/>
          <w:iCs/>
          <w:noProof/>
          <w:sz w:val="20"/>
          <w:szCs w:val="24"/>
        </w:rPr>
        <w:t>JCO Clin Cancer Informatics</w:t>
      </w:r>
      <w:r w:rsidRPr="00757A85">
        <w:rPr>
          <w:rFonts w:ascii="Arial" w:hAnsi="Arial" w:cs="Arial"/>
          <w:noProof/>
          <w:sz w:val="20"/>
          <w:szCs w:val="24"/>
        </w:rPr>
        <w:t>. 2018;(2):1-21. doi:10.1200/cci.17.00022</w:t>
      </w:r>
    </w:p>
    <w:p w14:paraId="17E5F00D"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51. </w:t>
      </w:r>
      <w:r w:rsidRPr="00757A85">
        <w:rPr>
          <w:rFonts w:ascii="Arial" w:hAnsi="Arial" w:cs="Arial"/>
          <w:noProof/>
          <w:sz w:val="20"/>
          <w:szCs w:val="24"/>
        </w:rPr>
        <w:tab/>
        <w:t xml:space="preserve">Liang S, Brown MRG, Deng W, et al. Convergence and divergence of neurocognitive patterns in schizophrenia and depression. </w:t>
      </w:r>
      <w:r w:rsidRPr="00757A85">
        <w:rPr>
          <w:rFonts w:ascii="Arial" w:hAnsi="Arial" w:cs="Arial"/>
          <w:i/>
          <w:iCs/>
          <w:noProof/>
          <w:sz w:val="20"/>
          <w:szCs w:val="24"/>
        </w:rPr>
        <w:t>Schizophr Res</w:t>
      </w:r>
      <w:r w:rsidRPr="00757A85">
        <w:rPr>
          <w:rFonts w:ascii="Arial" w:hAnsi="Arial" w:cs="Arial"/>
          <w:noProof/>
          <w:sz w:val="20"/>
          <w:szCs w:val="24"/>
        </w:rPr>
        <w:t>. 2018;192:327-334. doi:10.1016/j.schres.2017.06.004</w:t>
      </w:r>
    </w:p>
    <w:p w14:paraId="6B36D958"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52. </w:t>
      </w:r>
      <w:r w:rsidRPr="00757A85">
        <w:rPr>
          <w:rFonts w:ascii="Arial" w:hAnsi="Arial" w:cs="Arial"/>
          <w:noProof/>
          <w:sz w:val="20"/>
          <w:szCs w:val="24"/>
        </w:rPr>
        <w:tab/>
        <w:t xml:space="preserve">Chen R, Stewart WF, Sun J, Ng K, Yan X. Recurrent neural networks for early detection of heart failure from longitudinal electronic health record data: Implications for temporal modeling with respect to time before diagnosis, data density, data quantity, and data type. </w:t>
      </w:r>
      <w:r w:rsidRPr="00757A85">
        <w:rPr>
          <w:rFonts w:ascii="Arial" w:hAnsi="Arial" w:cs="Arial"/>
          <w:i/>
          <w:iCs/>
          <w:noProof/>
          <w:sz w:val="20"/>
          <w:szCs w:val="24"/>
        </w:rPr>
        <w:t>Circ Cardiovasc Qual Outcomes</w:t>
      </w:r>
      <w:r w:rsidRPr="00757A85">
        <w:rPr>
          <w:rFonts w:ascii="Arial" w:hAnsi="Arial" w:cs="Arial"/>
          <w:noProof/>
          <w:sz w:val="20"/>
          <w:szCs w:val="24"/>
        </w:rPr>
        <w:t>. 2019;12(10):1-15. doi:10.1161/CIRCOUTCOMES.118.005114</w:t>
      </w:r>
    </w:p>
    <w:p w14:paraId="323CEEC5"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53. </w:t>
      </w:r>
      <w:r w:rsidRPr="00757A85">
        <w:rPr>
          <w:rFonts w:ascii="Arial" w:hAnsi="Arial" w:cs="Arial"/>
          <w:noProof/>
          <w:sz w:val="20"/>
          <w:szCs w:val="24"/>
        </w:rPr>
        <w:tab/>
        <w:t xml:space="preserve">Klang E, Barash Y, Soffer S, et al. Promoting head CT exams in the emergency department triage using a machine learning model. </w:t>
      </w:r>
      <w:r w:rsidRPr="00757A85">
        <w:rPr>
          <w:rFonts w:ascii="Arial" w:hAnsi="Arial" w:cs="Arial"/>
          <w:i/>
          <w:iCs/>
          <w:noProof/>
          <w:sz w:val="20"/>
          <w:szCs w:val="24"/>
        </w:rPr>
        <w:t>Neuroradiology</w:t>
      </w:r>
      <w:r w:rsidRPr="00757A85">
        <w:rPr>
          <w:rFonts w:ascii="Arial" w:hAnsi="Arial" w:cs="Arial"/>
          <w:noProof/>
          <w:sz w:val="20"/>
          <w:szCs w:val="24"/>
        </w:rPr>
        <w:t>. 2020;62(2):153-160. doi:10.1007/s00234-019-02293-y</w:t>
      </w:r>
    </w:p>
    <w:p w14:paraId="66A0C153"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54. </w:t>
      </w:r>
      <w:r w:rsidRPr="00757A85">
        <w:rPr>
          <w:rFonts w:ascii="Arial" w:hAnsi="Arial" w:cs="Arial"/>
          <w:noProof/>
          <w:sz w:val="20"/>
          <w:szCs w:val="24"/>
        </w:rPr>
        <w:tab/>
        <w:t xml:space="preserve">Fan Y, Li Y, Li Y, et al. Development and assessment of machine learning algorithms for predicting remission after transsphenoidal surgery among patients with acromegaly. </w:t>
      </w:r>
      <w:r w:rsidRPr="00757A85">
        <w:rPr>
          <w:rFonts w:ascii="Arial" w:hAnsi="Arial" w:cs="Arial"/>
          <w:i/>
          <w:iCs/>
          <w:noProof/>
          <w:sz w:val="20"/>
          <w:szCs w:val="24"/>
        </w:rPr>
        <w:t>Endocrine</w:t>
      </w:r>
      <w:r w:rsidRPr="00757A85">
        <w:rPr>
          <w:rFonts w:ascii="Arial" w:hAnsi="Arial" w:cs="Arial"/>
          <w:noProof/>
          <w:sz w:val="20"/>
          <w:szCs w:val="24"/>
        </w:rPr>
        <w:t>. 2020;67(2):412-422. doi:10.1007/s12020-019-02121-6</w:t>
      </w:r>
    </w:p>
    <w:p w14:paraId="40256B1D" w14:textId="77777777" w:rsidR="00A427B2" w:rsidRPr="00A427B2" w:rsidRDefault="00A427B2" w:rsidP="00A427B2">
      <w:pPr>
        <w:widowControl w:val="0"/>
        <w:autoSpaceDE w:val="0"/>
        <w:autoSpaceDN w:val="0"/>
        <w:adjustRightInd w:val="0"/>
        <w:spacing w:line="240" w:lineRule="auto"/>
        <w:ind w:left="640" w:hanging="640"/>
        <w:rPr>
          <w:rFonts w:ascii="Arial" w:hAnsi="Arial" w:cs="Arial"/>
          <w:noProof/>
          <w:sz w:val="20"/>
          <w:szCs w:val="24"/>
          <w:lang w:val="nl-NL"/>
        </w:rPr>
      </w:pPr>
      <w:r w:rsidRPr="00757A85">
        <w:rPr>
          <w:rFonts w:ascii="Arial" w:hAnsi="Arial" w:cs="Arial"/>
          <w:noProof/>
          <w:sz w:val="20"/>
          <w:szCs w:val="24"/>
        </w:rPr>
        <w:t xml:space="preserve">55. </w:t>
      </w:r>
      <w:r w:rsidRPr="00757A85">
        <w:rPr>
          <w:rFonts w:ascii="Arial" w:hAnsi="Arial" w:cs="Arial"/>
          <w:noProof/>
          <w:sz w:val="20"/>
          <w:szCs w:val="24"/>
        </w:rPr>
        <w:tab/>
        <w:t xml:space="preserve">Ferré Á, Poca MA, De La Calzada MD, et al. A conditional inference tree model for predicting sleep-related breathing disorders in patients with Chiari malformation type 1: Description and external validation. </w:t>
      </w:r>
      <w:r w:rsidRPr="00A427B2">
        <w:rPr>
          <w:rFonts w:ascii="Arial" w:hAnsi="Arial" w:cs="Arial"/>
          <w:i/>
          <w:iCs/>
          <w:noProof/>
          <w:sz w:val="20"/>
          <w:szCs w:val="24"/>
          <w:lang w:val="nl-NL"/>
        </w:rPr>
        <w:t>J Clin Sleep Med</w:t>
      </w:r>
      <w:r w:rsidRPr="00A427B2">
        <w:rPr>
          <w:rFonts w:ascii="Arial" w:hAnsi="Arial" w:cs="Arial"/>
          <w:noProof/>
          <w:sz w:val="20"/>
          <w:szCs w:val="24"/>
          <w:lang w:val="nl-NL"/>
        </w:rPr>
        <w:t>. 2019;15(1):89-99. doi:10.5664/jcsm.7578</w:t>
      </w:r>
    </w:p>
    <w:p w14:paraId="768B08D4"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A427B2">
        <w:rPr>
          <w:rFonts w:ascii="Arial" w:hAnsi="Arial" w:cs="Arial"/>
          <w:noProof/>
          <w:sz w:val="20"/>
          <w:szCs w:val="24"/>
          <w:lang w:val="nl-NL"/>
        </w:rPr>
        <w:t xml:space="preserve">56. </w:t>
      </w:r>
      <w:r w:rsidRPr="00A427B2">
        <w:rPr>
          <w:rFonts w:ascii="Arial" w:hAnsi="Arial" w:cs="Arial"/>
          <w:noProof/>
          <w:sz w:val="20"/>
          <w:szCs w:val="24"/>
          <w:lang w:val="nl-NL"/>
        </w:rPr>
        <w:tab/>
        <w:t xml:space="preserve">Zhang F, Zhang Y, Ke C, et al. </w:t>
      </w:r>
      <w:r w:rsidRPr="00757A85">
        <w:rPr>
          <w:rFonts w:ascii="Arial" w:hAnsi="Arial" w:cs="Arial"/>
          <w:noProof/>
          <w:sz w:val="20"/>
          <w:szCs w:val="24"/>
        </w:rPr>
        <w:t xml:space="preserve">Predicting ovarian cancer recurrence by plasma metabolic profiles before and after surgery. </w:t>
      </w:r>
      <w:r w:rsidRPr="00757A85">
        <w:rPr>
          <w:rFonts w:ascii="Arial" w:hAnsi="Arial" w:cs="Arial"/>
          <w:i/>
          <w:iCs/>
          <w:noProof/>
          <w:sz w:val="20"/>
          <w:szCs w:val="24"/>
        </w:rPr>
        <w:t>Metabolomics</w:t>
      </w:r>
      <w:r w:rsidRPr="00757A85">
        <w:rPr>
          <w:rFonts w:ascii="Arial" w:hAnsi="Arial" w:cs="Arial"/>
          <w:noProof/>
          <w:sz w:val="20"/>
          <w:szCs w:val="24"/>
        </w:rPr>
        <w:t>. 2018;14(5):1-9. doi:10.1007/s11306-018-1354-8</w:t>
      </w:r>
    </w:p>
    <w:p w14:paraId="4EDEB04A"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57. </w:t>
      </w:r>
      <w:r w:rsidRPr="00757A85">
        <w:rPr>
          <w:rFonts w:ascii="Arial" w:hAnsi="Arial" w:cs="Arial"/>
          <w:noProof/>
          <w:sz w:val="20"/>
          <w:szCs w:val="24"/>
        </w:rPr>
        <w:tab/>
        <w:t xml:space="preserve">Ferrer-Peña R, Calvo-Lobo C, Gómez M, Muñoz-García D. Prediction Model for Choosing Needle Length to Minimize Risk of Median Nerve Puncture With Dry Needling of the Pronator Teres. </w:t>
      </w:r>
      <w:r w:rsidRPr="00757A85">
        <w:rPr>
          <w:rFonts w:ascii="Arial" w:hAnsi="Arial" w:cs="Arial"/>
          <w:i/>
          <w:iCs/>
          <w:noProof/>
          <w:sz w:val="20"/>
          <w:szCs w:val="24"/>
        </w:rPr>
        <w:t>J Manipulative Physiol Ther</w:t>
      </w:r>
      <w:r w:rsidRPr="00757A85">
        <w:rPr>
          <w:rFonts w:ascii="Arial" w:hAnsi="Arial" w:cs="Arial"/>
          <w:noProof/>
          <w:sz w:val="20"/>
          <w:szCs w:val="24"/>
        </w:rPr>
        <w:t>. 2019;42(5):366-371. doi:10.1016/j.jmpt.2018.11.020</w:t>
      </w:r>
    </w:p>
    <w:p w14:paraId="501DE9B6"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lastRenderedPageBreak/>
        <w:t xml:space="preserve">58. </w:t>
      </w:r>
      <w:r w:rsidRPr="00757A85">
        <w:rPr>
          <w:rFonts w:ascii="Arial" w:hAnsi="Arial" w:cs="Arial"/>
          <w:noProof/>
          <w:sz w:val="20"/>
          <w:szCs w:val="24"/>
        </w:rPr>
        <w:tab/>
        <w:t xml:space="preserve">Cameron JM, Butler HJ, Smith BR, et al. Developing infrared spectroscopic detection for stratifying brain tumour patients: Glioblastoma multiforme: Vs. lymphoma. </w:t>
      </w:r>
      <w:r w:rsidRPr="00757A85">
        <w:rPr>
          <w:rFonts w:ascii="Arial" w:hAnsi="Arial" w:cs="Arial"/>
          <w:i/>
          <w:iCs/>
          <w:noProof/>
          <w:sz w:val="20"/>
          <w:szCs w:val="24"/>
        </w:rPr>
        <w:t>Analyst</w:t>
      </w:r>
      <w:r w:rsidRPr="00757A85">
        <w:rPr>
          <w:rFonts w:ascii="Arial" w:hAnsi="Arial" w:cs="Arial"/>
          <w:noProof/>
          <w:sz w:val="20"/>
          <w:szCs w:val="24"/>
        </w:rPr>
        <w:t>. 2019;144(22):6736-6750. doi:10.1039/c9an01731c</w:t>
      </w:r>
    </w:p>
    <w:p w14:paraId="269BDB5D"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59. </w:t>
      </w:r>
      <w:r w:rsidRPr="00757A85">
        <w:rPr>
          <w:rFonts w:ascii="Arial" w:hAnsi="Arial" w:cs="Arial"/>
          <w:noProof/>
          <w:sz w:val="20"/>
          <w:szCs w:val="24"/>
        </w:rPr>
        <w:tab/>
        <w:t xml:space="preserve">Harris AH, Kuo AC, Bowe T, Gupta S, Nordin D, Giori NJ. Prediction Models for 30-Day Mortality and Complications After Total Knee and Hip Arthroplasties for Veteran Health Administration Patients With Osteoarthritis. </w:t>
      </w:r>
      <w:r w:rsidRPr="00757A85">
        <w:rPr>
          <w:rFonts w:ascii="Arial" w:hAnsi="Arial" w:cs="Arial"/>
          <w:i/>
          <w:iCs/>
          <w:noProof/>
          <w:sz w:val="20"/>
          <w:szCs w:val="24"/>
        </w:rPr>
        <w:t>J Arthroplasty</w:t>
      </w:r>
      <w:r w:rsidRPr="00757A85">
        <w:rPr>
          <w:rFonts w:ascii="Arial" w:hAnsi="Arial" w:cs="Arial"/>
          <w:noProof/>
          <w:sz w:val="20"/>
          <w:szCs w:val="24"/>
        </w:rPr>
        <w:t>. 2018;33(5):1539-1545. doi:10.1016/j.arth.2017.12.003</w:t>
      </w:r>
    </w:p>
    <w:p w14:paraId="443B3602"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60. </w:t>
      </w:r>
      <w:r w:rsidRPr="00757A85">
        <w:rPr>
          <w:rFonts w:ascii="Arial" w:hAnsi="Arial" w:cs="Arial"/>
          <w:noProof/>
          <w:sz w:val="20"/>
          <w:szCs w:val="24"/>
        </w:rPr>
        <w:tab/>
        <w:t xml:space="preserve">Kuo KM, Talley PC, Huang CH, Cheng LC. Predicting hospital-acquired pneumonia among schizophrenic patients: A machine learning approach. </w:t>
      </w:r>
      <w:r w:rsidRPr="00757A85">
        <w:rPr>
          <w:rFonts w:ascii="Arial" w:hAnsi="Arial" w:cs="Arial"/>
          <w:i/>
          <w:iCs/>
          <w:noProof/>
          <w:sz w:val="20"/>
          <w:szCs w:val="24"/>
        </w:rPr>
        <w:t>BMC Med Inform Decis Mak</w:t>
      </w:r>
      <w:r w:rsidRPr="00757A85">
        <w:rPr>
          <w:rFonts w:ascii="Arial" w:hAnsi="Arial" w:cs="Arial"/>
          <w:noProof/>
          <w:sz w:val="20"/>
          <w:szCs w:val="24"/>
        </w:rPr>
        <w:t>. 2019;19(1):1-8. doi:10.1186/s12911-019-0792-1</w:t>
      </w:r>
    </w:p>
    <w:p w14:paraId="2E93BF8C"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61. </w:t>
      </w:r>
      <w:r w:rsidRPr="00757A85">
        <w:rPr>
          <w:rFonts w:ascii="Arial" w:hAnsi="Arial" w:cs="Arial"/>
          <w:noProof/>
          <w:sz w:val="20"/>
          <w:szCs w:val="24"/>
        </w:rPr>
        <w:tab/>
        <w:t xml:space="preserve">Arai Y, Kondo T, Fuse K, et al. Using a machine learning algorithm to predict acute graft-versus-host disease following allogeneic transplantation. </w:t>
      </w:r>
      <w:r w:rsidRPr="00757A85">
        <w:rPr>
          <w:rFonts w:ascii="Arial" w:hAnsi="Arial" w:cs="Arial"/>
          <w:i/>
          <w:iCs/>
          <w:noProof/>
          <w:sz w:val="20"/>
          <w:szCs w:val="24"/>
        </w:rPr>
        <w:t>Blood Adv</w:t>
      </w:r>
      <w:r w:rsidRPr="00757A85">
        <w:rPr>
          <w:rFonts w:ascii="Arial" w:hAnsi="Arial" w:cs="Arial"/>
          <w:noProof/>
          <w:sz w:val="20"/>
          <w:szCs w:val="24"/>
        </w:rPr>
        <w:t>. 2019;3(22):3626-3634. doi:10.1182/bloodadvances.2019000934</w:t>
      </w:r>
    </w:p>
    <w:p w14:paraId="75282902"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62. </w:t>
      </w:r>
      <w:r w:rsidRPr="00757A85">
        <w:rPr>
          <w:rFonts w:ascii="Arial" w:hAnsi="Arial" w:cs="Arial"/>
          <w:noProof/>
          <w:sz w:val="20"/>
          <w:szCs w:val="24"/>
        </w:rPr>
        <w:tab/>
        <w:t xml:space="preserve">Paul JK, Iype T, R D, Hagiwara Y, Koh JEW, Acharya UR. Characterization of fibromyalgia using sleep EEG signals with nonlinear dynamical features. </w:t>
      </w:r>
      <w:r w:rsidRPr="00757A85">
        <w:rPr>
          <w:rFonts w:ascii="Arial" w:hAnsi="Arial" w:cs="Arial"/>
          <w:i/>
          <w:iCs/>
          <w:noProof/>
          <w:sz w:val="20"/>
          <w:szCs w:val="24"/>
        </w:rPr>
        <w:t>Comput Biol Med</w:t>
      </w:r>
      <w:r w:rsidRPr="00757A85">
        <w:rPr>
          <w:rFonts w:ascii="Arial" w:hAnsi="Arial" w:cs="Arial"/>
          <w:noProof/>
          <w:sz w:val="20"/>
          <w:szCs w:val="24"/>
        </w:rPr>
        <w:t>. 2019;111(April):103331. doi:10.1016/j.compbiomed.2019.103331</w:t>
      </w:r>
    </w:p>
    <w:p w14:paraId="20BA390D"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63. </w:t>
      </w:r>
      <w:r w:rsidRPr="00757A85">
        <w:rPr>
          <w:rFonts w:ascii="Arial" w:hAnsi="Arial" w:cs="Arial"/>
          <w:noProof/>
          <w:sz w:val="20"/>
          <w:szCs w:val="24"/>
        </w:rPr>
        <w:tab/>
        <w:t xml:space="preserve">Liu L, Yu Y, Fei Z, et al. An interpretable boosting model to predict side effects of analgesics for osteoarthritis. </w:t>
      </w:r>
      <w:r w:rsidRPr="00757A85">
        <w:rPr>
          <w:rFonts w:ascii="Arial" w:hAnsi="Arial" w:cs="Arial"/>
          <w:i/>
          <w:iCs/>
          <w:noProof/>
          <w:sz w:val="20"/>
          <w:szCs w:val="24"/>
        </w:rPr>
        <w:t>BMC Syst Biol</w:t>
      </w:r>
      <w:r w:rsidRPr="00757A85">
        <w:rPr>
          <w:rFonts w:ascii="Arial" w:hAnsi="Arial" w:cs="Arial"/>
          <w:noProof/>
          <w:sz w:val="20"/>
          <w:szCs w:val="24"/>
        </w:rPr>
        <w:t>. 2018;12(Suppl 6). doi:10.1186/s12918-018-0624-4</w:t>
      </w:r>
    </w:p>
    <w:p w14:paraId="232B5D00"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64. </w:t>
      </w:r>
      <w:r w:rsidRPr="00757A85">
        <w:rPr>
          <w:rFonts w:ascii="Arial" w:hAnsi="Arial" w:cs="Arial"/>
          <w:noProof/>
          <w:sz w:val="20"/>
          <w:szCs w:val="24"/>
        </w:rPr>
        <w:tab/>
      </w:r>
      <w:r>
        <w:rPr>
          <w:rFonts w:ascii="Arial" w:hAnsi="Arial" w:cs="Arial"/>
          <w:noProof/>
          <w:sz w:val="20"/>
          <w:szCs w:val="24"/>
        </w:rPr>
        <w:t>Shappell C, Snyder A, Edelson DP, et. al. Predictors of In-hospital Mortality after rapid response team calls in a 274 hospital nationwide sample.</w:t>
      </w:r>
      <w:r w:rsidRPr="00757A85">
        <w:rPr>
          <w:rFonts w:ascii="Arial" w:hAnsi="Arial" w:cs="Arial"/>
          <w:noProof/>
          <w:sz w:val="20"/>
          <w:szCs w:val="24"/>
        </w:rPr>
        <w:t xml:space="preserve"> </w:t>
      </w:r>
      <w:r>
        <w:rPr>
          <w:rFonts w:ascii="Arial" w:hAnsi="Arial" w:cs="Arial"/>
          <w:i/>
          <w:iCs/>
          <w:noProof/>
          <w:sz w:val="20"/>
          <w:szCs w:val="24"/>
        </w:rPr>
        <w:t>Crit Care Med</w:t>
      </w:r>
      <w:r w:rsidRPr="00757A85">
        <w:rPr>
          <w:rFonts w:ascii="Arial" w:hAnsi="Arial" w:cs="Arial"/>
          <w:noProof/>
          <w:sz w:val="20"/>
          <w:szCs w:val="24"/>
        </w:rPr>
        <w:t>. 201</w:t>
      </w:r>
      <w:r>
        <w:rPr>
          <w:rFonts w:ascii="Arial" w:hAnsi="Arial" w:cs="Arial"/>
          <w:noProof/>
          <w:sz w:val="20"/>
          <w:szCs w:val="24"/>
        </w:rPr>
        <w:t>8</w:t>
      </w:r>
      <w:r w:rsidRPr="00757A85">
        <w:rPr>
          <w:rFonts w:ascii="Arial" w:hAnsi="Arial" w:cs="Arial"/>
          <w:noProof/>
          <w:sz w:val="20"/>
          <w:szCs w:val="24"/>
        </w:rPr>
        <w:t>;176(10):139-148. doi:</w:t>
      </w:r>
      <w:r>
        <w:rPr>
          <w:rFonts w:ascii="Arial" w:hAnsi="Arial" w:cs="Arial"/>
          <w:noProof/>
          <w:sz w:val="20"/>
          <w:szCs w:val="24"/>
        </w:rPr>
        <w:t>10.1097/CMM.00000000000002926</w:t>
      </w:r>
    </w:p>
    <w:p w14:paraId="519B8218"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65. </w:t>
      </w:r>
      <w:r w:rsidRPr="00757A85">
        <w:rPr>
          <w:rFonts w:ascii="Arial" w:hAnsi="Arial" w:cs="Arial"/>
          <w:noProof/>
          <w:sz w:val="20"/>
          <w:szCs w:val="24"/>
        </w:rPr>
        <w:tab/>
        <w:t xml:space="preserve">Zhang R, Jing Y, Zhang H, et al. Comprehensive Evolutionary Analysis of the Major RNA-Induced Silencing Complex Members. </w:t>
      </w:r>
      <w:r w:rsidRPr="00757A85">
        <w:rPr>
          <w:rFonts w:ascii="Arial" w:hAnsi="Arial" w:cs="Arial"/>
          <w:i/>
          <w:iCs/>
          <w:noProof/>
          <w:sz w:val="20"/>
          <w:szCs w:val="24"/>
        </w:rPr>
        <w:t>Sci Rep</w:t>
      </w:r>
      <w:r w:rsidRPr="00757A85">
        <w:rPr>
          <w:rFonts w:ascii="Arial" w:hAnsi="Arial" w:cs="Arial"/>
          <w:noProof/>
          <w:sz w:val="20"/>
          <w:szCs w:val="24"/>
        </w:rPr>
        <w:t>. 2018;8(1):14189. doi:10.1038/s41598-018-32635-4</w:t>
      </w:r>
    </w:p>
    <w:p w14:paraId="55DABC4B" w14:textId="77777777" w:rsidR="00A427B2" w:rsidRPr="00A427B2" w:rsidRDefault="00A427B2" w:rsidP="00A427B2">
      <w:pPr>
        <w:widowControl w:val="0"/>
        <w:autoSpaceDE w:val="0"/>
        <w:autoSpaceDN w:val="0"/>
        <w:adjustRightInd w:val="0"/>
        <w:spacing w:line="240" w:lineRule="auto"/>
        <w:ind w:left="640" w:hanging="640"/>
        <w:rPr>
          <w:rFonts w:ascii="Arial" w:hAnsi="Arial" w:cs="Arial"/>
          <w:noProof/>
          <w:sz w:val="20"/>
          <w:szCs w:val="24"/>
          <w:lang w:val="nl-NL"/>
        </w:rPr>
      </w:pPr>
      <w:r w:rsidRPr="00757A85">
        <w:rPr>
          <w:rFonts w:ascii="Arial" w:hAnsi="Arial" w:cs="Arial"/>
          <w:noProof/>
          <w:sz w:val="20"/>
          <w:szCs w:val="24"/>
        </w:rPr>
        <w:t xml:space="preserve">66. </w:t>
      </w:r>
      <w:r w:rsidRPr="00757A85">
        <w:rPr>
          <w:rFonts w:ascii="Arial" w:hAnsi="Arial" w:cs="Arial"/>
          <w:noProof/>
          <w:sz w:val="20"/>
          <w:szCs w:val="24"/>
        </w:rPr>
        <w:tab/>
        <w:t xml:space="preserve">Ge F, Li Y, Yuan M, Zhang J, Zhang W. Identifying predictors of probable posttraumatic stress disorder in children and adolescents with earthquake exposure: A longitudinal study using a machine learning approach. </w:t>
      </w:r>
      <w:r w:rsidRPr="00A427B2">
        <w:rPr>
          <w:rFonts w:ascii="Arial" w:hAnsi="Arial" w:cs="Arial"/>
          <w:i/>
          <w:iCs/>
          <w:noProof/>
          <w:sz w:val="20"/>
          <w:szCs w:val="24"/>
          <w:lang w:val="nl-NL"/>
        </w:rPr>
        <w:t>J Affect Disord</w:t>
      </w:r>
      <w:r w:rsidRPr="00A427B2">
        <w:rPr>
          <w:rFonts w:ascii="Arial" w:hAnsi="Arial" w:cs="Arial"/>
          <w:noProof/>
          <w:sz w:val="20"/>
          <w:szCs w:val="24"/>
          <w:lang w:val="nl-NL"/>
        </w:rPr>
        <w:t>. 2020;264(September 2019):483-493. doi:10.1016/j.jad.2019.11.079</w:t>
      </w:r>
    </w:p>
    <w:p w14:paraId="43766076"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A427B2">
        <w:rPr>
          <w:rFonts w:ascii="Arial" w:hAnsi="Arial" w:cs="Arial"/>
          <w:noProof/>
          <w:sz w:val="20"/>
          <w:szCs w:val="24"/>
          <w:lang w:val="nl-NL"/>
        </w:rPr>
        <w:t xml:space="preserve">67. </w:t>
      </w:r>
      <w:r w:rsidRPr="00A427B2">
        <w:rPr>
          <w:rFonts w:ascii="Arial" w:hAnsi="Arial" w:cs="Arial"/>
          <w:noProof/>
          <w:sz w:val="20"/>
          <w:szCs w:val="24"/>
          <w:lang w:val="nl-NL"/>
        </w:rPr>
        <w:tab/>
        <w:t xml:space="preserve">Dhondt B, De Bleser E, Claeys T, et al. </w:t>
      </w:r>
      <w:r w:rsidRPr="00757A85">
        <w:rPr>
          <w:rFonts w:ascii="Arial" w:hAnsi="Arial" w:cs="Arial"/>
          <w:noProof/>
          <w:sz w:val="20"/>
          <w:szCs w:val="24"/>
        </w:rPr>
        <w:t xml:space="preserve">Discovery and validation of a serum microRNA signature to characterize oligo- and polymetastatic </w:t>
      </w:r>
      <w:r w:rsidRPr="00757A85">
        <w:rPr>
          <w:rFonts w:ascii="Arial" w:hAnsi="Arial" w:cs="Arial"/>
          <w:noProof/>
          <w:sz w:val="20"/>
          <w:szCs w:val="24"/>
        </w:rPr>
        <w:t xml:space="preserve">prostate cancer: not ready for prime time. </w:t>
      </w:r>
      <w:r w:rsidRPr="00757A85">
        <w:rPr>
          <w:rFonts w:ascii="Arial" w:hAnsi="Arial" w:cs="Arial"/>
          <w:i/>
          <w:iCs/>
          <w:noProof/>
          <w:sz w:val="20"/>
          <w:szCs w:val="24"/>
        </w:rPr>
        <w:t>World J Urol</w:t>
      </w:r>
      <w:r w:rsidRPr="00757A85">
        <w:rPr>
          <w:rFonts w:ascii="Arial" w:hAnsi="Arial" w:cs="Arial"/>
          <w:noProof/>
          <w:sz w:val="20"/>
          <w:szCs w:val="24"/>
        </w:rPr>
        <w:t>. 2019;37(12):2557-2564. doi:10.1007/s00345-018-2609-8</w:t>
      </w:r>
    </w:p>
    <w:p w14:paraId="2F5F7931"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68. </w:t>
      </w:r>
      <w:r w:rsidRPr="00757A85">
        <w:rPr>
          <w:rFonts w:ascii="Arial" w:hAnsi="Arial" w:cs="Arial"/>
          <w:noProof/>
          <w:sz w:val="20"/>
          <w:szCs w:val="24"/>
        </w:rPr>
        <w:tab/>
        <w:t xml:space="preserve">Rohaut B, Doyle KW, Reynolds AS, et al. Deep structural brain lesions associated with consciousness impairment early after hemorrhagic stroke. </w:t>
      </w:r>
      <w:r w:rsidRPr="00757A85">
        <w:rPr>
          <w:rFonts w:ascii="Arial" w:hAnsi="Arial" w:cs="Arial"/>
          <w:i/>
          <w:iCs/>
          <w:noProof/>
          <w:sz w:val="20"/>
          <w:szCs w:val="24"/>
        </w:rPr>
        <w:t>Sci Rep</w:t>
      </w:r>
      <w:r w:rsidRPr="00757A85">
        <w:rPr>
          <w:rFonts w:ascii="Arial" w:hAnsi="Arial" w:cs="Arial"/>
          <w:noProof/>
          <w:sz w:val="20"/>
          <w:szCs w:val="24"/>
        </w:rPr>
        <w:t>. 2019;9(1):1-9. doi:10.1038/s41598-019-41042-2</w:t>
      </w:r>
    </w:p>
    <w:p w14:paraId="7CB91CF8"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69. </w:t>
      </w:r>
      <w:r w:rsidRPr="00757A85">
        <w:rPr>
          <w:rFonts w:ascii="Arial" w:hAnsi="Arial" w:cs="Arial"/>
          <w:noProof/>
          <w:sz w:val="20"/>
          <w:szCs w:val="24"/>
        </w:rPr>
        <w:tab/>
        <w:t xml:space="preserve">Karnuta JM, Navarro SM, Haeberle HS, et al. Predicting Inpatient Payments Prior to Lower Extremity Arthroplasty Using Deep Learning: Which Model Architecture Is Best? </w:t>
      </w:r>
      <w:r w:rsidRPr="00757A85">
        <w:rPr>
          <w:rFonts w:ascii="Arial" w:hAnsi="Arial" w:cs="Arial"/>
          <w:i/>
          <w:iCs/>
          <w:noProof/>
          <w:sz w:val="20"/>
          <w:szCs w:val="24"/>
        </w:rPr>
        <w:t>J Arthroplasty</w:t>
      </w:r>
      <w:r w:rsidRPr="00757A85">
        <w:rPr>
          <w:rFonts w:ascii="Arial" w:hAnsi="Arial" w:cs="Arial"/>
          <w:noProof/>
          <w:sz w:val="20"/>
          <w:szCs w:val="24"/>
        </w:rPr>
        <w:t>. 2019;34(10):2235-2241.e1. doi:10.1016/j.arth.2019.05.048</w:t>
      </w:r>
    </w:p>
    <w:p w14:paraId="649963EE"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70. </w:t>
      </w:r>
      <w:r w:rsidRPr="00757A85">
        <w:rPr>
          <w:rFonts w:ascii="Arial" w:hAnsi="Arial" w:cs="Arial"/>
          <w:noProof/>
          <w:sz w:val="20"/>
          <w:szCs w:val="24"/>
        </w:rPr>
        <w:tab/>
        <w:t xml:space="preserve">Wilson MB, Ali SA, Kovatch KJ, Smith JD, Hoff PT. Machine Learning Diagnosis of Peritonsillar Abscess. </w:t>
      </w:r>
      <w:r w:rsidRPr="00757A85">
        <w:rPr>
          <w:rFonts w:ascii="Arial" w:hAnsi="Arial" w:cs="Arial"/>
          <w:i/>
          <w:iCs/>
          <w:noProof/>
          <w:sz w:val="20"/>
          <w:szCs w:val="24"/>
        </w:rPr>
        <w:t>Otolaryngol - Head Neck Surg (United States)</w:t>
      </w:r>
      <w:r w:rsidRPr="00757A85">
        <w:rPr>
          <w:rFonts w:ascii="Arial" w:hAnsi="Arial" w:cs="Arial"/>
          <w:noProof/>
          <w:sz w:val="20"/>
          <w:szCs w:val="24"/>
        </w:rPr>
        <w:t>. 2019;161(5):796-799. doi:10.1177/0194599819868178</w:t>
      </w:r>
    </w:p>
    <w:p w14:paraId="6B9B9BD1"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71. </w:t>
      </w:r>
      <w:r w:rsidRPr="00757A85">
        <w:rPr>
          <w:rFonts w:ascii="Arial" w:hAnsi="Arial" w:cs="Arial"/>
          <w:noProof/>
          <w:sz w:val="20"/>
          <w:szCs w:val="24"/>
        </w:rPr>
        <w:tab/>
        <w:t xml:space="preserve">Lu B, Fu L, Nie B, Peng Z, Liu H. A novel framework with high diagnostic sensitivity for lung cancer detection by electronic nose. </w:t>
      </w:r>
      <w:r w:rsidRPr="00757A85">
        <w:rPr>
          <w:rFonts w:ascii="Arial" w:hAnsi="Arial" w:cs="Arial"/>
          <w:i/>
          <w:iCs/>
          <w:noProof/>
          <w:sz w:val="20"/>
          <w:szCs w:val="24"/>
        </w:rPr>
        <w:t>Sensors (Switzerland)</w:t>
      </w:r>
      <w:r w:rsidRPr="00757A85">
        <w:rPr>
          <w:rFonts w:ascii="Arial" w:hAnsi="Arial" w:cs="Arial"/>
          <w:noProof/>
          <w:sz w:val="20"/>
          <w:szCs w:val="24"/>
        </w:rPr>
        <w:t>. 2019;19(23):1-29. doi:10.3390/s19235333</w:t>
      </w:r>
    </w:p>
    <w:p w14:paraId="4BB59284"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72. </w:t>
      </w:r>
      <w:r w:rsidRPr="00757A85">
        <w:rPr>
          <w:rFonts w:ascii="Arial" w:hAnsi="Arial" w:cs="Arial"/>
          <w:noProof/>
          <w:sz w:val="20"/>
          <w:szCs w:val="24"/>
        </w:rPr>
        <w:tab/>
        <w:t xml:space="preserve">Xu Y, Kong S, Cheung WY, et al. Development and validation of case-finding algorithms for recurrence of breast cancer using routinely collected administrative data. </w:t>
      </w:r>
      <w:r w:rsidRPr="00757A85">
        <w:rPr>
          <w:rFonts w:ascii="Arial" w:hAnsi="Arial" w:cs="Arial"/>
          <w:i/>
          <w:iCs/>
          <w:noProof/>
          <w:sz w:val="20"/>
          <w:szCs w:val="24"/>
        </w:rPr>
        <w:t>BMC Cancer</w:t>
      </w:r>
      <w:r w:rsidRPr="00757A85">
        <w:rPr>
          <w:rFonts w:ascii="Arial" w:hAnsi="Arial" w:cs="Arial"/>
          <w:noProof/>
          <w:sz w:val="20"/>
          <w:szCs w:val="24"/>
        </w:rPr>
        <w:t>. 2019;19(1):1-10. doi:10.1186/s12885-019-5432-8</w:t>
      </w:r>
    </w:p>
    <w:p w14:paraId="0FC2B9E2"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73. </w:t>
      </w:r>
      <w:r w:rsidRPr="00757A85">
        <w:rPr>
          <w:rFonts w:ascii="Arial" w:hAnsi="Arial" w:cs="Arial"/>
          <w:noProof/>
          <w:sz w:val="20"/>
          <w:szCs w:val="24"/>
        </w:rPr>
        <w:tab/>
        <w:t xml:space="preserve">Cohen S, Fulcher BD, Rajaratnam SMW, et al. Sleep patterns predictive of daytime challenging behavior in individuals with low-functioning autism. </w:t>
      </w:r>
      <w:r w:rsidRPr="00757A85">
        <w:rPr>
          <w:rFonts w:ascii="Arial" w:hAnsi="Arial" w:cs="Arial"/>
          <w:i/>
          <w:iCs/>
          <w:noProof/>
          <w:sz w:val="20"/>
          <w:szCs w:val="24"/>
        </w:rPr>
        <w:t>Autism Res</w:t>
      </w:r>
      <w:r w:rsidRPr="00757A85">
        <w:rPr>
          <w:rFonts w:ascii="Arial" w:hAnsi="Arial" w:cs="Arial"/>
          <w:noProof/>
          <w:sz w:val="20"/>
          <w:szCs w:val="24"/>
        </w:rPr>
        <w:t>. 2018;11(2):391-403. doi:10.1002/aur.1899</w:t>
      </w:r>
    </w:p>
    <w:p w14:paraId="3C61C41B"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74. </w:t>
      </w:r>
      <w:r w:rsidRPr="00757A85">
        <w:rPr>
          <w:rFonts w:ascii="Arial" w:hAnsi="Arial" w:cs="Arial"/>
          <w:noProof/>
          <w:sz w:val="20"/>
          <w:szCs w:val="24"/>
        </w:rPr>
        <w:tab/>
        <w:t xml:space="preserve">Wang Y, Liu W, Yu Y, et al. Prediction of the Depth of Tumor Invasion in Gastric Cancer: Potential Role of CT Radiomics. </w:t>
      </w:r>
      <w:r w:rsidRPr="00757A85">
        <w:rPr>
          <w:rFonts w:ascii="Arial" w:hAnsi="Arial" w:cs="Arial"/>
          <w:i/>
          <w:iCs/>
          <w:noProof/>
          <w:sz w:val="20"/>
          <w:szCs w:val="24"/>
        </w:rPr>
        <w:t>Acad Radiol</w:t>
      </w:r>
      <w:r w:rsidRPr="00757A85">
        <w:rPr>
          <w:rFonts w:ascii="Arial" w:hAnsi="Arial" w:cs="Arial"/>
          <w:noProof/>
          <w:sz w:val="20"/>
          <w:szCs w:val="24"/>
        </w:rPr>
        <w:t>. 2019;(6):1-8. doi:10.1016/j.acra.2019.10.020</w:t>
      </w:r>
    </w:p>
    <w:p w14:paraId="0DAD11B5"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75. </w:t>
      </w:r>
      <w:r w:rsidRPr="00757A85">
        <w:rPr>
          <w:rFonts w:ascii="Arial" w:hAnsi="Arial" w:cs="Arial"/>
          <w:noProof/>
          <w:sz w:val="20"/>
          <w:szCs w:val="24"/>
        </w:rPr>
        <w:tab/>
        <w:t xml:space="preserve">Mortezagholi A, Khosravizadehorcid O, Menhaj MB, Shafigh Y, Kalhor R. Make intelligent of gastric cancer diagnosis error in Qazvin’s medical centers: Using data mining method. </w:t>
      </w:r>
      <w:r w:rsidRPr="00757A85">
        <w:rPr>
          <w:rFonts w:ascii="Arial" w:hAnsi="Arial" w:cs="Arial"/>
          <w:i/>
          <w:iCs/>
          <w:noProof/>
          <w:sz w:val="20"/>
          <w:szCs w:val="24"/>
        </w:rPr>
        <w:t>Asian Pacific J Cancer Prev</w:t>
      </w:r>
      <w:r w:rsidRPr="00757A85">
        <w:rPr>
          <w:rFonts w:ascii="Arial" w:hAnsi="Arial" w:cs="Arial"/>
          <w:noProof/>
          <w:sz w:val="20"/>
          <w:szCs w:val="24"/>
        </w:rPr>
        <w:t>. 2019;20(9):2607-2610. doi:10.31557/APJCP.2019.20.9.2607</w:t>
      </w:r>
    </w:p>
    <w:p w14:paraId="438D14AF"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76. </w:t>
      </w:r>
      <w:r w:rsidRPr="00757A85">
        <w:rPr>
          <w:rFonts w:ascii="Arial" w:hAnsi="Arial" w:cs="Arial"/>
          <w:noProof/>
          <w:sz w:val="20"/>
          <w:szCs w:val="24"/>
        </w:rPr>
        <w:tab/>
        <w:t xml:space="preserve">Muehlematter UJ, Mannil M, Becker AS, et al. Vertebral body insufficiency fractures: detection of vertebrae at risk on standard CT images using texture analysis and machine learning. </w:t>
      </w:r>
      <w:r w:rsidRPr="00757A85">
        <w:rPr>
          <w:rFonts w:ascii="Arial" w:hAnsi="Arial" w:cs="Arial"/>
          <w:i/>
          <w:iCs/>
          <w:noProof/>
          <w:sz w:val="20"/>
          <w:szCs w:val="24"/>
        </w:rPr>
        <w:t>Eur Radiol</w:t>
      </w:r>
      <w:r w:rsidRPr="00757A85">
        <w:rPr>
          <w:rFonts w:ascii="Arial" w:hAnsi="Arial" w:cs="Arial"/>
          <w:noProof/>
          <w:sz w:val="20"/>
          <w:szCs w:val="24"/>
        </w:rPr>
        <w:t>. 2019;29(5):2207-2217. doi:10.1007/s00330-018-5846-8</w:t>
      </w:r>
    </w:p>
    <w:p w14:paraId="165F65CD"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lastRenderedPageBreak/>
        <w:t xml:space="preserve">77. </w:t>
      </w:r>
      <w:r w:rsidRPr="00757A85">
        <w:rPr>
          <w:rFonts w:ascii="Arial" w:hAnsi="Arial" w:cs="Arial"/>
          <w:noProof/>
          <w:sz w:val="20"/>
          <w:szCs w:val="24"/>
        </w:rPr>
        <w:tab/>
        <w:t xml:space="preserve">Faruqui SHA, Du Y, Meka R, et al. Development of a deep learning model for dynamic forecasting of blood glucose level for type 2 diabetes mellitus: Secondary analysis of a randomized controlled trial. </w:t>
      </w:r>
      <w:r w:rsidRPr="00757A85">
        <w:rPr>
          <w:rFonts w:ascii="Arial" w:hAnsi="Arial" w:cs="Arial"/>
          <w:i/>
          <w:iCs/>
          <w:noProof/>
          <w:sz w:val="20"/>
          <w:szCs w:val="24"/>
        </w:rPr>
        <w:t>JMIR mHealth uHealth</w:t>
      </w:r>
      <w:r w:rsidRPr="00757A85">
        <w:rPr>
          <w:rFonts w:ascii="Arial" w:hAnsi="Arial" w:cs="Arial"/>
          <w:noProof/>
          <w:sz w:val="20"/>
          <w:szCs w:val="24"/>
        </w:rPr>
        <w:t>. 2019;7(11):1-14. doi:10.2196/14452</w:t>
      </w:r>
    </w:p>
    <w:p w14:paraId="64D13659"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78. </w:t>
      </w:r>
      <w:r w:rsidRPr="00757A85">
        <w:rPr>
          <w:rFonts w:ascii="Arial" w:hAnsi="Arial" w:cs="Arial"/>
          <w:noProof/>
          <w:sz w:val="20"/>
          <w:szCs w:val="24"/>
        </w:rPr>
        <w:tab/>
        <w:t xml:space="preserve">Molinari M, Ayloo S, Tsung A, et al. Prediction of Perioperative Mortality of Cadaveric Liver Transplant Recipients during Their Evaluations. </w:t>
      </w:r>
      <w:r w:rsidRPr="00757A85">
        <w:rPr>
          <w:rFonts w:ascii="Arial" w:hAnsi="Arial" w:cs="Arial"/>
          <w:i/>
          <w:iCs/>
          <w:noProof/>
          <w:sz w:val="20"/>
          <w:szCs w:val="24"/>
        </w:rPr>
        <w:t>Transplantation</w:t>
      </w:r>
      <w:r w:rsidRPr="00757A85">
        <w:rPr>
          <w:rFonts w:ascii="Arial" w:hAnsi="Arial" w:cs="Arial"/>
          <w:noProof/>
          <w:sz w:val="20"/>
          <w:szCs w:val="24"/>
        </w:rPr>
        <w:t>. 2019;103(10):E297-E307. doi:10.1097/TP.0000000000002810</w:t>
      </w:r>
    </w:p>
    <w:p w14:paraId="491EDC1C" w14:textId="45510DDB" w:rsidR="00A427B2" w:rsidRPr="00A427B2" w:rsidRDefault="00A427B2" w:rsidP="00A427B2">
      <w:pPr>
        <w:widowControl w:val="0"/>
        <w:autoSpaceDE w:val="0"/>
        <w:autoSpaceDN w:val="0"/>
        <w:adjustRightInd w:val="0"/>
        <w:spacing w:line="240" w:lineRule="auto"/>
        <w:ind w:left="640" w:hanging="640"/>
        <w:rPr>
          <w:rFonts w:ascii="Arial" w:hAnsi="Arial" w:cs="Arial"/>
          <w:noProof/>
          <w:sz w:val="20"/>
          <w:szCs w:val="24"/>
          <w:lang w:val="nl-NL"/>
        </w:rPr>
      </w:pPr>
      <w:r w:rsidRPr="00757A85">
        <w:rPr>
          <w:rFonts w:ascii="Arial" w:hAnsi="Arial" w:cs="Arial"/>
          <w:noProof/>
          <w:sz w:val="20"/>
          <w:szCs w:val="24"/>
        </w:rPr>
        <w:t xml:space="preserve">79. </w:t>
      </w:r>
      <w:r w:rsidRPr="00757A85">
        <w:rPr>
          <w:rFonts w:ascii="Arial" w:hAnsi="Arial" w:cs="Arial"/>
          <w:noProof/>
          <w:sz w:val="20"/>
          <w:szCs w:val="24"/>
        </w:rPr>
        <w:tab/>
        <w:t xml:space="preserve">Jeon JP, Kim C, Oh BD, Kim SJ, Kim YS. Prediction of persistent hemodynamic depression after carotid angioplasty and stenting using artificial neural network model. </w:t>
      </w:r>
      <w:r w:rsidRPr="00A427B2">
        <w:rPr>
          <w:rFonts w:ascii="Arial" w:hAnsi="Arial" w:cs="Arial"/>
          <w:i/>
          <w:iCs/>
          <w:noProof/>
          <w:sz w:val="20"/>
          <w:szCs w:val="24"/>
          <w:lang w:val="nl-NL"/>
        </w:rPr>
        <w:t>Clin Neurol Neurosurg</w:t>
      </w:r>
      <w:r w:rsidRPr="00A427B2">
        <w:rPr>
          <w:rFonts w:ascii="Arial" w:hAnsi="Arial" w:cs="Arial"/>
          <w:noProof/>
          <w:sz w:val="20"/>
          <w:szCs w:val="24"/>
          <w:lang w:val="nl-NL"/>
        </w:rPr>
        <w:t>. 2018; 127-131. doi:10.1016/j.clineuro.2017.12.005</w:t>
      </w:r>
    </w:p>
    <w:p w14:paraId="3FEEE79A"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A427B2">
        <w:rPr>
          <w:rFonts w:ascii="Arial" w:hAnsi="Arial" w:cs="Arial"/>
          <w:noProof/>
          <w:sz w:val="20"/>
          <w:szCs w:val="24"/>
          <w:lang w:val="nl-NL"/>
        </w:rPr>
        <w:t xml:space="preserve">80. </w:t>
      </w:r>
      <w:r w:rsidRPr="00A427B2">
        <w:rPr>
          <w:rFonts w:ascii="Arial" w:hAnsi="Arial" w:cs="Arial"/>
          <w:noProof/>
          <w:sz w:val="20"/>
          <w:szCs w:val="24"/>
          <w:lang w:val="nl-NL"/>
        </w:rPr>
        <w:tab/>
        <w:t xml:space="preserve">Staartjes VE, Serra C, Muscas G, et al. </w:t>
      </w:r>
      <w:r w:rsidRPr="00757A85">
        <w:rPr>
          <w:rFonts w:ascii="Arial" w:hAnsi="Arial" w:cs="Arial"/>
          <w:noProof/>
          <w:sz w:val="20"/>
          <w:szCs w:val="24"/>
        </w:rPr>
        <w:t xml:space="preserve">Utility of deep neural networks in predicting gross-total resection after transsphenoidal surgery for pituitary adenoma: A pilot study. </w:t>
      </w:r>
      <w:r w:rsidRPr="00757A85">
        <w:rPr>
          <w:rFonts w:ascii="Arial" w:hAnsi="Arial" w:cs="Arial"/>
          <w:i/>
          <w:iCs/>
          <w:noProof/>
          <w:sz w:val="20"/>
          <w:szCs w:val="24"/>
        </w:rPr>
        <w:t>Neurosurg Focus</w:t>
      </w:r>
      <w:r w:rsidRPr="00757A85">
        <w:rPr>
          <w:rFonts w:ascii="Arial" w:hAnsi="Arial" w:cs="Arial"/>
          <w:noProof/>
          <w:sz w:val="20"/>
          <w:szCs w:val="24"/>
        </w:rPr>
        <w:t>. 2018;45(5):1-7. doi:10.3171/2018.8.FOCUS18243</w:t>
      </w:r>
    </w:p>
    <w:p w14:paraId="4B37D915"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81. </w:t>
      </w:r>
      <w:r w:rsidRPr="00757A85">
        <w:rPr>
          <w:rFonts w:ascii="Arial" w:hAnsi="Arial" w:cs="Arial"/>
          <w:noProof/>
          <w:sz w:val="20"/>
          <w:szCs w:val="24"/>
        </w:rPr>
        <w:tab/>
        <w:t xml:space="preserve">Lu CF, Hsu FT, Hsieh KLC, et al. Machine learning–based radiomics for molecular subtyping of gliomas. </w:t>
      </w:r>
      <w:r w:rsidRPr="00757A85">
        <w:rPr>
          <w:rFonts w:ascii="Arial" w:hAnsi="Arial" w:cs="Arial"/>
          <w:i/>
          <w:iCs/>
          <w:noProof/>
          <w:sz w:val="20"/>
          <w:szCs w:val="24"/>
        </w:rPr>
        <w:t>Clin Cancer Res</w:t>
      </w:r>
      <w:r w:rsidRPr="00757A85">
        <w:rPr>
          <w:rFonts w:ascii="Arial" w:hAnsi="Arial" w:cs="Arial"/>
          <w:noProof/>
          <w:sz w:val="20"/>
          <w:szCs w:val="24"/>
        </w:rPr>
        <w:t>. 2018;24(18):4429-4436. doi:10.1158/1078-0432.CCR-17-3445</w:t>
      </w:r>
    </w:p>
    <w:p w14:paraId="388FE82D"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82. </w:t>
      </w:r>
      <w:r w:rsidRPr="00757A85">
        <w:rPr>
          <w:rFonts w:ascii="Arial" w:hAnsi="Arial" w:cs="Arial"/>
          <w:noProof/>
          <w:sz w:val="20"/>
          <w:szCs w:val="24"/>
        </w:rPr>
        <w:tab/>
        <w:t xml:space="preserve">Park N, Kang E, Park M, et al. Predicting acute kidney injury in cancer patients using heterogeneous and irregular data. </w:t>
      </w:r>
      <w:r w:rsidRPr="00757A85">
        <w:rPr>
          <w:rFonts w:ascii="Arial" w:hAnsi="Arial" w:cs="Arial"/>
          <w:i/>
          <w:iCs/>
          <w:noProof/>
          <w:sz w:val="20"/>
          <w:szCs w:val="24"/>
        </w:rPr>
        <w:t>PLoS One</w:t>
      </w:r>
      <w:r w:rsidRPr="00757A85">
        <w:rPr>
          <w:rFonts w:ascii="Arial" w:hAnsi="Arial" w:cs="Arial"/>
          <w:noProof/>
          <w:sz w:val="20"/>
          <w:szCs w:val="24"/>
        </w:rPr>
        <w:t>. 2018;13(7):1-21. doi:10.1371/journal.pone.0199839</w:t>
      </w:r>
    </w:p>
    <w:p w14:paraId="03CACF42"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83. </w:t>
      </w:r>
      <w:r w:rsidRPr="00757A85">
        <w:rPr>
          <w:rFonts w:ascii="Arial" w:hAnsi="Arial" w:cs="Arial"/>
          <w:noProof/>
          <w:sz w:val="20"/>
          <w:szCs w:val="24"/>
        </w:rPr>
        <w:tab/>
        <w:t xml:space="preserve">Ballarini T, Mueller K, Albrecht F, et al. Regional gray matter changes and age predict individual treatment response in Parkinson’s disease. </w:t>
      </w:r>
      <w:r w:rsidRPr="00757A85">
        <w:rPr>
          <w:rFonts w:ascii="Arial" w:hAnsi="Arial" w:cs="Arial"/>
          <w:i/>
          <w:iCs/>
          <w:noProof/>
          <w:sz w:val="20"/>
          <w:szCs w:val="24"/>
        </w:rPr>
        <w:t>NeuroImage Clin</w:t>
      </w:r>
      <w:r w:rsidRPr="00757A85">
        <w:rPr>
          <w:rFonts w:ascii="Arial" w:hAnsi="Arial" w:cs="Arial"/>
          <w:noProof/>
          <w:sz w:val="20"/>
          <w:szCs w:val="24"/>
        </w:rPr>
        <w:t>. 2019;21(May 2018). doi:10.1016/j.nicl.2018.101636</w:t>
      </w:r>
    </w:p>
    <w:p w14:paraId="167DC057"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84. </w:t>
      </w:r>
      <w:r w:rsidRPr="00757A85">
        <w:rPr>
          <w:rFonts w:ascii="Arial" w:hAnsi="Arial" w:cs="Arial"/>
          <w:noProof/>
          <w:sz w:val="20"/>
          <w:szCs w:val="24"/>
        </w:rPr>
        <w:tab/>
        <w:t xml:space="preserve">Chen D, Goyal G, Go RS, Parikh SA, Ngufor CG. Improved Interpretability of Machine Learning Model Using Unsupervised Clustering: Predicting Time to First Treatment in Chronic Lymphocytic Leukemia. </w:t>
      </w:r>
      <w:r w:rsidRPr="00757A85">
        <w:rPr>
          <w:rFonts w:ascii="Arial" w:hAnsi="Arial" w:cs="Arial"/>
          <w:i/>
          <w:iCs/>
          <w:noProof/>
          <w:sz w:val="20"/>
          <w:szCs w:val="24"/>
        </w:rPr>
        <w:t>JCO Clin Cancer Informatics</w:t>
      </w:r>
      <w:r w:rsidRPr="00757A85">
        <w:rPr>
          <w:rFonts w:ascii="Arial" w:hAnsi="Arial" w:cs="Arial"/>
          <w:noProof/>
          <w:sz w:val="20"/>
          <w:szCs w:val="24"/>
        </w:rPr>
        <w:t>. 2019;(3):1-11. doi:10.1200/cci.18.00137</w:t>
      </w:r>
    </w:p>
    <w:p w14:paraId="71488745"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85. </w:t>
      </w:r>
      <w:r w:rsidRPr="00757A85">
        <w:rPr>
          <w:rFonts w:ascii="Arial" w:hAnsi="Arial" w:cs="Arial"/>
          <w:noProof/>
          <w:sz w:val="20"/>
          <w:szCs w:val="24"/>
        </w:rPr>
        <w:tab/>
        <w:t xml:space="preserve">Malycha J, Farajidavar N, Pimentel MAF, et al. The effect of fractional inspired oxygen concentration on early warning score performance: A database analysis. </w:t>
      </w:r>
      <w:r w:rsidRPr="00757A85">
        <w:rPr>
          <w:rFonts w:ascii="Arial" w:hAnsi="Arial" w:cs="Arial"/>
          <w:i/>
          <w:iCs/>
          <w:noProof/>
          <w:sz w:val="20"/>
          <w:szCs w:val="24"/>
        </w:rPr>
        <w:t>Resuscitation</w:t>
      </w:r>
      <w:r w:rsidRPr="00757A85">
        <w:rPr>
          <w:rFonts w:ascii="Arial" w:hAnsi="Arial" w:cs="Arial"/>
          <w:noProof/>
          <w:sz w:val="20"/>
          <w:szCs w:val="24"/>
        </w:rPr>
        <w:t>. 2019;139(April 2019):192-199. doi:10.1016/j.resuscitation.2019.04.002</w:t>
      </w:r>
    </w:p>
    <w:p w14:paraId="067A4EB7"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86. </w:t>
      </w:r>
      <w:r w:rsidRPr="00757A85">
        <w:rPr>
          <w:rFonts w:ascii="Arial" w:hAnsi="Arial" w:cs="Arial"/>
          <w:noProof/>
          <w:sz w:val="20"/>
          <w:szCs w:val="24"/>
        </w:rPr>
        <w:tab/>
        <w:t xml:space="preserve">Xie Z, Nikolayeva O, Luo J, Li D. Building risk prediction models for type 2 diabetes using machine learning techniques. </w:t>
      </w:r>
      <w:r w:rsidRPr="00757A85">
        <w:rPr>
          <w:rFonts w:ascii="Arial" w:hAnsi="Arial" w:cs="Arial"/>
          <w:i/>
          <w:iCs/>
          <w:noProof/>
          <w:sz w:val="20"/>
          <w:szCs w:val="24"/>
        </w:rPr>
        <w:t>Prev Chronic Dis</w:t>
      </w:r>
      <w:r w:rsidRPr="00757A85">
        <w:rPr>
          <w:rFonts w:ascii="Arial" w:hAnsi="Arial" w:cs="Arial"/>
          <w:noProof/>
          <w:sz w:val="20"/>
          <w:szCs w:val="24"/>
        </w:rPr>
        <w:t>. 2019;16(9):1-9. doi:10.5888/pcd16.190109</w:t>
      </w:r>
    </w:p>
    <w:p w14:paraId="1D2A84A5"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87. </w:t>
      </w:r>
      <w:r w:rsidRPr="00757A85">
        <w:rPr>
          <w:rFonts w:ascii="Arial" w:hAnsi="Arial" w:cs="Arial"/>
          <w:noProof/>
          <w:sz w:val="20"/>
          <w:szCs w:val="24"/>
        </w:rPr>
        <w:tab/>
        <w:t xml:space="preserve">Thanathornwong B. Bayesian-based decision support system for assessing the needs for orthodontic treatment. </w:t>
      </w:r>
      <w:r w:rsidRPr="00757A85">
        <w:rPr>
          <w:rFonts w:ascii="Arial" w:hAnsi="Arial" w:cs="Arial"/>
          <w:i/>
          <w:iCs/>
          <w:noProof/>
          <w:sz w:val="20"/>
          <w:szCs w:val="24"/>
        </w:rPr>
        <w:t>Healthc Inform Res</w:t>
      </w:r>
      <w:r w:rsidRPr="00757A85">
        <w:rPr>
          <w:rFonts w:ascii="Arial" w:hAnsi="Arial" w:cs="Arial"/>
          <w:noProof/>
          <w:sz w:val="20"/>
          <w:szCs w:val="24"/>
        </w:rPr>
        <w:t>. 2018;24(1):22-28. doi:10.4258/hir.2018.24.1.22</w:t>
      </w:r>
    </w:p>
    <w:p w14:paraId="032F7055"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88. </w:t>
      </w:r>
      <w:r w:rsidRPr="00757A85">
        <w:rPr>
          <w:rFonts w:ascii="Arial" w:hAnsi="Arial" w:cs="Arial"/>
          <w:noProof/>
          <w:sz w:val="20"/>
          <w:szCs w:val="24"/>
        </w:rPr>
        <w:tab/>
        <w:t xml:space="preserve">Ngo CQ, Truong BCQ, Jones TW, Nguyen HT. Occipital EEG Activity for the Detection of Nocturnal Hypoglycemia. </w:t>
      </w:r>
      <w:r w:rsidRPr="00757A85">
        <w:rPr>
          <w:rFonts w:ascii="Arial" w:hAnsi="Arial" w:cs="Arial"/>
          <w:i/>
          <w:iCs/>
          <w:noProof/>
          <w:sz w:val="20"/>
          <w:szCs w:val="24"/>
        </w:rPr>
        <w:t>Proc Annu Int Conf IEEE Eng Med Biol Soc EMBS</w:t>
      </w:r>
      <w:r w:rsidRPr="00757A85">
        <w:rPr>
          <w:rFonts w:ascii="Arial" w:hAnsi="Arial" w:cs="Arial"/>
          <w:noProof/>
          <w:sz w:val="20"/>
          <w:szCs w:val="24"/>
        </w:rPr>
        <w:t>. 2018;2018-July:3862-3865. doi:10.1109/EMBC.2018.8513069</w:t>
      </w:r>
    </w:p>
    <w:p w14:paraId="4DF51DCE"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Pr>
          <w:rFonts w:ascii="Arial" w:hAnsi="Arial" w:cs="Arial"/>
          <w:noProof/>
          <w:sz w:val="20"/>
          <w:szCs w:val="24"/>
        </w:rPr>
        <w:t xml:space="preserve">89. </w:t>
      </w:r>
      <w:r>
        <w:rPr>
          <w:rFonts w:ascii="Arial" w:hAnsi="Arial" w:cs="Arial"/>
          <w:noProof/>
          <w:sz w:val="20"/>
          <w:szCs w:val="24"/>
        </w:rPr>
        <w:tab/>
        <w:t>Hyun SH</w:t>
      </w:r>
      <w:r w:rsidRPr="00757A85">
        <w:rPr>
          <w:rFonts w:ascii="Arial" w:hAnsi="Arial" w:cs="Arial"/>
          <w:noProof/>
          <w:sz w:val="20"/>
          <w:szCs w:val="24"/>
        </w:rPr>
        <w:t xml:space="preserve">, </w:t>
      </w:r>
      <w:r>
        <w:rPr>
          <w:rFonts w:ascii="Arial" w:hAnsi="Arial" w:cs="Arial"/>
          <w:noProof/>
          <w:sz w:val="20"/>
          <w:szCs w:val="24"/>
        </w:rPr>
        <w:t>Ahn MS</w:t>
      </w:r>
      <w:r w:rsidRPr="00757A85">
        <w:rPr>
          <w:rFonts w:ascii="Arial" w:hAnsi="Arial" w:cs="Arial"/>
          <w:noProof/>
          <w:sz w:val="20"/>
          <w:szCs w:val="24"/>
        </w:rPr>
        <w:t xml:space="preserve">, </w:t>
      </w:r>
      <w:r>
        <w:rPr>
          <w:rFonts w:ascii="Arial" w:hAnsi="Arial" w:cs="Arial"/>
          <w:noProof/>
          <w:sz w:val="20"/>
          <w:szCs w:val="24"/>
        </w:rPr>
        <w:t>Koh YW</w:t>
      </w:r>
      <w:r w:rsidRPr="00757A85">
        <w:rPr>
          <w:rFonts w:ascii="Arial" w:hAnsi="Arial" w:cs="Arial"/>
          <w:noProof/>
          <w:sz w:val="20"/>
          <w:szCs w:val="24"/>
        </w:rPr>
        <w:t>,</w:t>
      </w:r>
      <w:r>
        <w:rPr>
          <w:rFonts w:ascii="Arial" w:hAnsi="Arial" w:cs="Arial"/>
          <w:noProof/>
          <w:sz w:val="20"/>
          <w:szCs w:val="24"/>
        </w:rPr>
        <w:t xml:space="preserve"> et.al</w:t>
      </w:r>
      <w:r w:rsidRPr="00757A85">
        <w:rPr>
          <w:rFonts w:ascii="Arial" w:hAnsi="Arial" w:cs="Arial"/>
          <w:noProof/>
          <w:sz w:val="20"/>
          <w:szCs w:val="24"/>
        </w:rPr>
        <w:t xml:space="preserve">. A Machine-Learning Approach Using PET-Based Radiomics to Predict the Histological Subtypes of Lung Cancer. </w:t>
      </w:r>
      <w:r w:rsidRPr="00757A85">
        <w:rPr>
          <w:rFonts w:ascii="Arial" w:hAnsi="Arial" w:cs="Arial"/>
          <w:i/>
          <w:iCs/>
          <w:noProof/>
          <w:sz w:val="20"/>
          <w:szCs w:val="24"/>
        </w:rPr>
        <w:t>Clin Nucl Med</w:t>
      </w:r>
      <w:r w:rsidRPr="00757A85">
        <w:rPr>
          <w:rFonts w:ascii="Arial" w:hAnsi="Arial" w:cs="Arial"/>
          <w:noProof/>
          <w:sz w:val="20"/>
          <w:szCs w:val="24"/>
        </w:rPr>
        <w:t>. 2019;44(12):956-960. doi:10.1097/RLU.0000000000002810</w:t>
      </w:r>
    </w:p>
    <w:p w14:paraId="4F855921"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90. </w:t>
      </w:r>
      <w:r w:rsidRPr="00757A85">
        <w:rPr>
          <w:rFonts w:ascii="Arial" w:hAnsi="Arial" w:cs="Arial"/>
          <w:noProof/>
          <w:sz w:val="20"/>
          <w:szCs w:val="24"/>
        </w:rPr>
        <w:tab/>
        <w:t xml:space="preserve">Rozet A, Kronish IM, Schwartz JE, Davidson KW. Using machine learning to derive just-in-time and personalized predictors of stress: Observational study bridging the gap between nomothetic and ideographic approaches. </w:t>
      </w:r>
      <w:r w:rsidRPr="00757A85">
        <w:rPr>
          <w:rFonts w:ascii="Arial" w:hAnsi="Arial" w:cs="Arial"/>
          <w:i/>
          <w:iCs/>
          <w:noProof/>
          <w:sz w:val="20"/>
          <w:szCs w:val="24"/>
        </w:rPr>
        <w:t>J Med Internet Res</w:t>
      </w:r>
      <w:r w:rsidRPr="00757A85">
        <w:rPr>
          <w:rFonts w:ascii="Arial" w:hAnsi="Arial" w:cs="Arial"/>
          <w:noProof/>
          <w:sz w:val="20"/>
          <w:szCs w:val="24"/>
        </w:rPr>
        <w:t>. 2019;21(4):1-16. doi:10.2196/12910</w:t>
      </w:r>
    </w:p>
    <w:p w14:paraId="49B92A0B"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91. </w:t>
      </w:r>
      <w:r w:rsidRPr="00757A85">
        <w:rPr>
          <w:rFonts w:ascii="Arial" w:hAnsi="Arial" w:cs="Arial"/>
          <w:noProof/>
          <w:sz w:val="20"/>
          <w:szCs w:val="24"/>
        </w:rPr>
        <w:tab/>
        <w:t xml:space="preserve">Mellem MS, Liu Y, Gonzalez H, Kollada M, Martin WJ, Ahammad P. Machine Learning Models Identify Multimodal Measurements Highly Predictive of Transdiagnostic Symptom Severity for Mood, Anhedonia, and Anxiety. </w:t>
      </w:r>
      <w:r w:rsidRPr="00757A85">
        <w:rPr>
          <w:rFonts w:ascii="Arial" w:hAnsi="Arial" w:cs="Arial"/>
          <w:i/>
          <w:iCs/>
          <w:noProof/>
          <w:sz w:val="20"/>
          <w:szCs w:val="24"/>
        </w:rPr>
        <w:t>Biol Psychiatry Cogn Neurosci Neuroimaging</w:t>
      </w:r>
      <w:r w:rsidRPr="00757A85">
        <w:rPr>
          <w:rFonts w:ascii="Arial" w:hAnsi="Arial" w:cs="Arial"/>
          <w:noProof/>
          <w:sz w:val="20"/>
          <w:szCs w:val="24"/>
        </w:rPr>
        <w:t>. 2020;5(1):56-67. doi:10.1016/j.bpsc.2019.07.007</w:t>
      </w:r>
    </w:p>
    <w:p w14:paraId="5F8EC6C7"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92. </w:t>
      </w:r>
      <w:r w:rsidRPr="00757A85">
        <w:rPr>
          <w:rFonts w:ascii="Arial" w:hAnsi="Arial" w:cs="Arial"/>
          <w:noProof/>
          <w:sz w:val="20"/>
          <w:szCs w:val="24"/>
        </w:rPr>
        <w:tab/>
        <w:t xml:space="preserve">Karhade A V., Ogink PT, Thio QCBS, et al. Development of machine learning algorithms for prediction of prolonged opioid prescription after surgery for lumbar disc herniation. </w:t>
      </w:r>
      <w:r w:rsidRPr="00757A85">
        <w:rPr>
          <w:rFonts w:ascii="Arial" w:hAnsi="Arial" w:cs="Arial"/>
          <w:i/>
          <w:iCs/>
          <w:noProof/>
          <w:sz w:val="20"/>
          <w:szCs w:val="24"/>
        </w:rPr>
        <w:t>Spine J</w:t>
      </w:r>
      <w:r w:rsidRPr="00757A85">
        <w:rPr>
          <w:rFonts w:ascii="Arial" w:hAnsi="Arial" w:cs="Arial"/>
          <w:noProof/>
          <w:sz w:val="20"/>
          <w:szCs w:val="24"/>
        </w:rPr>
        <w:t>. 2019;19(11):1764-1771. doi:10.1016/j.spinee.2019.06.002</w:t>
      </w:r>
    </w:p>
    <w:p w14:paraId="036CB7E2"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93. </w:t>
      </w:r>
      <w:r w:rsidRPr="00757A85">
        <w:rPr>
          <w:rFonts w:ascii="Arial" w:hAnsi="Arial" w:cs="Arial"/>
          <w:noProof/>
          <w:sz w:val="20"/>
          <w:szCs w:val="24"/>
        </w:rPr>
        <w:tab/>
        <w:t xml:space="preserve">Zhang F, Tian S, Chen S, Ma Y, Li X, Guo X. Voxel-Based Morphometry: Improving the Diagnosis of Alzheimer’s Disease Based on an Extreme Learning Machine Method from the ADNI cohort. </w:t>
      </w:r>
      <w:r w:rsidRPr="00757A85">
        <w:rPr>
          <w:rFonts w:ascii="Arial" w:hAnsi="Arial" w:cs="Arial"/>
          <w:i/>
          <w:iCs/>
          <w:noProof/>
          <w:sz w:val="20"/>
          <w:szCs w:val="24"/>
        </w:rPr>
        <w:t>Neuroscience</w:t>
      </w:r>
      <w:r w:rsidRPr="00757A85">
        <w:rPr>
          <w:rFonts w:ascii="Arial" w:hAnsi="Arial" w:cs="Arial"/>
          <w:noProof/>
          <w:sz w:val="20"/>
          <w:szCs w:val="24"/>
        </w:rPr>
        <w:t>. 2019;414:273-279. doi:10.1016/j.neuroscience.2019.05.014</w:t>
      </w:r>
    </w:p>
    <w:p w14:paraId="7CD708AD"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94. </w:t>
      </w:r>
      <w:r w:rsidRPr="00757A85">
        <w:rPr>
          <w:rFonts w:ascii="Arial" w:hAnsi="Arial" w:cs="Arial"/>
          <w:noProof/>
          <w:sz w:val="20"/>
          <w:szCs w:val="24"/>
        </w:rPr>
        <w:tab/>
        <w:t xml:space="preserve">Leightley D, Williamson V, Darby J, Fear NT. Identifying probable post-traumatic stress disorder: applying supervised machine learning to data from a UK military cohort. </w:t>
      </w:r>
      <w:r w:rsidRPr="00757A85">
        <w:rPr>
          <w:rFonts w:ascii="Arial" w:hAnsi="Arial" w:cs="Arial"/>
          <w:i/>
          <w:iCs/>
          <w:noProof/>
          <w:sz w:val="20"/>
          <w:szCs w:val="24"/>
        </w:rPr>
        <w:t>J Ment Heal</w:t>
      </w:r>
      <w:r w:rsidRPr="00757A85">
        <w:rPr>
          <w:rFonts w:ascii="Arial" w:hAnsi="Arial" w:cs="Arial"/>
          <w:noProof/>
          <w:sz w:val="20"/>
          <w:szCs w:val="24"/>
        </w:rPr>
        <w:t>. 2019;28(1):34-41. doi:10.1080/09638237.2018.1521946</w:t>
      </w:r>
    </w:p>
    <w:p w14:paraId="6074E229"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95. </w:t>
      </w:r>
      <w:r w:rsidRPr="00757A85">
        <w:rPr>
          <w:rFonts w:ascii="Arial" w:hAnsi="Arial" w:cs="Arial"/>
          <w:noProof/>
          <w:sz w:val="20"/>
          <w:szCs w:val="24"/>
        </w:rPr>
        <w:tab/>
        <w:t xml:space="preserve">Mulder M, Nijland RH, van de Port IG, van Wegen EE, Kwakkel G. Prospectively Classifying Community Walkers After Stroke: Who Are They? </w:t>
      </w:r>
      <w:r w:rsidRPr="00757A85">
        <w:rPr>
          <w:rFonts w:ascii="Arial" w:hAnsi="Arial" w:cs="Arial"/>
          <w:i/>
          <w:iCs/>
          <w:noProof/>
          <w:sz w:val="20"/>
          <w:szCs w:val="24"/>
        </w:rPr>
        <w:t>Arch Phys Med Rehabil</w:t>
      </w:r>
      <w:r w:rsidRPr="00757A85">
        <w:rPr>
          <w:rFonts w:ascii="Arial" w:hAnsi="Arial" w:cs="Arial"/>
          <w:noProof/>
          <w:sz w:val="20"/>
          <w:szCs w:val="24"/>
        </w:rPr>
        <w:t>. 2019;100(11):2113-2118. doi:10.1016/j.apmr.2019.04.017</w:t>
      </w:r>
    </w:p>
    <w:p w14:paraId="7F152EE9"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lastRenderedPageBreak/>
        <w:t xml:space="preserve">96. </w:t>
      </w:r>
      <w:r w:rsidRPr="00757A85">
        <w:rPr>
          <w:rFonts w:ascii="Arial" w:hAnsi="Arial" w:cs="Arial"/>
          <w:noProof/>
          <w:sz w:val="20"/>
          <w:szCs w:val="24"/>
        </w:rPr>
        <w:tab/>
        <w:t xml:space="preserve">Debédat J, Sokolovska N, Coupaye M, et al. Long-term Relapse of Type 2 Diabetes After Roux-en-Y Gastric Bypass: Prediction and clinical relevance. </w:t>
      </w:r>
      <w:r w:rsidRPr="00757A85">
        <w:rPr>
          <w:rFonts w:ascii="Arial" w:hAnsi="Arial" w:cs="Arial"/>
          <w:i/>
          <w:iCs/>
          <w:noProof/>
          <w:sz w:val="20"/>
          <w:szCs w:val="24"/>
        </w:rPr>
        <w:t>Diabetes Care</w:t>
      </w:r>
      <w:r w:rsidRPr="00757A85">
        <w:rPr>
          <w:rFonts w:ascii="Arial" w:hAnsi="Arial" w:cs="Arial"/>
          <w:noProof/>
          <w:sz w:val="20"/>
          <w:szCs w:val="24"/>
        </w:rPr>
        <w:t>. 2018;41(10):2086-2095. doi:10.2337/dc18-0567</w:t>
      </w:r>
    </w:p>
    <w:p w14:paraId="6AB58FB0"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97. </w:t>
      </w:r>
      <w:r w:rsidRPr="00757A85">
        <w:rPr>
          <w:rFonts w:ascii="Arial" w:hAnsi="Arial" w:cs="Arial"/>
          <w:noProof/>
          <w:sz w:val="20"/>
          <w:szCs w:val="24"/>
        </w:rPr>
        <w:tab/>
        <w:t xml:space="preserve">Alcantud JCR, Varela G, Santos-Buitrago B, Santos-García G, Jiménez MF. Analysis of survival for lung cancer resections cases with fuzzy and soft set theory in surgical decision making. </w:t>
      </w:r>
      <w:r w:rsidRPr="00757A85">
        <w:rPr>
          <w:rFonts w:ascii="Arial" w:hAnsi="Arial" w:cs="Arial"/>
          <w:i/>
          <w:iCs/>
          <w:noProof/>
          <w:sz w:val="20"/>
          <w:szCs w:val="24"/>
        </w:rPr>
        <w:t>PLoS One</w:t>
      </w:r>
      <w:r w:rsidRPr="00757A85">
        <w:rPr>
          <w:rFonts w:ascii="Arial" w:hAnsi="Arial" w:cs="Arial"/>
          <w:noProof/>
          <w:sz w:val="20"/>
          <w:szCs w:val="24"/>
        </w:rPr>
        <w:t>. 2019;14(6):1-17. doi:10.1371/journal.pone.0218283</w:t>
      </w:r>
    </w:p>
    <w:p w14:paraId="52563445"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98. </w:t>
      </w:r>
      <w:r w:rsidRPr="00757A85">
        <w:rPr>
          <w:rFonts w:ascii="Arial" w:hAnsi="Arial" w:cs="Arial"/>
          <w:noProof/>
          <w:sz w:val="20"/>
          <w:szCs w:val="24"/>
        </w:rPr>
        <w:tab/>
        <w:t xml:space="preserve">Sandström A, Snowden JM, Höijer J, Bottai M, Wikström AK. Clinical risk assessment in early pregnancy for preeclampsia in nulliparous women: A population based cohort study. </w:t>
      </w:r>
      <w:r w:rsidRPr="00757A85">
        <w:rPr>
          <w:rFonts w:ascii="Arial" w:hAnsi="Arial" w:cs="Arial"/>
          <w:i/>
          <w:iCs/>
          <w:noProof/>
          <w:sz w:val="20"/>
          <w:szCs w:val="24"/>
        </w:rPr>
        <w:t>PLoS One</w:t>
      </w:r>
      <w:r w:rsidRPr="00757A85">
        <w:rPr>
          <w:rFonts w:ascii="Arial" w:hAnsi="Arial" w:cs="Arial"/>
          <w:noProof/>
          <w:sz w:val="20"/>
          <w:szCs w:val="24"/>
        </w:rPr>
        <w:t>. 2019;14(11):1-16. doi:10.1371/journal.pone.0225716</w:t>
      </w:r>
    </w:p>
    <w:p w14:paraId="50201308"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99. </w:t>
      </w:r>
      <w:r w:rsidRPr="00757A85">
        <w:rPr>
          <w:rFonts w:ascii="Arial" w:hAnsi="Arial" w:cs="Arial"/>
          <w:noProof/>
          <w:sz w:val="20"/>
          <w:szCs w:val="24"/>
        </w:rPr>
        <w:tab/>
        <w:t xml:space="preserve">Xiao C, Liu Y, Feng DD, Wang X. Key Marker Selection for the Detection of Early Parkinson’ s Disease using Importance-Driven Models. </w:t>
      </w:r>
      <w:r w:rsidRPr="00757A85">
        <w:rPr>
          <w:rFonts w:ascii="Arial" w:hAnsi="Arial" w:cs="Arial"/>
          <w:i/>
          <w:iCs/>
          <w:noProof/>
          <w:sz w:val="20"/>
          <w:szCs w:val="24"/>
        </w:rPr>
        <w:t>Conf Proc  . Annu Int Conf IEEE Eng Med Biol Soc IEEE Eng Med Biol Soc Annu Conf</w:t>
      </w:r>
      <w:r w:rsidRPr="00757A85">
        <w:rPr>
          <w:rFonts w:ascii="Arial" w:hAnsi="Arial" w:cs="Arial"/>
          <w:noProof/>
          <w:sz w:val="20"/>
          <w:szCs w:val="24"/>
        </w:rPr>
        <w:t>. 2018;2018:6100-6103. doi:10.1109/EMBC.2018.8513564</w:t>
      </w:r>
    </w:p>
    <w:p w14:paraId="7986FD2F"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100. </w:t>
      </w:r>
      <w:r w:rsidRPr="00757A85">
        <w:rPr>
          <w:rFonts w:ascii="Arial" w:hAnsi="Arial" w:cs="Arial"/>
          <w:noProof/>
          <w:sz w:val="20"/>
          <w:szCs w:val="24"/>
        </w:rPr>
        <w:tab/>
        <w:t xml:space="preserve">Cooper JN, Minneci PC, Deans KJ. Postoperative neonatal mortality prediction using superlearning. </w:t>
      </w:r>
      <w:r w:rsidRPr="00757A85">
        <w:rPr>
          <w:rFonts w:ascii="Arial" w:hAnsi="Arial" w:cs="Arial"/>
          <w:i/>
          <w:iCs/>
          <w:noProof/>
          <w:sz w:val="20"/>
          <w:szCs w:val="24"/>
        </w:rPr>
        <w:t>J Surg Res</w:t>
      </w:r>
      <w:r w:rsidRPr="00757A85">
        <w:rPr>
          <w:rFonts w:ascii="Arial" w:hAnsi="Arial" w:cs="Arial"/>
          <w:noProof/>
          <w:sz w:val="20"/>
          <w:szCs w:val="24"/>
        </w:rPr>
        <w:t>. 2018;221:311-319. doi:10.1016/j.jss.2017.09.002</w:t>
      </w:r>
    </w:p>
    <w:p w14:paraId="4AABE7C3"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101. </w:t>
      </w:r>
      <w:r w:rsidRPr="00757A85">
        <w:rPr>
          <w:rFonts w:ascii="Arial" w:hAnsi="Arial" w:cs="Arial"/>
          <w:noProof/>
          <w:sz w:val="20"/>
          <w:szCs w:val="24"/>
        </w:rPr>
        <w:tab/>
        <w:t xml:space="preserve">Rau CS, Kuo PJ, Chien PC, Huang CY, Hsieh HY, Hsieh CH. Mortality prediction in patients with isolated moderate and severe traumatic brain injury using machine learning models. </w:t>
      </w:r>
      <w:r w:rsidRPr="00757A85">
        <w:rPr>
          <w:rFonts w:ascii="Arial" w:hAnsi="Arial" w:cs="Arial"/>
          <w:i/>
          <w:iCs/>
          <w:noProof/>
          <w:sz w:val="20"/>
          <w:szCs w:val="24"/>
        </w:rPr>
        <w:t>PLoS One</w:t>
      </w:r>
      <w:r w:rsidRPr="00757A85">
        <w:rPr>
          <w:rFonts w:ascii="Arial" w:hAnsi="Arial" w:cs="Arial"/>
          <w:noProof/>
          <w:sz w:val="20"/>
          <w:szCs w:val="24"/>
        </w:rPr>
        <w:t>. 2018;13(11):1-12. doi:10.1371/journal.pone.0207192</w:t>
      </w:r>
    </w:p>
    <w:p w14:paraId="3FE70F10"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102. </w:t>
      </w:r>
      <w:r w:rsidRPr="00757A85">
        <w:rPr>
          <w:rFonts w:ascii="Arial" w:hAnsi="Arial" w:cs="Arial"/>
          <w:noProof/>
          <w:sz w:val="20"/>
          <w:szCs w:val="24"/>
        </w:rPr>
        <w:tab/>
        <w:t xml:space="preserve">Anand RS, Stey P, Jain S, et al. Predicting Mortality in Diabetic ICU Patients Using Machine Learning and Severity Indices. </w:t>
      </w:r>
      <w:r w:rsidRPr="00757A85">
        <w:rPr>
          <w:rFonts w:ascii="Arial" w:hAnsi="Arial" w:cs="Arial"/>
          <w:i/>
          <w:iCs/>
          <w:noProof/>
          <w:sz w:val="20"/>
          <w:szCs w:val="24"/>
        </w:rPr>
        <w:t>AMIA Jt Summits Transl Sci proceedings AMIA Jt Summits Transl Sci</w:t>
      </w:r>
      <w:r w:rsidRPr="00757A85">
        <w:rPr>
          <w:rFonts w:ascii="Arial" w:hAnsi="Arial" w:cs="Arial"/>
          <w:noProof/>
          <w:sz w:val="20"/>
          <w:szCs w:val="24"/>
        </w:rPr>
        <w:t xml:space="preserve">. 2018;2017:310-319. </w:t>
      </w:r>
    </w:p>
    <w:p w14:paraId="1E39AFE2"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103. </w:t>
      </w:r>
      <w:r w:rsidRPr="00757A85">
        <w:rPr>
          <w:rFonts w:ascii="Arial" w:hAnsi="Arial" w:cs="Arial"/>
          <w:noProof/>
          <w:sz w:val="20"/>
          <w:szCs w:val="24"/>
        </w:rPr>
        <w:tab/>
        <w:t xml:space="preserve">Aperstein Y, Cohen L, Bendavid I, et al. Improved ICU mortality prediction based on SOFA scores and gastrointestinal parameters. </w:t>
      </w:r>
      <w:r w:rsidRPr="00757A85">
        <w:rPr>
          <w:rFonts w:ascii="Arial" w:hAnsi="Arial" w:cs="Arial"/>
          <w:i/>
          <w:iCs/>
          <w:noProof/>
          <w:sz w:val="20"/>
          <w:szCs w:val="24"/>
        </w:rPr>
        <w:t>PLoS One</w:t>
      </w:r>
      <w:r w:rsidRPr="00757A85">
        <w:rPr>
          <w:rFonts w:ascii="Arial" w:hAnsi="Arial" w:cs="Arial"/>
          <w:noProof/>
          <w:sz w:val="20"/>
          <w:szCs w:val="24"/>
        </w:rPr>
        <w:t>. 2019;14(9):1-11. doi:10.1371/journal.pone.0222599</w:t>
      </w:r>
    </w:p>
    <w:p w14:paraId="261D2720"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104. </w:t>
      </w:r>
      <w:r w:rsidRPr="00757A85">
        <w:rPr>
          <w:rFonts w:ascii="Arial" w:hAnsi="Arial" w:cs="Arial"/>
          <w:noProof/>
          <w:sz w:val="20"/>
          <w:szCs w:val="24"/>
        </w:rPr>
        <w:tab/>
        <w:t xml:space="preserve">Park J, Kim JW, Ryu B, Heo E, Jung SY, Yoo S. Patient-level prediction of cardio-cerebrovascular events in hypertension using nationwide claims data. </w:t>
      </w:r>
      <w:r w:rsidRPr="00757A85">
        <w:rPr>
          <w:rFonts w:ascii="Arial" w:hAnsi="Arial" w:cs="Arial"/>
          <w:i/>
          <w:iCs/>
          <w:noProof/>
          <w:sz w:val="20"/>
          <w:szCs w:val="24"/>
        </w:rPr>
        <w:t>J Med Internet Res</w:t>
      </w:r>
      <w:r w:rsidRPr="00757A85">
        <w:rPr>
          <w:rFonts w:ascii="Arial" w:hAnsi="Arial" w:cs="Arial"/>
          <w:noProof/>
          <w:sz w:val="20"/>
          <w:szCs w:val="24"/>
        </w:rPr>
        <w:t>. 2019;21(2). doi:10.2196/11757</w:t>
      </w:r>
    </w:p>
    <w:p w14:paraId="4772CF0A"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105. </w:t>
      </w:r>
      <w:r w:rsidRPr="00757A85">
        <w:rPr>
          <w:rFonts w:ascii="Arial" w:hAnsi="Arial" w:cs="Arial"/>
          <w:noProof/>
          <w:sz w:val="20"/>
          <w:szCs w:val="24"/>
        </w:rPr>
        <w:tab/>
        <w:t xml:space="preserve">Gökçay D, Eken A, Baltaci S. Binary Classification Using Neural and Clinical Features: An Application in Fibromyalgia with Likelihood-Based Decision Level Fusion. </w:t>
      </w:r>
      <w:r w:rsidRPr="00757A85">
        <w:rPr>
          <w:rFonts w:ascii="Arial" w:hAnsi="Arial" w:cs="Arial"/>
          <w:i/>
          <w:iCs/>
          <w:noProof/>
          <w:sz w:val="20"/>
          <w:szCs w:val="24"/>
        </w:rPr>
        <w:t>IEEE J Biomed Heal Informatics</w:t>
      </w:r>
      <w:r w:rsidRPr="00757A85">
        <w:rPr>
          <w:rFonts w:ascii="Arial" w:hAnsi="Arial" w:cs="Arial"/>
          <w:noProof/>
          <w:sz w:val="20"/>
          <w:szCs w:val="24"/>
        </w:rPr>
        <w:t xml:space="preserve">. </w:t>
      </w:r>
      <w:r w:rsidRPr="00757A85">
        <w:rPr>
          <w:rFonts w:ascii="Arial" w:hAnsi="Arial" w:cs="Arial"/>
          <w:noProof/>
          <w:sz w:val="20"/>
          <w:szCs w:val="24"/>
        </w:rPr>
        <w:t>2019;23(4):1490-1498. doi:10.1109/JBHI.2018.2844300</w:t>
      </w:r>
    </w:p>
    <w:p w14:paraId="1A7D995D"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106. </w:t>
      </w:r>
      <w:r w:rsidRPr="00757A85">
        <w:rPr>
          <w:rFonts w:ascii="Arial" w:hAnsi="Arial" w:cs="Arial"/>
          <w:noProof/>
          <w:sz w:val="20"/>
          <w:szCs w:val="24"/>
        </w:rPr>
        <w:tab/>
        <w:t xml:space="preserve">Gupta R, Gupta S, Chauhan L. Predicting visual outcome after open globe injury using classification and regression tree model: the Moradabad ocular trauma study. </w:t>
      </w:r>
      <w:r w:rsidRPr="00757A85">
        <w:rPr>
          <w:rFonts w:ascii="Arial" w:hAnsi="Arial" w:cs="Arial"/>
          <w:i/>
          <w:iCs/>
          <w:noProof/>
          <w:sz w:val="20"/>
          <w:szCs w:val="24"/>
        </w:rPr>
        <w:t>Can J Ophthalmol</w:t>
      </w:r>
      <w:r w:rsidRPr="00757A85">
        <w:rPr>
          <w:rFonts w:ascii="Arial" w:hAnsi="Arial" w:cs="Arial"/>
          <w:noProof/>
          <w:sz w:val="20"/>
          <w:szCs w:val="24"/>
        </w:rPr>
        <w:t>. 2019;54(4):473-478. doi:10.1016/j.jcjo.2018.08.004</w:t>
      </w:r>
    </w:p>
    <w:p w14:paraId="5F713962"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107. </w:t>
      </w:r>
      <w:r w:rsidRPr="00757A85">
        <w:rPr>
          <w:rFonts w:ascii="Arial" w:hAnsi="Arial" w:cs="Arial"/>
          <w:noProof/>
          <w:sz w:val="20"/>
          <w:szCs w:val="24"/>
        </w:rPr>
        <w:tab/>
        <w:t xml:space="preserve">Butt AH, Rovini E, Dolciotti C, et al. Objective and automatic classifcation of Parkinson disease with Leap Motion controller. </w:t>
      </w:r>
      <w:r w:rsidRPr="00757A85">
        <w:rPr>
          <w:rFonts w:ascii="Arial" w:hAnsi="Arial" w:cs="Arial"/>
          <w:i/>
          <w:iCs/>
          <w:noProof/>
          <w:sz w:val="20"/>
          <w:szCs w:val="24"/>
        </w:rPr>
        <w:t>Biomed Eng Online</w:t>
      </w:r>
      <w:r w:rsidRPr="00757A85">
        <w:rPr>
          <w:rFonts w:ascii="Arial" w:hAnsi="Arial" w:cs="Arial"/>
          <w:noProof/>
          <w:sz w:val="20"/>
          <w:szCs w:val="24"/>
        </w:rPr>
        <w:t>. 2018;17(1):1-21. doi:10.1186/s12938-018-0600-7</w:t>
      </w:r>
    </w:p>
    <w:p w14:paraId="15B35213"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108. </w:t>
      </w:r>
      <w:r w:rsidRPr="00757A85">
        <w:rPr>
          <w:rFonts w:ascii="Arial" w:hAnsi="Arial" w:cs="Arial"/>
          <w:noProof/>
          <w:sz w:val="20"/>
          <w:szCs w:val="24"/>
        </w:rPr>
        <w:tab/>
        <w:t xml:space="preserve">Hunter-Zinck HS, Peck JS, Strout TD, Gaehde SA. Predicting emergency department orders with multilabel machine learning techniques and simulating effects on length of stay. </w:t>
      </w:r>
      <w:r w:rsidRPr="00757A85">
        <w:rPr>
          <w:rFonts w:ascii="Arial" w:hAnsi="Arial" w:cs="Arial"/>
          <w:i/>
          <w:iCs/>
          <w:noProof/>
          <w:sz w:val="20"/>
          <w:szCs w:val="24"/>
        </w:rPr>
        <w:t>J Am Med Informatics Assoc</w:t>
      </w:r>
      <w:r w:rsidRPr="00757A85">
        <w:rPr>
          <w:rFonts w:ascii="Arial" w:hAnsi="Arial" w:cs="Arial"/>
          <w:noProof/>
          <w:sz w:val="20"/>
          <w:szCs w:val="24"/>
        </w:rPr>
        <w:t>. 2019;26(12):1427-1436. doi:10.1093/jamia/ocz171</w:t>
      </w:r>
    </w:p>
    <w:p w14:paraId="1B6064D8"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109. </w:t>
      </w:r>
      <w:r w:rsidRPr="00757A85">
        <w:rPr>
          <w:rFonts w:ascii="Arial" w:hAnsi="Arial" w:cs="Arial"/>
          <w:noProof/>
          <w:sz w:val="20"/>
          <w:szCs w:val="24"/>
        </w:rPr>
        <w:tab/>
        <w:t xml:space="preserve">Kilic A, Goyal A, Miller JK, et al. Predictive Utility of a Machine Learning Algorithm in Estimating Mortality Risk in Cardiac Surgery. </w:t>
      </w:r>
      <w:r w:rsidRPr="00757A85">
        <w:rPr>
          <w:rFonts w:ascii="Arial" w:hAnsi="Arial" w:cs="Arial"/>
          <w:i/>
          <w:iCs/>
          <w:noProof/>
          <w:sz w:val="20"/>
          <w:szCs w:val="24"/>
        </w:rPr>
        <w:t>Ann Thorac Surg</w:t>
      </w:r>
      <w:r w:rsidRPr="00757A85">
        <w:rPr>
          <w:rFonts w:ascii="Arial" w:hAnsi="Arial" w:cs="Arial"/>
          <w:noProof/>
          <w:sz w:val="20"/>
          <w:szCs w:val="24"/>
        </w:rPr>
        <w:t>. Published online 2020. doi:10.1016/j.athoracsur.2019.09.049</w:t>
      </w:r>
    </w:p>
    <w:p w14:paraId="5C095FF3"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110. </w:t>
      </w:r>
      <w:r w:rsidRPr="00757A85">
        <w:rPr>
          <w:rFonts w:ascii="Arial" w:hAnsi="Arial" w:cs="Arial"/>
          <w:noProof/>
          <w:sz w:val="20"/>
          <w:szCs w:val="24"/>
        </w:rPr>
        <w:tab/>
        <w:t xml:space="preserve">Campillo-Artero C, Serra-Burriel M, Calvo-Pérez A. Predictive modeling of emergency cesarean delivery. </w:t>
      </w:r>
      <w:r w:rsidRPr="00757A85">
        <w:rPr>
          <w:rFonts w:ascii="Arial" w:hAnsi="Arial" w:cs="Arial"/>
          <w:i/>
          <w:iCs/>
          <w:noProof/>
          <w:sz w:val="20"/>
          <w:szCs w:val="24"/>
        </w:rPr>
        <w:t>PLoS One</w:t>
      </w:r>
      <w:r w:rsidRPr="00757A85">
        <w:rPr>
          <w:rFonts w:ascii="Arial" w:hAnsi="Arial" w:cs="Arial"/>
          <w:noProof/>
          <w:sz w:val="20"/>
          <w:szCs w:val="24"/>
        </w:rPr>
        <w:t>. 2018;13(1):1-14. doi:10.1371/journal.pone.0191248</w:t>
      </w:r>
    </w:p>
    <w:p w14:paraId="6EB2D0EE"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111. </w:t>
      </w:r>
      <w:r w:rsidRPr="00757A85">
        <w:rPr>
          <w:rFonts w:ascii="Arial" w:hAnsi="Arial" w:cs="Arial"/>
          <w:noProof/>
          <w:sz w:val="20"/>
          <w:szCs w:val="24"/>
        </w:rPr>
        <w:tab/>
        <w:t xml:space="preserve">Zhang ML, Guo AX, Kadauke S, Dighe AS, Baron JM, Sohani AR. Machine Learning Models Improve the Diagnostic Yield of Peripheral Blood Flow Cytometry. </w:t>
      </w:r>
      <w:r w:rsidRPr="00757A85">
        <w:rPr>
          <w:rFonts w:ascii="Arial" w:hAnsi="Arial" w:cs="Arial"/>
          <w:i/>
          <w:iCs/>
          <w:noProof/>
          <w:sz w:val="20"/>
          <w:szCs w:val="24"/>
        </w:rPr>
        <w:t>Am J Clin Pathol</w:t>
      </w:r>
      <w:r w:rsidRPr="00757A85">
        <w:rPr>
          <w:rFonts w:ascii="Arial" w:hAnsi="Arial" w:cs="Arial"/>
          <w:noProof/>
          <w:sz w:val="20"/>
          <w:szCs w:val="24"/>
        </w:rPr>
        <w:t>. 2020;153(2):235-242. doi:10.1093/ajcp/aqz150</w:t>
      </w:r>
    </w:p>
    <w:p w14:paraId="5D062AA1"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112. </w:t>
      </w:r>
      <w:r w:rsidRPr="00757A85">
        <w:rPr>
          <w:rFonts w:ascii="Arial" w:hAnsi="Arial" w:cs="Arial"/>
          <w:noProof/>
          <w:sz w:val="20"/>
          <w:szCs w:val="24"/>
        </w:rPr>
        <w:tab/>
        <w:t xml:space="preserve">Hong WS, Haimovich AD, Taylor RA. Predicting hospital admission at emergency department triage using machine learning. </w:t>
      </w:r>
      <w:r w:rsidRPr="00757A85">
        <w:rPr>
          <w:rFonts w:ascii="Arial" w:hAnsi="Arial" w:cs="Arial"/>
          <w:i/>
          <w:iCs/>
          <w:noProof/>
          <w:sz w:val="20"/>
          <w:szCs w:val="24"/>
        </w:rPr>
        <w:t>PLoS One</w:t>
      </w:r>
      <w:r w:rsidRPr="00757A85">
        <w:rPr>
          <w:rFonts w:ascii="Arial" w:hAnsi="Arial" w:cs="Arial"/>
          <w:noProof/>
          <w:sz w:val="20"/>
          <w:szCs w:val="24"/>
        </w:rPr>
        <w:t>. 2018;13(7):1-13. doi:10.1371/journal.pone.0201016</w:t>
      </w:r>
    </w:p>
    <w:p w14:paraId="509E392E"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113. </w:t>
      </w:r>
      <w:r w:rsidRPr="00757A85">
        <w:rPr>
          <w:rFonts w:ascii="Arial" w:hAnsi="Arial" w:cs="Arial"/>
          <w:noProof/>
          <w:sz w:val="20"/>
          <w:szCs w:val="24"/>
        </w:rPr>
        <w:tab/>
      </w:r>
      <w:r>
        <w:rPr>
          <w:rFonts w:ascii="Arial" w:hAnsi="Arial" w:cs="Arial"/>
          <w:noProof/>
          <w:sz w:val="20"/>
          <w:szCs w:val="24"/>
        </w:rPr>
        <w:t xml:space="preserve">Beauchet O, Noublanche F, Simon R, et. al. Falls risk prediction for older inpatients in acute care medical wards: is there an interest to combine an early nurse assessment and the artificial neural network analysis? </w:t>
      </w:r>
      <w:r w:rsidRPr="00255AC5">
        <w:rPr>
          <w:rFonts w:ascii="Arial" w:hAnsi="Arial" w:cs="Arial"/>
          <w:i/>
          <w:noProof/>
          <w:sz w:val="20"/>
          <w:szCs w:val="24"/>
        </w:rPr>
        <w:t>J Nutr Health Aging</w:t>
      </w:r>
      <w:r w:rsidRPr="00757A85">
        <w:rPr>
          <w:rFonts w:ascii="Arial" w:hAnsi="Arial" w:cs="Arial"/>
          <w:noProof/>
          <w:sz w:val="20"/>
          <w:szCs w:val="24"/>
        </w:rPr>
        <w:t>.</w:t>
      </w:r>
      <w:r>
        <w:rPr>
          <w:rFonts w:ascii="Arial" w:hAnsi="Arial" w:cs="Arial"/>
          <w:noProof/>
          <w:sz w:val="20"/>
          <w:szCs w:val="24"/>
        </w:rPr>
        <w:t xml:space="preserve"> 2018. doi:10.1007/s12603-017-0950-z</w:t>
      </w:r>
      <w:r w:rsidRPr="00757A85">
        <w:rPr>
          <w:rFonts w:ascii="Arial" w:hAnsi="Arial" w:cs="Arial"/>
          <w:noProof/>
          <w:sz w:val="20"/>
          <w:szCs w:val="24"/>
        </w:rPr>
        <w:t xml:space="preserve"> </w:t>
      </w:r>
    </w:p>
    <w:p w14:paraId="6104799E" w14:textId="77777777" w:rsidR="00A427B2" w:rsidRPr="00A427B2" w:rsidRDefault="00A427B2" w:rsidP="00A427B2">
      <w:pPr>
        <w:widowControl w:val="0"/>
        <w:autoSpaceDE w:val="0"/>
        <w:autoSpaceDN w:val="0"/>
        <w:adjustRightInd w:val="0"/>
        <w:spacing w:line="240" w:lineRule="auto"/>
        <w:ind w:left="640" w:hanging="640"/>
        <w:rPr>
          <w:rFonts w:ascii="Arial" w:hAnsi="Arial" w:cs="Arial"/>
          <w:noProof/>
          <w:sz w:val="20"/>
          <w:szCs w:val="24"/>
          <w:lang w:val="nl-NL"/>
        </w:rPr>
      </w:pPr>
      <w:r w:rsidRPr="00757A85">
        <w:rPr>
          <w:rFonts w:ascii="Arial" w:hAnsi="Arial" w:cs="Arial"/>
          <w:noProof/>
          <w:sz w:val="20"/>
          <w:szCs w:val="24"/>
        </w:rPr>
        <w:t xml:space="preserve">114. </w:t>
      </w:r>
      <w:r w:rsidRPr="00757A85">
        <w:rPr>
          <w:rFonts w:ascii="Arial" w:hAnsi="Arial" w:cs="Arial"/>
          <w:noProof/>
          <w:sz w:val="20"/>
          <w:szCs w:val="24"/>
        </w:rPr>
        <w:tab/>
        <w:t xml:space="preserve">Ma Z, Wang P, Gao Z, Wang R, Khalighi K. Ensemble of machine learning algorithms using the stacked generalization approach to estimate the warfarin dose. </w:t>
      </w:r>
      <w:r w:rsidRPr="00A427B2">
        <w:rPr>
          <w:rFonts w:ascii="Arial" w:hAnsi="Arial" w:cs="Arial"/>
          <w:i/>
          <w:iCs/>
          <w:noProof/>
          <w:sz w:val="20"/>
          <w:szCs w:val="24"/>
          <w:lang w:val="nl-NL"/>
        </w:rPr>
        <w:t>PLoS One</w:t>
      </w:r>
      <w:r w:rsidRPr="00A427B2">
        <w:rPr>
          <w:rFonts w:ascii="Arial" w:hAnsi="Arial" w:cs="Arial"/>
          <w:noProof/>
          <w:sz w:val="20"/>
          <w:szCs w:val="24"/>
          <w:lang w:val="nl-NL"/>
        </w:rPr>
        <w:t>. 2018;13(10):1-12. doi:10.1371/journal.pone.0205872</w:t>
      </w:r>
    </w:p>
    <w:p w14:paraId="03BA8F6C"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A427B2">
        <w:rPr>
          <w:rFonts w:ascii="Arial" w:hAnsi="Arial" w:cs="Arial"/>
          <w:noProof/>
          <w:sz w:val="20"/>
          <w:szCs w:val="24"/>
          <w:lang w:val="nl-NL"/>
        </w:rPr>
        <w:t xml:space="preserve">115. </w:t>
      </w:r>
      <w:r w:rsidRPr="00A427B2">
        <w:rPr>
          <w:rFonts w:ascii="Arial" w:hAnsi="Arial" w:cs="Arial"/>
          <w:noProof/>
          <w:sz w:val="20"/>
          <w:szCs w:val="24"/>
          <w:lang w:val="nl-NL"/>
        </w:rPr>
        <w:tab/>
        <w:t xml:space="preserve">Veeranki SPK, Hayn D, Jauk S, et al. </w:t>
      </w:r>
      <w:r w:rsidRPr="00757A85">
        <w:rPr>
          <w:rFonts w:ascii="Arial" w:hAnsi="Arial" w:cs="Arial"/>
          <w:noProof/>
          <w:sz w:val="20"/>
          <w:szCs w:val="24"/>
        </w:rPr>
        <w:t xml:space="preserve">An improvised classification model for predicting delirium. </w:t>
      </w:r>
      <w:r w:rsidRPr="00757A85">
        <w:rPr>
          <w:rFonts w:ascii="Arial" w:hAnsi="Arial" w:cs="Arial"/>
          <w:i/>
          <w:iCs/>
          <w:noProof/>
          <w:sz w:val="20"/>
          <w:szCs w:val="24"/>
        </w:rPr>
        <w:t>Stud Health Technol Inform</w:t>
      </w:r>
      <w:r w:rsidRPr="00757A85">
        <w:rPr>
          <w:rFonts w:ascii="Arial" w:hAnsi="Arial" w:cs="Arial"/>
          <w:noProof/>
          <w:sz w:val="20"/>
          <w:szCs w:val="24"/>
        </w:rPr>
        <w:t xml:space="preserve">. </w:t>
      </w:r>
      <w:r w:rsidRPr="00757A85">
        <w:rPr>
          <w:rFonts w:ascii="Arial" w:hAnsi="Arial" w:cs="Arial"/>
          <w:noProof/>
          <w:sz w:val="20"/>
          <w:szCs w:val="24"/>
        </w:rPr>
        <w:lastRenderedPageBreak/>
        <w:t>2019;264:1566-1567. doi:10.3233/SHTI190537</w:t>
      </w:r>
    </w:p>
    <w:p w14:paraId="271CE0BA"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116. </w:t>
      </w:r>
      <w:r w:rsidRPr="00757A85">
        <w:rPr>
          <w:rFonts w:ascii="Arial" w:hAnsi="Arial" w:cs="Arial"/>
          <w:noProof/>
          <w:sz w:val="20"/>
          <w:szCs w:val="24"/>
        </w:rPr>
        <w:tab/>
        <w:t xml:space="preserve">Maharlou H, Niakan Kalhori SR, Shahbazi S, Ravangard R. Predicting length of stay in intensive care units after cardiac surgery: Comparison of artificial neural networks and adaptive neuro-fuzzy system. </w:t>
      </w:r>
      <w:r w:rsidRPr="00757A85">
        <w:rPr>
          <w:rFonts w:ascii="Arial" w:hAnsi="Arial" w:cs="Arial"/>
          <w:i/>
          <w:iCs/>
          <w:noProof/>
          <w:sz w:val="20"/>
          <w:szCs w:val="24"/>
        </w:rPr>
        <w:t>Healthc Inform Res</w:t>
      </w:r>
      <w:r w:rsidRPr="00757A85">
        <w:rPr>
          <w:rFonts w:ascii="Arial" w:hAnsi="Arial" w:cs="Arial"/>
          <w:noProof/>
          <w:sz w:val="20"/>
          <w:szCs w:val="24"/>
        </w:rPr>
        <w:t>. 2018;24(2):109-117. doi:10.4258/hir.2018.24.2.109</w:t>
      </w:r>
    </w:p>
    <w:p w14:paraId="19E605C8"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117. </w:t>
      </w:r>
      <w:r w:rsidRPr="00757A85">
        <w:rPr>
          <w:rFonts w:ascii="Arial" w:hAnsi="Arial" w:cs="Arial"/>
          <w:noProof/>
          <w:sz w:val="20"/>
          <w:szCs w:val="24"/>
        </w:rPr>
        <w:tab/>
        <w:t xml:space="preserve">Castillo-Olea C, B G-ZS, C CL, Zuniga C. Automatic Classification of Sarcopenia Level in Older Adults: A Case Study at Tijuana General Hospital. </w:t>
      </w:r>
      <w:r w:rsidRPr="00757A85">
        <w:rPr>
          <w:rFonts w:ascii="Arial" w:hAnsi="Arial" w:cs="Arial"/>
          <w:i/>
          <w:iCs/>
          <w:noProof/>
          <w:sz w:val="20"/>
          <w:szCs w:val="24"/>
        </w:rPr>
        <w:t>Int J Environ Res Public Health</w:t>
      </w:r>
      <w:r w:rsidRPr="00757A85">
        <w:rPr>
          <w:rFonts w:ascii="Arial" w:hAnsi="Arial" w:cs="Arial"/>
          <w:noProof/>
          <w:sz w:val="20"/>
          <w:szCs w:val="24"/>
        </w:rPr>
        <w:t>. 2019;16(18). doi:10.3390/ijerph16183275</w:t>
      </w:r>
    </w:p>
    <w:p w14:paraId="287884B4"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118. </w:t>
      </w:r>
      <w:r w:rsidRPr="00757A85">
        <w:rPr>
          <w:rFonts w:ascii="Arial" w:hAnsi="Arial" w:cs="Arial"/>
          <w:noProof/>
          <w:sz w:val="20"/>
          <w:szCs w:val="24"/>
        </w:rPr>
        <w:tab/>
      </w:r>
      <w:r w:rsidRPr="00A427B2">
        <w:rPr>
          <w:rFonts w:ascii="Arial" w:hAnsi="Arial" w:cs="Arial"/>
          <w:noProof/>
          <w:sz w:val="20"/>
          <w:szCs w:val="24"/>
        </w:rPr>
        <w:t xml:space="preserve">Sa-ngamuang C, Haddawy P, Luvira V, et al. </w:t>
      </w:r>
      <w:r w:rsidRPr="00757A85">
        <w:rPr>
          <w:rFonts w:ascii="Arial" w:hAnsi="Arial" w:cs="Arial"/>
          <w:noProof/>
          <w:sz w:val="20"/>
          <w:szCs w:val="24"/>
        </w:rPr>
        <w:t xml:space="preserve">Accuracy of dengue clinical diagnosis with and without NS1 antigen rapid test: Comparison between human and Bayesian network model decision. </w:t>
      </w:r>
      <w:r w:rsidRPr="00757A85">
        <w:rPr>
          <w:rFonts w:ascii="Arial" w:hAnsi="Arial" w:cs="Arial"/>
          <w:i/>
          <w:iCs/>
          <w:noProof/>
          <w:sz w:val="20"/>
          <w:szCs w:val="24"/>
        </w:rPr>
        <w:t>PLoS Negl Trop Dis</w:t>
      </w:r>
      <w:r w:rsidRPr="00757A85">
        <w:rPr>
          <w:rFonts w:ascii="Arial" w:hAnsi="Arial" w:cs="Arial"/>
          <w:noProof/>
          <w:sz w:val="20"/>
          <w:szCs w:val="24"/>
        </w:rPr>
        <w:t>. 2018;12(6):1-14. doi:10.1371/journal.pntd.0006573</w:t>
      </w:r>
    </w:p>
    <w:p w14:paraId="3287A5F6"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119. </w:t>
      </w:r>
      <w:r w:rsidRPr="00757A85">
        <w:rPr>
          <w:rFonts w:ascii="Arial" w:hAnsi="Arial" w:cs="Arial"/>
          <w:noProof/>
          <w:sz w:val="20"/>
          <w:szCs w:val="24"/>
        </w:rPr>
        <w:tab/>
        <w:t xml:space="preserve">Talaei-Khoei A, Wilson JM. Identifying people at risk of developing type 2 diabetes: A comparison of predictive analytics techniques and predictor variables. </w:t>
      </w:r>
      <w:r w:rsidRPr="00757A85">
        <w:rPr>
          <w:rFonts w:ascii="Arial" w:hAnsi="Arial" w:cs="Arial"/>
          <w:i/>
          <w:iCs/>
          <w:noProof/>
          <w:sz w:val="20"/>
          <w:szCs w:val="24"/>
        </w:rPr>
        <w:t>Int J Med Inform</w:t>
      </w:r>
      <w:r w:rsidRPr="00757A85">
        <w:rPr>
          <w:rFonts w:ascii="Arial" w:hAnsi="Arial" w:cs="Arial"/>
          <w:noProof/>
          <w:sz w:val="20"/>
          <w:szCs w:val="24"/>
        </w:rPr>
        <w:t>. 2018;119(January):22-38. doi:10.1016/j.ijmedinf.2018.08.008</w:t>
      </w:r>
    </w:p>
    <w:p w14:paraId="18F6AD87"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120. </w:t>
      </w:r>
      <w:r w:rsidRPr="00757A85">
        <w:rPr>
          <w:rFonts w:ascii="Arial" w:hAnsi="Arial" w:cs="Arial"/>
          <w:noProof/>
          <w:sz w:val="20"/>
          <w:szCs w:val="24"/>
        </w:rPr>
        <w:tab/>
        <w:t xml:space="preserve">Bertsimas D, Dunn J, Velmahos GC, Kaafarani HMA. Surgical Risk Is Not Linear: Derivation and Validation of a Novel, User-friendly, and Machine-learning-based Predictive OpTimal Trees in Emergency Surgery Risk (POTTER) Calculator. </w:t>
      </w:r>
      <w:r w:rsidRPr="00757A85">
        <w:rPr>
          <w:rFonts w:ascii="Arial" w:hAnsi="Arial" w:cs="Arial"/>
          <w:i/>
          <w:iCs/>
          <w:noProof/>
          <w:sz w:val="20"/>
          <w:szCs w:val="24"/>
        </w:rPr>
        <w:t>Ann Surg</w:t>
      </w:r>
      <w:r w:rsidRPr="00757A85">
        <w:rPr>
          <w:rFonts w:ascii="Arial" w:hAnsi="Arial" w:cs="Arial"/>
          <w:noProof/>
          <w:sz w:val="20"/>
          <w:szCs w:val="24"/>
        </w:rPr>
        <w:t>. 2018;268(4):574-583. doi:10.1097/SLA.0000000000002956</w:t>
      </w:r>
    </w:p>
    <w:p w14:paraId="4A6BE1BE"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121. </w:t>
      </w:r>
      <w:r w:rsidRPr="00757A85">
        <w:rPr>
          <w:rFonts w:ascii="Arial" w:hAnsi="Arial" w:cs="Arial"/>
          <w:noProof/>
          <w:sz w:val="20"/>
          <w:szCs w:val="24"/>
        </w:rPr>
        <w:tab/>
        <w:t xml:space="preserve">Liu C, Qi L, Feng QX, Sun SW, Zhang YD, Liu XS. Performance of a machine learning-based decision model to help clinicians decide the extent of lymphadenectomy (D1 vs. D2) in gastric cancer before surgical resection. </w:t>
      </w:r>
      <w:r w:rsidRPr="00757A85">
        <w:rPr>
          <w:rFonts w:ascii="Arial" w:hAnsi="Arial" w:cs="Arial"/>
          <w:i/>
          <w:iCs/>
          <w:noProof/>
          <w:sz w:val="20"/>
          <w:szCs w:val="24"/>
        </w:rPr>
        <w:t>Abdom Radiol</w:t>
      </w:r>
      <w:r w:rsidRPr="00757A85">
        <w:rPr>
          <w:rFonts w:ascii="Arial" w:hAnsi="Arial" w:cs="Arial"/>
          <w:noProof/>
          <w:sz w:val="20"/>
          <w:szCs w:val="24"/>
        </w:rPr>
        <w:t>. 2019;44(9):3019-3029. doi:10.1007/s00261-019-02098-w</w:t>
      </w:r>
    </w:p>
    <w:p w14:paraId="27C01DBA"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122. </w:t>
      </w:r>
      <w:r w:rsidRPr="00757A85">
        <w:rPr>
          <w:rFonts w:ascii="Arial" w:hAnsi="Arial" w:cs="Arial"/>
          <w:noProof/>
          <w:sz w:val="20"/>
          <w:szCs w:val="24"/>
        </w:rPr>
        <w:tab/>
        <w:t xml:space="preserve">Luo G, Stone BL, Nkoy FL, He S, Johnson MD. Predicting appropriate hospital admission of emergency department patients with bronchiolitis: Secondary analysis. </w:t>
      </w:r>
      <w:r w:rsidRPr="00757A85">
        <w:rPr>
          <w:rFonts w:ascii="Arial" w:hAnsi="Arial" w:cs="Arial"/>
          <w:i/>
          <w:iCs/>
          <w:noProof/>
          <w:sz w:val="20"/>
          <w:szCs w:val="24"/>
        </w:rPr>
        <w:t>JMIR Med Informatics</w:t>
      </w:r>
      <w:r w:rsidRPr="00757A85">
        <w:rPr>
          <w:rFonts w:ascii="Arial" w:hAnsi="Arial" w:cs="Arial"/>
          <w:noProof/>
          <w:sz w:val="20"/>
          <w:szCs w:val="24"/>
        </w:rPr>
        <w:t>. 2019;7(1):1-15. doi:10.2196/12591</w:t>
      </w:r>
    </w:p>
    <w:p w14:paraId="10412B09"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123. </w:t>
      </w:r>
      <w:r w:rsidRPr="00757A85">
        <w:rPr>
          <w:rFonts w:ascii="Arial" w:hAnsi="Arial" w:cs="Arial"/>
          <w:noProof/>
          <w:sz w:val="20"/>
          <w:szCs w:val="24"/>
        </w:rPr>
        <w:tab/>
        <w:t xml:space="preserve">Meena K, Tayal DK, Gupta V, Fatima A. Using classification techniques for statistical analysis of Anemia. </w:t>
      </w:r>
      <w:r w:rsidRPr="00757A85">
        <w:rPr>
          <w:rFonts w:ascii="Arial" w:hAnsi="Arial" w:cs="Arial"/>
          <w:i/>
          <w:iCs/>
          <w:noProof/>
          <w:sz w:val="20"/>
          <w:szCs w:val="24"/>
        </w:rPr>
        <w:t>Artif Intell Med</w:t>
      </w:r>
      <w:r w:rsidRPr="00757A85">
        <w:rPr>
          <w:rFonts w:ascii="Arial" w:hAnsi="Arial" w:cs="Arial"/>
          <w:noProof/>
          <w:sz w:val="20"/>
          <w:szCs w:val="24"/>
        </w:rPr>
        <w:t>. 2019;94(August 2018):138-152. doi:10.1016/j.artmed.2019.02.005</w:t>
      </w:r>
    </w:p>
    <w:p w14:paraId="2F1CB02B"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124. </w:t>
      </w:r>
      <w:r w:rsidRPr="00757A85">
        <w:rPr>
          <w:rFonts w:ascii="Arial" w:hAnsi="Arial" w:cs="Arial"/>
          <w:noProof/>
          <w:sz w:val="20"/>
          <w:szCs w:val="24"/>
        </w:rPr>
        <w:tab/>
        <w:t xml:space="preserve">Takeuchi M, Kawakubo H, Mayanagi S, et al. Postoperative Pneumonia is Associated with Long-Term Oncologic Outcomes of </w:t>
      </w:r>
      <w:r w:rsidRPr="00757A85">
        <w:rPr>
          <w:rFonts w:ascii="Arial" w:hAnsi="Arial" w:cs="Arial"/>
          <w:noProof/>
          <w:sz w:val="20"/>
          <w:szCs w:val="24"/>
        </w:rPr>
        <w:t xml:space="preserve">Definitive Chemoradiotherapy Followed by Salvage Esophagectomy for Esophageal Cancer. </w:t>
      </w:r>
      <w:r w:rsidRPr="00757A85">
        <w:rPr>
          <w:rFonts w:ascii="Arial" w:hAnsi="Arial" w:cs="Arial"/>
          <w:i/>
          <w:iCs/>
          <w:noProof/>
          <w:sz w:val="20"/>
          <w:szCs w:val="24"/>
        </w:rPr>
        <w:t>J Gastrointest Surg</w:t>
      </w:r>
      <w:r w:rsidRPr="00757A85">
        <w:rPr>
          <w:rFonts w:ascii="Arial" w:hAnsi="Arial" w:cs="Arial"/>
          <w:noProof/>
          <w:sz w:val="20"/>
          <w:szCs w:val="24"/>
        </w:rPr>
        <w:t>. 2018;22(11):1881-1889. doi:10.1007/s11605-018-3857-z</w:t>
      </w:r>
    </w:p>
    <w:p w14:paraId="7A9F286D"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125. </w:t>
      </w:r>
      <w:r w:rsidRPr="00757A85">
        <w:rPr>
          <w:rFonts w:ascii="Arial" w:hAnsi="Arial" w:cs="Arial"/>
          <w:noProof/>
          <w:sz w:val="20"/>
          <w:szCs w:val="24"/>
        </w:rPr>
        <w:tab/>
        <w:t xml:space="preserve">Kiiski H, Jollans L, SO D, et al. Machine Learning EEG to Predict Cognitive Functioning and Processing Speed Over a 2-Year Period in Multiple Sclerosis Patients and Controls. </w:t>
      </w:r>
      <w:r w:rsidRPr="00757A85">
        <w:rPr>
          <w:rFonts w:ascii="Arial" w:hAnsi="Arial" w:cs="Arial"/>
          <w:i/>
          <w:iCs/>
          <w:noProof/>
          <w:sz w:val="20"/>
          <w:szCs w:val="24"/>
        </w:rPr>
        <w:t>Brain Topogr</w:t>
      </w:r>
      <w:r w:rsidRPr="00757A85">
        <w:rPr>
          <w:rFonts w:ascii="Arial" w:hAnsi="Arial" w:cs="Arial"/>
          <w:noProof/>
          <w:sz w:val="20"/>
          <w:szCs w:val="24"/>
        </w:rPr>
        <w:t>. 2018;31(3):346-363. doi:10.1007/s10548-018-0620-4</w:t>
      </w:r>
    </w:p>
    <w:p w14:paraId="46DED063"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126. </w:t>
      </w:r>
      <w:r w:rsidRPr="00757A85">
        <w:rPr>
          <w:rFonts w:ascii="Arial" w:hAnsi="Arial" w:cs="Arial"/>
          <w:noProof/>
          <w:sz w:val="20"/>
          <w:szCs w:val="24"/>
        </w:rPr>
        <w:tab/>
        <w:t xml:space="preserve">Hasnain Z, Mason J, Gill K, et al. Machine learning models for predicting post-cystectomy recurrence and survival in bladder cancer patients. </w:t>
      </w:r>
      <w:r w:rsidRPr="00757A85">
        <w:rPr>
          <w:rFonts w:ascii="Arial" w:hAnsi="Arial" w:cs="Arial"/>
          <w:i/>
          <w:iCs/>
          <w:noProof/>
          <w:sz w:val="20"/>
          <w:szCs w:val="24"/>
        </w:rPr>
        <w:t>PLoS One</w:t>
      </w:r>
      <w:r w:rsidRPr="00757A85">
        <w:rPr>
          <w:rFonts w:ascii="Arial" w:hAnsi="Arial" w:cs="Arial"/>
          <w:noProof/>
          <w:sz w:val="20"/>
          <w:szCs w:val="24"/>
        </w:rPr>
        <w:t>. 2019;14(2):1-15. doi:10.1371/journal.pone.0210976</w:t>
      </w:r>
    </w:p>
    <w:p w14:paraId="6CED4A4B"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127. </w:t>
      </w:r>
      <w:r w:rsidRPr="00757A85">
        <w:rPr>
          <w:rFonts w:ascii="Arial" w:hAnsi="Arial" w:cs="Arial"/>
          <w:noProof/>
          <w:sz w:val="20"/>
          <w:szCs w:val="24"/>
        </w:rPr>
        <w:tab/>
        <w:t xml:space="preserve">Dean J, Wong K, Gay H, et al. Incorporating spatial dose metrics in machine learning-based normal tissue complication probability (NTCP) models of severe acute dysphagia resulting from head and neck radiotherapy. </w:t>
      </w:r>
      <w:r w:rsidRPr="00757A85">
        <w:rPr>
          <w:rFonts w:ascii="Arial" w:hAnsi="Arial" w:cs="Arial"/>
          <w:i/>
          <w:iCs/>
          <w:noProof/>
          <w:sz w:val="20"/>
          <w:szCs w:val="24"/>
        </w:rPr>
        <w:t>Clin Transl Radiat Oncol</w:t>
      </w:r>
      <w:r w:rsidRPr="00757A85">
        <w:rPr>
          <w:rFonts w:ascii="Arial" w:hAnsi="Arial" w:cs="Arial"/>
          <w:noProof/>
          <w:sz w:val="20"/>
          <w:szCs w:val="24"/>
        </w:rPr>
        <w:t>. 2018;8:27-39. doi:10.1016/j.ctro.2017.11.009</w:t>
      </w:r>
    </w:p>
    <w:p w14:paraId="66480166"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128. </w:t>
      </w:r>
      <w:r w:rsidRPr="00757A85">
        <w:rPr>
          <w:rFonts w:ascii="Arial" w:hAnsi="Arial" w:cs="Arial"/>
          <w:noProof/>
          <w:sz w:val="20"/>
          <w:szCs w:val="24"/>
        </w:rPr>
        <w:tab/>
        <w:t xml:space="preserve">Cheung M, Cobb AN, Kuo PC. Predicting burn patient mortality with electronic medical records. </w:t>
      </w:r>
      <w:r w:rsidRPr="00757A85">
        <w:rPr>
          <w:rFonts w:ascii="Arial" w:hAnsi="Arial" w:cs="Arial"/>
          <w:i/>
          <w:iCs/>
          <w:noProof/>
          <w:sz w:val="20"/>
          <w:szCs w:val="24"/>
        </w:rPr>
        <w:t>Surg (United States)</w:t>
      </w:r>
      <w:r w:rsidRPr="00757A85">
        <w:rPr>
          <w:rFonts w:ascii="Arial" w:hAnsi="Arial" w:cs="Arial"/>
          <w:noProof/>
          <w:sz w:val="20"/>
          <w:szCs w:val="24"/>
        </w:rPr>
        <w:t>. 2018;164(4):839-847. doi:10.1016/j.surg.2018.07.010</w:t>
      </w:r>
    </w:p>
    <w:p w14:paraId="736AA475"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129. </w:t>
      </w:r>
      <w:r w:rsidRPr="00757A85">
        <w:rPr>
          <w:rFonts w:ascii="Arial" w:hAnsi="Arial" w:cs="Arial"/>
          <w:noProof/>
          <w:sz w:val="20"/>
          <w:szCs w:val="24"/>
        </w:rPr>
        <w:tab/>
        <w:t xml:space="preserve">Gowin JL, Ernst M, Ball T, et al. Using neuroimaging to predict relapse in stimulant dependence: A comparison of linear and machine learning models. </w:t>
      </w:r>
      <w:r w:rsidRPr="00757A85">
        <w:rPr>
          <w:rFonts w:ascii="Arial" w:hAnsi="Arial" w:cs="Arial"/>
          <w:i/>
          <w:iCs/>
          <w:noProof/>
          <w:sz w:val="20"/>
          <w:szCs w:val="24"/>
        </w:rPr>
        <w:t>NeuroImage Clin</w:t>
      </w:r>
      <w:r w:rsidRPr="00757A85">
        <w:rPr>
          <w:rFonts w:ascii="Arial" w:hAnsi="Arial" w:cs="Arial"/>
          <w:noProof/>
          <w:sz w:val="20"/>
          <w:szCs w:val="24"/>
        </w:rPr>
        <w:t>. 2019;21(January):101676. doi:10.1016/j.nicl.2019.101676</w:t>
      </w:r>
    </w:p>
    <w:p w14:paraId="5D3406C0"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130. </w:t>
      </w:r>
      <w:r w:rsidRPr="00757A85">
        <w:rPr>
          <w:rFonts w:ascii="Arial" w:hAnsi="Arial" w:cs="Arial"/>
          <w:noProof/>
          <w:sz w:val="20"/>
          <w:szCs w:val="24"/>
        </w:rPr>
        <w:tab/>
        <w:t xml:space="preserve">Rojas JC, Carey KA, Edelson DP, Venable LR, Howell MD, Churpek MM. Predicting intensive care unit readmission with machine learning using electronic health record data. </w:t>
      </w:r>
      <w:r w:rsidRPr="00757A85">
        <w:rPr>
          <w:rFonts w:ascii="Arial" w:hAnsi="Arial" w:cs="Arial"/>
          <w:i/>
          <w:iCs/>
          <w:noProof/>
          <w:sz w:val="20"/>
          <w:szCs w:val="24"/>
        </w:rPr>
        <w:t>Ann Am Thorac Soc</w:t>
      </w:r>
      <w:r w:rsidRPr="00757A85">
        <w:rPr>
          <w:rFonts w:ascii="Arial" w:hAnsi="Arial" w:cs="Arial"/>
          <w:noProof/>
          <w:sz w:val="20"/>
          <w:szCs w:val="24"/>
        </w:rPr>
        <w:t>. 2018;15(7):846-853. doi:10.1513/AnnalsATS.201710-787OC</w:t>
      </w:r>
    </w:p>
    <w:p w14:paraId="2FF3E378"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131. </w:t>
      </w:r>
      <w:r w:rsidRPr="00757A85">
        <w:rPr>
          <w:rFonts w:ascii="Arial" w:hAnsi="Arial" w:cs="Arial"/>
          <w:noProof/>
          <w:sz w:val="20"/>
          <w:szCs w:val="24"/>
        </w:rPr>
        <w:tab/>
        <w:t xml:space="preserve">Wei R, Lin K, Yan W, et al. Computer-Aided Diagnosis of Pancreas Serous Cystic Neoplasms: A Radiomics Method on Preoperative MDCT Images. </w:t>
      </w:r>
      <w:r w:rsidRPr="00757A85">
        <w:rPr>
          <w:rFonts w:ascii="Arial" w:hAnsi="Arial" w:cs="Arial"/>
          <w:i/>
          <w:iCs/>
          <w:noProof/>
          <w:sz w:val="20"/>
          <w:szCs w:val="24"/>
        </w:rPr>
        <w:t>Technol Cancer Res Treat</w:t>
      </w:r>
      <w:r w:rsidRPr="00757A85">
        <w:rPr>
          <w:rFonts w:ascii="Arial" w:hAnsi="Arial" w:cs="Arial"/>
          <w:noProof/>
          <w:sz w:val="20"/>
          <w:szCs w:val="24"/>
        </w:rPr>
        <w:t>. 2019;18:1533033818824339. doi:10.1177/1533033818824339</w:t>
      </w:r>
    </w:p>
    <w:p w14:paraId="3A6A45C4"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132. </w:t>
      </w:r>
      <w:r w:rsidRPr="00757A85">
        <w:rPr>
          <w:rFonts w:ascii="Arial" w:hAnsi="Arial" w:cs="Arial"/>
          <w:noProof/>
          <w:sz w:val="20"/>
          <w:szCs w:val="24"/>
        </w:rPr>
        <w:tab/>
        <w:t xml:space="preserve">Balani J, Hyer SL, Shehata H, Mohareb F. Visceral fat mass as a novel risk factor for predicting gestational diabetes in obese pregnant women. </w:t>
      </w:r>
      <w:r w:rsidRPr="00757A85">
        <w:rPr>
          <w:rFonts w:ascii="Arial" w:hAnsi="Arial" w:cs="Arial"/>
          <w:i/>
          <w:iCs/>
          <w:noProof/>
          <w:sz w:val="20"/>
          <w:szCs w:val="24"/>
        </w:rPr>
        <w:t>Obstet Med</w:t>
      </w:r>
      <w:r w:rsidRPr="00757A85">
        <w:rPr>
          <w:rFonts w:ascii="Arial" w:hAnsi="Arial" w:cs="Arial"/>
          <w:noProof/>
          <w:sz w:val="20"/>
          <w:szCs w:val="24"/>
        </w:rPr>
        <w:t>. 2018;11(3):121-125. doi:10.1177/1753495X17754149</w:t>
      </w:r>
    </w:p>
    <w:p w14:paraId="1A033B82" w14:textId="53DAD543"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133. </w:t>
      </w:r>
      <w:r w:rsidRPr="00757A85">
        <w:rPr>
          <w:rFonts w:ascii="Arial" w:hAnsi="Arial" w:cs="Arial"/>
          <w:noProof/>
          <w:sz w:val="20"/>
          <w:szCs w:val="24"/>
        </w:rPr>
        <w:tab/>
        <w:t xml:space="preserve">Gao L, Smielewski P, Li P, Czosnyka M, Ercole A. Signal Information Prediction of Mortality Identifies Unique Patient Subsets after Severe Traumatic Brain Injury: A Decision-Tree Analysis Approach. </w:t>
      </w:r>
      <w:r w:rsidRPr="00757A85">
        <w:rPr>
          <w:rFonts w:ascii="Arial" w:hAnsi="Arial" w:cs="Arial"/>
          <w:i/>
          <w:iCs/>
          <w:noProof/>
          <w:sz w:val="20"/>
          <w:szCs w:val="24"/>
        </w:rPr>
        <w:t xml:space="preserve">J </w:t>
      </w:r>
      <w:r w:rsidRPr="00757A85">
        <w:rPr>
          <w:rFonts w:ascii="Arial" w:hAnsi="Arial" w:cs="Arial"/>
          <w:i/>
          <w:iCs/>
          <w:noProof/>
          <w:sz w:val="20"/>
          <w:szCs w:val="24"/>
        </w:rPr>
        <w:lastRenderedPageBreak/>
        <w:t>Neurotrauma</w:t>
      </w:r>
      <w:r w:rsidRPr="00757A85">
        <w:rPr>
          <w:rFonts w:ascii="Arial" w:hAnsi="Arial" w:cs="Arial"/>
          <w:noProof/>
          <w:sz w:val="20"/>
          <w:szCs w:val="24"/>
        </w:rPr>
        <w:t>. doi:10.1089/neu.2019.6631</w:t>
      </w:r>
    </w:p>
    <w:p w14:paraId="090EB2C3"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134. </w:t>
      </w:r>
      <w:r w:rsidRPr="00757A85">
        <w:rPr>
          <w:rFonts w:ascii="Arial" w:hAnsi="Arial" w:cs="Arial"/>
          <w:noProof/>
          <w:sz w:val="20"/>
          <w:szCs w:val="24"/>
        </w:rPr>
        <w:tab/>
        <w:t xml:space="preserve">Garcia-Arce A, Rico F, Zayas-Castro JL. Comparison of Machine Learning Algorithms for the Prediction of Preventable Hospital Readmissions. </w:t>
      </w:r>
      <w:r w:rsidRPr="00757A85">
        <w:rPr>
          <w:rFonts w:ascii="Arial" w:hAnsi="Arial" w:cs="Arial"/>
          <w:i/>
          <w:iCs/>
          <w:noProof/>
          <w:sz w:val="20"/>
          <w:szCs w:val="24"/>
        </w:rPr>
        <w:t>J Healthc Qual</w:t>
      </w:r>
      <w:r w:rsidRPr="00757A85">
        <w:rPr>
          <w:rFonts w:ascii="Arial" w:hAnsi="Arial" w:cs="Arial"/>
          <w:noProof/>
          <w:sz w:val="20"/>
          <w:szCs w:val="24"/>
        </w:rPr>
        <w:t>. 2018;40(3):129-138. doi:10.1097/JHQ.0000000000000080</w:t>
      </w:r>
    </w:p>
    <w:p w14:paraId="13EC8FBA"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135. </w:t>
      </w:r>
      <w:r w:rsidRPr="00757A85">
        <w:rPr>
          <w:rFonts w:ascii="Arial" w:hAnsi="Arial" w:cs="Arial"/>
          <w:noProof/>
          <w:sz w:val="20"/>
          <w:szCs w:val="24"/>
        </w:rPr>
        <w:tab/>
        <w:t xml:space="preserve">Papini S, Pisner D, Shumake J, et al. Ensemble machine learning prediction of posttraumatic stress disorder screening status after emergency room hospitalization. </w:t>
      </w:r>
      <w:r w:rsidRPr="00757A85">
        <w:rPr>
          <w:rFonts w:ascii="Arial" w:hAnsi="Arial" w:cs="Arial"/>
          <w:i/>
          <w:iCs/>
          <w:noProof/>
          <w:sz w:val="20"/>
          <w:szCs w:val="24"/>
        </w:rPr>
        <w:t>J Anxiety Disord</w:t>
      </w:r>
      <w:r w:rsidRPr="00757A85">
        <w:rPr>
          <w:rFonts w:ascii="Arial" w:hAnsi="Arial" w:cs="Arial"/>
          <w:noProof/>
          <w:sz w:val="20"/>
          <w:szCs w:val="24"/>
        </w:rPr>
        <w:t>. 2018;60(October):35-42. doi:10.1016/j.janxdis.2018.10.004</w:t>
      </w:r>
    </w:p>
    <w:p w14:paraId="75527E7A"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136. </w:t>
      </w:r>
      <w:r w:rsidRPr="00757A85">
        <w:rPr>
          <w:rFonts w:ascii="Arial" w:hAnsi="Arial" w:cs="Arial"/>
          <w:noProof/>
          <w:sz w:val="20"/>
          <w:szCs w:val="24"/>
        </w:rPr>
        <w:tab/>
        <w:t xml:space="preserve">Jang BS, Jeon SH, Kim IH, Kim IA. Prediction of Pseudoprogression versus Progression using Machine Learning Algorithm in Glioblastoma. </w:t>
      </w:r>
      <w:r w:rsidRPr="00757A85">
        <w:rPr>
          <w:rFonts w:ascii="Arial" w:hAnsi="Arial" w:cs="Arial"/>
          <w:i/>
          <w:iCs/>
          <w:noProof/>
          <w:sz w:val="20"/>
          <w:szCs w:val="24"/>
        </w:rPr>
        <w:t>Sci Rep</w:t>
      </w:r>
      <w:r w:rsidRPr="00757A85">
        <w:rPr>
          <w:rFonts w:ascii="Arial" w:hAnsi="Arial" w:cs="Arial"/>
          <w:noProof/>
          <w:sz w:val="20"/>
          <w:szCs w:val="24"/>
        </w:rPr>
        <w:t>. 2018;8(1):1-9. doi:10.1038/s41598-018-31007-2</w:t>
      </w:r>
    </w:p>
    <w:p w14:paraId="78CAF917"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137. </w:t>
      </w:r>
      <w:r w:rsidRPr="00757A85">
        <w:rPr>
          <w:rFonts w:ascii="Arial" w:hAnsi="Arial" w:cs="Arial"/>
          <w:noProof/>
          <w:sz w:val="20"/>
          <w:szCs w:val="24"/>
        </w:rPr>
        <w:tab/>
        <w:t xml:space="preserve">Cosgriff C V., Celi LA, Ko S, et al. Developing well-calibrated illness severity scores for decision support in the critically ill. </w:t>
      </w:r>
      <w:r w:rsidRPr="00757A85">
        <w:rPr>
          <w:rFonts w:ascii="Arial" w:hAnsi="Arial" w:cs="Arial"/>
          <w:i/>
          <w:iCs/>
          <w:noProof/>
          <w:sz w:val="20"/>
          <w:szCs w:val="24"/>
        </w:rPr>
        <w:t>npj Digit Med</w:t>
      </w:r>
      <w:r w:rsidRPr="00757A85">
        <w:rPr>
          <w:rFonts w:ascii="Arial" w:hAnsi="Arial" w:cs="Arial"/>
          <w:noProof/>
          <w:sz w:val="20"/>
          <w:szCs w:val="24"/>
        </w:rPr>
        <w:t>. 2019;2(1). doi:10.1038/s41746-019-0153-6</w:t>
      </w:r>
    </w:p>
    <w:p w14:paraId="1DC2E16B"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138. </w:t>
      </w:r>
      <w:r w:rsidRPr="00757A85">
        <w:rPr>
          <w:rFonts w:ascii="Arial" w:hAnsi="Arial" w:cs="Arial"/>
          <w:noProof/>
          <w:sz w:val="20"/>
          <w:szCs w:val="24"/>
        </w:rPr>
        <w:tab/>
        <w:t xml:space="preserve">Kim H, Lee SH, Lee SE, Hong S, Kang HJ, Kim N. Depression prediction by using ecological momentary assessment, actiwatch data, and machine learning: Observational study on older adults living alone. </w:t>
      </w:r>
      <w:r w:rsidRPr="00757A85">
        <w:rPr>
          <w:rFonts w:ascii="Arial" w:hAnsi="Arial" w:cs="Arial"/>
          <w:i/>
          <w:iCs/>
          <w:noProof/>
          <w:sz w:val="20"/>
          <w:szCs w:val="24"/>
        </w:rPr>
        <w:t>JMIR mHealth uHealth</w:t>
      </w:r>
      <w:r w:rsidRPr="00757A85">
        <w:rPr>
          <w:rFonts w:ascii="Arial" w:hAnsi="Arial" w:cs="Arial"/>
          <w:noProof/>
          <w:sz w:val="20"/>
          <w:szCs w:val="24"/>
        </w:rPr>
        <w:t>. 2019;7(10). doi:10.2196/14149</w:t>
      </w:r>
    </w:p>
    <w:p w14:paraId="584E754D"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139. </w:t>
      </w:r>
      <w:r w:rsidRPr="00757A85">
        <w:rPr>
          <w:rFonts w:ascii="Arial" w:hAnsi="Arial" w:cs="Arial"/>
          <w:noProof/>
          <w:sz w:val="20"/>
          <w:szCs w:val="24"/>
        </w:rPr>
        <w:tab/>
        <w:t xml:space="preserve">Lötsch J, Sipilä R, Tasmuth T, et al. Machine-learning-derived classifier predicts absence of persistent pain after breast cancer surgery with high accuracy. </w:t>
      </w:r>
      <w:r w:rsidRPr="00757A85">
        <w:rPr>
          <w:rFonts w:ascii="Arial" w:hAnsi="Arial" w:cs="Arial"/>
          <w:i/>
          <w:iCs/>
          <w:noProof/>
          <w:sz w:val="20"/>
          <w:szCs w:val="24"/>
        </w:rPr>
        <w:t>Breast Cancer Res Treat</w:t>
      </w:r>
      <w:r w:rsidRPr="00757A85">
        <w:rPr>
          <w:rFonts w:ascii="Arial" w:hAnsi="Arial" w:cs="Arial"/>
          <w:noProof/>
          <w:sz w:val="20"/>
          <w:szCs w:val="24"/>
        </w:rPr>
        <w:t>. 2018;171(2):399-411. doi:10.1007/s10549-018-4841-8</w:t>
      </w:r>
    </w:p>
    <w:p w14:paraId="54F6E3FD"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140. </w:t>
      </w:r>
      <w:r w:rsidRPr="00757A85">
        <w:rPr>
          <w:rFonts w:ascii="Arial" w:hAnsi="Arial" w:cs="Arial"/>
          <w:noProof/>
          <w:sz w:val="20"/>
          <w:szCs w:val="24"/>
        </w:rPr>
        <w:tab/>
        <w:t xml:space="preserve">Spyroglou II, Spöck G, Rigas AG, Paraskakis EN. Evaluation of Bayesian classifiers in asthma exacerbation prediction after medication discontinuation. </w:t>
      </w:r>
      <w:r w:rsidRPr="00757A85">
        <w:rPr>
          <w:rFonts w:ascii="Arial" w:hAnsi="Arial" w:cs="Arial"/>
          <w:i/>
          <w:iCs/>
          <w:noProof/>
          <w:sz w:val="20"/>
          <w:szCs w:val="24"/>
        </w:rPr>
        <w:t>BMC Res Notes</w:t>
      </w:r>
      <w:r w:rsidRPr="00757A85">
        <w:rPr>
          <w:rFonts w:ascii="Arial" w:hAnsi="Arial" w:cs="Arial"/>
          <w:noProof/>
          <w:sz w:val="20"/>
          <w:szCs w:val="24"/>
        </w:rPr>
        <w:t>. 2018;11(1):18-23. doi:10.1186/s13104-018-3621-1</w:t>
      </w:r>
    </w:p>
    <w:p w14:paraId="1E9532A9"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AD67A3">
        <w:rPr>
          <w:rFonts w:ascii="Arial" w:hAnsi="Arial" w:cs="Arial"/>
          <w:noProof/>
          <w:sz w:val="20"/>
          <w:szCs w:val="24"/>
          <w:lang w:val="nl-NL"/>
        </w:rPr>
        <w:t xml:space="preserve">141. </w:t>
      </w:r>
      <w:r w:rsidRPr="00AD67A3">
        <w:rPr>
          <w:rFonts w:ascii="Arial" w:hAnsi="Arial" w:cs="Arial"/>
          <w:noProof/>
          <w:sz w:val="20"/>
          <w:szCs w:val="24"/>
          <w:lang w:val="nl-NL"/>
        </w:rPr>
        <w:tab/>
        <w:t xml:space="preserve">Goudey B, Fung BJ, Schieber C, et al. </w:t>
      </w:r>
      <w:r w:rsidRPr="00757A85">
        <w:rPr>
          <w:rFonts w:ascii="Arial" w:hAnsi="Arial" w:cs="Arial"/>
          <w:noProof/>
          <w:sz w:val="20"/>
          <w:szCs w:val="24"/>
        </w:rPr>
        <w:t xml:space="preserve">A blood-based signature of cerebrospinal fluid Aβ 1–42 status. </w:t>
      </w:r>
      <w:r w:rsidRPr="00757A85">
        <w:rPr>
          <w:rFonts w:ascii="Arial" w:hAnsi="Arial" w:cs="Arial"/>
          <w:i/>
          <w:iCs/>
          <w:noProof/>
          <w:sz w:val="20"/>
          <w:szCs w:val="24"/>
        </w:rPr>
        <w:t>Sci Rep</w:t>
      </w:r>
      <w:r w:rsidRPr="00757A85">
        <w:rPr>
          <w:rFonts w:ascii="Arial" w:hAnsi="Arial" w:cs="Arial"/>
          <w:noProof/>
          <w:sz w:val="20"/>
          <w:szCs w:val="24"/>
        </w:rPr>
        <w:t>. 2019;9(1):0-12. doi:10.1038/s41598-018-37149-7</w:t>
      </w:r>
    </w:p>
    <w:p w14:paraId="5CC53763"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142. </w:t>
      </w:r>
      <w:r w:rsidRPr="00757A85">
        <w:rPr>
          <w:rFonts w:ascii="Arial" w:hAnsi="Arial" w:cs="Arial"/>
          <w:noProof/>
          <w:sz w:val="20"/>
          <w:szCs w:val="24"/>
        </w:rPr>
        <w:tab/>
        <w:t xml:space="preserve">Facciorusso A, Del Prete V, Antonino M, Buccino VR, Muscatiello N. Response to repeat echoendoscopic celiac plexus neurolysis in pancreatic cancer patients: A machine learning approach. </w:t>
      </w:r>
      <w:r w:rsidRPr="00757A85">
        <w:rPr>
          <w:rFonts w:ascii="Arial" w:hAnsi="Arial" w:cs="Arial"/>
          <w:i/>
          <w:iCs/>
          <w:noProof/>
          <w:sz w:val="20"/>
          <w:szCs w:val="24"/>
        </w:rPr>
        <w:t>Pancreatology</w:t>
      </w:r>
      <w:r w:rsidRPr="00757A85">
        <w:rPr>
          <w:rFonts w:ascii="Arial" w:hAnsi="Arial" w:cs="Arial"/>
          <w:noProof/>
          <w:sz w:val="20"/>
          <w:szCs w:val="24"/>
        </w:rPr>
        <w:t>. 2019;19(6):866-872. doi:10.1016/j.pan.2019.07.038</w:t>
      </w:r>
    </w:p>
    <w:p w14:paraId="14EAC16F"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143. </w:t>
      </w:r>
      <w:r w:rsidRPr="00757A85">
        <w:rPr>
          <w:rFonts w:ascii="Arial" w:hAnsi="Arial" w:cs="Arial"/>
          <w:noProof/>
          <w:sz w:val="20"/>
          <w:szCs w:val="24"/>
        </w:rPr>
        <w:tab/>
        <w:t xml:space="preserve">Kim DW, Kim H, Nam W, Kim HJ, Cha IH. Machine learning to predict the occurrence of bisphosphonate-related osteonecrosis of the jaw </w:t>
      </w:r>
      <w:r w:rsidRPr="00757A85">
        <w:rPr>
          <w:rFonts w:ascii="Arial" w:hAnsi="Arial" w:cs="Arial"/>
          <w:noProof/>
          <w:sz w:val="20"/>
          <w:szCs w:val="24"/>
        </w:rPr>
        <w:t xml:space="preserve">associated with dental extraction: A preliminary report. </w:t>
      </w:r>
      <w:r w:rsidRPr="00757A85">
        <w:rPr>
          <w:rFonts w:ascii="Arial" w:hAnsi="Arial" w:cs="Arial"/>
          <w:i/>
          <w:iCs/>
          <w:noProof/>
          <w:sz w:val="20"/>
          <w:szCs w:val="24"/>
        </w:rPr>
        <w:t>Bone</w:t>
      </w:r>
      <w:r w:rsidRPr="00757A85">
        <w:rPr>
          <w:rFonts w:ascii="Arial" w:hAnsi="Arial" w:cs="Arial"/>
          <w:noProof/>
          <w:sz w:val="20"/>
          <w:szCs w:val="24"/>
        </w:rPr>
        <w:t>. 2018;116(January):207-214. doi:10.1016/j.bone.2018.04.020</w:t>
      </w:r>
    </w:p>
    <w:p w14:paraId="0710F62A" w14:textId="77777777" w:rsidR="00A427B2" w:rsidRPr="00A427B2" w:rsidRDefault="00A427B2" w:rsidP="00A427B2">
      <w:pPr>
        <w:widowControl w:val="0"/>
        <w:autoSpaceDE w:val="0"/>
        <w:autoSpaceDN w:val="0"/>
        <w:adjustRightInd w:val="0"/>
        <w:spacing w:line="240" w:lineRule="auto"/>
        <w:ind w:left="640" w:hanging="640"/>
        <w:rPr>
          <w:rFonts w:ascii="Arial" w:hAnsi="Arial" w:cs="Arial"/>
          <w:noProof/>
          <w:sz w:val="20"/>
          <w:szCs w:val="24"/>
          <w:lang w:val="nl-NL"/>
        </w:rPr>
      </w:pPr>
      <w:r w:rsidRPr="00757A85">
        <w:rPr>
          <w:rFonts w:ascii="Arial" w:hAnsi="Arial" w:cs="Arial"/>
          <w:noProof/>
          <w:sz w:val="20"/>
          <w:szCs w:val="24"/>
        </w:rPr>
        <w:t xml:space="preserve">144. </w:t>
      </w:r>
      <w:r w:rsidRPr="00757A85">
        <w:rPr>
          <w:rFonts w:ascii="Arial" w:hAnsi="Arial" w:cs="Arial"/>
          <w:noProof/>
          <w:sz w:val="20"/>
          <w:szCs w:val="24"/>
        </w:rPr>
        <w:tab/>
        <w:t>Karhade A V., Shah AA, Bono CM, et al. Development of machine</w:t>
      </w:r>
      <w:r>
        <w:rPr>
          <w:rFonts w:ascii="Arial" w:hAnsi="Arial" w:cs="Arial"/>
          <w:noProof/>
          <w:sz w:val="20"/>
          <w:szCs w:val="24"/>
        </w:rPr>
        <w:t xml:space="preserve"> </w:t>
      </w:r>
      <w:r w:rsidRPr="00757A85">
        <w:rPr>
          <w:rFonts w:ascii="Arial" w:hAnsi="Arial" w:cs="Arial"/>
          <w:noProof/>
          <w:sz w:val="20"/>
          <w:szCs w:val="24"/>
        </w:rPr>
        <w:t xml:space="preserve">learning algorithms for prediction of mortality in spinal epidural abscess. </w:t>
      </w:r>
      <w:r w:rsidRPr="00A427B2">
        <w:rPr>
          <w:rFonts w:ascii="Arial" w:hAnsi="Arial" w:cs="Arial"/>
          <w:i/>
          <w:iCs/>
          <w:noProof/>
          <w:sz w:val="20"/>
          <w:szCs w:val="24"/>
          <w:lang w:val="nl-NL"/>
        </w:rPr>
        <w:t>Spine J</w:t>
      </w:r>
      <w:r w:rsidRPr="00A427B2">
        <w:rPr>
          <w:rFonts w:ascii="Arial" w:hAnsi="Arial" w:cs="Arial"/>
          <w:noProof/>
          <w:sz w:val="20"/>
          <w:szCs w:val="24"/>
          <w:lang w:val="nl-NL"/>
        </w:rPr>
        <w:t>. 2019;19(12):1950-1959. doi:10.1016/j.spinee.2019.06.024</w:t>
      </w:r>
    </w:p>
    <w:p w14:paraId="30C064E7" w14:textId="77777777" w:rsidR="00A427B2" w:rsidRPr="00A427B2" w:rsidRDefault="00A427B2" w:rsidP="00A427B2">
      <w:pPr>
        <w:widowControl w:val="0"/>
        <w:autoSpaceDE w:val="0"/>
        <w:autoSpaceDN w:val="0"/>
        <w:adjustRightInd w:val="0"/>
        <w:spacing w:line="240" w:lineRule="auto"/>
        <w:ind w:left="640" w:hanging="640"/>
        <w:rPr>
          <w:rFonts w:ascii="Arial" w:hAnsi="Arial" w:cs="Arial"/>
          <w:noProof/>
          <w:sz w:val="20"/>
          <w:szCs w:val="24"/>
          <w:lang w:val="nl-NL"/>
        </w:rPr>
      </w:pPr>
      <w:r w:rsidRPr="00A427B2">
        <w:rPr>
          <w:rFonts w:ascii="Arial" w:hAnsi="Arial" w:cs="Arial"/>
          <w:noProof/>
          <w:sz w:val="20"/>
          <w:szCs w:val="24"/>
          <w:lang w:val="nl-NL"/>
        </w:rPr>
        <w:t xml:space="preserve">145. </w:t>
      </w:r>
      <w:r w:rsidRPr="00A427B2">
        <w:rPr>
          <w:rFonts w:ascii="Arial" w:hAnsi="Arial" w:cs="Arial"/>
          <w:noProof/>
          <w:sz w:val="20"/>
          <w:szCs w:val="24"/>
          <w:lang w:val="nl-NL"/>
        </w:rPr>
        <w:tab/>
        <w:t xml:space="preserve">Tu W, Chen PA, Koenig N, et al. </w:t>
      </w:r>
      <w:r w:rsidRPr="00757A85">
        <w:rPr>
          <w:rFonts w:ascii="Arial" w:hAnsi="Arial" w:cs="Arial"/>
          <w:noProof/>
          <w:sz w:val="20"/>
          <w:szCs w:val="24"/>
        </w:rPr>
        <w:t xml:space="preserve">Machine learning models reveal neurocognitive impairment type and prevalence are associated with distinct variables in HIV/AIDS. </w:t>
      </w:r>
      <w:r w:rsidRPr="00A427B2">
        <w:rPr>
          <w:rFonts w:ascii="Arial" w:hAnsi="Arial" w:cs="Arial"/>
          <w:i/>
          <w:iCs/>
          <w:noProof/>
          <w:sz w:val="20"/>
          <w:szCs w:val="24"/>
          <w:lang w:val="nl-NL"/>
        </w:rPr>
        <w:t>J Neurovirol</w:t>
      </w:r>
      <w:r w:rsidRPr="00A427B2">
        <w:rPr>
          <w:rFonts w:ascii="Arial" w:hAnsi="Arial" w:cs="Arial"/>
          <w:noProof/>
          <w:sz w:val="20"/>
          <w:szCs w:val="24"/>
          <w:lang w:val="nl-NL"/>
        </w:rPr>
        <w:t>. 2020;26(1):41-51. doi:10.1007/s13365-019-00791-6</w:t>
      </w:r>
    </w:p>
    <w:p w14:paraId="5FEBBBDF"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A427B2">
        <w:rPr>
          <w:rFonts w:ascii="Arial" w:hAnsi="Arial" w:cs="Arial"/>
          <w:noProof/>
          <w:sz w:val="20"/>
          <w:szCs w:val="24"/>
          <w:lang w:val="nl-NL"/>
        </w:rPr>
        <w:t xml:space="preserve">146. </w:t>
      </w:r>
      <w:r w:rsidRPr="00A427B2">
        <w:rPr>
          <w:rFonts w:ascii="Arial" w:hAnsi="Arial" w:cs="Arial"/>
          <w:noProof/>
          <w:sz w:val="20"/>
          <w:szCs w:val="24"/>
          <w:lang w:val="nl-NL"/>
        </w:rPr>
        <w:tab/>
        <w:t xml:space="preserve">Van Steenkiste T, Ruyssinck J, De Baets L, et al. </w:t>
      </w:r>
      <w:r w:rsidRPr="00757A85">
        <w:rPr>
          <w:rFonts w:ascii="Arial" w:hAnsi="Arial" w:cs="Arial"/>
          <w:noProof/>
          <w:sz w:val="20"/>
          <w:szCs w:val="24"/>
        </w:rPr>
        <w:t xml:space="preserve">Accurate prediction of blood culture outcome in the intensive care unit using long short-term memory neural networks. </w:t>
      </w:r>
      <w:r w:rsidRPr="00757A85">
        <w:rPr>
          <w:rFonts w:ascii="Arial" w:hAnsi="Arial" w:cs="Arial"/>
          <w:i/>
          <w:iCs/>
          <w:noProof/>
          <w:sz w:val="20"/>
          <w:szCs w:val="24"/>
        </w:rPr>
        <w:t>Artif Intell Med</w:t>
      </w:r>
      <w:r w:rsidRPr="00757A85">
        <w:rPr>
          <w:rFonts w:ascii="Arial" w:hAnsi="Arial" w:cs="Arial"/>
          <w:noProof/>
          <w:sz w:val="20"/>
          <w:szCs w:val="24"/>
        </w:rPr>
        <w:t>. 2019;97(April 2017):38-43. doi:10.1016/j.artmed.2018.10.008</w:t>
      </w:r>
    </w:p>
    <w:p w14:paraId="71933E90"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147. </w:t>
      </w:r>
      <w:r w:rsidRPr="00757A85">
        <w:rPr>
          <w:rFonts w:ascii="Arial" w:hAnsi="Arial" w:cs="Arial"/>
          <w:noProof/>
          <w:sz w:val="20"/>
          <w:szCs w:val="24"/>
        </w:rPr>
        <w:tab/>
        <w:t xml:space="preserve">Paliwal N, Jaiswal P, Tutino VM, et al. Outcome prediction of intracranial aneurysm treatment by flow diverters using machine learning. </w:t>
      </w:r>
      <w:r w:rsidRPr="00757A85">
        <w:rPr>
          <w:rFonts w:ascii="Arial" w:hAnsi="Arial" w:cs="Arial"/>
          <w:i/>
          <w:iCs/>
          <w:noProof/>
          <w:sz w:val="20"/>
          <w:szCs w:val="24"/>
        </w:rPr>
        <w:t>Neurosurg Focus</w:t>
      </w:r>
      <w:r w:rsidRPr="00757A85">
        <w:rPr>
          <w:rFonts w:ascii="Arial" w:hAnsi="Arial" w:cs="Arial"/>
          <w:noProof/>
          <w:sz w:val="20"/>
          <w:szCs w:val="24"/>
        </w:rPr>
        <w:t>. 2018;45(5):1-10. doi:10.3171/2018.8.FOCUS18332</w:t>
      </w:r>
    </w:p>
    <w:p w14:paraId="38D41160"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148. </w:t>
      </w:r>
      <w:r w:rsidRPr="00757A85">
        <w:rPr>
          <w:rFonts w:ascii="Arial" w:hAnsi="Arial" w:cs="Arial"/>
          <w:noProof/>
          <w:sz w:val="20"/>
          <w:szCs w:val="24"/>
        </w:rPr>
        <w:tab/>
        <w:t xml:space="preserve">Bronsert M, Singh AB, Henderson WG, Hammermeister K, Meguid RA, Colborn KL. Identification of postoperative complications using electronic health record data and machine learning. </w:t>
      </w:r>
      <w:r w:rsidRPr="00757A85">
        <w:rPr>
          <w:rFonts w:ascii="Arial" w:hAnsi="Arial" w:cs="Arial"/>
          <w:i/>
          <w:iCs/>
          <w:noProof/>
          <w:sz w:val="20"/>
          <w:szCs w:val="24"/>
        </w:rPr>
        <w:t>Am J Surg</w:t>
      </w:r>
      <w:r w:rsidRPr="00757A85">
        <w:rPr>
          <w:rFonts w:ascii="Arial" w:hAnsi="Arial" w:cs="Arial"/>
          <w:noProof/>
          <w:sz w:val="20"/>
          <w:szCs w:val="24"/>
        </w:rPr>
        <w:t>. 2020;220(1):114-119. doi:10.1016/j.amjsurg.2019.10.009</w:t>
      </w:r>
    </w:p>
    <w:p w14:paraId="3AAB5B7A"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149. </w:t>
      </w:r>
      <w:r w:rsidRPr="00757A85">
        <w:rPr>
          <w:rFonts w:ascii="Arial" w:hAnsi="Arial" w:cs="Arial"/>
          <w:noProof/>
          <w:sz w:val="20"/>
          <w:szCs w:val="24"/>
        </w:rPr>
        <w:tab/>
        <w:t xml:space="preserve">Eill A, Jahedi A, Gao Y, et al. Functional Connectivities Are More Informative Than Anatomical Variables in Diagnostic Classification of Autism. </w:t>
      </w:r>
      <w:r w:rsidRPr="00757A85">
        <w:rPr>
          <w:rFonts w:ascii="Arial" w:hAnsi="Arial" w:cs="Arial"/>
          <w:i/>
          <w:iCs/>
          <w:noProof/>
          <w:sz w:val="20"/>
          <w:szCs w:val="24"/>
        </w:rPr>
        <w:t>Brain Connect</w:t>
      </w:r>
      <w:r w:rsidRPr="00757A85">
        <w:rPr>
          <w:rFonts w:ascii="Arial" w:hAnsi="Arial" w:cs="Arial"/>
          <w:noProof/>
          <w:sz w:val="20"/>
          <w:szCs w:val="24"/>
        </w:rPr>
        <w:t>. 2019;9(8):604-612. doi:10.1089/brain.2019.0689</w:t>
      </w:r>
    </w:p>
    <w:p w14:paraId="5AE13BB9"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150. </w:t>
      </w:r>
      <w:r w:rsidRPr="00757A85">
        <w:rPr>
          <w:rFonts w:ascii="Arial" w:hAnsi="Arial" w:cs="Arial"/>
          <w:noProof/>
          <w:sz w:val="20"/>
          <w:szCs w:val="24"/>
        </w:rPr>
        <w:tab/>
        <w:t xml:space="preserve">Cook F, Lobo D, Martin M, et al. Prospective validation of a new airway management algorithm and predictive features of intubation difficulty. </w:t>
      </w:r>
      <w:r w:rsidRPr="00757A85">
        <w:rPr>
          <w:rFonts w:ascii="Arial" w:hAnsi="Arial" w:cs="Arial"/>
          <w:i/>
          <w:iCs/>
          <w:noProof/>
          <w:sz w:val="20"/>
          <w:szCs w:val="24"/>
        </w:rPr>
        <w:t>Br J Anaesth</w:t>
      </w:r>
      <w:r w:rsidRPr="00757A85">
        <w:rPr>
          <w:rFonts w:ascii="Arial" w:hAnsi="Arial" w:cs="Arial"/>
          <w:noProof/>
          <w:sz w:val="20"/>
          <w:szCs w:val="24"/>
        </w:rPr>
        <w:t>. 2019;122(2):245-254. doi:10.1016/j.bja.2018.09.021</w:t>
      </w:r>
    </w:p>
    <w:p w14:paraId="0DBD1156" w14:textId="77777777" w:rsidR="00A427B2" w:rsidRPr="00757A85"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151. </w:t>
      </w:r>
      <w:r w:rsidRPr="00757A85">
        <w:rPr>
          <w:rFonts w:ascii="Arial" w:hAnsi="Arial" w:cs="Arial"/>
          <w:noProof/>
          <w:sz w:val="20"/>
          <w:szCs w:val="24"/>
        </w:rPr>
        <w:tab/>
        <w:t xml:space="preserve">Eggleston B, Dismuke-Greer CE, Pogoda TK, et al. A prediction model of military combat and training exposures on VA service-connected disability: a CENC study. </w:t>
      </w:r>
      <w:r w:rsidRPr="00757A85">
        <w:rPr>
          <w:rFonts w:ascii="Arial" w:hAnsi="Arial" w:cs="Arial"/>
          <w:i/>
          <w:iCs/>
          <w:noProof/>
          <w:sz w:val="20"/>
          <w:szCs w:val="24"/>
        </w:rPr>
        <w:t>Brain Inj</w:t>
      </w:r>
      <w:r w:rsidRPr="00757A85">
        <w:rPr>
          <w:rFonts w:ascii="Arial" w:hAnsi="Arial" w:cs="Arial"/>
          <w:noProof/>
          <w:sz w:val="20"/>
          <w:szCs w:val="24"/>
        </w:rPr>
        <w:t>. 2019;33(13-14):1602-1614. doi:10.1080/02699052.2019.1655793</w:t>
      </w:r>
    </w:p>
    <w:p w14:paraId="7236058D" w14:textId="36F43E1A" w:rsidR="00A427B2" w:rsidRDefault="00A427B2" w:rsidP="00A427B2">
      <w:pPr>
        <w:widowControl w:val="0"/>
        <w:autoSpaceDE w:val="0"/>
        <w:autoSpaceDN w:val="0"/>
        <w:adjustRightInd w:val="0"/>
        <w:spacing w:line="240" w:lineRule="auto"/>
        <w:ind w:left="640" w:hanging="640"/>
        <w:rPr>
          <w:rFonts w:ascii="Arial" w:hAnsi="Arial" w:cs="Arial"/>
          <w:noProof/>
          <w:sz w:val="20"/>
          <w:szCs w:val="24"/>
        </w:rPr>
      </w:pPr>
      <w:r w:rsidRPr="00757A85">
        <w:rPr>
          <w:rFonts w:ascii="Arial" w:hAnsi="Arial" w:cs="Arial"/>
          <w:noProof/>
          <w:sz w:val="20"/>
          <w:szCs w:val="24"/>
        </w:rPr>
        <w:t xml:space="preserve">152. </w:t>
      </w:r>
      <w:r w:rsidRPr="00757A85">
        <w:rPr>
          <w:rFonts w:ascii="Arial" w:hAnsi="Arial" w:cs="Arial"/>
          <w:noProof/>
          <w:sz w:val="20"/>
          <w:szCs w:val="24"/>
        </w:rPr>
        <w:tab/>
        <w:t xml:space="preserve">Villarreal YR, Suchting R, Klawans MR, et al. Predicting HCV Incidence in Latinos with High-Risk Substance Use: A Data Science Approach. </w:t>
      </w:r>
      <w:r w:rsidRPr="00757A85">
        <w:rPr>
          <w:rFonts w:ascii="Arial" w:hAnsi="Arial" w:cs="Arial"/>
          <w:i/>
          <w:iCs/>
          <w:noProof/>
          <w:sz w:val="20"/>
          <w:szCs w:val="24"/>
        </w:rPr>
        <w:t>Soc Work Public Health</w:t>
      </w:r>
      <w:r w:rsidRPr="00757A85">
        <w:rPr>
          <w:rFonts w:ascii="Arial" w:hAnsi="Arial" w:cs="Arial"/>
          <w:noProof/>
          <w:sz w:val="20"/>
          <w:szCs w:val="24"/>
        </w:rPr>
        <w:t>. 2019;34(7):606-615. doi:10.1080/19371918.2019.1635948</w:t>
      </w:r>
    </w:p>
    <w:p w14:paraId="04B58E70" w14:textId="77777777" w:rsidR="00AD67A3" w:rsidRDefault="00AD67A3" w:rsidP="00AD67A3">
      <w:pPr>
        <w:widowControl w:val="0"/>
        <w:autoSpaceDE w:val="0"/>
        <w:autoSpaceDN w:val="0"/>
        <w:adjustRightInd w:val="0"/>
        <w:spacing w:line="240" w:lineRule="auto"/>
        <w:ind w:left="640" w:hanging="640"/>
        <w:rPr>
          <w:rFonts w:ascii="Arial" w:hAnsi="Arial" w:cs="Arial"/>
          <w:b/>
          <w:bCs/>
          <w:noProof/>
          <w:sz w:val="20"/>
        </w:rPr>
        <w:sectPr w:rsidR="00AD67A3" w:rsidSect="00AD67A3">
          <w:type w:val="continuous"/>
          <w:pgSz w:w="15840" w:h="12240" w:orient="landscape"/>
          <w:pgMar w:top="720" w:right="720" w:bottom="720" w:left="720" w:header="720" w:footer="720" w:gutter="0"/>
          <w:cols w:num="2" w:space="720"/>
          <w:docGrid w:linePitch="360"/>
        </w:sectPr>
      </w:pPr>
    </w:p>
    <w:p w14:paraId="2CB56127" w14:textId="1D9F5611" w:rsidR="00AD67A3" w:rsidRDefault="00AD67A3" w:rsidP="00AD67A3">
      <w:pPr>
        <w:widowControl w:val="0"/>
        <w:autoSpaceDE w:val="0"/>
        <w:autoSpaceDN w:val="0"/>
        <w:adjustRightInd w:val="0"/>
        <w:spacing w:line="240" w:lineRule="auto"/>
        <w:ind w:left="640" w:hanging="640"/>
        <w:rPr>
          <w:rFonts w:ascii="Arial" w:hAnsi="Arial" w:cs="Arial"/>
          <w:b/>
          <w:bCs/>
          <w:noProof/>
          <w:sz w:val="20"/>
        </w:rPr>
      </w:pPr>
    </w:p>
    <w:p w14:paraId="48CFEA95" w14:textId="0D725EB0" w:rsidR="00AD67A3" w:rsidRPr="00CF2AE5" w:rsidRDefault="00F60439" w:rsidP="00AD67A3">
      <w:pPr>
        <w:widowControl w:val="0"/>
        <w:autoSpaceDE w:val="0"/>
        <w:autoSpaceDN w:val="0"/>
        <w:adjustRightInd w:val="0"/>
        <w:spacing w:line="240" w:lineRule="auto"/>
        <w:ind w:left="640" w:hanging="640"/>
        <w:rPr>
          <w:rFonts w:ascii="Arial" w:hAnsi="Arial" w:cs="Arial"/>
          <w:b/>
          <w:bCs/>
          <w:noProof/>
          <w:sz w:val="20"/>
        </w:rPr>
      </w:pPr>
      <w:r>
        <w:rPr>
          <w:rFonts w:ascii="Arial" w:hAnsi="Arial" w:cs="Arial"/>
          <w:b/>
          <w:bCs/>
          <w:noProof/>
          <w:sz w:val="20"/>
        </w:rPr>
        <w:t xml:space="preserve">Section 4. </w:t>
      </w:r>
      <w:r w:rsidR="00AD67A3" w:rsidRPr="00CF2AE5">
        <w:rPr>
          <w:rFonts w:ascii="Arial" w:hAnsi="Arial" w:cs="Arial"/>
          <w:b/>
          <w:bCs/>
          <w:noProof/>
          <w:sz w:val="20"/>
        </w:rPr>
        <w:t>List of assessed supervised machine learning techniques</w:t>
      </w:r>
    </w:p>
    <w:p w14:paraId="6B673330" w14:textId="77777777" w:rsidR="00AD67A3" w:rsidRDefault="00AD67A3" w:rsidP="00AD67A3">
      <w:pPr>
        <w:widowControl w:val="0"/>
        <w:autoSpaceDE w:val="0"/>
        <w:autoSpaceDN w:val="0"/>
        <w:adjustRightInd w:val="0"/>
        <w:spacing w:line="240" w:lineRule="auto"/>
        <w:ind w:left="640" w:hanging="640"/>
        <w:rPr>
          <w:rFonts w:ascii="Arial" w:hAnsi="Arial" w:cs="Arial"/>
          <w:noProof/>
          <w:sz w:val="20"/>
        </w:rPr>
      </w:pPr>
    </w:p>
    <w:p w14:paraId="7123A934" w14:textId="77777777" w:rsidR="00AD67A3" w:rsidRDefault="00AD67A3" w:rsidP="00AD67A3">
      <w:pPr>
        <w:spacing w:after="0" w:line="240" w:lineRule="auto"/>
        <w:rPr>
          <w:rFonts w:ascii="Segoe UI" w:eastAsia="Times New Roman" w:hAnsi="Segoe UI" w:cs="Segoe UI"/>
          <w:color w:val="000000"/>
          <w:sz w:val="20"/>
          <w:szCs w:val="20"/>
        </w:rPr>
        <w:sectPr w:rsidR="00AD67A3" w:rsidSect="00AD67A3">
          <w:type w:val="continuous"/>
          <w:pgSz w:w="15840" w:h="12240" w:orient="landscape"/>
          <w:pgMar w:top="720" w:right="720" w:bottom="720" w:left="720" w:header="720" w:footer="720" w:gutter="0"/>
          <w:cols w:space="720"/>
          <w:docGrid w:linePitch="360"/>
        </w:sectPr>
      </w:pPr>
    </w:p>
    <w:tbl>
      <w:tblPr>
        <w:tblW w:w="9280" w:type="dxa"/>
        <w:tblLook w:val="04A0" w:firstRow="1" w:lastRow="0" w:firstColumn="1" w:lastColumn="0" w:noHBand="0" w:noVBand="1"/>
      </w:tblPr>
      <w:tblGrid>
        <w:gridCol w:w="9280"/>
      </w:tblGrid>
      <w:tr w:rsidR="00AD67A3" w:rsidRPr="00CF2AE5" w14:paraId="43E7441C" w14:textId="77777777" w:rsidTr="00F663BA">
        <w:trPr>
          <w:trHeight w:val="320"/>
        </w:trPr>
        <w:tc>
          <w:tcPr>
            <w:tcW w:w="9280" w:type="dxa"/>
            <w:tcBorders>
              <w:top w:val="nil"/>
              <w:left w:val="nil"/>
              <w:bottom w:val="nil"/>
              <w:right w:val="nil"/>
            </w:tcBorders>
            <w:shd w:val="clear" w:color="auto" w:fill="auto"/>
            <w:noWrap/>
            <w:vAlign w:val="center"/>
            <w:hideMark/>
          </w:tcPr>
          <w:p w14:paraId="001F17F8" w14:textId="77777777" w:rsidR="00AD67A3" w:rsidRPr="00CF2AE5" w:rsidRDefault="00AD67A3" w:rsidP="00F663BA">
            <w:pPr>
              <w:spacing w:after="0" w:line="240" w:lineRule="auto"/>
              <w:rPr>
                <w:rFonts w:ascii="Segoe UI" w:eastAsia="Times New Roman" w:hAnsi="Segoe UI" w:cs="Segoe UI"/>
                <w:color w:val="000000"/>
                <w:sz w:val="20"/>
                <w:szCs w:val="20"/>
              </w:rPr>
            </w:pPr>
            <w:r>
              <w:rPr>
                <w:rFonts w:ascii="Segoe UI" w:eastAsia="Times New Roman" w:hAnsi="Segoe UI" w:cs="Segoe UI"/>
                <w:color w:val="000000"/>
                <w:sz w:val="20"/>
                <w:szCs w:val="20"/>
              </w:rPr>
              <w:t>Adaptive Boosting (</w:t>
            </w:r>
            <w:r w:rsidRPr="00CF2AE5">
              <w:rPr>
                <w:rFonts w:ascii="Segoe UI" w:eastAsia="Times New Roman" w:hAnsi="Segoe UI" w:cs="Segoe UI"/>
                <w:color w:val="000000"/>
                <w:sz w:val="20"/>
                <w:szCs w:val="20"/>
              </w:rPr>
              <w:t>Adaboost</w:t>
            </w:r>
            <w:r>
              <w:rPr>
                <w:rFonts w:ascii="Segoe UI" w:eastAsia="Times New Roman" w:hAnsi="Segoe UI" w:cs="Segoe UI"/>
                <w:color w:val="000000"/>
                <w:sz w:val="20"/>
                <w:szCs w:val="20"/>
              </w:rPr>
              <w:t>)</w:t>
            </w:r>
          </w:p>
        </w:tc>
      </w:tr>
      <w:tr w:rsidR="00AD67A3" w:rsidRPr="00CF2AE5" w14:paraId="406D830E" w14:textId="77777777" w:rsidTr="00F663BA">
        <w:trPr>
          <w:trHeight w:val="320"/>
        </w:trPr>
        <w:tc>
          <w:tcPr>
            <w:tcW w:w="9280" w:type="dxa"/>
            <w:tcBorders>
              <w:top w:val="nil"/>
              <w:left w:val="nil"/>
              <w:bottom w:val="nil"/>
              <w:right w:val="nil"/>
            </w:tcBorders>
            <w:shd w:val="clear" w:color="auto" w:fill="auto"/>
            <w:noWrap/>
            <w:vAlign w:val="center"/>
            <w:hideMark/>
          </w:tcPr>
          <w:p w14:paraId="1A2CB6CC" w14:textId="77777777" w:rsidR="00AD67A3" w:rsidRPr="00CF2AE5" w:rsidRDefault="00AD67A3" w:rsidP="00F663BA">
            <w:pPr>
              <w:spacing w:after="0" w:line="240" w:lineRule="auto"/>
              <w:rPr>
                <w:rFonts w:ascii="Segoe UI" w:eastAsia="Times New Roman" w:hAnsi="Segoe UI" w:cs="Segoe UI"/>
                <w:color w:val="000000"/>
                <w:sz w:val="20"/>
                <w:szCs w:val="20"/>
              </w:rPr>
            </w:pPr>
            <w:r w:rsidRPr="00CF2AE5">
              <w:rPr>
                <w:rFonts w:ascii="Segoe UI" w:eastAsia="Times New Roman" w:hAnsi="Segoe UI" w:cs="Segoe UI"/>
                <w:color w:val="000000"/>
                <w:sz w:val="20"/>
                <w:szCs w:val="20"/>
              </w:rPr>
              <w:t>ADTree</w:t>
            </w:r>
          </w:p>
        </w:tc>
      </w:tr>
      <w:tr w:rsidR="00AD67A3" w:rsidRPr="00CF2AE5" w14:paraId="54AD35BA" w14:textId="77777777" w:rsidTr="00F663BA">
        <w:trPr>
          <w:trHeight w:val="320"/>
        </w:trPr>
        <w:tc>
          <w:tcPr>
            <w:tcW w:w="9280" w:type="dxa"/>
            <w:tcBorders>
              <w:top w:val="nil"/>
              <w:left w:val="nil"/>
              <w:bottom w:val="nil"/>
              <w:right w:val="nil"/>
            </w:tcBorders>
            <w:shd w:val="clear" w:color="auto" w:fill="auto"/>
            <w:noWrap/>
            <w:vAlign w:val="center"/>
            <w:hideMark/>
          </w:tcPr>
          <w:p w14:paraId="44498CD9" w14:textId="77777777" w:rsidR="00AD67A3" w:rsidRPr="00CF2AE5" w:rsidRDefault="00AD67A3" w:rsidP="00F663BA">
            <w:pPr>
              <w:spacing w:after="0" w:line="240" w:lineRule="auto"/>
              <w:rPr>
                <w:rFonts w:ascii="Segoe UI" w:eastAsia="Times New Roman" w:hAnsi="Segoe UI" w:cs="Segoe UI"/>
                <w:color w:val="000000"/>
                <w:sz w:val="20"/>
                <w:szCs w:val="20"/>
              </w:rPr>
            </w:pPr>
            <w:r w:rsidRPr="00CF2AE5">
              <w:rPr>
                <w:rFonts w:ascii="Segoe UI" w:eastAsia="Times New Roman" w:hAnsi="Segoe UI" w:cs="Segoe UI"/>
                <w:color w:val="000000"/>
                <w:sz w:val="20"/>
                <w:szCs w:val="20"/>
              </w:rPr>
              <w:t xml:space="preserve">Bagged Classification Tree </w:t>
            </w:r>
          </w:p>
        </w:tc>
      </w:tr>
      <w:tr w:rsidR="00AD67A3" w:rsidRPr="00CF2AE5" w14:paraId="6A554D22" w14:textId="77777777" w:rsidTr="00F663BA">
        <w:trPr>
          <w:trHeight w:val="320"/>
        </w:trPr>
        <w:tc>
          <w:tcPr>
            <w:tcW w:w="9280" w:type="dxa"/>
            <w:tcBorders>
              <w:top w:val="nil"/>
              <w:left w:val="nil"/>
              <w:bottom w:val="nil"/>
              <w:right w:val="nil"/>
            </w:tcBorders>
            <w:shd w:val="clear" w:color="auto" w:fill="auto"/>
            <w:noWrap/>
            <w:vAlign w:val="center"/>
            <w:hideMark/>
          </w:tcPr>
          <w:p w14:paraId="13F2F2B2" w14:textId="77777777" w:rsidR="00AD67A3" w:rsidRPr="00CF2AE5" w:rsidRDefault="00AD67A3" w:rsidP="00F663BA">
            <w:pPr>
              <w:spacing w:after="0" w:line="240" w:lineRule="auto"/>
              <w:rPr>
                <w:rFonts w:ascii="Segoe UI" w:eastAsia="Times New Roman" w:hAnsi="Segoe UI" w:cs="Segoe UI"/>
                <w:color w:val="000000"/>
                <w:sz w:val="20"/>
                <w:szCs w:val="20"/>
              </w:rPr>
            </w:pPr>
            <w:r w:rsidRPr="00CF2AE5">
              <w:rPr>
                <w:rFonts w:ascii="Segoe UI" w:eastAsia="Times New Roman" w:hAnsi="Segoe UI" w:cs="Segoe UI"/>
                <w:color w:val="000000"/>
                <w:sz w:val="20"/>
                <w:szCs w:val="20"/>
              </w:rPr>
              <w:t>Bayesian Network</w:t>
            </w:r>
          </w:p>
        </w:tc>
      </w:tr>
      <w:tr w:rsidR="00AD67A3" w:rsidRPr="00CF2AE5" w14:paraId="0A64E2C5" w14:textId="77777777" w:rsidTr="00F663BA">
        <w:trPr>
          <w:trHeight w:val="290"/>
        </w:trPr>
        <w:tc>
          <w:tcPr>
            <w:tcW w:w="9280" w:type="dxa"/>
            <w:tcBorders>
              <w:top w:val="nil"/>
              <w:left w:val="nil"/>
              <w:bottom w:val="nil"/>
              <w:right w:val="nil"/>
            </w:tcBorders>
            <w:shd w:val="clear" w:color="auto" w:fill="auto"/>
            <w:noWrap/>
            <w:vAlign w:val="bottom"/>
            <w:hideMark/>
          </w:tcPr>
          <w:p w14:paraId="657D1393" w14:textId="77777777" w:rsidR="00AD67A3" w:rsidRPr="00CF2AE5" w:rsidRDefault="00AD67A3" w:rsidP="00F663BA">
            <w:pPr>
              <w:spacing w:after="0" w:line="240" w:lineRule="auto"/>
              <w:rPr>
                <w:rFonts w:ascii="Calibri" w:eastAsia="Times New Roman" w:hAnsi="Calibri" w:cs="Times New Roman"/>
                <w:color w:val="000000"/>
              </w:rPr>
            </w:pPr>
            <w:r w:rsidRPr="00CF2AE5">
              <w:rPr>
                <w:rFonts w:ascii="Calibri" w:eastAsia="Times New Roman" w:hAnsi="Calibri" w:cs="Times New Roman"/>
                <w:color w:val="000000"/>
              </w:rPr>
              <w:t>CatBoost</w:t>
            </w:r>
          </w:p>
        </w:tc>
      </w:tr>
      <w:tr w:rsidR="00AD67A3" w:rsidRPr="00CF2AE5" w14:paraId="006BF8DA" w14:textId="77777777" w:rsidTr="00F663BA">
        <w:trPr>
          <w:trHeight w:val="320"/>
        </w:trPr>
        <w:tc>
          <w:tcPr>
            <w:tcW w:w="9280" w:type="dxa"/>
            <w:tcBorders>
              <w:top w:val="nil"/>
              <w:left w:val="nil"/>
              <w:bottom w:val="nil"/>
              <w:right w:val="nil"/>
            </w:tcBorders>
            <w:shd w:val="clear" w:color="auto" w:fill="auto"/>
            <w:noWrap/>
            <w:vAlign w:val="center"/>
            <w:hideMark/>
          </w:tcPr>
          <w:p w14:paraId="5B5C566A" w14:textId="77777777" w:rsidR="00AD67A3" w:rsidRPr="00CF2AE5" w:rsidRDefault="00AD67A3" w:rsidP="00F663BA">
            <w:pPr>
              <w:spacing w:after="0" w:line="240" w:lineRule="auto"/>
              <w:rPr>
                <w:rFonts w:ascii="Segoe UI" w:eastAsia="Times New Roman" w:hAnsi="Segoe UI" w:cs="Segoe UI"/>
                <w:color w:val="000000"/>
                <w:sz w:val="20"/>
                <w:szCs w:val="20"/>
              </w:rPr>
            </w:pPr>
            <w:r w:rsidRPr="00CF2AE5">
              <w:rPr>
                <w:rFonts w:ascii="Segoe UI" w:eastAsia="Times New Roman" w:hAnsi="Segoe UI" w:cs="Segoe UI"/>
                <w:color w:val="000000"/>
                <w:sz w:val="20"/>
                <w:szCs w:val="20"/>
              </w:rPr>
              <w:t>Boosted regression</w:t>
            </w:r>
          </w:p>
        </w:tc>
      </w:tr>
      <w:tr w:rsidR="00AD67A3" w:rsidRPr="00CF2AE5" w14:paraId="4A568BF1" w14:textId="77777777" w:rsidTr="00F663BA">
        <w:trPr>
          <w:trHeight w:val="320"/>
        </w:trPr>
        <w:tc>
          <w:tcPr>
            <w:tcW w:w="9280" w:type="dxa"/>
            <w:tcBorders>
              <w:top w:val="nil"/>
              <w:left w:val="nil"/>
              <w:bottom w:val="nil"/>
              <w:right w:val="nil"/>
            </w:tcBorders>
            <w:shd w:val="clear" w:color="auto" w:fill="auto"/>
            <w:noWrap/>
            <w:vAlign w:val="center"/>
            <w:hideMark/>
          </w:tcPr>
          <w:p w14:paraId="49367C97" w14:textId="77777777" w:rsidR="00AD67A3" w:rsidRPr="00CF2AE5" w:rsidRDefault="00AD67A3" w:rsidP="00F663BA">
            <w:pPr>
              <w:spacing w:after="0" w:line="240" w:lineRule="auto"/>
              <w:rPr>
                <w:rFonts w:ascii="Segoe UI" w:eastAsia="Times New Roman" w:hAnsi="Segoe UI" w:cs="Segoe UI"/>
                <w:color w:val="000000"/>
                <w:sz w:val="20"/>
                <w:szCs w:val="20"/>
              </w:rPr>
            </w:pPr>
            <w:r w:rsidRPr="00CF2AE5">
              <w:rPr>
                <w:rFonts w:ascii="Segoe UI" w:eastAsia="Times New Roman" w:hAnsi="Segoe UI" w:cs="Segoe UI"/>
                <w:color w:val="000000"/>
                <w:sz w:val="20"/>
                <w:szCs w:val="20"/>
              </w:rPr>
              <w:t>Classification and regression tree (CART)</w:t>
            </w:r>
          </w:p>
        </w:tc>
      </w:tr>
      <w:tr w:rsidR="00AD67A3" w:rsidRPr="00CF2AE5" w14:paraId="36FC7931" w14:textId="77777777" w:rsidTr="00F663BA">
        <w:trPr>
          <w:trHeight w:val="320"/>
        </w:trPr>
        <w:tc>
          <w:tcPr>
            <w:tcW w:w="9280" w:type="dxa"/>
            <w:tcBorders>
              <w:top w:val="nil"/>
              <w:left w:val="nil"/>
              <w:bottom w:val="nil"/>
              <w:right w:val="nil"/>
            </w:tcBorders>
            <w:shd w:val="clear" w:color="auto" w:fill="auto"/>
            <w:noWrap/>
            <w:vAlign w:val="center"/>
            <w:hideMark/>
          </w:tcPr>
          <w:p w14:paraId="75436EBF" w14:textId="77777777" w:rsidR="00AD67A3" w:rsidRPr="00CF2AE5" w:rsidRDefault="00AD67A3" w:rsidP="00F663BA">
            <w:pPr>
              <w:spacing w:after="0" w:line="240" w:lineRule="auto"/>
              <w:rPr>
                <w:rFonts w:ascii="Segoe UI" w:eastAsia="Times New Roman" w:hAnsi="Segoe UI" w:cs="Segoe UI"/>
                <w:color w:val="000000"/>
                <w:sz w:val="20"/>
                <w:szCs w:val="20"/>
              </w:rPr>
            </w:pPr>
            <w:r w:rsidRPr="00CF2AE5">
              <w:rPr>
                <w:rFonts w:ascii="Segoe UI" w:eastAsia="Times New Roman" w:hAnsi="Segoe UI" w:cs="Segoe UI"/>
                <w:color w:val="000000"/>
                <w:sz w:val="20"/>
                <w:szCs w:val="20"/>
              </w:rPr>
              <w:t>Conditional inference tree (URP-CTREE)</w:t>
            </w:r>
          </w:p>
        </w:tc>
      </w:tr>
      <w:tr w:rsidR="00AD67A3" w:rsidRPr="00CF2AE5" w14:paraId="4900B6DF" w14:textId="77777777" w:rsidTr="00F663BA">
        <w:trPr>
          <w:trHeight w:val="320"/>
        </w:trPr>
        <w:tc>
          <w:tcPr>
            <w:tcW w:w="9280" w:type="dxa"/>
            <w:tcBorders>
              <w:top w:val="nil"/>
              <w:left w:val="nil"/>
              <w:bottom w:val="nil"/>
              <w:right w:val="nil"/>
            </w:tcBorders>
            <w:shd w:val="clear" w:color="auto" w:fill="auto"/>
            <w:noWrap/>
            <w:vAlign w:val="center"/>
            <w:hideMark/>
          </w:tcPr>
          <w:p w14:paraId="0EC2248C" w14:textId="77777777" w:rsidR="00AD67A3" w:rsidRPr="00CF2AE5" w:rsidRDefault="00AD67A3" w:rsidP="00F663BA">
            <w:pPr>
              <w:spacing w:after="0" w:line="240" w:lineRule="auto"/>
              <w:rPr>
                <w:rFonts w:ascii="Segoe UI" w:eastAsia="Times New Roman" w:hAnsi="Segoe UI" w:cs="Segoe UI"/>
                <w:color w:val="000000"/>
                <w:sz w:val="20"/>
                <w:szCs w:val="20"/>
              </w:rPr>
            </w:pPr>
            <w:r>
              <w:rPr>
                <w:rFonts w:ascii="Segoe UI" w:eastAsia="Times New Roman" w:hAnsi="Segoe UI" w:cs="Segoe UI"/>
                <w:color w:val="000000"/>
                <w:sz w:val="20"/>
                <w:szCs w:val="20"/>
              </w:rPr>
              <w:t>Dense Convolutional Network (</w:t>
            </w:r>
            <w:r w:rsidRPr="00CF2AE5">
              <w:rPr>
                <w:rFonts w:ascii="Segoe UI" w:eastAsia="Times New Roman" w:hAnsi="Segoe UI" w:cs="Segoe UI"/>
                <w:color w:val="000000"/>
                <w:sz w:val="20"/>
                <w:szCs w:val="20"/>
              </w:rPr>
              <w:t>DenseNet</w:t>
            </w:r>
            <w:r>
              <w:rPr>
                <w:rFonts w:ascii="Segoe UI" w:eastAsia="Times New Roman" w:hAnsi="Segoe UI" w:cs="Segoe UI"/>
                <w:color w:val="000000"/>
                <w:sz w:val="20"/>
                <w:szCs w:val="20"/>
              </w:rPr>
              <w:t>)</w:t>
            </w:r>
          </w:p>
        </w:tc>
      </w:tr>
      <w:tr w:rsidR="00AD67A3" w:rsidRPr="00CF2AE5" w14:paraId="7AFB571F" w14:textId="77777777" w:rsidTr="00F663BA">
        <w:trPr>
          <w:trHeight w:val="320"/>
        </w:trPr>
        <w:tc>
          <w:tcPr>
            <w:tcW w:w="9280" w:type="dxa"/>
            <w:tcBorders>
              <w:top w:val="nil"/>
              <w:left w:val="nil"/>
              <w:bottom w:val="nil"/>
              <w:right w:val="nil"/>
            </w:tcBorders>
            <w:shd w:val="clear" w:color="auto" w:fill="auto"/>
            <w:noWrap/>
            <w:vAlign w:val="center"/>
            <w:hideMark/>
          </w:tcPr>
          <w:p w14:paraId="3B7462B4" w14:textId="77777777" w:rsidR="00AD67A3" w:rsidRPr="00CF2AE5" w:rsidRDefault="00AD67A3" w:rsidP="00F663BA">
            <w:pPr>
              <w:spacing w:after="0" w:line="240" w:lineRule="auto"/>
              <w:rPr>
                <w:rFonts w:ascii="Segoe UI" w:eastAsia="Times New Roman" w:hAnsi="Segoe UI" w:cs="Segoe UI"/>
                <w:color w:val="000000"/>
                <w:sz w:val="20"/>
                <w:szCs w:val="20"/>
              </w:rPr>
            </w:pPr>
            <w:r w:rsidRPr="00CF2AE5">
              <w:rPr>
                <w:rFonts w:ascii="Segoe UI" w:eastAsia="Times New Roman" w:hAnsi="Segoe UI" w:cs="Segoe UI"/>
                <w:color w:val="000000"/>
                <w:sz w:val="20"/>
                <w:szCs w:val="20"/>
              </w:rPr>
              <w:t>Elastic Net</w:t>
            </w:r>
          </w:p>
        </w:tc>
      </w:tr>
      <w:tr w:rsidR="00AD67A3" w:rsidRPr="00CF2AE5" w14:paraId="17C2D988" w14:textId="77777777" w:rsidTr="00F663BA">
        <w:trPr>
          <w:trHeight w:val="320"/>
        </w:trPr>
        <w:tc>
          <w:tcPr>
            <w:tcW w:w="9280" w:type="dxa"/>
            <w:tcBorders>
              <w:top w:val="nil"/>
              <w:left w:val="nil"/>
              <w:bottom w:val="nil"/>
              <w:right w:val="nil"/>
            </w:tcBorders>
            <w:shd w:val="clear" w:color="auto" w:fill="auto"/>
            <w:noWrap/>
            <w:vAlign w:val="center"/>
            <w:hideMark/>
          </w:tcPr>
          <w:p w14:paraId="174A4842" w14:textId="77777777" w:rsidR="00AD67A3" w:rsidRPr="00CF2AE5" w:rsidRDefault="00AD67A3" w:rsidP="00F663BA">
            <w:pPr>
              <w:spacing w:after="0" w:line="240" w:lineRule="auto"/>
              <w:rPr>
                <w:rFonts w:ascii="Segoe UI" w:eastAsia="Times New Roman" w:hAnsi="Segoe UI" w:cs="Segoe UI"/>
                <w:color w:val="000000"/>
                <w:sz w:val="20"/>
                <w:szCs w:val="20"/>
              </w:rPr>
            </w:pPr>
            <w:r w:rsidRPr="00CF2AE5">
              <w:rPr>
                <w:rFonts w:ascii="Segoe UI" w:eastAsia="Times New Roman" w:hAnsi="Segoe UI" w:cs="Segoe UI"/>
                <w:color w:val="000000"/>
                <w:sz w:val="20"/>
                <w:szCs w:val="20"/>
              </w:rPr>
              <w:t>Gaussian Naïve Bayes (GMB)</w:t>
            </w:r>
          </w:p>
        </w:tc>
      </w:tr>
      <w:tr w:rsidR="00AD67A3" w:rsidRPr="00CF2AE5" w14:paraId="485974E7" w14:textId="77777777" w:rsidTr="00F663BA">
        <w:trPr>
          <w:trHeight w:val="320"/>
        </w:trPr>
        <w:tc>
          <w:tcPr>
            <w:tcW w:w="9280" w:type="dxa"/>
            <w:tcBorders>
              <w:top w:val="nil"/>
              <w:left w:val="nil"/>
              <w:bottom w:val="nil"/>
              <w:right w:val="nil"/>
            </w:tcBorders>
            <w:shd w:val="clear" w:color="auto" w:fill="auto"/>
            <w:noWrap/>
            <w:vAlign w:val="center"/>
            <w:hideMark/>
          </w:tcPr>
          <w:p w14:paraId="291FE9CF" w14:textId="77777777" w:rsidR="00AD67A3" w:rsidRPr="00CF2AE5" w:rsidRDefault="00AD67A3" w:rsidP="00F663BA">
            <w:pPr>
              <w:spacing w:after="0" w:line="240" w:lineRule="auto"/>
              <w:rPr>
                <w:rFonts w:ascii="Segoe UI" w:eastAsia="Times New Roman" w:hAnsi="Segoe UI" w:cs="Segoe UI"/>
                <w:color w:val="000000"/>
                <w:sz w:val="20"/>
                <w:szCs w:val="20"/>
              </w:rPr>
            </w:pPr>
            <w:r w:rsidRPr="00CF2AE5">
              <w:rPr>
                <w:rFonts w:ascii="Segoe UI" w:eastAsia="Times New Roman" w:hAnsi="Segoe UI" w:cs="Segoe UI"/>
                <w:color w:val="000000"/>
                <w:sz w:val="20"/>
                <w:szCs w:val="20"/>
              </w:rPr>
              <w:t>Generalized Linear Model (GLM)</w:t>
            </w:r>
          </w:p>
        </w:tc>
      </w:tr>
      <w:tr w:rsidR="00AD67A3" w:rsidRPr="00CF2AE5" w14:paraId="6C7F0CCF" w14:textId="77777777" w:rsidTr="00F663BA">
        <w:trPr>
          <w:trHeight w:val="320"/>
        </w:trPr>
        <w:tc>
          <w:tcPr>
            <w:tcW w:w="9280" w:type="dxa"/>
            <w:tcBorders>
              <w:top w:val="nil"/>
              <w:left w:val="nil"/>
              <w:bottom w:val="nil"/>
              <w:right w:val="nil"/>
            </w:tcBorders>
            <w:shd w:val="clear" w:color="auto" w:fill="auto"/>
            <w:noWrap/>
            <w:vAlign w:val="center"/>
            <w:hideMark/>
          </w:tcPr>
          <w:p w14:paraId="2AE69F6E" w14:textId="77777777" w:rsidR="00AD67A3" w:rsidRPr="00CF2AE5" w:rsidRDefault="00AD67A3" w:rsidP="00F663BA">
            <w:pPr>
              <w:spacing w:after="0" w:line="240" w:lineRule="auto"/>
              <w:rPr>
                <w:rFonts w:ascii="Segoe UI" w:eastAsia="Times New Roman" w:hAnsi="Segoe UI" w:cs="Segoe UI"/>
                <w:color w:val="000000"/>
                <w:sz w:val="20"/>
                <w:szCs w:val="20"/>
              </w:rPr>
            </w:pPr>
            <w:r w:rsidRPr="00CF2AE5">
              <w:rPr>
                <w:rFonts w:ascii="Segoe UI" w:eastAsia="Times New Roman" w:hAnsi="Segoe UI" w:cs="Segoe UI"/>
                <w:color w:val="000000"/>
                <w:sz w:val="20"/>
                <w:szCs w:val="20"/>
              </w:rPr>
              <w:t>Gradient Boosting Decision Tree (GBDT)</w:t>
            </w:r>
          </w:p>
        </w:tc>
      </w:tr>
      <w:tr w:rsidR="00AD67A3" w:rsidRPr="00CF2AE5" w14:paraId="70DF3079" w14:textId="77777777" w:rsidTr="00F663BA">
        <w:trPr>
          <w:trHeight w:val="320"/>
        </w:trPr>
        <w:tc>
          <w:tcPr>
            <w:tcW w:w="9280" w:type="dxa"/>
            <w:tcBorders>
              <w:top w:val="nil"/>
              <w:left w:val="nil"/>
              <w:bottom w:val="nil"/>
              <w:right w:val="nil"/>
            </w:tcBorders>
            <w:shd w:val="clear" w:color="auto" w:fill="auto"/>
            <w:noWrap/>
            <w:vAlign w:val="center"/>
            <w:hideMark/>
          </w:tcPr>
          <w:p w14:paraId="611B56D6" w14:textId="77777777" w:rsidR="00AD67A3" w:rsidRPr="00CF2AE5" w:rsidRDefault="00AD67A3" w:rsidP="00F663BA">
            <w:pPr>
              <w:spacing w:after="0" w:line="240" w:lineRule="auto"/>
              <w:rPr>
                <w:rFonts w:ascii="Segoe UI" w:eastAsia="Times New Roman" w:hAnsi="Segoe UI" w:cs="Segoe UI"/>
                <w:color w:val="000000"/>
                <w:sz w:val="20"/>
                <w:szCs w:val="20"/>
              </w:rPr>
            </w:pPr>
            <w:r w:rsidRPr="00CF2AE5">
              <w:rPr>
                <w:rFonts w:ascii="Segoe UI" w:eastAsia="Times New Roman" w:hAnsi="Segoe UI" w:cs="Segoe UI"/>
                <w:color w:val="000000"/>
                <w:sz w:val="20"/>
                <w:szCs w:val="20"/>
              </w:rPr>
              <w:t>Gradient Boosting Machine (GBM)</w:t>
            </w:r>
          </w:p>
        </w:tc>
      </w:tr>
      <w:tr w:rsidR="00AD67A3" w:rsidRPr="00CF2AE5" w14:paraId="473841F4" w14:textId="77777777" w:rsidTr="00F663BA">
        <w:trPr>
          <w:trHeight w:val="320"/>
        </w:trPr>
        <w:tc>
          <w:tcPr>
            <w:tcW w:w="9280" w:type="dxa"/>
            <w:tcBorders>
              <w:top w:val="nil"/>
              <w:left w:val="nil"/>
              <w:bottom w:val="nil"/>
              <w:right w:val="nil"/>
            </w:tcBorders>
            <w:shd w:val="clear" w:color="auto" w:fill="auto"/>
            <w:noWrap/>
            <w:vAlign w:val="center"/>
            <w:hideMark/>
          </w:tcPr>
          <w:p w14:paraId="3D537EE7" w14:textId="77777777" w:rsidR="00AD67A3" w:rsidRPr="00CF2AE5" w:rsidRDefault="00AD67A3" w:rsidP="00F663BA">
            <w:pPr>
              <w:spacing w:after="0" w:line="240" w:lineRule="auto"/>
              <w:rPr>
                <w:rFonts w:ascii="Segoe UI" w:eastAsia="Times New Roman" w:hAnsi="Segoe UI" w:cs="Segoe UI"/>
                <w:color w:val="000000"/>
                <w:sz w:val="20"/>
                <w:szCs w:val="20"/>
              </w:rPr>
            </w:pPr>
            <w:r w:rsidRPr="00CF2AE5">
              <w:rPr>
                <w:rFonts w:ascii="Segoe UI" w:eastAsia="Times New Roman" w:hAnsi="Segoe UI" w:cs="Segoe UI"/>
                <w:color w:val="000000"/>
                <w:sz w:val="20"/>
                <w:szCs w:val="20"/>
              </w:rPr>
              <w:t>Keras-based convolutional neural network (K-CNN)</w:t>
            </w:r>
          </w:p>
        </w:tc>
      </w:tr>
      <w:tr w:rsidR="00AD67A3" w:rsidRPr="00CF2AE5" w14:paraId="43BA6E12" w14:textId="77777777" w:rsidTr="00F663BA">
        <w:trPr>
          <w:trHeight w:val="320"/>
        </w:trPr>
        <w:tc>
          <w:tcPr>
            <w:tcW w:w="9280" w:type="dxa"/>
            <w:tcBorders>
              <w:top w:val="nil"/>
              <w:left w:val="nil"/>
              <w:bottom w:val="nil"/>
              <w:right w:val="nil"/>
            </w:tcBorders>
            <w:shd w:val="clear" w:color="auto" w:fill="auto"/>
            <w:noWrap/>
            <w:vAlign w:val="center"/>
            <w:hideMark/>
          </w:tcPr>
          <w:p w14:paraId="544705E8" w14:textId="77777777" w:rsidR="00AD67A3" w:rsidRPr="00CF2AE5" w:rsidRDefault="00AD67A3" w:rsidP="00F663BA">
            <w:pPr>
              <w:spacing w:after="0" w:line="240" w:lineRule="auto"/>
              <w:rPr>
                <w:rFonts w:ascii="Segoe UI" w:eastAsia="Times New Roman" w:hAnsi="Segoe UI" w:cs="Segoe UI"/>
                <w:color w:val="000000"/>
                <w:sz w:val="20"/>
                <w:szCs w:val="20"/>
              </w:rPr>
            </w:pPr>
            <w:r w:rsidRPr="00CF2AE5">
              <w:rPr>
                <w:rFonts w:ascii="Segoe UI" w:eastAsia="Times New Roman" w:hAnsi="Segoe UI" w:cs="Segoe UI"/>
                <w:color w:val="000000"/>
                <w:sz w:val="20"/>
                <w:szCs w:val="20"/>
              </w:rPr>
              <w:t>K-Nearest Neighbour</w:t>
            </w:r>
          </w:p>
        </w:tc>
      </w:tr>
      <w:tr w:rsidR="00AD67A3" w:rsidRPr="00CF2AE5" w14:paraId="2286E4BF" w14:textId="77777777" w:rsidTr="00F663BA">
        <w:trPr>
          <w:trHeight w:val="320"/>
        </w:trPr>
        <w:tc>
          <w:tcPr>
            <w:tcW w:w="9280" w:type="dxa"/>
            <w:tcBorders>
              <w:top w:val="nil"/>
              <w:left w:val="nil"/>
              <w:bottom w:val="nil"/>
              <w:right w:val="nil"/>
            </w:tcBorders>
            <w:shd w:val="clear" w:color="auto" w:fill="auto"/>
            <w:noWrap/>
            <w:vAlign w:val="center"/>
            <w:hideMark/>
          </w:tcPr>
          <w:p w14:paraId="621D8BBE" w14:textId="77777777" w:rsidR="00AD67A3" w:rsidRPr="00CF2AE5" w:rsidRDefault="00AD67A3" w:rsidP="00F663BA">
            <w:pPr>
              <w:spacing w:after="0" w:line="240" w:lineRule="auto"/>
              <w:rPr>
                <w:rFonts w:ascii="Segoe UI" w:eastAsia="Times New Roman" w:hAnsi="Segoe UI" w:cs="Segoe UI"/>
                <w:color w:val="000000"/>
                <w:sz w:val="20"/>
                <w:szCs w:val="20"/>
              </w:rPr>
            </w:pPr>
            <w:r w:rsidRPr="00CF2AE5">
              <w:rPr>
                <w:rFonts w:ascii="Segoe UI" w:eastAsia="Times New Roman" w:hAnsi="Segoe UI" w:cs="Segoe UI"/>
                <w:color w:val="000000"/>
                <w:sz w:val="20"/>
                <w:szCs w:val="20"/>
              </w:rPr>
              <w:t>LASSO</w:t>
            </w:r>
          </w:p>
        </w:tc>
      </w:tr>
      <w:tr w:rsidR="00AD67A3" w:rsidRPr="00CF2AE5" w14:paraId="6CD2B8D7" w14:textId="77777777" w:rsidTr="00F663BA">
        <w:trPr>
          <w:trHeight w:val="320"/>
        </w:trPr>
        <w:tc>
          <w:tcPr>
            <w:tcW w:w="9280" w:type="dxa"/>
            <w:tcBorders>
              <w:top w:val="nil"/>
              <w:left w:val="nil"/>
              <w:bottom w:val="nil"/>
              <w:right w:val="nil"/>
            </w:tcBorders>
            <w:shd w:val="clear" w:color="auto" w:fill="auto"/>
            <w:noWrap/>
            <w:vAlign w:val="center"/>
            <w:hideMark/>
          </w:tcPr>
          <w:p w14:paraId="2C023C5E" w14:textId="77777777" w:rsidR="00AD67A3" w:rsidRPr="00CF2AE5" w:rsidRDefault="00AD67A3" w:rsidP="00F663BA">
            <w:pPr>
              <w:spacing w:after="0" w:line="240" w:lineRule="auto"/>
              <w:rPr>
                <w:rFonts w:ascii="Segoe UI" w:eastAsia="Times New Roman" w:hAnsi="Segoe UI" w:cs="Segoe UI"/>
                <w:color w:val="000000"/>
                <w:sz w:val="20"/>
                <w:szCs w:val="20"/>
              </w:rPr>
            </w:pPr>
            <w:r w:rsidRPr="00CF2AE5">
              <w:rPr>
                <w:rFonts w:ascii="Segoe UI" w:eastAsia="Times New Roman" w:hAnsi="Segoe UI" w:cs="Segoe UI"/>
                <w:color w:val="000000"/>
                <w:sz w:val="20"/>
                <w:szCs w:val="20"/>
              </w:rPr>
              <w:t>Light gradient boosting machine (LGB)</w:t>
            </w:r>
          </w:p>
        </w:tc>
      </w:tr>
      <w:tr w:rsidR="00AD67A3" w:rsidRPr="00CF2AE5" w14:paraId="7749901C" w14:textId="77777777" w:rsidTr="00F663BA">
        <w:trPr>
          <w:trHeight w:val="320"/>
        </w:trPr>
        <w:tc>
          <w:tcPr>
            <w:tcW w:w="9280" w:type="dxa"/>
            <w:tcBorders>
              <w:top w:val="nil"/>
              <w:left w:val="nil"/>
              <w:bottom w:val="nil"/>
              <w:right w:val="nil"/>
            </w:tcBorders>
            <w:shd w:val="clear" w:color="auto" w:fill="auto"/>
            <w:noWrap/>
            <w:vAlign w:val="center"/>
            <w:hideMark/>
          </w:tcPr>
          <w:p w14:paraId="6B09F003" w14:textId="77777777" w:rsidR="00AD67A3" w:rsidRPr="00CF2AE5" w:rsidRDefault="00AD67A3" w:rsidP="00F663BA">
            <w:pPr>
              <w:spacing w:after="0" w:line="240" w:lineRule="auto"/>
              <w:rPr>
                <w:rFonts w:ascii="Segoe UI" w:eastAsia="Times New Roman" w:hAnsi="Segoe UI" w:cs="Segoe UI"/>
                <w:color w:val="000000"/>
                <w:sz w:val="20"/>
                <w:szCs w:val="20"/>
              </w:rPr>
            </w:pPr>
            <w:r w:rsidRPr="00CF2AE5">
              <w:rPr>
                <w:rFonts w:ascii="Segoe UI" w:eastAsia="Times New Roman" w:hAnsi="Segoe UI" w:cs="Segoe UI"/>
                <w:color w:val="000000"/>
                <w:sz w:val="20"/>
                <w:szCs w:val="20"/>
              </w:rPr>
              <w:t>Linear regression</w:t>
            </w:r>
          </w:p>
        </w:tc>
      </w:tr>
      <w:tr w:rsidR="00AD67A3" w:rsidRPr="00CF2AE5" w14:paraId="61C21DB2" w14:textId="77777777" w:rsidTr="00F663BA">
        <w:trPr>
          <w:trHeight w:val="320"/>
        </w:trPr>
        <w:tc>
          <w:tcPr>
            <w:tcW w:w="9280" w:type="dxa"/>
            <w:tcBorders>
              <w:top w:val="nil"/>
              <w:left w:val="nil"/>
              <w:bottom w:val="nil"/>
              <w:right w:val="nil"/>
            </w:tcBorders>
            <w:shd w:val="clear" w:color="auto" w:fill="auto"/>
            <w:noWrap/>
            <w:vAlign w:val="center"/>
            <w:hideMark/>
          </w:tcPr>
          <w:p w14:paraId="5C2A6719" w14:textId="77777777" w:rsidR="00AD67A3" w:rsidRPr="00CF2AE5" w:rsidRDefault="00AD67A3" w:rsidP="00F663BA">
            <w:pPr>
              <w:spacing w:after="0" w:line="240" w:lineRule="auto"/>
              <w:rPr>
                <w:rFonts w:ascii="Segoe UI" w:eastAsia="Times New Roman" w:hAnsi="Segoe UI" w:cs="Segoe UI"/>
                <w:color w:val="000000"/>
                <w:sz w:val="20"/>
                <w:szCs w:val="20"/>
              </w:rPr>
            </w:pPr>
            <w:r w:rsidRPr="00CF2AE5">
              <w:rPr>
                <w:rFonts w:ascii="Segoe UI" w:eastAsia="Times New Roman" w:hAnsi="Segoe UI" w:cs="Segoe UI"/>
                <w:color w:val="000000"/>
                <w:sz w:val="20"/>
                <w:szCs w:val="20"/>
              </w:rPr>
              <w:t>Logistic Regression</w:t>
            </w:r>
          </w:p>
        </w:tc>
      </w:tr>
      <w:tr w:rsidR="00AD67A3" w:rsidRPr="00CF2AE5" w14:paraId="0BC12790" w14:textId="77777777" w:rsidTr="00F663BA">
        <w:trPr>
          <w:trHeight w:val="320"/>
        </w:trPr>
        <w:tc>
          <w:tcPr>
            <w:tcW w:w="9280" w:type="dxa"/>
            <w:tcBorders>
              <w:top w:val="nil"/>
              <w:left w:val="nil"/>
              <w:bottom w:val="nil"/>
              <w:right w:val="nil"/>
            </w:tcBorders>
            <w:shd w:val="clear" w:color="auto" w:fill="auto"/>
            <w:noWrap/>
            <w:vAlign w:val="center"/>
            <w:hideMark/>
          </w:tcPr>
          <w:p w14:paraId="6EFA19EA" w14:textId="77777777" w:rsidR="00AD67A3" w:rsidRPr="00CF2AE5" w:rsidRDefault="00AD67A3" w:rsidP="00F663BA">
            <w:pPr>
              <w:spacing w:after="0" w:line="240" w:lineRule="auto"/>
              <w:rPr>
                <w:rFonts w:ascii="Segoe UI" w:eastAsia="Times New Roman" w:hAnsi="Segoe UI" w:cs="Segoe UI"/>
                <w:color w:val="000000"/>
                <w:sz w:val="20"/>
                <w:szCs w:val="20"/>
              </w:rPr>
            </w:pPr>
            <w:r w:rsidRPr="00CF2AE5">
              <w:rPr>
                <w:rFonts w:ascii="Segoe UI" w:eastAsia="Times New Roman" w:hAnsi="Segoe UI" w:cs="Segoe UI"/>
                <w:color w:val="000000"/>
                <w:sz w:val="20"/>
                <w:szCs w:val="20"/>
              </w:rPr>
              <w:t>Logitboost</w:t>
            </w:r>
          </w:p>
        </w:tc>
      </w:tr>
      <w:tr w:rsidR="00AD67A3" w:rsidRPr="00CF2AE5" w14:paraId="7AF1BD2C" w14:textId="77777777" w:rsidTr="00F663BA">
        <w:trPr>
          <w:trHeight w:val="320"/>
        </w:trPr>
        <w:tc>
          <w:tcPr>
            <w:tcW w:w="9280" w:type="dxa"/>
            <w:tcBorders>
              <w:top w:val="nil"/>
              <w:left w:val="nil"/>
              <w:bottom w:val="nil"/>
              <w:right w:val="nil"/>
            </w:tcBorders>
            <w:shd w:val="clear" w:color="auto" w:fill="auto"/>
            <w:noWrap/>
            <w:vAlign w:val="center"/>
            <w:hideMark/>
          </w:tcPr>
          <w:p w14:paraId="0C17750A" w14:textId="77777777" w:rsidR="00AD67A3" w:rsidRPr="00CF2AE5" w:rsidRDefault="00AD67A3" w:rsidP="00F663BA">
            <w:pPr>
              <w:spacing w:after="0" w:line="240" w:lineRule="auto"/>
              <w:rPr>
                <w:rFonts w:ascii="Segoe UI" w:eastAsia="Times New Roman" w:hAnsi="Segoe UI" w:cs="Segoe UI"/>
                <w:color w:val="000000"/>
                <w:sz w:val="20"/>
                <w:szCs w:val="20"/>
              </w:rPr>
            </w:pPr>
            <w:r w:rsidRPr="00CF2AE5">
              <w:rPr>
                <w:rFonts w:ascii="Segoe UI" w:eastAsia="Times New Roman" w:hAnsi="Segoe UI" w:cs="Segoe UI"/>
                <w:color w:val="000000"/>
                <w:sz w:val="20"/>
                <w:szCs w:val="20"/>
              </w:rPr>
              <w:t>Long short-term memory (LSTM)</w:t>
            </w:r>
          </w:p>
        </w:tc>
      </w:tr>
      <w:tr w:rsidR="00AD67A3" w:rsidRPr="00CF2AE5" w14:paraId="5BBFAFB4" w14:textId="77777777" w:rsidTr="00F663BA">
        <w:trPr>
          <w:trHeight w:val="320"/>
        </w:trPr>
        <w:tc>
          <w:tcPr>
            <w:tcW w:w="9280" w:type="dxa"/>
            <w:tcBorders>
              <w:top w:val="nil"/>
              <w:left w:val="nil"/>
              <w:bottom w:val="nil"/>
              <w:right w:val="nil"/>
            </w:tcBorders>
            <w:shd w:val="clear" w:color="auto" w:fill="auto"/>
            <w:noWrap/>
            <w:vAlign w:val="center"/>
            <w:hideMark/>
          </w:tcPr>
          <w:p w14:paraId="26F33832" w14:textId="77777777" w:rsidR="00AD67A3" w:rsidRPr="00CF2AE5" w:rsidRDefault="00AD67A3" w:rsidP="00F663BA">
            <w:pPr>
              <w:spacing w:after="0" w:line="240" w:lineRule="auto"/>
              <w:rPr>
                <w:rFonts w:ascii="Segoe UI" w:eastAsia="Times New Roman" w:hAnsi="Segoe UI" w:cs="Segoe UI"/>
                <w:color w:val="000000"/>
                <w:sz w:val="20"/>
                <w:szCs w:val="20"/>
              </w:rPr>
            </w:pPr>
            <w:r w:rsidRPr="00CF2AE5">
              <w:rPr>
                <w:rFonts w:ascii="Segoe UI" w:eastAsia="Times New Roman" w:hAnsi="Segoe UI" w:cs="Segoe UI"/>
                <w:color w:val="000000"/>
                <w:sz w:val="20"/>
                <w:szCs w:val="20"/>
              </w:rPr>
              <w:t>Multilayer perceptron (MLP)</w:t>
            </w:r>
          </w:p>
        </w:tc>
      </w:tr>
      <w:tr w:rsidR="00AD67A3" w:rsidRPr="00CF2AE5" w14:paraId="00EBD31A" w14:textId="77777777" w:rsidTr="00F663BA">
        <w:trPr>
          <w:trHeight w:val="320"/>
        </w:trPr>
        <w:tc>
          <w:tcPr>
            <w:tcW w:w="9280" w:type="dxa"/>
            <w:tcBorders>
              <w:top w:val="nil"/>
              <w:left w:val="nil"/>
              <w:bottom w:val="nil"/>
              <w:right w:val="nil"/>
            </w:tcBorders>
            <w:shd w:val="clear" w:color="auto" w:fill="auto"/>
            <w:noWrap/>
            <w:vAlign w:val="center"/>
            <w:hideMark/>
          </w:tcPr>
          <w:p w14:paraId="63C4688D" w14:textId="77777777" w:rsidR="00AD67A3" w:rsidRPr="00CF2AE5" w:rsidRDefault="00AD67A3" w:rsidP="00F663BA">
            <w:pPr>
              <w:spacing w:after="0" w:line="240" w:lineRule="auto"/>
              <w:rPr>
                <w:rFonts w:ascii="Segoe UI" w:eastAsia="Times New Roman" w:hAnsi="Segoe UI" w:cs="Segoe UI"/>
                <w:color w:val="000000"/>
                <w:sz w:val="20"/>
                <w:szCs w:val="20"/>
              </w:rPr>
            </w:pPr>
            <w:r w:rsidRPr="00CF2AE5">
              <w:rPr>
                <w:rFonts w:ascii="Segoe UI" w:eastAsia="Times New Roman" w:hAnsi="Segoe UI" w:cs="Segoe UI"/>
                <w:color w:val="000000"/>
                <w:sz w:val="20"/>
                <w:szCs w:val="20"/>
              </w:rPr>
              <w:t xml:space="preserve">Multiple Kernel Learning (MultiK-MHKS) </w:t>
            </w:r>
          </w:p>
        </w:tc>
      </w:tr>
      <w:tr w:rsidR="00AD67A3" w:rsidRPr="00CF2AE5" w14:paraId="25C0090B" w14:textId="77777777" w:rsidTr="00F663BA">
        <w:trPr>
          <w:trHeight w:val="320"/>
        </w:trPr>
        <w:tc>
          <w:tcPr>
            <w:tcW w:w="9280" w:type="dxa"/>
            <w:tcBorders>
              <w:top w:val="nil"/>
              <w:left w:val="nil"/>
              <w:bottom w:val="nil"/>
              <w:right w:val="nil"/>
            </w:tcBorders>
            <w:shd w:val="clear" w:color="auto" w:fill="auto"/>
            <w:noWrap/>
            <w:vAlign w:val="center"/>
            <w:hideMark/>
          </w:tcPr>
          <w:p w14:paraId="720E32CE" w14:textId="77777777" w:rsidR="00AD67A3" w:rsidRPr="00CF2AE5" w:rsidRDefault="00AD67A3" w:rsidP="00F663BA">
            <w:pPr>
              <w:spacing w:after="0" w:line="240" w:lineRule="auto"/>
              <w:rPr>
                <w:rFonts w:ascii="Segoe UI" w:eastAsia="Times New Roman" w:hAnsi="Segoe UI" w:cs="Segoe UI"/>
                <w:color w:val="000000"/>
                <w:sz w:val="20"/>
                <w:szCs w:val="20"/>
              </w:rPr>
            </w:pPr>
            <w:r w:rsidRPr="00CF2AE5">
              <w:rPr>
                <w:rFonts w:ascii="Segoe UI" w:eastAsia="Times New Roman" w:hAnsi="Segoe UI" w:cs="Segoe UI"/>
                <w:color w:val="000000"/>
                <w:sz w:val="20"/>
                <w:szCs w:val="20"/>
              </w:rPr>
              <w:t>Nadir-weighted SVM (NwSVM)</w:t>
            </w:r>
          </w:p>
        </w:tc>
      </w:tr>
      <w:tr w:rsidR="00AD67A3" w:rsidRPr="00CF2AE5" w14:paraId="327B93AE" w14:textId="77777777" w:rsidTr="00F663BA">
        <w:trPr>
          <w:trHeight w:val="320"/>
        </w:trPr>
        <w:tc>
          <w:tcPr>
            <w:tcW w:w="9280" w:type="dxa"/>
            <w:tcBorders>
              <w:top w:val="nil"/>
              <w:left w:val="nil"/>
              <w:bottom w:val="nil"/>
              <w:right w:val="nil"/>
            </w:tcBorders>
            <w:shd w:val="clear" w:color="auto" w:fill="auto"/>
            <w:noWrap/>
            <w:vAlign w:val="center"/>
            <w:hideMark/>
          </w:tcPr>
          <w:p w14:paraId="5327A1EB" w14:textId="77777777" w:rsidR="00AD67A3" w:rsidRPr="00CF2AE5" w:rsidRDefault="00AD67A3" w:rsidP="00F663BA">
            <w:pPr>
              <w:spacing w:after="0" w:line="240" w:lineRule="auto"/>
              <w:rPr>
                <w:rFonts w:ascii="Segoe UI" w:eastAsia="Times New Roman" w:hAnsi="Segoe UI" w:cs="Segoe UI"/>
                <w:color w:val="000000"/>
                <w:sz w:val="20"/>
                <w:szCs w:val="20"/>
              </w:rPr>
            </w:pPr>
            <w:r w:rsidRPr="00CF2AE5">
              <w:rPr>
                <w:rFonts w:ascii="Segoe UI" w:eastAsia="Times New Roman" w:hAnsi="Segoe UI" w:cs="Segoe UI"/>
                <w:color w:val="000000"/>
                <w:sz w:val="20"/>
                <w:szCs w:val="20"/>
              </w:rPr>
              <w:t>Naïve Bayes (NB)</w:t>
            </w:r>
          </w:p>
        </w:tc>
      </w:tr>
      <w:tr w:rsidR="00AD67A3" w:rsidRPr="00CF2AE5" w14:paraId="4B33454A" w14:textId="77777777" w:rsidTr="00F663BA">
        <w:trPr>
          <w:trHeight w:val="320"/>
        </w:trPr>
        <w:tc>
          <w:tcPr>
            <w:tcW w:w="9280" w:type="dxa"/>
            <w:tcBorders>
              <w:top w:val="nil"/>
              <w:left w:val="nil"/>
              <w:bottom w:val="nil"/>
              <w:right w:val="nil"/>
            </w:tcBorders>
            <w:shd w:val="clear" w:color="auto" w:fill="auto"/>
            <w:noWrap/>
            <w:vAlign w:val="center"/>
            <w:hideMark/>
          </w:tcPr>
          <w:p w14:paraId="49DD55D9" w14:textId="77777777" w:rsidR="00AD67A3" w:rsidRPr="00CF2AE5" w:rsidRDefault="00AD67A3" w:rsidP="00F663BA">
            <w:pPr>
              <w:spacing w:after="0" w:line="240" w:lineRule="auto"/>
              <w:rPr>
                <w:rFonts w:ascii="Segoe UI" w:eastAsia="Times New Roman" w:hAnsi="Segoe UI" w:cs="Segoe UI"/>
                <w:color w:val="000000"/>
                <w:sz w:val="20"/>
                <w:szCs w:val="20"/>
              </w:rPr>
            </w:pPr>
            <w:r w:rsidRPr="00CF2AE5">
              <w:rPr>
                <w:rFonts w:ascii="Segoe UI" w:eastAsia="Times New Roman" w:hAnsi="Segoe UI" w:cs="Segoe UI"/>
                <w:color w:val="000000"/>
                <w:sz w:val="20"/>
                <w:szCs w:val="20"/>
              </w:rPr>
              <w:t>Neural Network (NN)</w:t>
            </w:r>
          </w:p>
        </w:tc>
      </w:tr>
      <w:tr w:rsidR="00AD67A3" w:rsidRPr="00CF2AE5" w14:paraId="63088CB8" w14:textId="77777777" w:rsidTr="00F663BA">
        <w:trPr>
          <w:trHeight w:val="320"/>
        </w:trPr>
        <w:tc>
          <w:tcPr>
            <w:tcW w:w="9280" w:type="dxa"/>
            <w:tcBorders>
              <w:top w:val="nil"/>
              <w:left w:val="nil"/>
              <w:bottom w:val="nil"/>
              <w:right w:val="nil"/>
            </w:tcBorders>
            <w:shd w:val="clear" w:color="auto" w:fill="auto"/>
            <w:noWrap/>
            <w:vAlign w:val="center"/>
            <w:hideMark/>
          </w:tcPr>
          <w:p w14:paraId="08F61176" w14:textId="77777777" w:rsidR="00AD67A3" w:rsidRPr="00CF2AE5" w:rsidRDefault="00AD67A3" w:rsidP="00F663BA">
            <w:pPr>
              <w:spacing w:after="0" w:line="240" w:lineRule="auto"/>
              <w:rPr>
                <w:rFonts w:ascii="Segoe UI" w:eastAsia="Times New Roman" w:hAnsi="Segoe UI" w:cs="Segoe UI"/>
                <w:color w:val="000000"/>
                <w:sz w:val="20"/>
                <w:szCs w:val="20"/>
              </w:rPr>
            </w:pPr>
            <w:r w:rsidRPr="00CF2AE5">
              <w:rPr>
                <w:rFonts w:ascii="Segoe UI" w:eastAsia="Times New Roman" w:hAnsi="Segoe UI" w:cs="Segoe UI"/>
                <w:color w:val="000000"/>
                <w:sz w:val="20"/>
                <w:szCs w:val="20"/>
              </w:rPr>
              <w:t>Optimal Classification Tree (OCT)</w:t>
            </w:r>
          </w:p>
        </w:tc>
      </w:tr>
      <w:tr w:rsidR="00AD67A3" w:rsidRPr="00CF2AE5" w14:paraId="006896CC" w14:textId="77777777" w:rsidTr="00F663BA">
        <w:trPr>
          <w:trHeight w:val="320"/>
        </w:trPr>
        <w:tc>
          <w:tcPr>
            <w:tcW w:w="9280" w:type="dxa"/>
            <w:tcBorders>
              <w:top w:val="nil"/>
              <w:left w:val="nil"/>
              <w:bottom w:val="nil"/>
              <w:right w:val="nil"/>
            </w:tcBorders>
            <w:shd w:val="clear" w:color="auto" w:fill="auto"/>
            <w:noWrap/>
            <w:vAlign w:val="center"/>
            <w:hideMark/>
          </w:tcPr>
          <w:p w14:paraId="5A0B592A" w14:textId="77777777" w:rsidR="00AD67A3" w:rsidRPr="00CF2AE5" w:rsidRDefault="00AD67A3" w:rsidP="00F663BA">
            <w:pPr>
              <w:spacing w:after="0" w:line="240" w:lineRule="auto"/>
              <w:rPr>
                <w:rFonts w:ascii="Segoe UI" w:eastAsia="Times New Roman" w:hAnsi="Segoe UI" w:cs="Segoe UI"/>
                <w:color w:val="000000"/>
                <w:sz w:val="20"/>
                <w:szCs w:val="20"/>
              </w:rPr>
            </w:pPr>
            <w:r w:rsidRPr="00CF2AE5">
              <w:rPr>
                <w:rFonts w:ascii="Segoe UI" w:eastAsia="Times New Roman" w:hAnsi="Segoe UI" w:cs="Segoe UI"/>
                <w:color w:val="000000"/>
                <w:sz w:val="20"/>
                <w:szCs w:val="20"/>
              </w:rPr>
              <w:t>Random Forest (RF)</w:t>
            </w:r>
          </w:p>
        </w:tc>
      </w:tr>
      <w:tr w:rsidR="00AD67A3" w:rsidRPr="00CF2AE5" w14:paraId="5B004BA0" w14:textId="77777777" w:rsidTr="00F663BA">
        <w:trPr>
          <w:trHeight w:val="320"/>
        </w:trPr>
        <w:tc>
          <w:tcPr>
            <w:tcW w:w="9280" w:type="dxa"/>
            <w:tcBorders>
              <w:top w:val="nil"/>
              <w:left w:val="nil"/>
              <w:bottom w:val="nil"/>
              <w:right w:val="nil"/>
            </w:tcBorders>
            <w:shd w:val="clear" w:color="auto" w:fill="auto"/>
            <w:noWrap/>
            <w:vAlign w:val="center"/>
            <w:hideMark/>
          </w:tcPr>
          <w:p w14:paraId="476DD139" w14:textId="77777777" w:rsidR="00AD67A3" w:rsidRPr="00CF2AE5" w:rsidRDefault="00AD67A3" w:rsidP="00F663BA">
            <w:pPr>
              <w:spacing w:after="0" w:line="240" w:lineRule="auto"/>
              <w:rPr>
                <w:rFonts w:ascii="Segoe UI" w:eastAsia="Times New Roman" w:hAnsi="Segoe UI" w:cs="Segoe UI"/>
                <w:color w:val="000000"/>
                <w:sz w:val="20"/>
                <w:szCs w:val="20"/>
              </w:rPr>
            </w:pPr>
            <w:r w:rsidRPr="00CF2AE5">
              <w:rPr>
                <w:rFonts w:ascii="Segoe UI" w:eastAsia="Times New Roman" w:hAnsi="Segoe UI" w:cs="Segoe UI"/>
                <w:color w:val="000000"/>
                <w:sz w:val="20"/>
                <w:szCs w:val="20"/>
              </w:rPr>
              <w:t>Random Survival Forest</w:t>
            </w:r>
            <w:r>
              <w:rPr>
                <w:rFonts w:ascii="Segoe UI" w:eastAsia="Times New Roman" w:hAnsi="Segoe UI" w:cs="Segoe UI"/>
                <w:color w:val="000000"/>
                <w:sz w:val="20"/>
                <w:szCs w:val="20"/>
              </w:rPr>
              <w:t xml:space="preserve"> (RSF)</w:t>
            </w:r>
          </w:p>
        </w:tc>
      </w:tr>
      <w:tr w:rsidR="00AD67A3" w:rsidRPr="00CF2AE5" w14:paraId="132A299B" w14:textId="77777777" w:rsidTr="00F663BA">
        <w:trPr>
          <w:trHeight w:val="320"/>
        </w:trPr>
        <w:tc>
          <w:tcPr>
            <w:tcW w:w="9280" w:type="dxa"/>
            <w:tcBorders>
              <w:top w:val="nil"/>
              <w:left w:val="nil"/>
              <w:bottom w:val="nil"/>
              <w:right w:val="nil"/>
            </w:tcBorders>
            <w:shd w:val="clear" w:color="auto" w:fill="auto"/>
            <w:noWrap/>
            <w:vAlign w:val="center"/>
            <w:hideMark/>
          </w:tcPr>
          <w:p w14:paraId="35623223" w14:textId="77777777" w:rsidR="00AD67A3" w:rsidRPr="00CF2AE5" w:rsidRDefault="00AD67A3" w:rsidP="00F663BA">
            <w:pPr>
              <w:spacing w:after="0" w:line="240" w:lineRule="auto"/>
              <w:rPr>
                <w:rFonts w:ascii="Segoe UI" w:eastAsia="Times New Roman" w:hAnsi="Segoe UI" w:cs="Segoe UI"/>
                <w:color w:val="000000"/>
                <w:sz w:val="20"/>
                <w:szCs w:val="20"/>
              </w:rPr>
            </w:pPr>
            <w:r w:rsidRPr="00CF2AE5">
              <w:rPr>
                <w:rFonts w:ascii="Segoe UI" w:eastAsia="Times New Roman" w:hAnsi="Segoe UI" w:cs="Segoe UI"/>
                <w:color w:val="000000"/>
                <w:sz w:val="20"/>
                <w:szCs w:val="20"/>
              </w:rPr>
              <w:t>Regularized Greedy forests (RGF)</w:t>
            </w:r>
          </w:p>
        </w:tc>
      </w:tr>
      <w:tr w:rsidR="00AD67A3" w:rsidRPr="00CF2AE5" w14:paraId="117FE6C7" w14:textId="77777777" w:rsidTr="00F663BA">
        <w:trPr>
          <w:trHeight w:val="320"/>
        </w:trPr>
        <w:tc>
          <w:tcPr>
            <w:tcW w:w="9280" w:type="dxa"/>
            <w:tcBorders>
              <w:top w:val="nil"/>
              <w:left w:val="nil"/>
              <w:bottom w:val="nil"/>
              <w:right w:val="nil"/>
            </w:tcBorders>
            <w:shd w:val="clear" w:color="auto" w:fill="auto"/>
            <w:noWrap/>
            <w:vAlign w:val="center"/>
            <w:hideMark/>
          </w:tcPr>
          <w:p w14:paraId="538ADE53" w14:textId="77777777" w:rsidR="00AD67A3" w:rsidRPr="00CF2AE5" w:rsidRDefault="00AD67A3" w:rsidP="00F663BA">
            <w:pPr>
              <w:spacing w:after="0" w:line="240" w:lineRule="auto"/>
              <w:rPr>
                <w:rFonts w:ascii="Segoe UI" w:eastAsia="Times New Roman" w:hAnsi="Segoe UI" w:cs="Segoe UI"/>
                <w:color w:val="000000"/>
                <w:sz w:val="20"/>
                <w:szCs w:val="20"/>
              </w:rPr>
            </w:pPr>
            <w:r w:rsidRPr="00CF2AE5">
              <w:rPr>
                <w:rFonts w:ascii="Segoe UI" w:eastAsia="Times New Roman" w:hAnsi="Segoe UI" w:cs="Segoe UI"/>
                <w:color w:val="000000"/>
                <w:sz w:val="20"/>
                <w:szCs w:val="20"/>
              </w:rPr>
              <w:t>Ridge Regression</w:t>
            </w:r>
          </w:p>
        </w:tc>
      </w:tr>
      <w:tr w:rsidR="00AD67A3" w:rsidRPr="00CF2AE5" w14:paraId="1023A0C1" w14:textId="77777777" w:rsidTr="00F663BA">
        <w:trPr>
          <w:trHeight w:val="320"/>
        </w:trPr>
        <w:tc>
          <w:tcPr>
            <w:tcW w:w="9280" w:type="dxa"/>
            <w:tcBorders>
              <w:top w:val="nil"/>
              <w:left w:val="nil"/>
              <w:bottom w:val="nil"/>
              <w:right w:val="nil"/>
            </w:tcBorders>
            <w:shd w:val="clear" w:color="auto" w:fill="auto"/>
            <w:noWrap/>
            <w:vAlign w:val="center"/>
            <w:hideMark/>
          </w:tcPr>
          <w:p w14:paraId="72C524D9" w14:textId="77777777" w:rsidR="00AD67A3" w:rsidRPr="00CF2AE5" w:rsidRDefault="00AD67A3" w:rsidP="00F663BA">
            <w:pPr>
              <w:spacing w:after="0" w:line="240" w:lineRule="auto"/>
              <w:rPr>
                <w:rFonts w:ascii="Segoe UI" w:eastAsia="Times New Roman" w:hAnsi="Segoe UI" w:cs="Segoe UI"/>
                <w:color w:val="000000"/>
                <w:sz w:val="20"/>
                <w:szCs w:val="20"/>
              </w:rPr>
            </w:pPr>
            <w:r w:rsidRPr="00CF2AE5">
              <w:rPr>
                <w:rFonts w:ascii="Segoe UI" w:eastAsia="Times New Roman" w:hAnsi="Segoe UI" w:cs="Segoe UI"/>
                <w:color w:val="000000"/>
                <w:sz w:val="20"/>
                <w:szCs w:val="20"/>
              </w:rPr>
              <w:t xml:space="preserve">RUSBoost </w:t>
            </w:r>
          </w:p>
        </w:tc>
      </w:tr>
      <w:tr w:rsidR="00AD67A3" w:rsidRPr="00CF2AE5" w14:paraId="02D4B46D" w14:textId="77777777" w:rsidTr="00F663BA">
        <w:trPr>
          <w:trHeight w:val="320"/>
        </w:trPr>
        <w:tc>
          <w:tcPr>
            <w:tcW w:w="9280" w:type="dxa"/>
            <w:tcBorders>
              <w:top w:val="nil"/>
              <w:left w:val="nil"/>
              <w:bottom w:val="nil"/>
              <w:right w:val="nil"/>
            </w:tcBorders>
            <w:shd w:val="clear" w:color="auto" w:fill="auto"/>
            <w:noWrap/>
            <w:vAlign w:val="center"/>
            <w:hideMark/>
          </w:tcPr>
          <w:p w14:paraId="41DAD2C5" w14:textId="77777777" w:rsidR="00AD67A3" w:rsidRPr="00CF2AE5" w:rsidRDefault="00AD67A3" w:rsidP="00F663BA">
            <w:pPr>
              <w:spacing w:after="0" w:line="240" w:lineRule="auto"/>
              <w:rPr>
                <w:rFonts w:ascii="Segoe UI" w:eastAsia="Times New Roman" w:hAnsi="Segoe UI" w:cs="Segoe UI"/>
                <w:color w:val="000000"/>
                <w:sz w:val="20"/>
                <w:szCs w:val="20"/>
              </w:rPr>
            </w:pPr>
            <w:r w:rsidRPr="00CF2AE5">
              <w:rPr>
                <w:rFonts w:ascii="Segoe UI" w:eastAsia="Times New Roman" w:hAnsi="Segoe UI" w:cs="Segoe UI"/>
                <w:color w:val="000000"/>
                <w:sz w:val="20"/>
                <w:szCs w:val="20"/>
              </w:rPr>
              <w:t>Support Vector Machine (SVM)</w:t>
            </w:r>
          </w:p>
        </w:tc>
      </w:tr>
      <w:tr w:rsidR="00AD67A3" w:rsidRPr="00CF2AE5" w14:paraId="4EE62576" w14:textId="77777777" w:rsidTr="00F663BA">
        <w:trPr>
          <w:trHeight w:val="320"/>
        </w:trPr>
        <w:tc>
          <w:tcPr>
            <w:tcW w:w="9280" w:type="dxa"/>
            <w:tcBorders>
              <w:top w:val="nil"/>
              <w:left w:val="nil"/>
              <w:bottom w:val="nil"/>
              <w:right w:val="nil"/>
            </w:tcBorders>
            <w:shd w:val="clear" w:color="auto" w:fill="auto"/>
            <w:noWrap/>
            <w:vAlign w:val="center"/>
            <w:hideMark/>
          </w:tcPr>
          <w:p w14:paraId="351A5971" w14:textId="77777777" w:rsidR="00AD67A3" w:rsidRPr="00CF2AE5" w:rsidRDefault="00AD67A3" w:rsidP="00F663BA">
            <w:pPr>
              <w:spacing w:after="0" w:line="240" w:lineRule="auto"/>
              <w:rPr>
                <w:rFonts w:ascii="Segoe UI" w:eastAsia="Times New Roman" w:hAnsi="Segoe UI" w:cs="Segoe UI"/>
                <w:color w:val="000000"/>
                <w:sz w:val="20"/>
                <w:szCs w:val="20"/>
              </w:rPr>
            </w:pPr>
            <w:r w:rsidRPr="00CF2AE5">
              <w:rPr>
                <w:rFonts w:ascii="Segoe UI" w:eastAsia="Times New Roman" w:hAnsi="Segoe UI" w:cs="Segoe UI"/>
                <w:color w:val="000000"/>
                <w:sz w:val="20"/>
                <w:szCs w:val="20"/>
              </w:rPr>
              <w:t>Tree-augmented Naive Bayes</w:t>
            </w:r>
          </w:p>
        </w:tc>
      </w:tr>
    </w:tbl>
    <w:p w14:paraId="6E37EF70" w14:textId="77777777" w:rsidR="00AD67A3" w:rsidRDefault="00AD67A3" w:rsidP="00AD67A3">
      <w:pPr>
        <w:widowControl w:val="0"/>
        <w:autoSpaceDE w:val="0"/>
        <w:autoSpaceDN w:val="0"/>
        <w:adjustRightInd w:val="0"/>
        <w:spacing w:line="240" w:lineRule="auto"/>
        <w:rPr>
          <w:rFonts w:ascii="Arial" w:hAnsi="Arial" w:cs="Arial"/>
          <w:noProof/>
          <w:sz w:val="20"/>
        </w:rPr>
        <w:sectPr w:rsidR="00AD67A3" w:rsidSect="003D2C8B">
          <w:type w:val="continuous"/>
          <w:pgSz w:w="15840" w:h="12240" w:orient="landscape"/>
          <w:pgMar w:top="720" w:right="720" w:bottom="720" w:left="720" w:header="720" w:footer="720" w:gutter="0"/>
          <w:cols w:num="2" w:space="720"/>
          <w:docGrid w:linePitch="360"/>
        </w:sectPr>
      </w:pPr>
      <w:r>
        <w:rPr>
          <w:rFonts w:ascii="Arial" w:hAnsi="Arial" w:cs="Arial"/>
          <w:noProof/>
          <w:sz w:val="20"/>
        </w:rPr>
        <w:tab/>
      </w:r>
      <w:r>
        <w:rPr>
          <w:rFonts w:ascii="Arial" w:hAnsi="Arial" w:cs="Arial"/>
          <w:noProof/>
          <w:sz w:val="20"/>
        </w:rPr>
        <w:tab/>
      </w:r>
      <w:r>
        <w:rPr>
          <w:rFonts w:ascii="Arial" w:hAnsi="Arial" w:cs="Arial"/>
          <w:noProof/>
          <w:sz w:val="20"/>
        </w:rPr>
        <w:tab/>
      </w:r>
      <w:r>
        <w:rPr>
          <w:rFonts w:ascii="Arial" w:hAnsi="Arial" w:cs="Arial"/>
          <w:noProof/>
          <w:sz w:val="20"/>
        </w:rPr>
        <w:tab/>
      </w:r>
      <w:r>
        <w:rPr>
          <w:rFonts w:ascii="Arial" w:hAnsi="Arial" w:cs="Arial"/>
          <w:noProof/>
          <w:sz w:val="20"/>
        </w:rPr>
        <w:tab/>
      </w:r>
      <w:r>
        <w:rPr>
          <w:rFonts w:ascii="Arial" w:hAnsi="Arial" w:cs="Arial"/>
          <w:noProof/>
          <w:sz w:val="20"/>
        </w:rPr>
        <w:tab/>
      </w:r>
      <w:r>
        <w:rPr>
          <w:rFonts w:ascii="Arial" w:hAnsi="Arial" w:cs="Arial"/>
          <w:noProof/>
          <w:sz w:val="20"/>
        </w:rPr>
        <w:tab/>
      </w:r>
      <w:r>
        <w:rPr>
          <w:rFonts w:ascii="Arial" w:hAnsi="Arial" w:cs="Arial"/>
          <w:noProof/>
          <w:sz w:val="20"/>
        </w:rPr>
        <w:tab/>
      </w:r>
      <w:r>
        <w:rPr>
          <w:rFonts w:ascii="Arial" w:hAnsi="Arial" w:cs="Arial"/>
          <w:noProof/>
          <w:sz w:val="20"/>
        </w:rPr>
        <w:tab/>
      </w:r>
      <w:r>
        <w:rPr>
          <w:rFonts w:ascii="Arial" w:hAnsi="Arial" w:cs="Arial"/>
          <w:noProof/>
          <w:sz w:val="20"/>
        </w:rPr>
        <w:tab/>
      </w:r>
    </w:p>
    <w:p w14:paraId="52FF315A" w14:textId="77777777" w:rsidR="00AD67A3" w:rsidRPr="00A427B2" w:rsidRDefault="00AD67A3" w:rsidP="00A427B2">
      <w:pPr>
        <w:widowControl w:val="0"/>
        <w:autoSpaceDE w:val="0"/>
        <w:autoSpaceDN w:val="0"/>
        <w:adjustRightInd w:val="0"/>
        <w:spacing w:line="240" w:lineRule="auto"/>
        <w:ind w:left="640" w:hanging="640"/>
        <w:rPr>
          <w:rFonts w:ascii="Arial" w:hAnsi="Arial" w:cs="Arial"/>
          <w:noProof/>
          <w:sz w:val="20"/>
        </w:rPr>
      </w:pPr>
    </w:p>
    <w:sectPr w:rsidR="00AD67A3" w:rsidRPr="00A427B2" w:rsidSect="00A427B2">
      <w:type w:val="continuous"/>
      <w:pgSz w:w="15840" w:h="12240" w:orient="landscape"/>
      <w:pgMar w:top="720" w:right="720" w:bottom="720"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77D048" w14:textId="77777777" w:rsidR="00F35DF8" w:rsidRDefault="00F35DF8" w:rsidP="00F35F6F">
      <w:pPr>
        <w:spacing w:after="0" w:line="240" w:lineRule="auto"/>
      </w:pPr>
      <w:r>
        <w:separator/>
      </w:r>
    </w:p>
  </w:endnote>
  <w:endnote w:type="continuationSeparator" w:id="0">
    <w:p w14:paraId="31CB364C" w14:textId="77777777" w:rsidR="00F35DF8" w:rsidRDefault="00F35DF8" w:rsidP="00F35F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210960290"/>
      <w:docPartObj>
        <w:docPartGallery w:val="Page Numbers (Bottom of Page)"/>
        <w:docPartUnique/>
      </w:docPartObj>
    </w:sdtPr>
    <w:sdtEndPr>
      <w:rPr>
        <w:rFonts w:ascii="Times New Roman" w:hAnsi="Times New Roman" w:cs="Times New Roman"/>
        <w:noProof/>
      </w:rPr>
    </w:sdtEndPr>
    <w:sdtContent>
      <w:p w14:paraId="596E3AF2" w14:textId="56C39CC2" w:rsidR="00F35DF8" w:rsidRPr="002634A6" w:rsidRDefault="00F35DF8">
        <w:pPr>
          <w:pStyle w:val="Footer"/>
          <w:jc w:val="center"/>
          <w:rPr>
            <w:rFonts w:ascii="Times New Roman" w:hAnsi="Times New Roman" w:cs="Times New Roman"/>
            <w:sz w:val="20"/>
            <w:szCs w:val="20"/>
          </w:rPr>
        </w:pPr>
        <w:r w:rsidRPr="002634A6">
          <w:rPr>
            <w:rFonts w:ascii="Times New Roman" w:hAnsi="Times New Roman" w:cs="Times New Roman"/>
            <w:sz w:val="20"/>
            <w:szCs w:val="20"/>
          </w:rPr>
          <w:fldChar w:fldCharType="begin"/>
        </w:r>
        <w:r w:rsidRPr="002634A6">
          <w:rPr>
            <w:rFonts w:ascii="Times New Roman" w:hAnsi="Times New Roman" w:cs="Times New Roman"/>
            <w:sz w:val="20"/>
            <w:szCs w:val="20"/>
          </w:rPr>
          <w:instrText xml:space="preserve"> PAGE   \* MERGEFORMAT </w:instrText>
        </w:r>
        <w:r w:rsidRPr="002634A6">
          <w:rPr>
            <w:rFonts w:ascii="Times New Roman" w:hAnsi="Times New Roman" w:cs="Times New Roman"/>
            <w:sz w:val="20"/>
            <w:szCs w:val="20"/>
          </w:rPr>
          <w:fldChar w:fldCharType="separate"/>
        </w:r>
        <w:r w:rsidR="00F60439">
          <w:rPr>
            <w:rFonts w:ascii="Times New Roman" w:hAnsi="Times New Roman" w:cs="Times New Roman"/>
            <w:noProof/>
            <w:sz w:val="20"/>
            <w:szCs w:val="20"/>
          </w:rPr>
          <w:t>2</w:t>
        </w:r>
        <w:r w:rsidRPr="002634A6">
          <w:rPr>
            <w:rFonts w:ascii="Times New Roman" w:hAnsi="Times New Roman" w:cs="Times New Roman"/>
            <w:noProof/>
            <w:sz w:val="20"/>
            <w:szCs w:val="20"/>
          </w:rPr>
          <w:fldChar w:fldCharType="end"/>
        </w:r>
      </w:p>
    </w:sdtContent>
  </w:sdt>
  <w:p w14:paraId="1ACCEB7A" w14:textId="77777777" w:rsidR="00F35DF8" w:rsidRDefault="00F35D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4A6575" w14:textId="77777777" w:rsidR="00F35DF8" w:rsidRDefault="00F35DF8" w:rsidP="00F35F6F">
      <w:pPr>
        <w:spacing w:after="0" w:line="240" w:lineRule="auto"/>
      </w:pPr>
      <w:r>
        <w:separator/>
      </w:r>
    </w:p>
  </w:footnote>
  <w:footnote w:type="continuationSeparator" w:id="0">
    <w:p w14:paraId="393308E2" w14:textId="77777777" w:rsidR="00F35DF8" w:rsidRDefault="00F35DF8" w:rsidP="00F35F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7B1CAC"/>
    <w:multiLevelType w:val="multilevel"/>
    <w:tmpl w:val="645A2F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5837324"/>
    <w:multiLevelType w:val="multilevel"/>
    <w:tmpl w:val="EAB6D872"/>
    <w:lvl w:ilvl="0">
      <w:numFmt w:val="decimal"/>
      <w:lvlText w:val="%1.0"/>
      <w:lvlJc w:val="left"/>
      <w:pPr>
        <w:ind w:left="380" w:hanging="380"/>
      </w:pPr>
      <w:rPr>
        <w:rFonts w:hint="default"/>
      </w:rPr>
    </w:lvl>
    <w:lvl w:ilvl="1">
      <w:start w:val="1"/>
      <w:numFmt w:val="decimalZero"/>
      <w:lvlText w:val="%1.%2"/>
      <w:lvlJc w:val="left"/>
      <w:pPr>
        <w:ind w:left="1100" w:hanging="3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A1tTQzMTE3tzA3NrRU0lEKTi0uzszPAykwrgUAxuIhFywAAAA="/>
  </w:docVars>
  <w:rsids>
    <w:rsidRoot w:val="00C125C1"/>
    <w:rsid w:val="0008087C"/>
    <w:rsid w:val="000B41D6"/>
    <w:rsid w:val="00240C69"/>
    <w:rsid w:val="002634A6"/>
    <w:rsid w:val="0030249D"/>
    <w:rsid w:val="00307470"/>
    <w:rsid w:val="0044735A"/>
    <w:rsid w:val="004B75FA"/>
    <w:rsid w:val="005B4BE8"/>
    <w:rsid w:val="006D056C"/>
    <w:rsid w:val="006E69CE"/>
    <w:rsid w:val="00702423"/>
    <w:rsid w:val="007947E8"/>
    <w:rsid w:val="007C17EC"/>
    <w:rsid w:val="007F6513"/>
    <w:rsid w:val="008172B1"/>
    <w:rsid w:val="00907345"/>
    <w:rsid w:val="00943933"/>
    <w:rsid w:val="00A427B2"/>
    <w:rsid w:val="00A94BAC"/>
    <w:rsid w:val="00AD261A"/>
    <w:rsid w:val="00AD67A3"/>
    <w:rsid w:val="00AF3463"/>
    <w:rsid w:val="00B553FC"/>
    <w:rsid w:val="00C125C1"/>
    <w:rsid w:val="00E86480"/>
    <w:rsid w:val="00EC67E1"/>
    <w:rsid w:val="00EF4D19"/>
    <w:rsid w:val="00F34AA6"/>
    <w:rsid w:val="00F35DF8"/>
    <w:rsid w:val="00F35F6F"/>
    <w:rsid w:val="00F60439"/>
    <w:rsid w:val="00F84728"/>
    <w:rsid w:val="00F95B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94B412"/>
  <w15:chartTrackingRefBased/>
  <w15:docId w15:val="{49797CC0-9585-4A5D-A664-37D67E3C4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72B1"/>
    <w:pPr>
      <w:spacing w:after="0" w:line="240" w:lineRule="auto"/>
    </w:pPr>
    <w:rPr>
      <w:lang w:val="nl-NL"/>
    </w:rPr>
  </w:style>
  <w:style w:type="paragraph" w:styleId="Header">
    <w:name w:val="header"/>
    <w:basedOn w:val="Normal"/>
    <w:link w:val="HeaderChar"/>
    <w:uiPriority w:val="99"/>
    <w:unhideWhenUsed/>
    <w:rsid w:val="00F35F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5F6F"/>
  </w:style>
  <w:style w:type="paragraph" w:styleId="Footer">
    <w:name w:val="footer"/>
    <w:basedOn w:val="Normal"/>
    <w:link w:val="FooterChar"/>
    <w:uiPriority w:val="99"/>
    <w:unhideWhenUsed/>
    <w:rsid w:val="00F35F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5F6F"/>
  </w:style>
  <w:style w:type="table" w:styleId="TableGridLight">
    <w:name w:val="Grid Table Light"/>
    <w:basedOn w:val="TableNormal"/>
    <w:uiPriority w:val="40"/>
    <w:rsid w:val="006E69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qFormat/>
    <w:rsid w:val="006E69CE"/>
    <w:pPr>
      <w:ind w:left="720"/>
      <w:contextualSpacing/>
    </w:pPr>
  </w:style>
  <w:style w:type="paragraph" w:customStyle="1" w:styleId="msonormal0">
    <w:name w:val="msonormal"/>
    <w:basedOn w:val="Normal"/>
    <w:rsid w:val="00A427B2"/>
    <w:pPr>
      <w:spacing w:before="100" w:beforeAutospacing="1" w:after="100" w:afterAutospacing="1" w:line="240" w:lineRule="auto"/>
    </w:pPr>
    <w:rPr>
      <w:rFonts w:ascii="Times New Roman" w:eastAsia="Times New Roman" w:hAnsi="Times New Roman" w:cs="Times New Roman"/>
      <w:sz w:val="24"/>
      <w:szCs w:val="24"/>
    </w:rPr>
  </w:style>
  <w:style w:type="table" w:styleId="PlainTable2">
    <w:name w:val="Plain Table 2"/>
    <w:basedOn w:val="TableNormal"/>
    <w:uiPriority w:val="42"/>
    <w:rsid w:val="00A427B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D95E34-DB35-4A5D-B38E-330CDB2A7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22</Pages>
  <Words>91731</Words>
  <Characters>523785</Characters>
  <Application>Microsoft Office Word</Application>
  <DocSecurity>0</DocSecurity>
  <Lines>9699</Lines>
  <Paragraphs>2198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Andaur Navarro, C.L. (Constanza)</dc:creator>
  <cp:keywords/>
  <dc:description/>
  <cp:lastModifiedBy>Constanza Andaur Navarro</cp:lastModifiedBy>
  <cp:revision>7</cp:revision>
  <dcterms:created xsi:type="dcterms:W3CDTF">2021-06-24T13:03:00Z</dcterms:created>
  <dcterms:modified xsi:type="dcterms:W3CDTF">2021-10-14T10:17:00Z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6102c607-15f8-31fd-bfca-36593a1a2bd7</vt:lpwstr>
  </property>
  <property fmtid="{D5CDD505-2E9C-101B-9397-08002B2CF9AE}" pid="24" name="Mendeley Citation Style_1">
    <vt:lpwstr>http://www.zotero.org/styles/vancouver</vt:lpwstr>
  </property>
</Properties>
</file>