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EA505" w14:textId="0822F569" w:rsidR="00BD57E8" w:rsidRPr="00F11A3E" w:rsidRDefault="00BD57E8" w:rsidP="00F11A3E">
      <w:pPr>
        <w:pStyle w:val="Heading1"/>
        <w:numPr>
          <w:ilvl w:val="0"/>
          <w:numId w:val="0"/>
        </w:numPr>
        <w:spacing w:line="276" w:lineRule="auto"/>
        <w:rPr>
          <w:rFonts w:ascii="Times New Roman" w:hAnsi="Times New Roman" w:cs="Times New Roman"/>
        </w:rPr>
      </w:pPr>
      <w:r w:rsidRPr="00F11A3E">
        <w:rPr>
          <w:rFonts w:ascii="Times New Roman" w:hAnsi="Times New Roman" w:cs="Times New Roman"/>
        </w:rPr>
        <w:t>Appendix</w:t>
      </w:r>
      <w:r w:rsidR="00935C50" w:rsidRPr="00F11A3E">
        <w:rPr>
          <w:rFonts w:ascii="Times New Roman" w:hAnsi="Times New Roman" w:cs="Times New Roman"/>
        </w:rPr>
        <w:t xml:space="preserve"> 1</w:t>
      </w:r>
      <w:r w:rsidR="00DE2FF9" w:rsidRPr="00F11A3E">
        <w:rPr>
          <w:rFonts w:ascii="Times New Roman" w:hAnsi="Times New Roman" w:cs="Times New Roman"/>
        </w:rPr>
        <w:t>: Model description</w:t>
      </w:r>
    </w:p>
    <w:p w14:paraId="148A38C8" w14:textId="0F50F0C9" w:rsidR="00C0713B" w:rsidRPr="00F11A3E" w:rsidRDefault="00C0713B" w:rsidP="00F11A3E">
      <w:pPr>
        <w:pStyle w:val="Standard"/>
        <w:spacing w:line="276" w:lineRule="auto"/>
        <w:rPr>
          <w:rFonts w:ascii="Times New Roman" w:hAnsi="Times New Roman" w:cs="Times New Roman"/>
          <w:bCs/>
        </w:rPr>
      </w:pPr>
      <w:r w:rsidRPr="00F11A3E">
        <w:rPr>
          <w:rFonts w:ascii="Times New Roman" w:hAnsi="Times New Roman" w:cs="Times New Roman"/>
        </w:rPr>
        <w:t xml:space="preserve">The purpose of this model is to show </w:t>
      </w:r>
      <w:r w:rsidR="00BF6422" w:rsidRPr="00F11A3E">
        <w:rPr>
          <w:rFonts w:ascii="Times New Roman" w:hAnsi="Times New Roman" w:cs="Times New Roman"/>
          <w:bCs/>
        </w:rPr>
        <w:t xml:space="preserve">how dynamic simulation modeling </w:t>
      </w:r>
      <w:r w:rsidR="00BF6422" w:rsidRPr="00F11A3E">
        <w:rPr>
          <w:rFonts w:ascii="Times New Roman" w:hAnsi="Times New Roman" w:cs="Times New Roman"/>
        </w:rPr>
        <w:t>can be applied in the context of the nationwide implementation of WGS for NSCLC</w:t>
      </w:r>
      <w:r w:rsidR="00BF6422" w:rsidRPr="00F11A3E" w:rsidDel="00D209C6">
        <w:rPr>
          <w:rFonts w:ascii="Times New Roman" w:hAnsi="Times New Roman" w:cs="Times New Roman"/>
          <w:bCs/>
        </w:rPr>
        <w:t xml:space="preserve"> </w:t>
      </w:r>
      <w:r w:rsidR="00BF6422" w:rsidRPr="00F11A3E">
        <w:rPr>
          <w:rFonts w:ascii="Times New Roman" w:hAnsi="Times New Roman" w:cs="Times New Roman"/>
          <w:bCs/>
        </w:rPr>
        <w:t xml:space="preserve">to inform organizational decisions regarding the use of complex disruptive health technologies and how these decisions affect their potential value. </w:t>
      </w:r>
      <w:r w:rsidR="00774D6E" w:rsidRPr="00F11A3E">
        <w:rPr>
          <w:rFonts w:ascii="Times New Roman" w:hAnsi="Times New Roman" w:cs="Times New Roman"/>
        </w:rPr>
        <w:t xml:space="preserve">This document is intended to provide more detailed information on the model implementation in </w:t>
      </w:r>
      <w:proofErr w:type="spellStart"/>
      <w:r w:rsidR="00774D6E" w:rsidRPr="00F11A3E">
        <w:rPr>
          <w:rFonts w:ascii="Times New Roman" w:hAnsi="Times New Roman" w:cs="Times New Roman"/>
        </w:rPr>
        <w:t>AnyLogic</w:t>
      </w:r>
      <w:proofErr w:type="spellEnd"/>
      <w:r w:rsidR="00774D6E" w:rsidRPr="00F11A3E">
        <w:rPr>
          <w:rFonts w:ascii="Times New Roman" w:hAnsi="Times New Roman" w:cs="Times New Roman"/>
        </w:rPr>
        <w:t>.</w:t>
      </w:r>
      <w:r w:rsidR="00F26B49" w:rsidRPr="00F11A3E">
        <w:rPr>
          <w:rFonts w:ascii="Times New Roman" w:hAnsi="Times New Roman" w:cs="Times New Roman"/>
        </w:rPr>
        <w:t xml:space="preserve"> The model has been uploaded to </w:t>
      </w:r>
      <w:proofErr w:type="spellStart"/>
      <w:r w:rsidR="00F26B49" w:rsidRPr="00F11A3E">
        <w:rPr>
          <w:rFonts w:ascii="Times New Roman" w:hAnsi="Times New Roman" w:cs="Times New Roman"/>
        </w:rPr>
        <w:t>AnyLogic</w:t>
      </w:r>
      <w:proofErr w:type="spellEnd"/>
      <w:r w:rsidR="00F26B49" w:rsidRPr="00F11A3E">
        <w:rPr>
          <w:rFonts w:ascii="Times New Roman" w:hAnsi="Times New Roman" w:cs="Times New Roman"/>
        </w:rPr>
        <w:t xml:space="preserve"> Cloud and is publicly accessible </w:t>
      </w:r>
      <w:r w:rsidR="00F26B49" w:rsidRPr="00F11A3E">
        <w:rPr>
          <w:rFonts w:ascii="Times New Roman" w:hAnsi="Times New Roman" w:cs="Times New Roman"/>
        </w:rPr>
        <w:fldChar w:fldCharType="begin" w:fldLock="1"/>
      </w:r>
      <w:r w:rsidR="00935C50" w:rsidRPr="00F11A3E">
        <w:rPr>
          <w:rFonts w:ascii="Times New Roman" w:hAnsi="Times New Roman" w:cs="Times New Roman"/>
        </w:rPr>
        <w:instrText>ADDIN CSL_CITATION {"citationItems":[{"id":"ITEM-1","itemData":{"URL":"https://cloud.anylogic.com/model/6f5c67f2-1423-422a-be35-63f0f664cc77?mode=SETTINGS","accessed":{"date-parts":[["2021","1","26"]]},"author":[{"dropping-particle":"van de","family":"Ven","given":"Michiel","non-dropping-particle":"","parse-names":false,"suffix":""},{"dropping-particle":"","family":"IJzerman","given":"Maarten","non-dropping-particle":"","parse-names":false,"suffix":""},{"dropping-particle":"","family":"Retèl","given":"Valesca","non-dropping-particle":"","parse-names":false,"suffix":""},{"dropping-particle":"van","family":"Harten","given":"Wim","non-dropping-particle":"","parse-names":false,"suffix":""},{"dropping-particle":"","family":"Koffijberg","given":"Hendrik","non-dropping-particle":"","parse-names":false,"suffix":""}],"container-title":"AnyLogic Cloud","id":"ITEM-1","issued":{"date-parts":[["2021"]]},"title":"The nationwide implementation of Whole Genome Sequencing in oncoloy in the Netherlands","type":"webpage"},"uris":["http://www.mendeley.com/documents/?uuid=d7ea5c93-4f55-414b-94f6-e3582d4b1362"]}],"mendeley":{"formattedCitation":"(1)","plainTextFormattedCitation":"(1)","previouslyFormattedCitation":"[1]"},"properties":{"noteIndex":0},"schema":"https://github.com/citation-style-language/schema/raw/master/csl-citation.json"}</w:instrText>
      </w:r>
      <w:r w:rsidR="00F26B49" w:rsidRPr="00F11A3E">
        <w:rPr>
          <w:rFonts w:ascii="Times New Roman" w:hAnsi="Times New Roman" w:cs="Times New Roman"/>
        </w:rPr>
        <w:fldChar w:fldCharType="separate"/>
      </w:r>
      <w:r w:rsidR="00935C50" w:rsidRPr="00F11A3E">
        <w:rPr>
          <w:rFonts w:ascii="Times New Roman" w:hAnsi="Times New Roman" w:cs="Times New Roman"/>
          <w:noProof/>
        </w:rPr>
        <w:t>(1)</w:t>
      </w:r>
      <w:r w:rsidR="00F26B49" w:rsidRPr="00F11A3E">
        <w:rPr>
          <w:rFonts w:ascii="Times New Roman" w:hAnsi="Times New Roman" w:cs="Times New Roman"/>
        </w:rPr>
        <w:fldChar w:fldCharType="end"/>
      </w:r>
      <w:r w:rsidR="00F26B49" w:rsidRPr="00F11A3E">
        <w:rPr>
          <w:rFonts w:ascii="Times New Roman" w:hAnsi="Times New Roman" w:cs="Times New Roman"/>
        </w:rPr>
        <w:t>.</w:t>
      </w:r>
    </w:p>
    <w:p w14:paraId="638728F2" w14:textId="127F43CF" w:rsidR="009054EE" w:rsidRPr="00F11A3E" w:rsidRDefault="00BD57E8" w:rsidP="00F11A3E">
      <w:pPr>
        <w:pStyle w:val="Standard"/>
        <w:spacing w:line="276" w:lineRule="auto"/>
        <w:rPr>
          <w:rFonts w:ascii="Times New Roman" w:hAnsi="Times New Roman" w:cs="Times New Roman"/>
        </w:rPr>
      </w:pPr>
      <w:r w:rsidRPr="00F11A3E">
        <w:rPr>
          <w:rFonts w:ascii="Times New Roman" w:hAnsi="Times New Roman" w:cs="Times New Roman"/>
        </w:rPr>
        <w:t xml:space="preserve">The model is initially populated with </w:t>
      </w:r>
      <w:r w:rsidR="00C43E62" w:rsidRPr="00F11A3E">
        <w:rPr>
          <w:rFonts w:ascii="Times New Roman" w:hAnsi="Times New Roman" w:cs="Times New Roman"/>
        </w:rPr>
        <w:t>six</w:t>
      </w:r>
      <w:r w:rsidRPr="00F11A3E">
        <w:rPr>
          <w:rFonts w:ascii="Times New Roman" w:hAnsi="Times New Roman" w:cs="Times New Roman"/>
        </w:rPr>
        <w:t xml:space="preserve"> different agent types: patient, </w:t>
      </w:r>
      <w:r w:rsidR="00D14C6B" w:rsidRPr="00F11A3E">
        <w:rPr>
          <w:rFonts w:ascii="Times New Roman" w:hAnsi="Times New Roman" w:cs="Times New Roman"/>
        </w:rPr>
        <w:t xml:space="preserve">general </w:t>
      </w:r>
      <w:r w:rsidRPr="00F11A3E">
        <w:rPr>
          <w:rFonts w:ascii="Times New Roman" w:hAnsi="Times New Roman" w:cs="Times New Roman"/>
        </w:rPr>
        <w:t>hospital,</w:t>
      </w:r>
      <w:r w:rsidR="00D14C6B" w:rsidRPr="00F11A3E">
        <w:rPr>
          <w:rFonts w:ascii="Times New Roman" w:hAnsi="Times New Roman" w:cs="Times New Roman"/>
        </w:rPr>
        <w:t xml:space="preserve"> teaching hospital, academic hospital,</w:t>
      </w:r>
      <w:r w:rsidRPr="00F11A3E">
        <w:rPr>
          <w:rFonts w:ascii="Times New Roman" w:hAnsi="Times New Roman" w:cs="Times New Roman"/>
        </w:rPr>
        <w:t xml:space="preserve"> WGS facility, MTB. These agents are all placed within a top-level agent</w:t>
      </w:r>
      <w:r w:rsidR="00B75384">
        <w:rPr>
          <w:rFonts w:ascii="Times New Roman" w:hAnsi="Times New Roman" w:cs="Times New Roman"/>
        </w:rPr>
        <w:t xml:space="preserve"> (Main)</w:t>
      </w:r>
      <w:r w:rsidRPr="00F11A3E">
        <w:rPr>
          <w:rFonts w:ascii="Times New Roman" w:hAnsi="Times New Roman" w:cs="Times New Roman"/>
        </w:rPr>
        <w:t xml:space="preserve"> that represents the Netherlands. </w:t>
      </w:r>
      <w:r w:rsidR="00603DA9" w:rsidRPr="00F11A3E">
        <w:rPr>
          <w:rFonts w:ascii="Times New Roman" w:hAnsi="Times New Roman" w:cs="Times New Roman"/>
        </w:rPr>
        <w:t xml:space="preserve">A distinction is made between three hospital types to reflect differences in </w:t>
      </w:r>
      <w:r w:rsidR="005D548D">
        <w:rPr>
          <w:rFonts w:ascii="Times New Roman" w:hAnsi="Times New Roman" w:cs="Times New Roman"/>
        </w:rPr>
        <w:t xml:space="preserve">diagnostic </w:t>
      </w:r>
      <w:r w:rsidR="00603DA9" w:rsidRPr="00F11A3E">
        <w:rPr>
          <w:rFonts w:ascii="Times New Roman" w:hAnsi="Times New Roman" w:cs="Times New Roman"/>
        </w:rPr>
        <w:t xml:space="preserve">testing capabilities. </w:t>
      </w:r>
      <w:r w:rsidR="00823E14" w:rsidRPr="00F11A3E">
        <w:rPr>
          <w:rFonts w:ascii="Times New Roman" w:hAnsi="Times New Roman" w:cs="Times New Roman"/>
        </w:rPr>
        <w:t>During model runtime, a</w:t>
      </w:r>
      <w:r w:rsidR="00DE2FF9" w:rsidRPr="00F11A3E">
        <w:rPr>
          <w:rFonts w:ascii="Times New Roman" w:hAnsi="Times New Roman" w:cs="Times New Roman"/>
        </w:rPr>
        <w:t>gents of a</w:t>
      </w:r>
      <w:r w:rsidR="00823E14" w:rsidRPr="00F11A3E">
        <w:rPr>
          <w:rFonts w:ascii="Times New Roman" w:hAnsi="Times New Roman" w:cs="Times New Roman"/>
        </w:rPr>
        <w:t xml:space="preserve"> </w:t>
      </w:r>
      <w:r w:rsidR="00D14C6B" w:rsidRPr="00F11A3E">
        <w:rPr>
          <w:rFonts w:ascii="Times New Roman" w:hAnsi="Times New Roman" w:cs="Times New Roman"/>
        </w:rPr>
        <w:t>seventh</w:t>
      </w:r>
      <w:r w:rsidR="00823E14" w:rsidRPr="00F11A3E">
        <w:rPr>
          <w:rFonts w:ascii="Times New Roman" w:hAnsi="Times New Roman" w:cs="Times New Roman"/>
        </w:rPr>
        <w:t xml:space="preserve"> </w:t>
      </w:r>
      <w:r w:rsidR="00CE618B" w:rsidRPr="00F11A3E">
        <w:rPr>
          <w:rFonts w:ascii="Times New Roman" w:hAnsi="Times New Roman" w:cs="Times New Roman"/>
        </w:rPr>
        <w:t>type</w:t>
      </w:r>
      <w:r w:rsidR="00DE2FF9" w:rsidRPr="00F11A3E">
        <w:rPr>
          <w:rFonts w:ascii="Times New Roman" w:hAnsi="Times New Roman" w:cs="Times New Roman"/>
        </w:rPr>
        <w:t>, WGS biopsy,</w:t>
      </w:r>
      <w:r w:rsidR="00CE618B" w:rsidRPr="00F11A3E">
        <w:rPr>
          <w:rFonts w:ascii="Times New Roman" w:hAnsi="Times New Roman" w:cs="Times New Roman"/>
        </w:rPr>
        <w:t xml:space="preserve"> </w:t>
      </w:r>
      <w:r w:rsidR="00DE2FF9" w:rsidRPr="00F11A3E">
        <w:rPr>
          <w:rFonts w:ascii="Times New Roman" w:hAnsi="Times New Roman" w:cs="Times New Roman"/>
        </w:rPr>
        <w:t>are</w:t>
      </w:r>
      <w:r w:rsidR="00CE618B" w:rsidRPr="00F11A3E">
        <w:rPr>
          <w:rFonts w:ascii="Times New Roman" w:hAnsi="Times New Roman" w:cs="Times New Roman"/>
        </w:rPr>
        <w:t xml:space="preserve"> generated</w:t>
      </w:r>
      <w:r w:rsidR="00622FCB" w:rsidRPr="00F11A3E">
        <w:rPr>
          <w:rFonts w:ascii="Times New Roman" w:hAnsi="Times New Roman" w:cs="Times New Roman"/>
        </w:rPr>
        <w:t xml:space="preserve"> within</w:t>
      </w:r>
      <w:r w:rsidR="00CE618B" w:rsidRPr="00F11A3E">
        <w:rPr>
          <w:rFonts w:ascii="Times New Roman" w:hAnsi="Times New Roman" w:cs="Times New Roman"/>
        </w:rPr>
        <w:t xml:space="preserve"> in </w:t>
      </w:r>
      <w:r w:rsidR="00D14C6B" w:rsidRPr="00F11A3E">
        <w:rPr>
          <w:rFonts w:ascii="Times New Roman" w:hAnsi="Times New Roman" w:cs="Times New Roman"/>
        </w:rPr>
        <w:t xml:space="preserve">academic </w:t>
      </w:r>
      <w:r w:rsidR="00CE618B" w:rsidRPr="00F11A3E">
        <w:rPr>
          <w:rFonts w:ascii="Times New Roman" w:hAnsi="Times New Roman" w:cs="Times New Roman"/>
        </w:rPr>
        <w:t>hospital-agents</w:t>
      </w:r>
      <w:r w:rsidR="00622FCB" w:rsidRPr="00F11A3E">
        <w:rPr>
          <w:rFonts w:ascii="Times New Roman" w:hAnsi="Times New Roman" w:cs="Times New Roman"/>
        </w:rPr>
        <w:t>.</w:t>
      </w:r>
      <w:r w:rsidR="00A372F9" w:rsidRPr="00F11A3E">
        <w:rPr>
          <w:rFonts w:ascii="Times New Roman" w:hAnsi="Times New Roman" w:cs="Times New Roman"/>
        </w:rPr>
        <w:t xml:space="preserve"> </w:t>
      </w:r>
    </w:p>
    <w:p w14:paraId="1F36703A" w14:textId="142F54B2" w:rsidR="003130D4" w:rsidRPr="00F11A3E" w:rsidRDefault="003130D4" w:rsidP="00F11A3E">
      <w:pPr>
        <w:pStyle w:val="Heading2"/>
        <w:spacing w:line="276" w:lineRule="auto"/>
        <w:rPr>
          <w:rFonts w:ascii="Times New Roman" w:hAnsi="Times New Roman" w:cs="Times New Roman"/>
        </w:rPr>
      </w:pPr>
      <w:r w:rsidRPr="00F11A3E">
        <w:rPr>
          <w:rFonts w:ascii="Times New Roman" w:hAnsi="Times New Roman" w:cs="Times New Roman"/>
        </w:rPr>
        <w:t>Agent</w:t>
      </w:r>
      <w:r w:rsidR="009054EE" w:rsidRPr="00F11A3E">
        <w:rPr>
          <w:rFonts w:ascii="Times New Roman" w:hAnsi="Times New Roman" w:cs="Times New Roman"/>
        </w:rPr>
        <w:t xml:space="preserve"> types</w:t>
      </w:r>
    </w:p>
    <w:p w14:paraId="68BA8BC9" w14:textId="195ABA12" w:rsidR="00AB2960" w:rsidRPr="00F11A3E" w:rsidRDefault="00AB2960" w:rsidP="00F11A3E">
      <w:pPr>
        <w:pStyle w:val="Standard"/>
        <w:spacing w:line="276" w:lineRule="auto"/>
        <w:rPr>
          <w:rFonts w:ascii="Times New Roman" w:hAnsi="Times New Roman" w:cs="Times New Roman"/>
        </w:rPr>
      </w:pPr>
      <w:r w:rsidRPr="00F11A3E">
        <w:rPr>
          <w:rFonts w:ascii="Times New Roman" w:hAnsi="Times New Roman" w:cs="Times New Roman"/>
        </w:rPr>
        <w:t xml:space="preserve">Table </w:t>
      </w:r>
      <w:r w:rsidR="000037A8">
        <w:rPr>
          <w:rFonts w:ascii="Times New Roman" w:hAnsi="Times New Roman" w:cs="Times New Roman"/>
        </w:rPr>
        <w:t>3</w:t>
      </w:r>
      <w:r w:rsidRPr="00F11A3E">
        <w:rPr>
          <w:rFonts w:ascii="Times New Roman" w:hAnsi="Times New Roman" w:cs="Times New Roman"/>
        </w:rPr>
        <w:t xml:space="preserve"> </w:t>
      </w:r>
      <w:r w:rsidR="00DD10F9" w:rsidRPr="00F11A3E">
        <w:rPr>
          <w:rFonts w:ascii="Times New Roman" w:hAnsi="Times New Roman" w:cs="Times New Roman"/>
        </w:rPr>
        <w:t xml:space="preserve">lists </w:t>
      </w:r>
      <w:r w:rsidR="00295E5E" w:rsidRPr="00F11A3E">
        <w:rPr>
          <w:rFonts w:ascii="Times New Roman" w:hAnsi="Times New Roman" w:cs="Times New Roman"/>
        </w:rPr>
        <w:t xml:space="preserve">the </w:t>
      </w:r>
      <w:r w:rsidR="00DD10F9" w:rsidRPr="00F11A3E">
        <w:rPr>
          <w:rFonts w:ascii="Times New Roman" w:hAnsi="Times New Roman" w:cs="Times New Roman"/>
        </w:rPr>
        <w:t>model input parameters</w:t>
      </w:r>
      <w:r w:rsidR="000B6CAA">
        <w:rPr>
          <w:rFonts w:ascii="Times New Roman" w:hAnsi="Times New Roman" w:cs="Times New Roman"/>
        </w:rPr>
        <w:t xml:space="preserve"> including</w:t>
      </w:r>
      <w:r w:rsidR="00DD10F9" w:rsidRPr="00F11A3E">
        <w:rPr>
          <w:rFonts w:ascii="Times New Roman" w:hAnsi="Times New Roman" w:cs="Times New Roman"/>
        </w:rPr>
        <w:t xml:space="preserve"> </w:t>
      </w:r>
      <w:r w:rsidR="0057062A" w:rsidRPr="00F11A3E">
        <w:rPr>
          <w:rFonts w:ascii="Times New Roman" w:hAnsi="Times New Roman" w:cs="Times New Roman"/>
        </w:rPr>
        <w:t>a reference for each parameter.</w:t>
      </w:r>
    </w:p>
    <w:p w14:paraId="0CA0ED9C" w14:textId="6D9C4600" w:rsidR="00BD57E8" w:rsidRPr="00F11A3E" w:rsidRDefault="00BD57E8" w:rsidP="00F11A3E">
      <w:pPr>
        <w:pStyle w:val="Heading3"/>
        <w:spacing w:line="276" w:lineRule="auto"/>
        <w:rPr>
          <w:rFonts w:ascii="Times New Roman" w:hAnsi="Times New Roman" w:cs="Times New Roman"/>
        </w:rPr>
      </w:pPr>
      <w:r w:rsidRPr="00F11A3E">
        <w:rPr>
          <w:rFonts w:ascii="Times New Roman" w:hAnsi="Times New Roman" w:cs="Times New Roman"/>
        </w:rPr>
        <w:t>Main</w:t>
      </w:r>
    </w:p>
    <w:p w14:paraId="178EA9E7" w14:textId="655F9FEA" w:rsidR="00D74737" w:rsidRPr="00F11A3E" w:rsidRDefault="00BD57E8" w:rsidP="00F11A3E">
      <w:pPr>
        <w:pStyle w:val="Caption"/>
        <w:spacing w:line="276" w:lineRule="auto"/>
        <w:rPr>
          <w:rFonts w:ascii="Times New Roman" w:hAnsi="Times New Roman" w:cs="Times New Roman"/>
        </w:rPr>
      </w:pPr>
      <w:r w:rsidRPr="00F11A3E">
        <w:rPr>
          <w:rFonts w:ascii="Times New Roman" w:hAnsi="Times New Roman" w:cs="Times New Roman"/>
          <w:i w:val="0"/>
          <w:iCs w:val="0"/>
          <w:color w:val="000000" w:themeColor="text1"/>
          <w:sz w:val="22"/>
          <w:szCs w:val="22"/>
        </w:rPr>
        <w:t>The top-level agent in a hierarchical model represents the highest level of abstraction and serves as the stage for the other agents. In this model, the top-level agent represents the Netherlands</w:t>
      </w:r>
      <w:r w:rsidR="00F37214" w:rsidRPr="00F11A3E">
        <w:rPr>
          <w:rFonts w:ascii="Times New Roman" w:hAnsi="Times New Roman" w:cs="Times New Roman"/>
          <w:i w:val="0"/>
          <w:iCs w:val="0"/>
          <w:color w:val="000000" w:themeColor="text1"/>
          <w:sz w:val="22"/>
          <w:szCs w:val="22"/>
        </w:rPr>
        <w:t>, shown in figure 1.</w:t>
      </w:r>
      <w:r w:rsidR="00C07AFD" w:rsidRPr="00F11A3E">
        <w:rPr>
          <w:rFonts w:ascii="Times New Roman" w:hAnsi="Times New Roman" w:cs="Times New Roman"/>
          <w:noProof/>
          <w:lang w:eastAsia="nl-NL"/>
        </w:rPr>
        <w:drawing>
          <wp:inline distT="0" distB="0" distL="0" distR="0" wp14:anchorId="1C10E00D" wp14:editId="5FC6A9BB">
            <wp:extent cx="5760720" cy="4586605"/>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720" cy="4586605"/>
                    </a:xfrm>
                    <a:prstGeom prst="rect">
                      <a:avLst/>
                    </a:prstGeom>
                  </pic:spPr>
                </pic:pic>
              </a:graphicData>
            </a:graphic>
          </wp:inline>
        </w:drawing>
      </w:r>
      <w:r w:rsidRPr="00F11A3E">
        <w:rPr>
          <w:rFonts w:ascii="Times New Roman" w:hAnsi="Times New Roman" w:cs="Times New Roman"/>
        </w:rPr>
        <w:t xml:space="preserve"> </w:t>
      </w:r>
      <w:r w:rsidR="00D74737" w:rsidRPr="00F11A3E">
        <w:rPr>
          <w:rFonts w:ascii="Times New Roman" w:hAnsi="Times New Roman" w:cs="Times New Roman"/>
        </w:rPr>
        <w:t xml:space="preserve">Figure </w:t>
      </w:r>
      <w:r w:rsidR="00D74737" w:rsidRPr="00F11A3E">
        <w:rPr>
          <w:rFonts w:ascii="Times New Roman" w:hAnsi="Times New Roman" w:cs="Times New Roman"/>
        </w:rPr>
        <w:fldChar w:fldCharType="begin"/>
      </w:r>
      <w:r w:rsidR="00D74737" w:rsidRPr="00F11A3E">
        <w:rPr>
          <w:rFonts w:ascii="Times New Roman" w:hAnsi="Times New Roman" w:cs="Times New Roman"/>
        </w:rPr>
        <w:instrText xml:space="preserve"> SEQ Figure \* ARABIC </w:instrText>
      </w:r>
      <w:r w:rsidR="00D74737" w:rsidRPr="00F11A3E">
        <w:rPr>
          <w:rFonts w:ascii="Times New Roman" w:hAnsi="Times New Roman" w:cs="Times New Roman"/>
        </w:rPr>
        <w:fldChar w:fldCharType="separate"/>
      </w:r>
      <w:r w:rsidR="00394F31" w:rsidRPr="00F11A3E">
        <w:rPr>
          <w:rFonts w:ascii="Times New Roman" w:hAnsi="Times New Roman" w:cs="Times New Roman"/>
          <w:noProof/>
        </w:rPr>
        <w:t>1</w:t>
      </w:r>
      <w:r w:rsidR="00D74737" w:rsidRPr="00F11A3E">
        <w:rPr>
          <w:rFonts w:ascii="Times New Roman" w:hAnsi="Times New Roman" w:cs="Times New Roman"/>
        </w:rPr>
        <w:fldChar w:fldCharType="end"/>
      </w:r>
      <w:r w:rsidR="00D74737" w:rsidRPr="00F11A3E">
        <w:rPr>
          <w:rFonts w:ascii="Times New Roman" w:hAnsi="Times New Roman" w:cs="Times New Roman"/>
        </w:rPr>
        <w:t>. Top-level agent or highest abstraction level in the model representing the Netherlands</w:t>
      </w:r>
      <w:r w:rsidR="0049167F">
        <w:rPr>
          <w:rFonts w:ascii="Times New Roman" w:hAnsi="Times New Roman" w:cs="Times New Roman"/>
        </w:rPr>
        <w:t>. Map of the Netherlands was retrieved from Wikimedia Commons</w:t>
      </w:r>
      <w:r w:rsidR="0025519F">
        <w:rPr>
          <w:rFonts w:ascii="Times New Roman" w:hAnsi="Times New Roman" w:cs="Times New Roman"/>
        </w:rPr>
        <w:t xml:space="preserve">: </w:t>
      </w:r>
      <w:r w:rsidR="0025519F" w:rsidRPr="0025519F">
        <w:rPr>
          <w:rFonts w:ascii="Times New Roman" w:hAnsi="Times New Roman" w:cs="Times New Roman"/>
        </w:rPr>
        <w:t>https://commons.wikimedia.org/wiki/File:Netherlands_location_map.svg</w:t>
      </w:r>
    </w:p>
    <w:p w14:paraId="2F7FA2D5" w14:textId="023431F0" w:rsidR="007958D2" w:rsidRPr="00F11A3E" w:rsidRDefault="000E75F0" w:rsidP="00F11A3E">
      <w:pPr>
        <w:pStyle w:val="Standard"/>
        <w:spacing w:line="276" w:lineRule="auto"/>
        <w:rPr>
          <w:rFonts w:ascii="Times New Roman" w:hAnsi="Times New Roman" w:cs="Times New Roman"/>
        </w:rPr>
      </w:pPr>
      <w:r w:rsidRPr="00F11A3E">
        <w:rPr>
          <w:rFonts w:ascii="Times New Roman" w:hAnsi="Times New Roman" w:cs="Times New Roman"/>
        </w:rPr>
        <w:lastRenderedPageBreak/>
        <w:t xml:space="preserve">Since </w:t>
      </w:r>
      <w:proofErr w:type="spellStart"/>
      <w:r w:rsidRPr="00F11A3E">
        <w:rPr>
          <w:rFonts w:ascii="Times New Roman" w:hAnsi="Times New Roman" w:cs="Times New Roman"/>
        </w:rPr>
        <w:t>AnyLogic</w:t>
      </w:r>
      <w:proofErr w:type="spellEnd"/>
      <w:r w:rsidRPr="00F11A3E">
        <w:rPr>
          <w:rFonts w:ascii="Times New Roman" w:hAnsi="Times New Roman" w:cs="Times New Roman"/>
        </w:rPr>
        <w:t xml:space="preserve"> does not provide a method to </w:t>
      </w:r>
      <w:r w:rsidR="009054EE" w:rsidRPr="00F11A3E">
        <w:rPr>
          <w:rFonts w:ascii="Times New Roman" w:hAnsi="Times New Roman" w:cs="Times New Roman"/>
        </w:rPr>
        <w:t xml:space="preserve">reflect </w:t>
      </w:r>
      <w:r w:rsidR="00516379" w:rsidRPr="00F11A3E">
        <w:rPr>
          <w:rFonts w:ascii="Times New Roman" w:hAnsi="Times New Roman" w:cs="Times New Roman"/>
        </w:rPr>
        <w:t>geographic variation</w:t>
      </w:r>
      <w:r w:rsidR="009054EE" w:rsidRPr="00F11A3E">
        <w:rPr>
          <w:rFonts w:ascii="Times New Roman" w:hAnsi="Times New Roman" w:cs="Times New Roman"/>
        </w:rPr>
        <w:t xml:space="preserve"> in</w:t>
      </w:r>
      <w:r w:rsidRPr="00F11A3E">
        <w:rPr>
          <w:rFonts w:ascii="Times New Roman" w:hAnsi="Times New Roman" w:cs="Times New Roman"/>
        </w:rPr>
        <w:t xml:space="preserve"> agent populations, we have implemented our own approach to reflect geographic variation</w:t>
      </w:r>
      <w:r w:rsidR="006C546A" w:rsidRPr="00F11A3E">
        <w:rPr>
          <w:rFonts w:ascii="Times New Roman" w:hAnsi="Times New Roman" w:cs="Times New Roman"/>
        </w:rPr>
        <w:t xml:space="preserve"> in terms of patient population size</w:t>
      </w:r>
      <w:r w:rsidRPr="00F11A3E">
        <w:rPr>
          <w:rFonts w:ascii="Times New Roman" w:hAnsi="Times New Roman" w:cs="Times New Roman"/>
        </w:rPr>
        <w:t xml:space="preserve">. </w:t>
      </w:r>
      <w:r w:rsidR="00D74737" w:rsidRPr="00F11A3E">
        <w:rPr>
          <w:rFonts w:ascii="Times New Roman" w:hAnsi="Times New Roman" w:cs="Times New Roman"/>
        </w:rPr>
        <w:t>This is implemented as follows</w:t>
      </w:r>
      <w:r w:rsidR="0050334F" w:rsidRPr="00F11A3E">
        <w:rPr>
          <w:rFonts w:ascii="Times New Roman" w:hAnsi="Times New Roman" w:cs="Times New Roman"/>
        </w:rPr>
        <w:t xml:space="preserve">. </w:t>
      </w:r>
      <w:r w:rsidR="00E76D8F" w:rsidRPr="00F11A3E">
        <w:rPr>
          <w:rFonts w:ascii="Times New Roman" w:hAnsi="Times New Roman" w:cs="Times New Roman"/>
        </w:rPr>
        <w:t>The relative number of patients</w:t>
      </w:r>
      <w:r w:rsidR="006C546A" w:rsidRPr="00F11A3E">
        <w:rPr>
          <w:rFonts w:ascii="Times New Roman" w:hAnsi="Times New Roman" w:cs="Times New Roman"/>
        </w:rPr>
        <w:t xml:space="preserve"> </w:t>
      </w:r>
      <w:r w:rsidR="00E76D8F" w:rsidRPr="00F11A3E">
        <w:rPr>
          <w:rFonts w:ascii="Times New Roman" w:hAnsi="Times New Roman" w:cs="Times New Roman"/>
        </w:rPr>
        <w:t>per province</w:t>
      </w:r>
      <w:r w:rsidR="006C546A" w:rsidRPr="00F11A3E">
        <w:rPr>
          <w:rFonts w:ascii="Times New Roman" w:hAnsi="Times New Roman" w:cs="Times New Roman"/>
          <w:b/>
          <w:bCs/>
        </w:rPr>
        <w:t xml:space="preserve"> </w:t>
      </w:r>
      <w:r w:rsidR="006C546A" w:rsidRPr="00F11A3E">
        <w:rPr>
          <w:rFonts w:ascii="Times New Roman" w:hAnsi="Times New Roman" w:cs="Times New Roman"/>
        </w:rPr>
        <w:fldChar w:fldCharType="begin" w:fldLock="1"/>
      </w:r>
      <w:r w:rsidR="00935C50" w:rsidRPr="00F11A3E">
        <w:rPr>
          <w:rFonts w:ascii="Times New Roman" w:hAnsi="Times New Roman" w:cs="Times New Roman"/>
        </w:rPr>
        <w:instrText>ADDIN CSL_CITATION {"citationItems":[{"id":"ITEM-1","itemData":{"URL":"https://www.iknl.nl/nkr-cijfers?fs%7Cepidemiologie_id=6&amp;fs%7Ctumor_id=260&amp;fs%7Cregio_id=161%2C159%2C157%2C164%2C158%2C160%2C165%2C163%2C167%2C166%2C156%2C162&amp;fs%7Cperiode_id=106&amp;fs%7Cgeslacht_id=15&amp;fs%7Cleeftijdsgroep_id=67&amp;fs%7Cjaren_na_diagnose_id=16&amp;fs","author":[{"dropping-particle":"","family":"Nederlandse Kankerregistratie [Netherlands Cancer Registry]","given":"","non-dropping-particle":"","parse-names":false,"suffix":""}],"id":"ITEM-1","issued":{"date-parts":[["0"]]},"title":"Incidentie, Niet-kleincellig longcarcinoom, 2017, Aantal [Incidence, Non-small cell lung cancer, 2017, Amount]","type":"webpage"},"uris":["http://www.mendeley.com/documents/?uuid=24f740eb-e898-4b81-8677-21113199cf19"]}],"mendeley":{"formattedCitation":"(2)","plainTextFormattedCitation":"(2)","previouslyFormattedCitation":"[2]"},"properties":{"noteIndex":0},"schema":"https://github.com/citation-style-language/schema/raw/master/csl-citation.json"}</w:instrText>
      </w:r>
      <w:r w:rsidR="006C546A" w:rsidRPr="00F11A3E">
        <w:rPr>
          <w:rFonts w:ascii="Times New Roman" w:hAnsi="Times New Roman" w:cs="Times New Roman"/>
        </w:rPr>
        <w:fldChar w:fldCharType="separate"/>
      </w:r>
      <w:r w:rsidR="00935C50" w:rsidRPr="00F11A3E">
        <w:rPr>
          <w:rFonts w:ascii="Times New Roman" w:hAnsi="Times New Roman" w:cs="Times New Roman"/>
          <w:noProof/>
        </w:rPr>
        <w:t>(2)</w:t>
      </w:r>
      <w:r w:rsidR="006C546A" w:rsidRPr="00F11A3E">
        <w:rPr>
          <w:rFonts w:ascii="Times New Roman" w:hAnsi="Times New Roman" w:cs="Times New Roman"/>
        </w:rPr>
        <w:fldChar w:fldCharType="end"/>
      </w:r>
      <w:r w:rsidR="00E76D8F" w:rsidRPr="00F11A3E">
        <w:rPr>
          <w:rFonts w:ascii="Times New Roman" w:hAnsi="Times New Roman" w:cs="Times New Roman"/>
        </w:rPr>
        <w:t xml:space="preserve"> is calculated</w:t>
      </w:r>
      <w:r w:rsidR="00997DE1" w:rsidRPr="00F11A3E">
        <w:rPr>
          <w:rFonts w:ascii="Times New Roman" w:hAnsi="Times New Roman" w:cs="Times New Roman"/>
        </w:rPr>
        <w:t xml:space="preserve">. </w:t>
      </w:r>
      <w:r w:rsidR="002565BD" w:rsidRPr="00F11A3E">
        <w:rPr>
          <w:rFonts w:ascii="Times New Roman" w:hAnsi="Times New Roman" w:cs="Times New Roman"/>
        </w:rPr>
        <w:t>This relative number is then used t</w:t>
      </w:r>
      <w:r w:rsidR="00BA363F" w:rsidRPr="00F11A3E">
        <w:rPr>
          <w:rFonts w:ascii="Times New Roman" w:hAnsi="Times New Roman" w:cs="Times New Roman"/>
        </w:rPr>
        <w:t xml:space="preserve">o slice </w:t>
      </w:r>
      <w:r w:rsidR="002565BD" w:rsidRPr="00F11A3E">
        <w:rPr>
          <w:rFonts w:ascii="Times New Roman" w:hAnsi="Times New Roman" w:cs="Times New Roman"/>
        </w:rPr>
        <w:t xml:space="preserve">a range from 0 to 1 into </w:t>
      </w:r>
      <w:r w:rsidR="00BA363F" w:rsidRPr="00F11A3E">
        <w:rPr>
          <w:rFonts w:ascii="Times New Roman" w:hAnsi="Times New Roman" w:cs="Times New Roman"/>
        </w:rPr>
        <w:t>12 s</w:t>
      </w:r>
      <w:r w:rsidR="004D1833" w:rsidRPr="00F11A3E">
        <w:rPr>
          <w:rFonts w:ascii="Times New Roman" w:hAnsi="Times New Roman" w:cs="Times New Roman"/>
        </w:rPr>
        <w:t>egments</w:t>
      </w:r>
      <w:r w:rsidR="00B76894" w:rsidRPr="00F11A3E">
        <w:rPr>
          <w:rFonts w:ascii="Times New Roman" w:hAnsi="Times New Roman" w:cs="Times New Roman"/>
        </w:rPr>
        <w:t>, one for each province. The size of each segment is based</w:t>
      </w:r>
      <w:r w:rsidR="004D1833" w:rsidRPr="00F11A3E">
        <w:rPr>
          <w:rFonts w:ascii="Times New Roman" w:hAnsi="Times New Roman" w:cs="Times New Roman"/>
        </w:rPr>
        <w:t xml:space="preserve"> on the relative number</w:t>
      </w:r>
      <w:r w:rsidR="00B76894" w:rsidRPr="00F11A3E">
        <w:rPr>
          <w:rFonts w:ascii="Times New Roman" w:hAnsi="Times New Roman" w:cs="Times New Roman"/>
        </w:rPr>
        <w:t xml:space="preserve"> of patients</w:t>
      </w:r>
      <w:r w:rsidR="006C546A" w:rsidRPr="00F11A3E">
        <w:rPr>
          <w:rFonts w:ascii="Times New Roman" w:hAnsi="Times New Roman" w:cs="Times New Roman"/>
        </w:rPr>
        <w:t xml:space="preserve"> </w:t>
      </w:r>
      <w:r w:rsidR="00B76894" w:rsidRPr="00F11A3E">
        <w:rPr>
          <w:rFonts w:ascii="Times New Roman" w:hAnsi="Times New Roman" w:cs="Times New Roman"/>
        </w:rPr>
        <w:t>per province</w:t>
      </w:r>
      <w:r w:rsidR="00F02A19" w:rsidRPr="00F11A3E">
        <w:rPr>
          <w:rFonts w:ascii="Times New Roman" w:hAnsi="Times New Roman" w:cs="Times New Roman"/>
        </w:rPr>
        <w:t>, which is displayed in table 1</w:t>
      </w:r>
      <w:r w:rsidR="004D1833" w:rsidRPr="00F11A3E">
        <w:rPr>
          <w:rFonts w:ascii="Times New Roman" w:hAnsi="Times New Roman" w:cs="Times New Roman"/>
        </w:rPr>
        <w:t xml:space="preserve">. Subsequently, a random number from a </w:t>
      </w:r>
      <w:r w:rsidR="00F15B98" w:rsidRPr="00F11A3E">
        <w:rPr>
          <w:rFonts w:ascii="Times New Roman" w:hAnsi="Times New Roman" w:cs="Times New Roman"/>
        </w:rPr>
        <w:t>uniform distribution between 0 and 1 is drawn. It is then checked in which segment this random number falls</w:t>
      </w:r>
      <w:r w:rsidR="00D65B13" w:rsidRPr="00F11A3E">
        <w:rPr>
          <w:rFonts w:ascii="Times New Roman" w:hAnsi="Times New Roman" w:cs="Times New Roman"/>
        </w:rPr>
        <w:t>. T</w:t>
      </w:r>
      <w:r w:rsidR="00E05DF2" w:rsidRPr="00F11A3E">
        <w:rPr>
          <w:rFonts w:ascii="Times New Roman" w:hAnsi="Times New Roman" w:cs="Times New Roman"/>
        </w:rPr>
        <w:t xml:space="preserve">he province to which this segment corresponds is selected to place the newly generated </w:t>
      </w:r>
      <w:r w:rsidR="00691B9C" w:rsidRPr="00F11A3E">
        <w:rPr>
          <w:rFonts w:ascii="Times New Roman" w:hAnsi="Times New Roman" w:cs="Times New Roman"/>
        </w:rPr>
        <w:t>Patient-</w:t>
      </w:r>
      <w:r w:rsidR="00E05DF2" w:rsidRPr="00F11A3E">
        <w:rPr>
          <w:rFonts w:ascii="Times New Roman" w:hAnsi="Times New Roman" w:cs="Times New Roman"/>
        </w:rPr>
        <w:t>agent.</w:t>
      </w:r>
      <w:r w:rsidR="00FC4BCB" w:rsidRPr="00F11A3E">
        <w:rPr>
          <w:rFonts w:ascii="Times New Roman" w:hAnsi="Times New Roman" w:cs="Times New Roman"/>
        </w:rPr>
        <w:t xml:space="preserve"> </w:t>
      </w:r>
    </w:p>
    <w:p w14:paraId="12362DC1" w14:textId="44D8E62F" w:rsidR="00DE2B0D" w:rsidRPr="00F11A3E" w:rsidRDefault="00DE2B0D" w:rsidP="00F11A3E">
      <w:pPr>
        <w:pStyle w:val="Caption"/>
        <w:keepNext/>
        <w:spacing w:line="276" w:lineRule="auto"/>
        <w:rPr>
          <w:rFonts w:ascii="Times New Roman" w:hAnsi="Times New Roman" w:cs="Times New Roman"/>
        </w:rPr>
      </w:pPr>
      <w:r w:rsidRPr="00F11A3E">
        <w:rPr>
          <w:rFonts w:ascii="Times New Roman" w:hAnsi="Times New Roman" w:cs="Times New Roman"/>
        </w:rPr>
        <w:t xml:space="preserve">Table </w:t>
      </w:r>
      <w:r w:rsidRPr="00F11A3E">
        <w:rPr>
          <w:rFonts w:ascii="Times New Roman" w:hAnsi="Times New Roman" w:cs="Times New Roman"/>
        </w:rPr>
        <w:fldChar w:fldCharType="begin"/>
      </w:r>
      <w:r w:rsidRPr="00F11A3E">
        <w:rPr>
          <w:rFonts w:ascii="Times New Roman" w:hAnsi="Times New Roman" w:cs="Times New Roman"/>
        </w:rPr>
        <w:instrText xml:space="preserve"> SEQ Table \* ARABIC </w:instrText>
      </w:r>
      <w:r w:rsidRPr="00F11A3E">
        <w:rPr>
          <w:rFonts w:ascii="Times New Roman" w:hAnsi="Times New Roman" w:cs="Times New Roman"/>
        </w:rPr>
        <w:fldChar w:fldCharType="separate"/>
      </w:r>
      <w:r w:rsidRPr="00F11A3E">
        <w:rPr>
          <w:rFonts w:ascii="Times New Roman" w:hAnsi="Times New Roman" w:cs="Times New Roman"/>
          <w:noProof/>
        </w:rPr>
        <w:t>1</w:t>
      </w:r>
      <w:r w:rsidRPr="00F11A3E">
        <w:rPr>
          <w:rFonts w:ascii="Times New Roman" w:hAnsi="Times New Roman" w:cs="Times New Roman"/>
        </w:rPr>
        <w:fldChar w:fldCharType="end"/>
      </w:r>
      <w:r w:rsidRPr="00F11A3E">
        <w:rPr>
          <w:rFonts w:ascii="Times New Roman" w:hAnsi="Times New Roman" w:cs="Times New Roman"/>
        </w:rPr>
        <w:t>. Input data for agent placement</w:t>
      </w:r>
    </w:p>
    <w:tbl>
      <w:tblPr>
        <w:tblStyle w:val="TableGrid"/>
        <w:tblW w:w="5000" w:type="pct"/>
        <w:tblLook w:val="04A0" w:firstRow="1" w:lastRow="0" w:firstColumn="1" w:lastColumn="0" w:noHBand="0" w:noVBand="1"/>
      </w:tblPr>
      <w:tblGrid>
        <w:gridCol w:w="4531"/>
        <w:gridCol w:w="4531"/>
      </w:tblGrid>
      <w:tr w:rsidR="00B71DBA" w:rsidRPr="00F11A3E" w14:paraId="1AE0C647" w14:textId="77777777" w:rsidTr="00F11A3E">
        <w:tc>
          <w:tcPr>
            <w:tcW w:w="2500" w:type="pct"/>
          </w:tcPr>
          <w:p w14:paraId="43A75D2F" w14:textId="3685C6FD" w:rsidR="00B71DBA" w:rsidRPr="00F11A3E" w:rsidRDefault="00B71DBA" w:rsidP="00F11A3E">
            <w:pPr>
              <w:pStyle w:val="Standard"/>
              <w:spacing w:line="276" w:lineRule="auto"/>
              <w:rPr>
                <w:rFonts w:ascii="Times New Roman" w:hAnsi="Times New Roman" w:cs="Times New Roman"/>
                <w:b/>
                <w:bCs/>
              </w:rPr>
            </w:pPr>
            <w:r w:rsidRPr="00F11A3E">
              <w:rPr>
                <w:rFonts w:ascii="Times New Roman" w:hAnsi="Times New Roman" w:cs="Times New Roman"/>
                <w:b/>
                <w:bCs/>
              </w:rPr>
              <w:t>Province</w:t>
            </w:r>
          </w:p>
        </w:tc>
        <w:tc>
          <w:tcPr>
            <w:tcW w:w="2500" w:type="pct"/>
          </w:tcPr>
          <w:p w14:paraId="06AEBBA1" w14:textId="15CBF7E1" w:rsidR="00B71DBA" w:rsidRPr="00F11A3E" w:rsidRDefault="00B71DBA" w:rsidP="00F11A3E">
            <w:pPr>
              <w:pStyle w:val="Standard"/>
              <w:spacing w:line="276" w:lineRule="auto"/>
              <w:rPr>
                <w:rFonts w:ascii="Times New Roman" w:hAnsi="Times New Roman" w:cs="Times New Roman"/>
                <w:b/>
                <w:bCs/>
              </w:rPr>
            </w:pPr>
            <w:r w:rsidRPr="00F11A3E">
              <w:rPr>
                <w:rFonts w:ascii="Times New Roman" w:hAnsi="Times New Roman" w:cs="Times New Roman"/>
                <w:b/>
                <w:bCs/>
              </w:rPr>
              <w:t>Patient-agents</w:t>
            </w:r>
            <w:r w:rsidR="00EC06A7" w:rsidRPr="00F11A3E">
              <w:rPr>
                <w:rFonts w:ascii="Times New Roman" w:hAnsi="Times New Roman" w:cs="Times New Roman"/>
                <w:b/>
                <w:bCs/>
              </w:rPr>
              <w:t xml:space="preserve"> </w:t>
            </w:r>
          </w:p>
        </w:tc>
      </w:tr>
      <w:tr w:rsidR="00B71DBA" w:rsidRPr="00F11A3E" w14:paraId="3B65D997" w14:textId="77777777" w:rsidTr="00F11A3E">
        <w:tc>
          <w:tcPr>
            <w:tcW w:w="2500" w:type="pct"/>
          </w:tcPr>
          <w:p w14:paraId="3C236543" w14:textId="7B1EB1CF" w:rsidR="00B71DBA" w:rsidRPr="00F11A3E" w:rsidRDefault="00B71DBA" w:rsidP="00F11A3E">
            <w:pPr>
              <w:pStyle w:val="Standard"/>
              <w:spacing w:line="276" w:lineRule="auto"/>
              <w:rPr>
                <w:rFonts w:ascii="Times New Roman" w:hAnsi="Times New Roman" w:cs="Times New Roman"/>
              </w:rPr>
            </w:pPr>
            <w:r w:rsidRPr="00F11A3E">
              <w:rPr>
                <w:rFonts w:ascii="Times New Roman" w:hAnsi="Times New Roman" w:cs="Times New Roman"/>
              </w:rPr>
              <w:t>Groningen</w:t>
            </w:r>
          </w:p>
        </w:tc>
        <w:tc>
          <w:tcPr>
            <w:tcW w:w="2500" w:type="pct"/>
          </w:tcPr>
          <w:p w14:paraId="34F0A284" w14:textId="608432A3" w:rsidR="00B71DBA" w:rsidRPr="00F11A3E" w:rsidRDefault="00B71DBA" w:rsidP="00F11A3E">
            <w:pPr>
              <w:pStyle w:val="Standard"/>
              <w:spacing w:line="276" w:lineRule="auto"/>
              <w:rPr>
                <w:rFonts w:ascii="Times New Roman" w:hAnsi="Times New Roman" w:cs="Times New Roman"/>
              </w:rPr>
            </w:pPr>
            <w:r w:rsidRPr="00F11A3E">
              <w:rPr>
                <w:rFonts w:ascii="Times New Roman" w:hAnsi="Times New Roman" w:cs="Times New Roman"/>
              </w:rPr>
              <w:t>0.0349</w:t>
            </w:r>
          </w:p>
        </w:tc>
      </w:tr>
      <w:tr w:rsidR="00B71DBA" w:rsidRPr="00F11A3E" w14:paraId="16D00E3E" w14:textId="77777777" w:rsidTr="00F11A3E">
        <w:tc>
          <w:tcPr>
            <w:tcW w:w="2500" w:type="pct"/>
          </w:tcPr>
          <w:p w14:paraId="4D595AEF" w14:textId="79D44578" w:rsidR="00B71DBA" w:rsidRPr="00F11A3E" w:rsidRDefault="00B71DBA" w:rsidP="00F11A3E">
            <w:pPr>
              <w:pStyle w:val="Standard"/>
              <w:spacing w:line="276" w:lineRule="auto"/>
              <w:rPr>
                <w:rFonts w:ascii="Times New Roman" w:hAnsi="Times New Roman" w:cs="Times New Roman"/>
              </w:rPr>
            </w:pPr>
            <w:r w:rsidRPr="00F11A3E">
              <w:rPr>
                <w:rFonts w:ascii="Times New Roman" w:hAnsi="Times New Roman" w:cs="Times New Roman"/>
              </w:rPr>
              <w:t>Friesland</w:t>
            </w:r>
          </w:p>
        </w:tc>
        <w:tc>
          <w:tcPr>
            <w:tcW w:w="2500" w:type="pct"/>
          </w:tcPr>
          <w:p w14:paraId="78025DEF" w14:textId="097EDF86" w:rsidR="00B71DBA" w:rsidRPr="00F11A3E" w:rsidRDefault="00B71DBA" w:rsidP="00F11A3E">
            <w:pPr>
              <w:pStyle w:val="Standard"/>
              <w:spacing w:line="276" w:lineRule="auto"/>
              <w:rPr>
                <w:rFonts w:ascii="Times New Roman" w:hAnsi="Times New Roman" w:cs="Times New Roman"/>
              </w:rPr>
            </w:pPr>
            <w:r w:rsidRPr="00F11A3E">
              <w:rPr>
                <w:rFonts w:ascii="Times New Roman" w:hAnsi="Times New Roman" w:cs="Times New Roman"/>
              </w:rPr>
              <w:t>0.0371</w:t>
            </w:r>
          </w:p>
        </w:tc>
      </w:tr>
      <w:tr w:rsidR="00B71DBA" w:rsidRPr="00F11A3E" w14:paraId="4C107E0E" w14:textId="77777777" w:rsidTr="00F11A3E">
        <w:tc>
          <w:tcPr>
            <w:tcW w:w="2500" w:type="pct"/>
          </w:tcPr>
          <w:p w14:paraId="46BF12A6" w14:textId="4509CA26" w:rsidR="00B71DBA" w:rsidRPr="00F11A3E" w:rsidRDefault="00B71DBA" w:rsidP="00F11A3E">
            <w:pPr>
              <w:pStyle w:val="Standard"/>
              <w:spacing w:line="276" w:lineRule="auto"/>
              <w:rPr>
                <w:rFonts w:ascii="Times New Roman" w:hAnsi="Times New Roman" w:cs="Times New Roman"/>
              </w:rPr>
            </w:pPr>
            <w:r w:rsidRPr="00F11A3E">
              <w:rPr>
                <w:rFonts w:ascii="Times New Roman" w:hAnsi="Times New Roman" w:cs="Times New Roman"/>
              </w:rPr>
              <w:t>Drenthe</w:t>
            </w:r>
          </w:p>
        </w:tc>
        <w:tc>
          <w:tcPr>
            <w:tcW w:w="2500" w:type="pct"/>
          </w:tcPr>
          <w:p w14:paraId="2B3B5800" w14:textId="031205C8" w:rsidR="00B71DBA" w:rsidRPr="00F11A3E" w:rsidRDefault="00B71DBA" w:rsidP="00F11A3E">
            <w:pPr>
              <w:pStyle w:val="Standard"/>
              <w:spacing w:line="276" w:lineRule="auto"/>
              <w:rPr>
                <w:rFonts w:ascii="Times New Roman" w:hAnsi="Times New Roman" w:cs="Times New Roman"/>
              </w:rPr>
            </w:pPr>
            <w:r w:rsidRPr="00F11A3E">
              <w:rPr>
                <w:rFonts w:ascii="Times New Roman" w:hAnsi="Times New Roman" w:cs="Times New Roman"/>
              </w:rPr>
              <w:t>0.0291</w:t>
            </w:r>
          </w:p>
        </w:tc>
      </w:tr>
      <w:tr w:rsidR="00B71DBA" w:rsidRPr="00F11A3E" w14:paraId="03D6B81F" w14:textId="77777777" w:rsidTr="00F11A3E">
        <w:tc>
          <w:tcPr>
            <w:tcW w:w="2500" w:type="pct"/>
          </w:tcPr>
          <w:p w14:paraId="2FC0C4B1" w14:textId="1CFB6E10" w:rsidR="00B71DBA" w:rsidRPr="00F11A3E" w:rsidRDefault="00B71DBA" w:rsidP="00F11A3E">
            <w:pPr>
              <w:pStyle w:val="Standard"/>
              <w:spacing w:line="276" w:lineRule="auto"/>
              <w:rPr>
                <w:rFonts w:ascii="Times New Roman" w:hAnsi="Times New Roman" w:cs="Times New Roman"/>
              </w:rPr>
            </w:pPr>
            <w:proofErr w:type="spellStart"/>
            <w:r w:rsidRPr="00F11A3E">
              <w:rPr>
                <w:rFonts w:ascii="Times New Roman" w:hAnsi="Times New Roman" w:cs="Times New Roman"/>
              </w:rPr>
              <w:t>Overijssel</w:t>
            </w:r>
            <w:proofErr w:type="spellEnd"/>
          </w:p>
        </w:tc>
        <w:tc>
          <w:tcPr>
            <w:tcW w:w="2500" w:type="pct"/>
          </w:tcPr>
          <w:p w14:paraId="11467978" w14:textId="2F4279DD" w:rsidR="00B71DBA" w:rsidRPr="00F11A3E" w:rsidRDefault="00B71DBA" w:rsidP="00F11A3E">
            <w:pPr>
              <w:pStyle w:val="Standard"/>
              <w:spacing w:line="276" w:lineRule="auto"/>
              <w:rPr>
                <w:rFonts w:ascii="Times New Roman" w:hAnsi="Times New Roman" w:cs="Times New Roman"/>
              </w:rPr>
            </w:pPr>
            <w:r w:rsidRPr="00F11A3E">
              <w:rPr>
                <w:rFonts w:ascii="Times New Roman" w:hAnsi="Times New Roman" w:cs="Times New Roman"/>
              </w:rPr>
              <w:t>0.0700</w:t>
            </w:r>
          </w:p>
        </w:tc>
      </w:tr>
      <w:tr w:rsidR="00B71DBA" w:rsidRPr="00F11A3E" w14:paraId="53C0BF09" w14:textId="77777777" w:rsidTr="00F11A3E">
        <w:tc>
          <w:tcPr>
            <w:tcW w:w="2500" w:type="pct"/>
          </w:tcPr>
          <w:p w14:paraId="5F623CB9" w14:textId="711F237A" w:rsidR="00B71DBA" w:rsidRPr="00F11A3E" w:rsidRDefault="00B71DBA" w:rsidP="00F11A3E">
            <w:pPr>
              <w:pStyle w:val="Standard"/>
              <w:spacing w:line="276" w:lineRule="auto"/>
              <w:rPr>
                <w:rFonts w:ascii="Times New Roman" w:hAnsi="Times New Roman" w:cs="Times New Roman"/>
              </w:rPr>
            </w:pPr>
            <w:r w:rsidRPr="00F11A3E">
              <w:rPr>
                <w:rFonts w:ascii="Times New Roman" w:hAnsi="Times New Roman" w:cs="Times New Roman"/>
              </w:rPr>
              <w:t>Flevoland</w:t>
            </w:r>
          </w:p>
        </w:tc>
        <w:tc>
          <w:tcPr>
            <w:tcW w:w="2500" w:type="pct"/>
          </w:tcPr>
          <w:p w14:paraId="56C07FA4" w14:textId="54586F3A" w:rsidR="00B71DBA" w:rsidRPr="00F11A3E" w:rsidRDefault="00B71DBA" w:rsidP="00F11A3E">
            <w:pPr>
              <w:pStyle w:val="Standard"/>
              <w:spacing w:line="276" w:lineRule="auto"/>
              <w:rPr>
                <w:rFonts w:ascii="Times New Roman" w:hAnsi="Times New Roman" w:cs="Times New Roman"/>
              </w:rPr>
            </w:pPr>
            <w:r w:rsidRPr="00F11A3E">
              <w:rPr>
                <w:rFonts w:ascii="Times New Roman" w:hAnsi="Times New Roman" w:cs="Times New Roman"/>
              </w:rPr>
              <w:t>0.0183</w:t>
            </w:r>
          </w:p>
        </w:tc>
      </w:tr>
      <w:tr w:rsidR="00B71DBA" w:rsidRPr="00F11A3E" w14:paraId="2ADB140D" w14:textId="77777777" w:rsidTr="00F11A3E">
        <w:tc>
          <w:tcPr>
            <w:tcW w:w="2500" w:type="pct"/>
          </w:tcPr>
          <w:p w14:paraId="246DB103" w14:textId="392E40AD" w:rsidR="00B71DBA" w:rsidRPr="00F11A3E" w:rsidRDefault="00B71DBA" w:rsidP="00F11A3E">
            <w:pPr>
              <w:pStyle w:val="Standard"/>
              <w:spacing w:line="276" w:lineRule="auto"/>
              <w:rPr>
                <w:rFonts w:ascii="Times New Roman" w:hAnsi="Times New Roman" w:cs="Times New Roman"/>
              </w:rPr>
            </w:pPr>
            <w:r w:rsidRPr="00F11A3E">
              <w:rPr>
                <w:rFonts w:ascii="Times New Roman" w:hAnsi="Times New Roman" w:cs="Times New Roman"/>
              </w:rPr>
              <w:t>Gelderland</w:t>
            </w:r>
          </w:p>
        </w:tc>
        <w:tc>
          <w:tcPr>
            <w:tcW w:w="2500" w:type="pct"/>
          </w:tcPr>
          <w:p w14:paraId="1F2C7EE2" w14:textId="3372C31B" w:rsidR="00B71DBA" w:rsidRPr="00F11A3E" w:rsidRDefault="00B71DBA" w:rsidP="00F11A3E">
            <w:pPr>
              <w:pStyle w:val="Standard"/>
              <w:spacing w:line="276" w:lineRule="auto"/>
              <w:rPr>
                <w:rFonts w:ascii="Times New Roman" w:hAnsi="Times New Roman" w:cs="Times New Roman"/>
              </w:rPr>
            </w:pPr>
            <w:r w:rsidRPr="00F11A3E">
              <w:rPr>
                <w:rFonts w:ascii="Times New Roman" w:hAnsi="Times New Roman" w:cs="Times New Roman"/>
              </w:rPr>
              <w:t>0.1220</w:t>
            </w:r>
          </w:p>
        </w:tc>
      </w:tr>
      <w:tr w:rsidR="00B71DBA" w:rsidRPr="00F11A3E" w14:paraId="25B65617" w14:textId="77777777" w:rsidTr="00F11A3E">
        <w:tc>
          <w:tcPr>
            <w:tcW w:w="2500" w:type="pct"/>
          </w:tcPr>
          <w:p w14:paraId="319D07CC" w14:textId="3A14ABBA" w:rsidR="00B71DBA" w:rsidRPr="00F11A3E" w:rsidRDefault="00B71DBA" w:rsidP="00F11A3E">
            <w:pPr>
              <w:pStyle w:val="Standard"/>
              <w:spacing w:line="276" w:lineRule="auto"/>
              <w:rPr>
                <w:rFonts w:ascii="Times New Roman" w:hAnsi="Times New Roman" w:cs="Times New Roman"/>
              </w:rPr>
            </w:pPr>
            <w:r w:rsidRPr="00F11A3E">
              <w:rPr>
                <w:rFonts w:ascii="Times New Roman" w:hAnsi="Times New Roman" w:cs="Times New Roman"/>
              </w:rPr>
              <w:t>Utrecht</w:t>
            </w:r>
          </w:p>
        </w:tc>
        <w:tc>
          <w:tcPr>
            <w:tcW w:w="2500" w:type="pct"/>
          </w:tcPr>
          <w:p w14:paraId="7040E51D" w14:textId="6170C833" w:rsidR="00B71DBA" w:rsidRPr="00F11A3E" w:rsidRDefault="00B71DBA" w:rsidP="00F11A3E">
            <w:pPr>
              <w:pStyle w:val="Standard"/>
              <w:spacing w:line="276" w:lineRule="auto"/>
              <w:rPr>
                <w:rFonts w:ascii="Times New Roman" w:hAnsi="Times New Roman" w:cs="Times New Roman"/>
              </w:rPr>
            </w:pPr>
            <w:r w:rsidRPr="00F11A3E">
              <w:rPr>
                <w:rFonts w:ascii="Times New Roman" w:hAnsi="Times New Roman" w:cs="Times New Roman"/>
              </w:rPr>
              <w:t>0.0610</w:t>
            </w:r>
          </w:p>
        </w:tc>
      </w:tr>
      <w:tr w:rsidR="00B71DBA" w:rsidRPr="00F11A3E" w14:paraId="78607783" w14:textId="77777777" w:rsidTr="00F11A3E">
        <w:tc>
          <w:tcPr>
            <w:tcW w:w="2500" w:type="pct"/>
          </w:tcPr>
          <w:p w14:paraId="5F117643" w14:textId="0002FBBA" w:rsidR="00B71DBA" w:rsidRPr="00F11A3E" w:rsidRDefault="00B71DBA" w:rsidP="00F11A3E">
            <w:pPr>
              <w:pStyle w:val="Standard"/>
              <w:spacing w:line="276" w:lineRule="auto"/>
              <w:rPr>
                <w:rFonts w:ascii="Times New Roman" w:hAnsi="Times New Roman" w:cs="Times New Roman"/>
              </w:rPr>
            </w:pPr>
            <w:r w:rsidRPr="00F11A3E">
              <w:rPr>
                <w:rFonts w:ascii="Times New Roman" w:hAnsi="Times New Roman" w:cs="Times New Roman"/>
              </w:rPr>
              <w:t>Noord-Holland</w:t>
            </w:r>
          </w:p>
        </w:tc>
        <w:tc>
          <w:tcPr>
            <w:tcW w:w="2500" w:type="pct"/>
          </w:tcPr>
          <w:p w14:paraId="3BF2D43D" w14:textId="0F5B6CFB" w:rsidR="00B71DBA" w:rsidRPr="00F11A3E" w:rsidRDefault="00B71DBA" w:rsidP="00F11A3E">
            <w:pPr>
              <w:pStyle w:val="Standard"/>
              <w:spacing w:line="276" w:lineRule="auto"/>
              <w:rPr>
                <w:rFonts w:ascii="Times New Roman" w:hAnsi="Times New Roman" w:cs="Times New Roman"/>
              </w:rPr>
            </w:pPr>
            <w:r w:rsidRPr="00F11A3E">
              <w:rPr>
                <w:rFonts w:ascii="Times New Roman" w:hAnsi="Times New Roman" w:cs="Times New Roman"/>
              </w:rPr>
              <w:t>0.1514</w:t>
            </w:r>
          </w:p>
        </w:tc>
      </w:tr>
      <w:tr w:rsidR="00B71DBA" w:rsidRPr="00F11A3E" w14:paraId="10652EDA" w14:textId="77777777" w:rsidTr="00F11A3E">
        <w:tc>
          <w:tcPr>
            <w:tcW w:w="2500" w:type="pct"/>
          </w:tcPr>
          <w:p w14:paraId="27D5D7EC" w14:textId="661197A3" w:rsidR="00B71DBA" w:rsidRPr="00F11A3E" w:rsidRDefault="00B71DBA" w:rsidP="00F11A3E">
            <w:pPr>
              <w:pStyle w:val="Standard"/>
              <w:spacing w:line="276" w:lineRule="auto"/>
              <w:rPr>
                <w:rFonts w:ascii="Times New Roman" w:hAnsi="Times New Roman" w:cs="Times New Roman"/>
              </w:rPr>
            </w:pPr>
            <w:r w:rsidRPr="00F11A3E">
              <w:rPr>
                <w:rFonts w:ascii="Times New Roman" w:hAnsi="Times New Roman" w:cs="Times New Roman"/>
              </w:rPr>
              <w:t>Zuid-Holland</w:t>
            </w:r>
          </w:p>
        </w:tc>
        <w:tc>
          <w:tcPr>
            <w:tcW w:w="2500" w:type="pct"/>
          </w:tcPr>
          <w:p w14:paraId="51C951F9" w14:textId="649B968F" w:rsidR="00B71DBA" w:rsidRPr="00F11A3E" w:rsidRDefault="00B71DBA" w:rsidP="00F11A3E">
            <w:pPr>
              <w:pStyle w:val="Standard"/>
              <w:spacing w:line="276" w:lineRule="auto"/>
              <w:rPr>
                <w:rFonts w:ascii="Times New Roman" w:hAnsi="Times New Roman" w:cs="Times New Roman"/>
              </w:rPr>
            </w:pPr>
            <w:r w:rsidRPr="00F11A3E">
              <w:rPr>
                <w:rFonts w:ascii="Times New Roman" w:hAnsi="Times New Roman" w:cs="Times New Roman"/>
              </w:rPr>
              <w:t>0.2090</w:t>
            </w:r>
          </w:p>
        </w:tc>
      </w:tr>
      <w:tr w:rsidR="00B71DBA" w:rsidRPr="00F11A3E" w14:paraId="7A878C7D" w14:textId="77777777" w:rsidTr="00F11A3E">
        <w:tc>
          <w:tcPr>
            <w:tcW w:w="2500" w:type="pct"/>
          </w:tcPr>
          <w:p w14:paraId="14C322C3" w14:textId="14F71AF8" w:rsidR="00B71DBA" w:rsidRPr="00F11A3E" w:rsidRDefault="00B71DBA" w:rsidP="00F11A3E">
            <w:pPr>
              <w:pStyle w:val="Standard"/>
              <w:spacing w:line="276" w:lineRule="auto"/>
              <w:rPr>
                <w:rFonts w:ascii="Times New Roman" w:hAnsi="Times New Roman" w:cs="Times New Roman"/>
              </w:rPr>
            </w:pPr>
            <w:r w:rsidRPr="00F11A3E">
              <w:rPr>
                <w:rFonts w:ascii="Times New Roman" w:hAnsi="Times New Roman" w:cs="Times New Roman"/>
              </w:rPr>
              <w:t>Zeeland</w:t>
            </w:r>
          </w:p>
        </w:tc>
        <w:tc>
          <w:tcPr>
            <w:tcW w:w="2500" w:type="pct"/>
          </w:tcPr>
          <w:p w14:paraId="1D1943D8" w14:textId="0AB32510" w:rsidR="00B71DBA" w:rsidRPr="00F11A3E" w:rsidRDefault="00B71DBA" w:rsidP="00F11A3E">
            <w:pPr>
              <w:pStyle w:val="Standard"/>
              <w:spacing w:line="276" w:lineRule="auto"/>
              <w:rPr>
                <w:rFonts w:ascii="Times New Roman" w:hAnsi="Times New Roman" w:cs="Times New Roman"/>
              </w:rPr>
            </w:pPr>
            <w:r w:rsidRPr="00F11A3E">
              <w:rPr>
                <w:rFonts w:ascii="Times New Roman" w:hAnsi="Times New Roman" w:cs="Times New Roman"/>
              </w:rPr>
              <w:t>0.0250</w:t>
            </w:r>
          </w:p>
        </w:tc>
      </w:tr>
      <w:tr w:rsidR="00B71DBA" w:rsidRPr="00F11A3E" w14:paraId="320C5672" w14:textId="77777777" w:rsidTr="00F11A3E">
        <w:tc>
          <w:tcPr>
            <w:tcW w:w="2500" w:type="pct"/>
          </w:tcPr>
          <w:p w14:paraId="3D258AA6" w14:textId="506F31CD" w:rsidR="00B71DBA" w:rsidRPr="00F11A3E" w:rsidRDefault="00B71DBA" w:rsidP="00F11A3E">
            <w:pPr>
              <w:pStyle w:val="Standard"/>
              <w:spacing w:line="276" w:lineRule="auto"/>
              <w:rPr>
                <w:rFonts w:ascii="Times New Roman" w:hAnsi="Times New Roman" w:cs="Times New Roman"/>
              </w:rPr>
            </w:pPr>
            <w:r w:rsidRPr="00F11A3E">
              <w:rPr>
                <w:rFonts w:ascii="Times New Roman" w:hAnsi="Times New Roman" w:cs="Times New Roman"/>
              </w:rPr>
              <w:t>Noord-Brabant</w:t>
            </w:r>
          </w:p>
        </w:tc>
        <w:tc>
          <w:tcPr>
            <w:tcW w:w="2500" w:type="pct"/>
          </w:tcPr>
          <w:p w14:paraId="6444EA3A" w14:textId="3E2248F0" w:rsidR="00B71DBA" w:rsidRPr="00F11A3E" w:rsidRDefault="00B71DBA" w:rsidP="00F11A3E">
            <w:pPr>
              <w:pStyle w:val="Standard"/>
              <w:spacing w:line="276" w:lineRule="auto"/>
              <w:rPr>
                <w:rFonts w:ascii="Times New Roman" w:hAnsi="Times New Roman" w:cs="Times New Roman"/>
              </w:rPr>
            </w:pPr>
            <w:r w:rsidRPr="00F11A3E">
              <w:rPr>
                <w:rFonts w:ascii="Times New Roman" w:hAnsi="Times New Roman" w:cs="Times New Roman"/>
              </w:rPr>
              <w:t>0.1585</w:t>
            </w:r>
          </w:p>
        </w:tc>
      </w:tr>
      <w:tr w:rsidR="00B71DBA" w:rsidRPr="00F11A3E" w14:paraId="1AA49E8C" w14:textId="77777777" w:rsidTr="00F11A3E">
        <w:tc>
          <w:tcPr>
            <w:tcW w:w="2500" w:type="pct"/>
          </w:tcPr>
          <w:p w14:paraId="1B2DF189" w14:textId="43AC02AC" w:rsidR="00B71DBA" w:rsidRPr="00F11A3E" w:rsidRDefault="00B71DBA" w:rsidP="00F11A3E">
            <w:pPr>
              <w:pStyle w:val="Standard"/>
              <w:spacing w:line="276" w:lineRule="auto"/>
              <w:rPr>
                <w:rFonts w:ascii="Times New Roman" w:hAnsi="Times New Roman" w:cs="Times New Roman"/>
              </w:rPr>
            </w:pPr>
            <w:r w:rsidRPr="00F11A3E">
              <w:rPr>
                <w:rFonts w:ascii="Times New Roman" w:hAnsi="Times New Roman" w:cs="Times New Roman"/>
              </w:rPr>
              <w:t>Limburg</w:t>
            </w:r>
          </w:p>
        </w:tc>
        <w:tc>
          <w:tcPr>
            <w:tcW w:w="2500" w:type="pct"/>
          </w:tcPr>
          <w:p w14:paraId="4C97E671" w14:textId="3A0F80F8" w:rsidR="00B71DBA" w:rsidRPr="00F11A3E" w:rsidRDefault="00B71DBA" w:rsidP="00F11A3E">
            <w:pPr>
              <w:pStyle w:val="Standard"/>
              <w:spacing w:line="276" w:lineRule="auto"/>
              <w:rPr>
                <w:rFonts w:ascii="Times New Roman" w:hAnsi="Times New Roman" w:cs="Times New Roman"/>
              </w:rPr>
            </w:pPr>
            <w:r w:rsidRPr="00F11A3E">
              <w:rPr>
                <w:rFonts w:ascii="Times New Roman" w:hAnsi="Times New Roman" w:cs="Times New Roman"/>
              </w:rPr>
              <w:t>0.0838</w:t>
            </w:r>
          </w:p>
        </w:tc>
      </w:tr>
    </w:tbl>
    <w:p w14:paraId="06EDFC2D" w14:textId="77777777" w:rsidR="00BB55DB" w:rsidRPr="00F11A3E" w:rsidRDefault="00BB55DB" w:rsidP="00F11A3E">
      <w:pPr>
        <w:pStyle w:val="Standard"/>
        <w:spacing w:line="276" w:lineRule="auto"/>
        <w:rPr>
          <w:rFonts w:ascii="Times New Roman" w:hAnsi="Times New Roman" w:cs="Times New Roman"/>
        </w:rPr>
      </w:pPr>
    </w:p>
    <w:p w14:paraId="65374295" w14:textId="3CFC895A" w:rsidR="00A259F6" w:rsidRPr="00F11A3E" w:rsidRDefault="003D64D8" w:rsidP="00F11A3E">
      <w:pPr>
        <w:pStyle w:val="Standard"/>
        <w:spacing w:line="276" w:lineRule="auto"/>
        <w:rPr>
          <w:rFonts w:ascii="Times New Roman" w:hAnsi="Times New Roman" w:cs="Times New Roman"/>
        </w:rPr>
      </w:pPr>
      <w:r w:rsidRPr="00F11A3E">
        <w:rPr>
          <w:rFonts w:ascii="Times New Roman" w:hAnsi="Times New Roman" w:cs="Times New Roman"/>
        </w:rPr>
        <w:t xml:space="preserve">Once a province is determined, the patient is placed at a random location in the specified </w:t>
      </w:r>
      <w:r w:rsidR="0003403D" w:rsidRPr="00F11A3E">
        <w:rPr>
          <w:rFonts w:ascii="Times New Roman" w:hAnsi="Times New Roman" w:cs="Times New Roman"/>
        </w:rPr>
        <w:t xml:space="preserve">province. Thus, this approach </w:t>
      </w:r>
      <w:r w:rsidR="000E75F0" w:rsidRPr="00F11A3E">
        <w:rPr>
          <w:rFonts w:ascii="Times New Roman" w:hAnsi="Times New Roman" w:cs="Times New Roman"/>
        </w:rPr>
        <w:t>only considers differences between provinces</w:t>
      </w:r>
      <w:r w:rsidR="00AF18C1" w:rsidRPr="00F11A3E">
        <w:rPr>
          <w:rFonts w:ascii="Times New Roman" w:hAnsi="Times New Roman" w:cs="Times New Roman"/>
        </w:rPr>
        <w:t>, and not within provinces.</w:t>
      </w:r>
      <w:r w:rsidR="003F1130" w:rsidRPr="00F11A3E">
        <w:rPr>
          <w:rFonts w:ascii="Times New Roman" w:hAnsi="Times New Roman" w:cs="Times New Roman"/>
        </w:rPr>
        <w:t xml:space="preserve"> </w:t>
      </w:r>
      <w:r w:rsidR="00155519" w:rsidRPr="00F11A3E">
        <w:rPr>
          <w:rFonts w:ascii="Times New Roman" w:hAnsi="Times New Roman" w:cs="Times New Roman"/>
        </w:rPr>
        <w:t>In contrast,</w:t>
      </w:r>
      <w:r w:rsidR="00A24266" w:rsidRPr="00F11A3E">
        <w:rPr>
          <w:rFonts w:ascii="Times New Roman" w:hAnsi="Times New Roman" w:cs="Times New Roman"/>
        </w:rPr>
        <w:t xml:space="preserve"> a specific number of </w:t>
      </w:r>
      <w:r w:rsidR="003F1130" w:rsidRPr="00F11A3E">
        <w:rPr>
          <w:rFonts w:ascii="Times New Roman" w:hAnsi="Times New Roman" w:cs="Times New Roman"/>
        </w:rPr>
        <w:t xml:space="preserve">general </w:t>
      </w:r>
      <w:r w:rsidR="00CF6EE1" w:rsidRPr="00F11A3E">
        <w:rPr>
          <w:rFonts w:ascii="Times New Roman" w:hAnsi="Times New Roman" w:cs="Times New Roman"/>
        </w:rPr>
        <w:t>hospitals</w:t>
      </w:r>
      <w:r w:rsidR="003F1130" w:rsidRPr="00F11A3E">
        <w:rPr>
          <w:rFonts w:ascii="Times New Roman" w:hAnsi="Times New Roman" w:cs="Times New Roman"/>
        </w:rPr>
        <w:t>, teaching hospital, academic hospital, WGS facility, and MTB agent</w:t>
      </w:r>
      <w:r w:rsidR="00A24266" w:rsidRPr="00F11A3E">
        <w:rPr>
          <w:rFonts w:ascii="Times New Roman" w:hAnsi="Times New Roman" w:cs="Times New Roman"/>
        </w:rPr>
        <w:t>s</w:t>
      </w:r>
      <w:r w:rsidR="004E01B8" w:rsidRPr="00F11A3E">
        <w:rPr>
          <w:rFonts w:ascii="Times New Roman" w:hAnsi="Times New Roman" w:cs="Times New Roman"/>
        </w:rPr>
        <w:t xml:space="preserve"> is placed within each province</w:t>
      </w:r>
      <w:r w:rsidR="00821449" w:rsidRPr="00F11A3E">
        <w:rPr>
          <w:rFonts w:ascii="Times New Roman" w:hAnsi="Times New Roman" w:cs="Times New Roman"/>
        </w:rPr>
        <w:t xml:space="preserve">. </w:t>
      </w:r>
      <w:r w:rsidR="002D2659" w:rsidRPr="00F11A3E">
        <w:rPr>
          <w:rFonts w:ascii="Times New Roman" w:hAnsi="Times New Roman" w:cs="Times New Roman"/>
        </w:rPr>
        <w:t>In total,</w:t>
      </w:r>
      <w:r w:rsidR="00E07A35" w:rsidRPr="00F11A3E">
        <w:rPr>
          <w:rFonts w:ascii="Times New Roman" w:hAnsi="Times New Roman" w:cs="Times New Roman"/>
        </w:rPr>
        <w:t xml:space="preserve"> 43 general hospitals, 21 teaching hospitals, and 8 academic hospitals (including a comprehensive cancer center)</w:t>
      </w:r>
      <w:r w:rsidR="002D2659" w:rsidRPr="00F11A3E">
        <w:rPr>
          <w:rFonts w:ascii="Times New Roman" w:hAnsi="Times New Roman" w:cs="Times New Roman"/>
        </w:rPr>
        <w:t xml:space="preserve"> are placed in Main</w:t>
      </w:r>
      <w:r w:rsidR="002128DD" w:rsidRPr="00F11A3E">
        <w:rPr>
          <w:rFonts w:ascii="Times New Roman" w:hAnsi="Times New Roman" w:cs="Times New Roman"/>
        </w:rPr>
        <w:t xml:space="preserve"> which represents the national perspective</w:t>
      </w:r>
      <w:r w:rsidR="00A96E34" w:rsidRPr="00F11A3E">
        <w:rPr>
          <w:rFonts w:ascii="Times New Roman" w:hAnsi="Times New Roman" w:cs="Times New Roman"/>
        </w:rPr>
        <w:t xml:space="preserve"> and contains all other agents</w:t>
      </w:r>
      <w:r w:rsidR="002D2659" w:rsidRPr="00F11A3E">
        <w:rPr>
          <w:rFonts w:ascii="Times New Roman" w:hAnsi="Times New Roman" w:cs="Times New Roman"/>
        </w:rPr>
        <w:t>.</w:t>
      </w:r>
    </w:p>
    <w:p w14:paraId="51F2717A" w14:textId="77777777" w:rsidR="0004766F" w:rsidRPr="00F11A3E" w:rsidRDefault="0004766F" w:rsidP="00F11A3E">
      <w:pPr>
        <w:pStyle w:val="Heading4"/>
        <w:spacing w:line="276" w:lineRule="auto"/>
        <w:rPr>
          <w:rFonts w:ascii="Times New Roman" w:hAnsi="Times New Roman" w:cs="Times New Roman"/>
        </w:rPr>
      </w:pPr>
      <w:r w:rsidRPr="00F11A3E">
        <w:rPr>
          <w:rFonts w:ascii="Times New Roman" w:hAnsi="Times New Roman" w:cs="Times New Roman"/>
        </w:rPr>
        <w:t>Treatment algorithm</w:t>
      </w:r>
    </w:p>
    <w:p w14:paraId="5CF84257" w14:textId="10A45A8B" w:rsidR="0004766F" w:rsidRPr="00F11A3E" w:rsidRDefault="00F37214" w:rsidP="00F11A3E">
      <w:pPr>
        <w:pStyle w:val="Standard"/>
        <w:spacing w:line="276" w:lineRule="auto"/>
        <w:rPr>
          <w:rFonts w:ascii="Times New Roman" w:hAnsi="Times New Roman" w:cs="Times New Roman"/>
        </w:rPr>
      </w:pPr>
      <w:r w:rsidRPr="00F11A3E">
        <w:rPr>
          <w:rFonts w:ascii="Times New Roman" w:hAnsi="Times New Roman" w:cs="Times New Roman"/>
        </w:rPr>
        <w:t>Figure 2 shows the</w:t>
      </w:r>
      <w:r w:rsidR="0004766F" w:rsidRPr="00F11A3E">
        <w:rPr>
          <w:rFonts w:ascii="Times New Roman" w:hAnsi="Times New Roman" w:cs="Times New Roman"/>
        </w:rPr>
        <w:t xml:space="preserve"> algorithm </w:t>
      </w:r>
      <w:r w:rsidRPr="00F11A3E">
        <w:rPr>
          <w:rFonts w:ascii="Times New Roman" w:hAnsi="Times New Roman" w:cs="Times New Roman"/>
        </w:rPr>
        <w:t xml:space="preserve">that </w:t>
      </w:r>
      <w:r w:rsidR="0004766F" w:rsidRPr="00F11A3E">
        <w:rPr>
          <w:rFonts w:ascii="Times New Roman" w:hAnsi="Times New Roman" w:cs="Times New Roman"/>
        </w:rPr>
        <w:t xml:space="preserve">is used </w:t>
      </w:r>
      <w:r w:rsidR="00B71DBA" w:rsidRPr="00F11A3E">
        <w:rPr>
          <w:rFonts w:ascii="Times New Roman" w:hAnsi="Times New Roman" w:cs="Times New Roman"/>
        </w:rPr>
        <w:t xml:space="preserve">in all hospitals </w:t>
      </w:r>
      <w:r w:rsidR="0004766F" w:rsidRPr="00F11A3E">
        <w:rPr>
          <w:rFonts w:ascii="Times New Roman" w:hAnsi="Times New Roman" w:cs="Times New Roman"/>
        </w:rPr>
        <w:t xml:space="preserve">to provide a </w:t>
      </w:r>
      <w:r w:rsidR="00313A6E" w:rsidRPr="00F11A3E">
        <w:rPr>
          <w:rFonts w:ascii="Times New Roman" w:hAnsi="Times New Roman" w:cs="Times New Roman"/>
        </w:rPr>
        <w:t>guideline-based</w:t>
      </w:r>
      <w:r w:rsidR="0004766F" w:rsidRPr="00F11A3E">
        <w:rPr>
          <w:rFonts w:ascii="Times New Roman" w:hAnsi="Times New Roman" w:cs="Times New Roman"/>
        </w:rPr>
        <w:t xml:space="preserve"> treatment </w:t>
      </w:r>
      <w:r w:rsidR="00313A6E" w:rsidRPr="00F11A3E">
        <w:rPr>
          <w:rFonts w:ascii="Times New Roman" w:hAnsi="Times New Roman" w:cs="Times New Roman"/>
        </w:rPr>
        <w:t>recommendation</w:t>
      </w:r>
      <w:r w:rsidR="0004766F" w:rsidRPr="00F11A3E">
        <w:rPr>
          <w:rFonts w:ascii="Times New Roman" w:hAnsi="Times New Roman" w:cs="Times New Roman"/>
        </w:rPr>
        <w:t xml:space="preserve"> once the diagnostic workflow has </w:t>
      </w:r>
      <w:r w:rsidR="00313A6E" w:rsidRPr="00F11A3E">
        <w:rPr>
          <w:rFonts w:ascii="Times New Roman" w:hAnsi="Times New Roman" w:cs="Times New Roman"/>
        </w:rPr>
        <w:t xml:space="preserve">been </w:t>
      </w:r>
      <w:r w:rsidR="0004766F" w:rsidRPr="00F11A3E">
        <w:rPr>
          <w:rFonts w:ascii="Times New Roman" w:hAnsi="Times New Roman" w:cs="Times New Roman"/>
        </w:rPr>
        <w:t xml:space="preserve">concluded, and is based on the NCCN clinical practice guidelines </w:t>
      </w:r>
      <w:r w:rsidR="0004766F" w:rsidRPr="00F11A3E">
        <w:rPr>
          <w:rFonts w:ascii="Times New Roman" w:hAnsi="Times New Roman" w:cs="Times New Roman"/>
        </w:rPr>
        <w:fldChar w:fldCharType="begin" w:fldLock="1"/>
      </w:r>
      <w:r w:rsidR="00935C50" w:rsidRPr="00F11A3E">
        <w:rPr>
          <w:rFonts w:ascii="Times New Roman" w:hAnsi="Times New Roman" w:cs="Times New Roman"/>
        </w:rPr>
        <w:instrText>ADDIN CSL_CITATION {"citationItems":[{"id":"ITEM-1","itemData":{"author":[{"dropping-particle":"","family":"National Comprehensive Cancer Network","given":"","non-dropping-particle":"","parse-names":false,"suffix":""}],"id":"ITEM-1","issued":{"date-parts":[["2020"]]},"title":"Non-Small Cell Lung Cancer (version 6.2020)","type":"report"},"uris":["http://www.mendeley.com/documents/?uuid=e2892ebc-976e-4fd6-bcde-8c25503731d4"]}],"mendeley":{"formattedCitation":"(3)","plainTextFormattedCitation":"(3)","previouslyFormattedCitation":"[3]"},"properties":{"noteIndex":0},"schema":"https://github.com/citation-style-language/schema/raw/master/csl-citation.json"}</w:instrText>
      </w:r>
      <w:r w:rsidR="0004766F" w:rsidRPr="00F11A3E">
        <w:rPr>
          <w:rFonts w:ascii="Times New Roman" w:hAnsi="Times New Roman" w:cs="Times New Roman"/>
        </w:rPr>
        <w:fldChar w:fldCharType="separate"/>
      </w:r>
      <w:r w:rsidR="00935C50" w:rsidRPr="00F11A3E">
        <w:rPr>
          <w:rFonts w:ascii="Times New Roman" w:hAnsi="Times New Roman" w:cs="Times New Roman"/>
          <w:noProof/>
        </w:rPr>
        <w:t>(3)</w:t>
      </w:r>
      <w:r w:rsidR="0004766F" w:rsidRPr="00F11A3E">
        <w:rPr>
          <w:rFonts w:ascii="Times New Roman" w:hAnsi="Times New Roman" w:cs="Times New Roman"/>
        </w:rPr>
        <w:fldChar w:fldCharType="end"/>
      </w:r>
      <w:r w:rsidR="0004766F" w:rsidRPr="00F11A3E">
        <w:rPr>
          <w:rFonts w:ascii="Times New Roman" w:hAnsi="Times New Roman" w:cs="Times New Roman"/>
        </w:rPr>
        <w:t>. It uses the outcomes of the biomarker tests for each patient. In cases where the patient-agent is eligible for both immunotherapy and targeted therapy, the latter takes precedence over the former.</w:t>
      </w:r>
    </w:p>
    <w:p w14:paraId="3B15E876" w14:textId="6E9E8888" w:rsidR="0004766F" w:rsidRPr="00F11A3E" w:rsidRDefault="00AD49B9" w:rsidP="00F11A3E">
      <w:pPr>
        <w:pStyle w:val="Standard"/>
        <w:keepNext/>
        <w:spacing w:line="276" w:lineRule="auto"/>
        <w:rPr>
          <w:rFonts w:ascii="Times New Roman" w:hAnsi="Times New Roman" w:cs="Times New Roman"/>
        </w:rPr>
      </w:pPr>
      <w:r w:rsidRPr="00F11A3E">
        <w:rPr>
          <w:rFonts w:ascii="Times New Roman" w:hAnsi="Times New Roman" w:cs="Times New Roman"/>
          <w:noProof/>
          <w:lang w:eastAsia="nl-NL"/>
        </w:rPr>
        <w:lastRenderedPageBreak/>
        <w:drawing>
          <wp:inline distT="0" distB="0" distL="0" distR="0" wp14:anchorId="2B333308" wp14:editId="4017923D">
            <wp:extent cx="5760720" cy="31108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60720" cy="3110865"/>
                    </a:xfrm>
                    <a:prstGeom prst="rect">
                      <a:avLst/>
                    </a:prstGeom>
                  </pic:spPr>
                </pic:pic>
              </a:graphicData>
            </a:graphic>
          </wp:inline>
        </w:drawing>
      </w:r>
    </w:p>
    <w:p w14:paraId="5283BD13" w14:textId="71D3A776" w:rsidR="0004766F" w:rsidRPr="00F11A3E" w:rsidRDefault="0004766F" w:rsidP="00F11A3E">
      <w:pPr>
        <w:pStyle w:val="Caption"/>
        <w:spacing w:line="276" w:lineRule="auto"/>
        <w:rPr>
          <w:rFonts w:ascii="Times New Roman" w:hAnsi="Times New Roman" w:cs="Times New Roman"/>
        </w:rPr>
      </w:pPr>
      <w:r w:rsidRPr="00F11A3E">
        <w:rPr>
          <w:rFonts w:ascii="Times New Roman" w:hAnsi="Times New Roman" w:cs="Times New Roman"/>
        </w:rPr>
        <w:t xml:space="preserve">Figure </w:t>
      </w:r>
      <w:r w:rsidRPr="00F11A3E">
        <w:rPr>
          <w:rFonts w:ascii="Times New Roman" w:hAnsi="Times New Roman" w:cs="Times New Roman"/>
        </w:rPr>
        <w:fldChar w:fldCharType="begin"/>
      </w:r>
      <w:r w:rsidRPr="00F11A3E">
        <w:rPr>
          <w:rFonts w:ascii="Times New Roman" w:hAnsi="Times New Roman" w:cs="Times New Roman"/>
        </w:rPr>
        <w:instrText xml:space="preserve"> SEQ Figure \* ARABIC </w:instrText>
      </w:r>
      <w:r w:rsidRPr="00F11A3E">
        <w:rPr>
          <w:rFonts w:ascii="Times New Roman" w:hAnsi="Times New Roman" w:cs="Times New Roman"/>
        </w:rPr>
        <w:fldChar w:fldCharType="separate"/>
      </w:r>
      <w:r w:rsidR="00394F31" w:rsidRPr="00F11A3E">
        <w:rPr>
          <w:rFonts w:ascii="Times New Roman" w:hAnsi="Times New Roman" w:cs="Times New Roman"/>
          <w:noProof/>
        </w:rPr>
        <w:t>2</w:t>
      </w:r>
      <w:r w:rsidRPr="00F11A3E">
        <w:rPr>
          <w:rFonts w:ascii="Times New Roman" w:hAnsi="Times New Roman" w:cs="Times New Roman"/>
        </w:rPr>
        <w:fldChar w:fldCharType="end"/>
      </w:r>
      <w:r w:rsidRPr="00F11A3E">
        <w:rPr>
          <w:rFonts w:ascii="Times New Roman" w:hAnsi="Times New Roman" w:cs="Times New Roman"/>
        </w:rPr>
        <w:t>. T</w:t>
      </w:r>
      <w:r w:rsidR="00F11A3E">
        <w:rPr>
          <w:rFonts w:ascii="Times New Roman" w:hAnsi="Times New Roman" w:cs="Times New Roman"/>
        </w:rPr>
        <w:t>he t</w:t>
      </w:r>
      <w:r w:rsidRPr="00F11A3E">
        <w:rPr>
          <w:rFonts w:ascii="Times New Roman" w:hAnsi="Times New Roman" w:cs="Times New Roman"/>
        </w:rPr>
        <w:t>reatment algorithm</w:t>
      </w:r>
      <w:r w:rsidR="00F11A3E">
        <w:rPr>
          <w:rFonts w:ascii="Times New Roman" w:hAnsi="Times New Roman" w:cs="Times New Roman"/>
        </w:rPr>
        <w:t xml:space="preserve"> used to give treatment recommendations.</w:t>
      </w:r>
    </w:p>
    <w:p w14:paraId="7FB15AB9" w14:textId="77777777" w:rsidR="0004766F" w:rsidRPr="00F11A3E" w:rsidRDefault="0004766F" w:rsidP="00F11A3E">
      <w:pPr>
        <w:pStyle w:val="Standard"/>
        <w:spacing w:line="276" w:lineRule="auto"/>
        <w:rPr>
          <w:rFonts w:ascii="Times New Roman" w:hAnsi="Times New Roman" w:cs="Times New Roman"/>
        </w:rPr>
      </w:pPr>
    </w:p>
    <w:p w14:paraId="7221A269" w14:textId="58F25F1A" w:rsidR="00BD57E8" w:rsidRPr="00F11A3E" w:rsidRDefault="00BD57E8" w:rsidP="00F11A3E">
      <w:pPr>
        <w:pStyle w:val="Heading3"/>
        <w:spacing w:line="276" w:lineRule="auto"/>
        <w:rPr>
          <w:rFonts w:ascii="Times New Roman" w:hAnsi="Times New Roman" w:cs="Times New Roman"/>
        </w:rPr>
      </w:pPr>
      <w:r w:rsidRPr="00F11A3E">
        <w:rPr>
          <w:rFonts w:ascii="Times New Roman" w:hAnsi="Times New Roman" w:cs="Times New Roman"/>
        </w:rPr>
        <w:t>Patient</w:t>
      </w:r>
    </w:p>
    <w:p w14:paraId="0F607CF3" w14:textId="3777F0F6" w:rsidR="00BD57E8" w:rsidRPr="00F11A3E" w:rsidRDefault="00BD57E8" w:rsidP="00F11A3E">
      <w:pPr>
        <w:pStyle w:val="Standard"/>
        <w:spacing w:line="276" w:lineRule="auto"/>
        <w:rPr>
          <w:rFonts w:ascii="Times New Roman" w:hAnsi="Times New Roman" w:cs="Times New Roman"/>
        </w:rPr>
      </w:pPr>
      <w:r w:rsidRPr="00F11A3E">
        <w:rPr>
          <w:rFonts w:ascii="Times New Roman" w:hAnsi="Times New Roman" w:cs="Times New Roman"/>
        </w:rPr>
        <w:t xml:space="preserve">This agent type reflects patients who have been diagnosed with stage IV NSCLC, but who have not yet received biomarker testing or treatment. </w:t>
      </w:r>
      <w:r w:rsidR="009D2838" w:rsidRPr="00F11A3E">
        <w:rPr>
          <w:rFonts w:ascii="Times New Roman" w:hAnsi="Times New Roman" w:cs="Times New Roman"/>
        </w:rPr>
        <w:t>The patient population is open,</w:t>
      </w:r>
      <w:r w:rsidR="00134F17" w:rsidRPr="00F11A3E">
        <w:rPr>
          <w:rFonts w:ascii="Times New Roman" w:hAnsi="Times New Roman" w:cs="Times New Roman"/>
        </w:rPr>
        <w:t xml:space="preserve"> meaning that each time period </w:t>
      </w:r>
      <w:r w:rsidR="009C59BA" w:rsidRPr="00F11A3E">
        <w:rPr>
          <w:rFonts w:ascii="Times New Roman" w:hAnsi="Times New Roman" w:cs="Times New Roman"/>
        </w:rPr>
        <w:t>new patients are being generated. The number and interarrival time of patients is determined using a Poisson distribution (</w:t>
      </w:r>
      <w:r w:rsidR="00D638E6" w:rsidRPr="00F11A3E">
        <w:rPr>
          <w:rFonts w:ascii="Times New Roman" w:hAnsi="Times New Roman" w:cs="Times New Roman"/>
        </w:rPr>
        <w:t xml:space="preserve">λ = 5313). </w:t>
      </w:r>
      <w:r w:rsidRPr="00F11A3E">
        <w:rPr>
          <w:rFonts w:ascii="Times New Roman" w:hAnsi="Times New Roman" w:cs="Times New Roman"/>
        </w:rPr>
        <w:t xml:space="preserve">When a patient-agent is generated, the </w:t>
      </w:r>
      <w:r w:rsidR="00AF18C1" w:rsidRPr="00F11A3E">
        <w:rPr>
          <w:rFonts w:ascii="Times New Roman" w:hAnsi="Times New Roman" w:cs="Times New Roman"/>
        </w:rPr>
        <w:t>patient-</w:t>
      </w:r>
      <w:r w:rsidRPr="00F11A3E">
        <w:rPr>
          <w:rFonts w:ascii="Times New Roman" w:hAnsi="Times New Roman" w:cs="Times New Roman"/>
        </w:rPr>
        <w:t xml:space="preserve">agent selects the </w:t>
      </w:r>
      <w:r w:rsidR="009A002F" w:rsidRPr="00F11A3E">
        <w:rPr>
          <w:rFonts w:ascii="Times New Roman" w:hAnsi="Times New Roman" w:cs="Times New Roman"/>
        </w:rPr>
        <w:t xml:space="preserve">nearest </w:t>
      </w:r>
      <w:r w:rsidRPr="00F11A3E">
        <w:rPr>
          <w:rFonts w:ascii="Times New Roman" w:hAnsi="Times New Roman" w:cs="Times New Roman"/>
        </w:rPr>
        <w:t>hospital</w:t>
      </w:r>
      <w:r w:rsidR="00437C40" w:rsidRPr="00F11A3E">
        <w:rPr>
          <w:rFonts w:ascii="Times New Roman" w:hAnsi="Times New Roman" w:cs="Times New Roman"/>
        </w:rPr>
        <w:t>, irrespective of hospital type,</w:t>
      </w:r>
      <w:r w:rsidRPr="00F11A3E">
        <w:rPr>
          <w:rFonts w:ascii="Times New Roman" w:hAnsi="Times New Roman" w:cs="Times New Roman"/>
        </w:rPr>
        <w:t xml:space="preserve"> and moves to </w:t>
      </w:r>
      <w:r w:rsidR="00437C40" w:rsidRPr="00F11A3E">
        <w:rPr>
          <w:rFonts w:ascii="Times New Roman" w:hAnsi="Times New Roman" w:cs="Times New Roman"/>
        </w:rPr>
        <w:t>that hospital</w:t>
      </w:r>
      <w:r w:rsidRPr="00F11A3E">
        <w:rPr>
          <w:rFonts w:ascii="Times New Roman" w:hAnsi="Times New Roman" w:cs="Times New Roman"/>
        </w:rPr>
        <w:t xml:space="preserve"> to receive biomarker testing. Patient-agents will </w:t>
      </w:r>
      <w:r w:rsidR="009A002F" w:rsidRPr="00F11A3E">
        <w:rPr>
          <w:rFonts w:ascii="Times New Roman" w:hAnsi="Times New Roman" w:cs="Times New Roman"/>
        </w:rPr>
        <w:t xml:space="preserve">only </w:t>
      </w:r>
      <w:r w:rsidRPr="00F11A3E">
        <w:rPr>
          <w:rFonts w:ascii="Times New Roman" w:hAnsi="Times New Roman" w:cs="Times New Roman"/>
        </w:rPr>
        <w:t xml:space="preserve">be removed from the model </w:t>
      </w:r>
      <w:r w:rsidR="009A002F" w:rsidRPr="00F11A3E">
        <w:rPr>
          <w:rFonts w:ascii="Times New Roman" w:hAnsi="Times New Roman" w:cs="Times New Roman"/>
        </w:rPr>
        <w:t xml:space="preserve">once their </w:t>
      </w:r>
      <w:r w:rsidRPr="00F11A3E">
        <w:rPr>
          <w:rFonts w:ascii="Times New Roman" w:hAnsi="Times New Roman" w:cs="Times New Roman"/>
        </w:rPr>
        <w:t>diagnostic pathway has been concluded or because they have died.</w:t>
      </w:r>
    </w:p>
    <w:p w14:paraId="03A631D9" w14:textId="7EFA0F1C" w:rsidR="00BD57E8" w:rsidRPr="00F11A3E" w:rsidRDefault="00BE21D9" w:rsidP="00F11A3E">
      <w:pPr>
        <w:pStyle w:val="Heading3"/>
        <w:spacing w:line="276" w:lineRule="auto"/>
        <w:rPr>
          <w:rFonts w:ascii="Times New Roman" w:hAnsi="Times New Roman" w:cs="Times New Roman"/>
        </w:rPr>
      </w:pPr>
      <w:r w:rsidRPr="00F11A3E">
        <w:rPr>
          <w:rFonts w:ascii="Times New Roman" w:hAnsi="Times New Roman" w:cs="Times New Roman"/>
        </w:rPr>
        <w:t>General</w:t>
      </w:r>
      <w:r w:rsidR="00325967" w:rsidRPr="00F11A3E">
        <w:rPr>
          <w:rFonts w:ascii="Times New Roman" w:hAnsi="Times New Roman" w:cs="Times New Roman"/>
        </w:rPr>
        <w:t xml:space="preserve">, teaching, and academic </w:t>
      </w:r>
      <w:r w:rsidRPr="00F11A3E">
        <w:rPr>
          <w:rFonts w:ascii="Times New Roman" w:hAnsi="Times New Roman" w:cs="Times New Roman"/>
        </w:rPr>
        <w:t>h</w:t>
      </w:r>
      <w:r w:rsidR="00BD57E8" w:rsidRPr="00F11A3E">
        <w:rPr>
          <w:rFonts w:ascii="Times New Roman" w:hAnsi="Times New Roman" w:cs="Times New Roman"/>
        </w:rPr>
        <w:t>ospital</w:t>
      </w:r>
      <w:r w:rsidR="00325967" w:rsidRPr="00F11A3E">
        <w:rPr>
          <w:rFonts w:ascii="Times New Roman" w:hAnsi="Times New Roman" w:cs="Times New Roman"/>
        </w:rPr>
        <w:t>s</w:t>
      </w:r>
    </w:p>
    <w:p w14:paraId="66F6EF46" w14:textId="0D53C0C8" w:rsidR="00EC6680" w:rsidRPr="00F11A3E" w:rsidRDefault="00325967" w:rsidP="00F11A3E">
      <w:pPr>
        <w:pStyle w:val="Standard"/>
        <w:spacing w:line="276" w:lineRule="auto"/>
        <w:rPr>
          <w:rFonts w:ascii="Times New Roman" w:hAnsi="Times New Roman" w:cs="Times New Roman"/>
        </w:rPr>
      </w:pPr>
      <w:r w:rsidRPr="00F11A3E">
        <w:rPr>
          <w:rFonts w:ascii="Times New Roman" w:hAnsi="Times New Roman" w:cs="Times New Roman"/>
        </w:rPr>
        <w:t>All three types of</w:t>
      </w:r>
      <w:r w:rsidR="001F7C2B" w:rsidRPr="00F11A3E">
        <w:rPr>
          <w:rFonts w:ascii="Times New Roman" w:hAnsi="Times New Roman" w:cs="Times New Roman"/>
        </w:rPr>
        <w:t xml:space="preserve"> h</w:t>
      </w:r>
      <w:r w:rsidR="00BD57E8" w:rsidRPr="00F11A3E">
        <w:rPr>
          <w:rFonts w:ascii="Times New Roman" w:hAnsi="Times New Roman" w:cs="Times New Roman"/>
        </w:rPr>
        <w:t xml:space="preserve">ospital-agents contain a DES workflow that reflects </w:t>
      </w:r>
      <w:r w:rsidR="00F843DA" w:rsidRPr="00F11A3E">
        <w:rPr>
          <w:rFonts w:ascii="Times New Roman" w:hAnsi="Times New Roman" w:cs="Times New Roman"/>
        </w:rPr>
        <w:t>the diagnostic pathway for patients with stage IV NSCLC</w:t>
      </w:r>
      <w:r w:rsidR="00BD57E8" w:rsidRPr="00F11A3E">
        <w:rPr>
          <w:rFonts w:ascii="Times New Roman" w:hAnsi="Times New Roman" w:cs="Times New Roman"/>
        </w:rPr>
        <w:t xml:space="preserve"> at a high level, </w:t>
      </w:r>
      <w:r w:rsidR="00F843DA" w:rsidRPr="00F11A3E">
        <w:rPr>
          <w:rFonts w:ascii="Times New Roman" w:hAnsi="Times New Roman" w:cs="Times New Roman"/>
        </w:rPr>
        <w:t xml:space="preserve">which is depicted in </w:t>
      </w:r>
      <w:r w:rsidR="00BD57E8" w:rsidRPr="00F11A3E">
        <w:rPr>
          <w:rFonts w:ascii="Times New Roman" w:hAnsi="Times New Roman" w:cs="Times New Roman"/>
        </w:rPr>
        <w:t xml:space="preserve">figure </w:t>
      </w:r>
      <w:r w:rsidR="007A613A" w:rsidRPr="00F11A3E">
        <w:rPr>
          <w:rFonts w:ascii="Times New Roman" w:hAnsi="Times New Roman" w:cs="Times New Roman"/>
        </w:rPr>
        <w:t>3 and 4</w:t>
      </w:r>
      <w:r w:rsidR="00BD57E8" w:rsidRPr="00F11A3E">
        <w:rPr>
          <w:rFonts w:ascii="Times New Roman" w:hAnsi="Times New Roman" w:cs="Times New Roman"/>
        </w:rPr>
        <w:t xml:space="preserve">. </w:t>
      </w:r>
      <w:r w:rsidR="00EC6680" w:rsidRPr="00F11A3E">
        <w:rPr>
          <w:rFonts w:ascii="Times New Roman" w:hAnsi="Times New Roman" w:cs="Times New Roman"/>
        </w:rPr>
        <w:t xml:space="preserve">Either a patient receives standard of care </w:t>
      </w:r>
      <w:r w:rsidR="00EB1F29" w:rsidRPr="00F11A3E">
        <w:rPr>
          <w:rFonts w:ascii="Times New Roman" w:hAnsi="Times New Roman" w:cs="Times New Roman"/>
        </w:rPr>
        <w:t xml:space="preserve">(SoC) </w:t>
      </w:r>
      <w:r w:rsidR="00EC6680" w:rsidRPr="00F11A3E">
        <w:rPr>
          <w:rFonts w:ascii="Times New Roman" w:hAnsi="Times New Roman" w:cs="Times New Roman"/>
        </w:rPr>
        <w:t xml:space="preserve">biomarker testing or WGS. </w:t>
      </w:r>
      <w:r w:rsidR="00140696" w:rsidRPr="00F11A3E">
        <w:rPr>
          <w:rFonts w:ascii="Times New Roman" w:hAnsi="Times New Roman" w:cs="Times New Roman"/>
        </w:rPr>
        <w:t>In the model, only academic hospitals have implemented WGS.</w:t>
      </w:r>
    </w:p>
    <w:p w14:paraId="7A2A55A2" w14:textId="77777777" w:rsidR="002B16ED" w:rsidRPr="00F11A3E" w:rsidRDefault="00BD57E8" w:rsidP="00F11A3E">
      <w:pPr>
        <w:pStyle w:val="Standard"/>
        <w:spacing w:line="276" w:lineRule="auto"/>
        <w:rPr>
          <w:rFonts w:ascii="Times New Roman" w:hAnsi="Times New Roman" w:cs="Times New Roman"/>
        </w:rPr>
      </w:pPr>
      <w:r w:rsidRPr="00F11A3E">
        <w:rPr>
          <w:rFonts w:ascii="Times New Roman" w:hAnsi="Times New Roman" w:cs="Times New Roman"/>
        </w:rPr>
        <w:t xml:space="preserve">When a patient-agent enters </w:t>
      </w:r>
      <w:r w:rsidR="00F843DA" w:rsidRPr="00F11A3E">
        <w:rPr>
          <w:rFonts w:ascii="Times New Roman" w:hAnsi="Times New Roman" w:cs="Times New Roman"/>
        </w:rPr>
        <w:t xml:space="preserve">the workflow in </w:t>
      </w:r>
      <w:r w:rsidR="006B0EFD" w:rsidRPr="00F11A3E">
        <w:rPr>
          <w:rFonts w:ascii="Times New Roman" w:hAnsi="Times New Roman" w:cs="Times New Roman"/>
        </w:rPr>
        <w:t>one of the hospitals</w:t>
      </w:r>
      <w:r w:rsidRPr="00F11A3E">
        <w:rPr>
          <w:rFonts w:ascii="Times New Roman" w:hAnsi="Times New Roman" w:cs="Times New Roman"/>
        </w:rPr>
        <w:t xml:space="preserve">, it is checked whether this specific hospital has implemented WGS. If that is the case, </w:t>
      </w:r>
      <w:r w:rsidR="00A57336" w:rsidRPr="00F11A3E">
        <w:rPr>
          <w:rFonts w:ascii="Times New Roman" w:hAnsi="Times New Roman" w:cs="Times New Roman"/>
        </w:rPr>
        <w:t>it is checked whether the patient matches the indication for WGS</w:t>
      </w:r>
      <w:r w:rsidRPr="00F11A3E">
        <w:rPr>
          <w:rFonts w:ascii="Times New Roman" w:hAnsi="Times New Roman" w:cs="Times New Roman"/>
        </w:rPr>
        <w:t>. If the patient does not match the indication for WGS, the patient will receive standard</w:t>
      </w:r>
      <w:r w:rsidR="00140696" w:rsidRPr="00F11A3E">
        <w:rPr>
          <w:rFonts w:ascii="Times New Roman" w:hAnsi="Times New Roman" w:cs="Times New Roman"/>
        </w:rPr>
        <w:t xml:space="preserve"> of care biomarker testing</w:t>
      </w:r>
      <w:r w:rsidRPr="00F11A3E">
        <w:rPr>
          <w:rFonts w:ascii="Times New Roman" w:hAnsi="Times New Roman" w:cs="Times New Roman"/>
        </w:rPr>
        <w:t xml:space="preserve">. </w:t>
      </w:r>
      <w:r w:rsidR="00EC6680" w:rsidRPr="00F11A3E">
        <w:rPr>
          <w:rFonts w:ascii="Times New Roman" w:hAnsi="Times New Roman" w:cs="Times New Roman"/>
        </w:rPr>
        <w:t xml:space="preserve">If the patient matches the indication for WGS, it is further checked whether the patient prefers WGS over </w:t>
      </w:r>
      <w:r w:rsidR="00EB1F29" w:rsidRPr="00F11A3E">
        <w:rPr>
          <w:rFonts w:ascii="Times New Roman" w:hAnsi="Times New Roman" w:cs="Times New Roman"/>
        </w:rPr>
        <w:t>SoC</w:t>
      </w:r>
      <w:r w:rsidR="004855CA" w:rsidRPr="00F11A3E">
        <w:rPr>
          <w:rFonts w:ascii="Times New Roman" w:hAnsi="Times New Roman" w:cs="Times New Roman"/>
        </w:rPr>
        <w:t xml:space="preserve"> (</w:t>
      </w:r>
      <w:r w:rsidR="00796B35" w:rsidRPr="00F11A3E">
        <w:rPr>
          <w:rFonts w:ascii="Times New Roman" w:hAnsi="Times New Roman" w:cs="Times New Roman"/>
        </w:rPr>
        <w:t>P</w:t>
      </w:r>
      <w:r w:rsidR="004855CA" w:rsidRPr="00F11A3E">
        <w:rPr>
          <w:rFonts w:ascii="Times New Roman" w:hAnsi="Times New Roman" w:cs="Times New Roman"/>
        </w:rPr>
        <w:t xml:space="preserve"> = 0.90)</w:t>
      </w:r>
      <w:r w:rsidR="00EC6680" w:rsidRPr="00F11A3E">
        <w:rPr>
          <w:rFonts w:ascii="Times New Roman" w:hAnsi="Times New Roman" w:cs="Times New Roman"/>
        </w:rPr>
        <w:t xml:space="preserve"> and whether the physician has adopted WGS</w:t>
      </w:r>
      <w:r w:rsidR="00796B35" w:rsidRPr="00F11A3E">
        <w:rPr>
          <w:rFonts w:ascii="Times New Roman" w:hAnsi="Times New Roman" w:cs="Times New Roman"/>
        </w:rPr>
        <w:t xml:space="preserve"> (P = 0.90)</w:t>
      </w:r>
      <w:r w:rsidR="00EC6680" w:rsidRPr="00F11A3E">
        <w:rPr>
          <w:rFonts w:ascii="Times New Roman" w:hAnsi="Times New Roman" w:cs="Times New Roman"/>
        </w:rPr>
        <w:t xml:space="preserve">. Both conditions need to be true for the patient to receive WGS. </w:t>
      </w:r>
    </w:p>
    <w:p w14:paraId="711FFAA4" w14:textId="26F75952" w:rsidR="008F5E4C" w:rsidRPr="00F11A3E" w:rsidRDefault="00EC6680" w:rsidP="00F11A3E">
      <w:pPr>
        <w:pStyle w:val="Standard"/>
        <w:spacing w:line="276" w:lineRule="auto"/>
        <w:rPr>
          <w:rFonts w:ascii="Times New Roman" w:hAnsi="Times New Roman" w:cs="Times New Roman"/>
        </w:rPr>
      </w:pPr>
      <w:r w:rsidRPr="00F11A3E">
        <w:rPr>
          <w:rFonts w:ascii="Times New Roman" w:hAnsi="Times New Roman" w:cs="Times New Roman"/>
        </w:rPr>
        <w:t xml:space="preserve">Subsequently, a new agent is generated, representing a biopsy to be used for WGS. To be suitable for WGS the biopsy must contain at least 20% tumor cells. In reality, this is visually inspected by a pathologist. In the model, this is evaluated within the hospital care flow. </w:t>
      </w:r>
      <w:r w:rsidR="00C427E2" w:rsidRPr="00F11A3E">
        <w:rPr>
          <w:rFonts w:ascii="Times New Roman" w:hAnsi="Times New Roman" w:cs="Times New Roman"/>
        </w:rPr>
        <w:t xml:space="preserve">The probability that a given biopsy contains </w:t>
      </w:r>
      <w:r w:rsidR="001547BE" w:rsidRPr="00F11A3E">
        <w:rPr>
          <w:rFonts w:ascii="Times New Roman" w:hAnsi="Times New Roman" w:cs="Times New Roman"/>
        </w:rPr>
        <w:t xml:space="preserve">at least 20% tumor cells is determined using a beta distribution (p = 570, q = 297, min = 0, max = 1). </w:t>
      </w:r>
      <w:r w:rsidRPr="00F11A3E">
        <w:rPr>
          <w:rFonts w:ascii="Times New Roman" w:hAnsi="Times New Roman" w:cs="Times New Roman"/>
        </w:rPr>
        <w:t xml:space="preserve">If the biopsy indeed contains at least 20% tumor cells, the biopsy is sent to most nearby WGS facility-agent, where it enters a workflow that represents </w:t>
      </w:r>
      <w:r w:rsidR="00187B0D" w:rsidRPr="00F11A3E">
        <w:rPr>
          <w:rFonts w:ascii="Times New Roman" w:hAnsi="Times New Roman" w:cs="Times New Roman"/>
        </w:rPr>
        <w:t>the process of conducting WGS</w:t>
      </w:r>
      <w:r w:rsidRPr="00F11A3E">
        <w:rPr>
          <w:rFonts w:ascii="Times New Roman" w:hAnsi="Times New Roman" w:cs="Times New Roman"/>
        </w:rPr>
        <w:t>.</w:t>
      </w:r>
    </w:p>
    <w:p w14:paraId="31DB9669" w14:textId="77777777" w:rsidR="00441986" w:rsidRPr="00F11A3E" w:rsidRDefault="00441986" w:rsidP="00F11A3E">
      <w:pPr>
        <w:pStyle w:val="Standard"/>
        <w:spacing w:line="276" w:lineRule="auto"/>
        <w:rPr>
          <w:rFonts w:ascii="Times New Roman" w:hAnsi="Times New Roman" w:cs="Times New Roman"/>
          <w:noProof/>
          <w:lang w:eastAsia="nl-NL"/>
        </w:rPr>
        <w:sectPr w:rsidR="00441986" w:rsidRPr="00F11A3E">
          <w:pgSz w:w="11906" w:h="16838"/>
          <w:pgMar w:top="1417" w:right="1417" w:bottom="1417" w:left="1417" w:header="720" w:footer="720" w:gutter="0"/>
          <w:cols w:space="720"/>
        </w:sectPr>
      </w:pPr>
    </w:p>
    <w:p w14:paraId="19D314D2" w14:textId="59C03BFB" w:rsidR="00BD57E8" w:rsidRPr="00F11A3E" w:rsidRDefault="00CC1B15" w:rsidP="00F11A3E">
      <w:pPr>
        <w:pStyle w:val="Standard"/>
        <w:spacing w:line="276" w:lineRule="auto"/>
        <w:rPr>
          <w:rFonts w:ascii="Times New Roman" w:hAnsi="Times New Roman" w:cs="Times New Roman"/>
        </w:rPr>
      </w:pPr>
      <w:r w:rsidRPr="00F11A3E">
        <w:rPr>
          <w:rFonts w:ascii="Times New Roman" w:hAnsi="Times New Roman" w:cs="Times New Roman"/>
          <w:noProof/>
          <w:lang w:eastAsia="nl-NL"/>
        </w:rPr>
        <w:lastRenderedPageBreak/>
        <w:drawing>
          <wp:inline distT="0" distB="0" distL="0" distR="0" wp14:anchorId="3D8B762A" wp14:editId="60886745">
            <wp:extent cx="8892540" cy="3042285"/>
            <wp:effectExtent l="0" t="0" r="381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8892540" cy="3042285"/>
                    </a:xfrm>
                    <a:prstGeom prst="rect">
                      <a:avLst/>
                    </a:prstGeom>
                  </pic:spPr>
                </pic:pic>
              </a:graphicData>
            </a:graphic>
          </wp:inline>
        </w:drawing>
      </w:r>
      <w:r w:rsidR="003E1D50" w:rsidRPr="00F11A3E">
        <w:rPr>
          <w:rFonts w:ascii="Times New Roman" w:hAnsi="Times New Roman" w:cs="Times New Roman"/>
          <w:noProof/>
          <w:lang w:eastAsia="nl-NL"/>
        </w:rPr>
        <w:t xml:space="preserve"> </w:t>
      </w:r>
    </w:p>
    <w:p w14:paraId="46652328" w14:textId="57D0D9D6" w:rsidR="001C4C50" w:rsidRPr="00F11A3E" w:rsidRDefault="00CE42EC" w:rsidP="00F11A3E">
      <w:pPr>
        <w:pStyle w:val="Caption"/>
        <w:spacing w:line="276" w:lineRule="auto"/>
      </w:pPr>
      <w:r w:rsidRPr="00F11A3E">
        <w:rPr>
          <w:rFonts w:ascii="Times New Roman" w:hAnsi="Times New Roman" w:cs="Times New Roman"/>
        </w:rPr>
        <w:t xml:space="preserve">Figure </w:t>
      </w:r>
      <w:r w:rsidRPr="00F11A3E">
        <w:rPr>
          <w:rFonts w:ascii="Times New Roman" w:hAnsi="Times New Roman" w:cs="Times New Roman"/>
          <w:i w:val="0"/>
          <w:iCs w:val="0"/>
        </w:rPr>
        <w:fldChar w:fldCharType="begin"/>
      </w:r>
      <w:r w:rsidRPr="00F11A3E">
        <w:rPr>
          <w:rFonts w:ascii="Times New Roman" w:hAnsi="Times New Roman" w:cs="Times New Roman"/>
        </w:rPr>
        <w:instrText xml:space="preserve"> SEQ Figure \* ARABIC </w:instrText>
      </w:r>
      <w:r w:rsidRPr="00F11A3E">
        <w:rPr>
          <w:rFonts w:ascii="Times New Roman" w:hAnsi="Times New Roman" w:cs="Times New Roman"/>
          <w:i w:val="0"/>
          <w:iCs w:val="0"/>
        </w:rPr>
        <w:fldChar w:fldCharType="separate"/>
      </w:r>
      <w:r w:rsidR="00394F31" w:rsidRPr="00F11A3E">
        <w:rPr>
          <w:rFonts w:ascii="Times New Roman" w:hAnsi="Times New Roman" w:cs="Times New Roman"/>
          <w:noProof/>
        </w:rPr>
        <w:t>3</w:t>
      </w:r>
      <w:r w:rsidRPr="00F11A3E">
        <w:rPr>
          <w:rFonts w:ascii="Times New Roman" w:hAnsi="Times New Roman" w:cs="Times New Roman"/>
          <w:i w:val="0"/>
          <w:iCs w:val="0"/>
        </w:rPr>
        <w:fldChar w:fldCharType="end"/>
      </w:r>
      <w:r w:rsidRPr="00F11A3E">
        <w:rPr>
          <w:rFonts w:ascii="Times New Roman" w:hAnsi="Times New Roman" w:cs="Times New Roman"/>
        </w:rPr>
        <w:t xml:space="preserve">. </w:t>
      </w:r>
      <w:r w:rsidR="00F37DC5" w:rsidRPr="00F11A3E">
        <w:rPr>
          <w:rFonts w:ascii="Times New Roman" w:hAnsi="Times New Roman" w:cs="Times New Roman"/>
        </w:rPr>
        <w:t>C</w:t>
      </w:r>
      <w:r w:rsidRPr="00F11A3E">
        <w:rPr>
          <w:rFonts w:ascii="Times New Roman" w:hAnsi="Times New Roman" w:cs="Times New Roman"/>
        </w:rPr>
        <w:t>are workflow</w:t>
      </w:r>
      <w:r w:rsidR="00F37DC5" w:rsidRPr="00F11A3E">
        <w:rPr>
          <w:rFonts w:ascii="Times New Roman" w:hAnsi="Times New Roman" w:cs="Times New Roman"/>
        </w:rPr>
        <w:t xml:space="preserve"> in general and teaching hospitals</w:t>
      </w:r>
      <w:r w:rsidR="00F42A44" w:rsidRPr="00F11A3E">
        <w:rPr>
          <w:rFonts w:ascii="Times New Roman" w:hAnsi="Times New Roman" w:cs="Times New Roman"/>
        </w:rPr>
        <w:t xml:space="preserve">. </w:t>
      </w:r>
      <w:r w:rsidR="008C2BB2" w:rsidRPr="00F11A3E">
        <w:rPr>
          <w:rFonts w:ascii="Times New Roman" w:hAnsi="Times New Roman" w:cs="Times New Roman"/>
        </w:rPr>
        <w:t>The t</w:t>
      </w:r>
      <w:r w:rsidR="00F42A44" w:rsidRPr="00F11A3E">
        <w:rPr>
          <w:rFonts w:ascii="Times New Roman" w:hAnsi="Times New Roman" w:cs="Times New Roman"/>
        </w:rPr>
        <w:t xml:space="preserve">op </w:t>
      </w:r>
      <w:r w:rsidR="00BD4F2D" w:rsidRPr="00F11A3E">
        <w:rPr>
          <w:rFonts w:ascii="Times New Roman" w:hAnsi="Times New Roman" w:cs="Times New Roman"/>
        </w:rPr>
        <w:t xml:space="preserve">pathway </w:t>
      </w:r>
      <w:r w:rsidR="00F42A44" w:rsidRPr="00F11A3E">
        <w:rPr>
          <w:rFonts w:ascii="Times New Roman" w:hAnsi="Times New Roman" w:cs="Times New Roman"/>
        </w:rPr>
        <w:t xml:space="preserve">is for </w:t>
      </w:r>
      <w:r w:rsidR="00EB1F29" w:rsidRPr="00F11A3E">
        <w:rPr>
          <w:rFonts w:ascii="Times New Roman" w:hAnsi="Times New Roman" w:cs="Times New Roman"/>
        </w:rPr>
        <w:t>SoC</w:t>
      </w:r>
      <w:r w:rsidR="00F42A44" w:rsidRPr="00F11A3E">
        <w:rPr>
          <w:rFonts w:ascii="Times New Roman" w:hAnsi="Times New Roman" w:cs="Times New Roman"/>
        </w:rPr>
        <w:t xml:space="preserve"> biomarker testing, </w:t>
      </w:r>
      <w:r w:rsidR="008C2BB2" w:rsidRPr="00F11A3E">
        <w:rPr>
          <w:rFonts w:ascii="Times New Roman" w:hAnsi="Times New Roman" w:cs="Times New Roman"/>
        </w:rPr>
        <w:t xml:space="preserve">while the </w:t>
      </w:r>
      <w:r w:rsidR="00F42A44" w:rsidRPr="00F11A3E">
        <w:rPr>
          <w:rFonts w:ascii="Times New Roman" w:hAnsi="Times New Roman" w:cs="Times New Roman"/>
        </w:rPr>
        <w:t xml:space="preserve">bottom </w:t>
      </w:r>
      <w:r w:rsidR="00BD4F2D" w:rsidRPr="00F11A3E">
        <w:rPr>
          <w:rFonts w:ascii="Times New Roman" w:hAnsi="Times New Roman" w:cs="Times New Roman"/>
        </w:rPr>
        <w:t>pathway</w:t>
      </w:r>
      <w:r w:rsidR="008C2BB2" w:rsidRPr="00F11A3E">
        <w:rPr>
          <w:rFonts w:ascii="Times New Roman" w:hAnsi="Times New Roman" w:cs="Times New Roman"/>
        </w:rPr>
        <w:t xml:space="preserve"> </w:t>
      </w:r>
      <w:r w:rsidR="00F42A44" w:rsidRPr="00F11A3E">
        <w:rPr>
          <w:rFonts w:ascii="Times New Roman" w:hAnsi="Times New Roman" w:cs="Times New Roman"/>
        </w:rPr>
        <w:t>is for WGS, which is not in use</w:t>
      </w:r>
      <w:r w:rsidR="00F03F58" w:rsidRPr="00F11A3E">
        <w:rPr>
          <w:rFonts w:ascii="Times New Roman" w:hAnsi="Times New Roman" w:cs="Times New Roman"/>
        </w:rPr>
        <w:t xml:space="preserve"> (greyed out)</w:t>
      </w:r>
      <w:r w:rsidR="00F42A44" w:rsidRPr="00F11A3E">
        <w:rPr>
          <w:rFonts w:ascii="Times New Roman" w:hAnsi="Times New Roman" w:cs="Times New Roman"/>
        </w:rPr>
        <w:t xml:space="preserve"> in general and teaching hospitals.</w:t>
      </w:r>
      <w:r w:rsidR="009D0EDB" w:rsidRPr="00F11A3E">
        <w:rPr>
          <w:rFonts w:ascii="Times New Roman" w:hAnsi="Times New Roman" w:cs="Times New Roman"/>
        </w:rPr>
        <w:t xml:space="preserve"> </w:t>
      </w:r>
      <w:r w:rsidR="00F158AE" w:rsidRPr="00F11A3E">
        <w:rPr>
          <w:rFonts w:ascii="Times New Roman" w:hAnsi="Times New Roman" w:cs="Times New Roman"/>
        </w:rPr>
        <w:t xml:space="preserve">The numbers below each block represent that number of patients that </w:t>
      </w:r>
      <w:r w:rsidR="00B13D1A" w:rsidRPr="00F11A3E">
        <w:rPr>
          <w:rFonts w:ascii="Times New Roman" w:hAnsi="Times New Roman" w:cs="Times New Roman"/>
        </w:rPr>
        <w:t>are currently in that block or that have passed that block.</w:t>
      </w:r>
    </w:p>
    <w:p w14:paraId="60D670D6" w14:textId="77777777" w:rsidR="00441986" w:rsidRPr="00F11A3E" w:rsidRDefault="00441986" w:rsidP="00F11A3E">
      <w:pPr>
        <w:pStyle w:val="Standard"/>
        <w:spacing w:line="276" w:lineRule="auto"/>
        <w:rPr>
          <w:rFonts w:ascii="Times New Roman" w:hAnsi="Times New Roman" w:cs="Times New Roman"/>
        </w:rPr>
        <w:sectPr w:rsidR="00441986" w:rsidRPr="00F11A3E" w:rsidSect="00394F31">
          <w:pgSz w:w="16838" w:h="11906" w:orient="landscape"/>
          <w:pgMar w:top="1417" w:right="1417" w:bottom="1417" w:left="1417" w:header="720" w:footer="720" w:gutter="0"/>
          <w:cols w:space="720"/>
          <w:docGrid w:linePitch="299"/>
        </w:sectPr>
      </w:pPr>
    </w:p>
    <w:p w14:paraId="22DE22B5" w14:textId="521409AD" w:rsidR="00D55E11" w:rsidRPr="00F11A3E" w:rsidRDefault="00BD57E8" w:rsidP="00F11A3E">
      <w:pPr>
        <w:pStyle w:val="Standard"/>
        <w:spacing w:line="276" w:lineRule="auto"/>
        <w:rPr>
          <w:rFonts w:ascii="Times New Roman" w:hAnsi="Times New Roman" w:cs="Times New Roman"/>
        </w:rPr>
      </w:pPr>
      <w:r w:rsidRPr="00F11A3E">
        <w:rPr>
          <w:rFonts w:ascii="Times New Roman" w:hAnsi="Times New Roman" w:cs="Times New Roman"/>
        </w:rPr>
        <w:lastRenderedPageBreak/>
        <w:t>The patient-agent remains located in the hospital and waits while WGS is being conducted. Once the biopsy returns from the WGS facility, it is checked whether WGS was conducted successfully.</w:t>
      </w:r>
      <w:r w:rsidR="00FC061B" w:rsidRPr="00F11A3E">
        <w:rPr>
          <w:rFonts w:ascii="Times New Roman" w:hAnsi="Times New Roman" w:cs="Times New Roman"/>
        </w:rPr>
        <w:t xml:space="preserve"> This is dependent on whether the biopsy </w:t>
      </w:r>
      <w:r w:rsidR="008D705F" w:rsidRPr="00F11A3E">
        <w:rPr>
          <w:rFonts w:ascii="Times New Roman" w:hAnsi="Times New Roman" w:cs="Times New Roman"/>
        </w:rPr>
        <w:t xml:space="preserve">passed </w:t>
      </w:r>
      <w:r w:rsidR="00C649DA" w:rsidRPr="00F11A3E">
        <w:rPr>
          <w:rFonts w:ascii="Times New Roman" w:hAnsi="Times New Roman" w:cs="Times New Roman"/>
        </w:rPr>
        <w:t xml:space="preserve">quality control check in the WGS facility and the technical success rate of WGS, but this is </w:t>
      </w:r>
      <w:r w:rsidR="00DC61A9" w:rsidRPr="00F11A3E">
        <w:rPr>
          <w:rFonts w:ascii="Times New Roman" w:hAnsi="Times New Roman" w:cs="Times New Roman"/>
        </w:rPr>
        <w:t xml:space="preserve">further discussed </w:t>
      </w:r>
      <w:r w:rsidR="00C649DA" w:rsidRPr="00F11A3E">
        <w:rPr>
          <w:rFonts w:ascii="Times New Roman" w:hAnsi="Times New Roman" w:cs="Times New Roman"/>
        </w:rPr>
        <w:t>in section 1.1.4.</w:t>
      </w:r>
      <w:r w:rsidRPr="00F11A3E">
        <w:rPr>
          <w:rFonts w:ascii="Times New Roman" w:hAnsi="Times New Roman" w:cs="Times New Roman"/>
        </w:rPr>
        <w:t xml:space="preserve"> If it was unsuccessful, </w:t>
      </w:r>
      <w:r w:rsidR="00BD680A" w:rsidRPr="00F11A3E">
        <w:rPr>
          <w:rFonts w:ascii="Times New Roman" w:hAnsi="Times New Roman" w:cs="Times New Roman"/>
        </w:rPr>
        <w:t xml:space="preserve">the patient-agent </w:t>
      </w:r>
      <w:r w:rsidRPr="00F11A3E">
        <w:rPr>
          <w:rFonts w:ascii="Times New Roman" w:hAnsi="Times New Roman" w:cs="Times New Roman"/>
        </w:rPr>
        <w:t xml:space="preserve">will receive </w:t>
      </w:r>
      <w:proofErr w:type="spellStart"/>
      <w:r w:rsidR="00EB1F29" w:rsidRPr="00F11A3E">
        <w:rPr>
          <w:rFonts w:ascii="Times New Roman" w:hAnsi="Times New Roman" w:cs="Times New Roman"/>
        </w:rPr>
        <w:t>SoC</w:t>
      </w:r>
      <w:r w:rsidRPr="00F11A3E">
        <w:rPr>
          <w:rFonts w:ascii="Times New Roman" w:hAnsi="Times New Roman" w:cs="Times New Roman"/>
        </w:rPr>
        <w:t>.</w:t>
      </w:r>
      <w:proofErr w:type="spellEnd"/>
      <w:r w:rsidRPr="00F11A3E">
        <w:rPr>
          <w:rFonts w:ascii="Times New Roman" w:hAnsi="Times New Roman" w:cs="Times New Roman"/>
        </w:rPr>
        <w:t xml:space="preserve"> If WGS was successful and the </w:t>
      </w:r>
      <w:r w:rsidR="00F7059F" w:rsidRPr="00F11A3E">
        <w:rPr>
          <w:rFonts w:ascii="Times New Roman" w:hAnsi="Times New Roman" w:cs="Times New Roman"/>
        </w:rPr>
        <w:t>MTB has interpreted the resulting genetic information</w:t>
      </w:r>
      <w:r w:rsidRPr="00F11A3E">
        <w:rPr>
          <w:rFonts w:ascii="Times New Roman" w:hAnsi="Times New Roman" w:cs="Times New Roman"/>
        </w:rPr>
        <w:t>, the biopsy-agent is sent back to the hospital-agent where it links up with its original patient-agent.</w:t>
      </w:r>
    </w:p>
    <w:p w14:paraId="2F0C5913" w14:textId="77777777" w:rsidR="00025292" w:rsidRPr="00F11A3E" w:rsidRDefault="00025292" w:rsidP="00F11A3E">
      <w:pPr>
        <w:pStyle w:val="Standard"/>
        <w:spacing w:line="276" w:lineRule="auto"/>
        <w:rPr>
          <w:rFonts w:ascii="Times New Roman" w:hAnsi="Times New Roman" w:cs="Times New Roman"/>
        </w:rPr>
      </w:pPr>
      <w:r w:rsidRPr="00F11A3E">
        <w:rPr>
          <w:rFonts w:ascii="Times New Roman" w:hAnsi="Times New Roman" w:cs="Times New Roman"/>
        </w:rPr>
        <w:t xml:space="preserve">If the patient receives SoC biomarker testing, all processes take place within the hospital. Both SoC and WGS incur a delay. Once either SoC or WGS has been completed, a guideline-based treatment decision is made based on the test outcomes and the performance status of the patient. </w:t>
      </w:r>
    </w:p>
    <w:p w14:paraId="07C1F22A" w14:textId="77777777" w:rsidR="00025292" w:rsidRPr="00F11A3E" w:rsidRDefault="00025292" w:rsidP="00F11A3E">
      <w:pPr>
        <w:pStyle w:val="Heading4"/>
        <w:spacing w:line="276" w:lineRule="auto"/>
        <w:rPr>
          <w:rFonts w:ascii="Times New Roman" w:hAnsi="Times New Roman" w:cs="Times New Roman"/>
        </w:rPr>
      </w:pPr>
      <w:r w:rsidRPr="00F11A3E">
        <w:rPr>
          <w:rFonts w:ascii="Times New Roman" w:hAnsi="Times New Roman" w:cs="Times New Roman"/>
        </w:rPr>
        <w:t>Biomarker testing strategies</w:t>
      </w:r>
    </w:p>
    <w:p w14:paraId="3673FAF1" w14:textId="1619375C" w:rsidR="00025292" w:rsidRPr="00F11A3E" w:rsidRDefault="00025292" w:rsidP="00F11A3E">
      <w:pPr>
        <w:pStyle w:val="Standard"/>
        <w:spacing w:line="276" w:lineRule="auto"/>
        <w:rPr>
          <w:rFonts w:ascii="Times New Roman" w:hAnsi="Times New Roman" w:cs="Times New Roman"/>
        </w:rPr>
      </w:pPr>
      <w:r w:rsidRPr="00F11A3E">
        <w:rPr>
          <w:rFonts w:ascii="Times New Roman" w:hAnsi="Times New Roman" w:cs="Times New Roman"/>
        </w:rPr>
        <w:t xml:space="preserve">There is a difference in the SoC biomarker testing strategy among hospital types. General hospitals have the simplest test strategy, as they test genes </w:t>
      </w:r>
      <w:r w:rsidR="00FF44BA" w:rsidRPr="00F11A3E">
        <w:rPr>
          <w:rFonts w:ascii="Times New Roman" w:hAnsi="Times New Roman" w:cs="Times New Roman"/>
        </w:rPr>
        <w:t xml:space="preserve">PD-L1 and </w:t>
      </w:r>
      <w:r w:rsidRPr="00F11A3E">
        <w:rPr>
          <w:rFonts w:ascii="Times New Roman" w:hAnsi="Times New Roman" w:cs="Times New Roman"/>
        </w:rPr>
        <w:t xml:space="preserve">ALK with </w:t>
      </w:r>
      <w:r w:rsidR="00FF44BA" w:rsidRPr="00F11A3E">
        <w:rPr>
          <w:rFonts w:ascii="Times New Roman" w:hAnsi="Times New Roman" w:cs="Times New Roman"/>
        </w:rPr>
        <w:t>immunohistochemistry (IHC)</w:t>
      </w:r>
      <w:r w:rsidRPr="00F11A3E">
        <w:rPr>
          <w:rFonts w:ascii="Times New Roman" w:hAnsi="Times New Roman" w:cs="Times New Roman"/>
        </w:rPr>
        <w:t>, and EGFR and KRAS using Sanger Sequencing. It is assumed that these tests are conducted in parallel. Teaching hospitals test for ALK and PD-L1 using IHC in parallel with a targeted gene panel that tests for KRAS, BRAF, EGFR, and ROS1. Academic hospitals use the same SoC test strategy as teaching hospitals for non-referred patients. Additionally, they conduct WGS for referred patients and for non-referred patients for whom the combination of the targeted gene panel and IHC test did not result in the identification of a biomarker. For simplicity, we have assumed that the biomarker test strategies are identical for all hospitals of each hospital type.</w:t>
      </w:r>
    </w:p>
    <w:p w14:paraId="1A6EC68C" w14:textId="07A6275D" w:rsidR="00025292" w:rsidRPr="00F11A3E" w:rsidRDefault="00025292" w:rsidP="00F11A3E">
      <w:pPr>
        <w:pStyle w:val="Standard"/>
        <w:spacing w:line="276" w:lineRule="auto"/>
        <w:rPr>
          <w:rFonts w:ascii="Times New Roman" w:hAnsi="Times New Roman" w:cs="Times New Roman"/>
        </w:rPr>
      </w:pPr>
      <w:r w:rsidRPr="00F11A3E">
        <w:rPr>
          <w:rFonts w:ascii="Times New Roman" w:hAnsi="Times New Roman" w:cs="Times New Roman"/>
        </w:rPr>
        <w:t>If a patient is KRAS mutation-positive, that patient cannot be EGFR mutation-positive. All other mutations are not considered mutually exclusive in the model. The model reflects that biomarker testing will occasionally fail. When WGS fails, the patient shall receive WGS. If SoC testing fails, SoC testing will be repeated once.</w:t>
      </w:r>
    </w:p>
    <w:p w14:paraId="0C40D9BA" w14:textId="013395DC" w:rsidR="00DA0474" w:rsidRPr="00F11A3E" w:rsidRDefault="00834700" w:rsidP="00F11A3E">
      <w:pPr>
        <w:pStyle w:val="Heading4"/>
        <w:spacing w:line="276" w:lineRule="auto"/>
        <w:rPr>
          <w:rFonts w:ascii="Times New Roman" w:hAnsi="Times New Roman" w:cs="Times New Roman"/>
        </w:rPr>
      </w:pPr>
      <w:r w:rsidRPr="00F11A3E">
        <w:rPr>
          <w:rFonts w:ascii="Times New Roman" w:hAnsi="Times New Roman" w:cs="Times New Roman"/>
        </w:rPr>
        <w:t>Diagnostic turnaround times and delays</w:t>
      </w:r>
    </w:p>
    <w:p w14:paraId="2F76BFE6" w14:textId="3F347799" w:rsidR="00441E5D" w:rsidRPr="00F11A3E" w:rsidRDefault="00C67718" w:rsidP="00F11A3E">
      <w:pPr>
        <w:pStyle w:val="Standard"/>
        <w:spacing w:line="276" w:lineRule="auto"/>
        <w:rPr>
          <w:rFonts w:ascii="Times New Roman" w:hAnsi="Times New Roman" w:cs="Times New Roman"/>
        </w:rPr>
      </w:pPr>
      <w:r w:rsidRPr="00F11A3E">
        <w:rPr>
          <w:rFonts w:ascii="Times New Roman" w:hAnsi="Times New Roman" w:cs="Times New Roman"/>
        </w:rPr>
        <w:t>The turnaround times of diagnostics and the length of the treatment delay</w:t>
      </w:r>
      <w:r w:rsidR="00834700" w:rsidRPr="00F11A3E">
        <w:rPr>
          <w:rFonts w:ascii="Times New Roman" w:hAnsi="Times New Roman" w:cs="Times New Roman"/>
        </w:rPr>
        <w:t xml:space="preserve"> in the </w:t>
      </w:r>
      <w:r w:rsidR="00893466" w:rsidRPr="00F11A3E">
        <w:rPr>
          <w:rFonts w:ascii="Times New Roman" w:hAnsi="Times New Roman" w:cs="Times New Roman"/>
        </w:rPr>
        <w:t>care workflow</w:t>
      </w:r>
      <w:r w:rsidR="00C226CE" w:rsidRPr="00F11A3E">
        <w:rPr>
          <w:rFonts w:ascii="Times New Roman" w:hAnsi="Times New Roman" w:cs="Times New Roman"/>
        </w:rPr>
        <w:t xml:space="preserve"> of hospitals</w:t>
      </w:r>
      <w:r w:rsidR="00893466" w:rsidRPr="00F11A3E">
        <w:rPr>
          <w:rFonts w:ascii="Times New Roman" w:hAnsi="Times New Roman" w:cs="Times New Roman"/>
        </w:rPr>
        <w:t xml:space="preserve"> are </w:t>
      </w:r>
      <w:r w:rsidR="00AB3DE4" w:rsidRPr="00F11A3E">
        <w:rPr>
          <w:rFonts w:ascii="Times New Roman" w:hAnsi="Times New Roman" w:cs="Times New Roman"/>
        </w:rPr>
        <w:t>obtained from a survey that was distributed</w:t>
      </w:r>
      <w:r w:rsidR="00BD14CD" w:rsidRPr="00F11A3E">
        <w:rPr>
          <w:rFonts w:ascii="Times New Roman" w:hAnsi="Times New Roman" w:cs="Times New Roman"/>
        </w:rPr>
        <w:t xml:space="preserve"> in 2019</w:t>
      </w:r>
      <w:r w:rsidR="00AB3DE4" w:rsidRPr="00F11A3E">
        <w:rPr>
          <w:rFonts w:ascii="Times New Roman" w:hAnsi="Times New Roman" w:cs="Times New Roman"/>
        </w:rPr>
        <w:t xml:space="preserve"> among </w:t>
      </w:r>
      <w:r w:rsidR="00706DA3" w:rsidRPr="00F11A3E">
        <w:rPr>
          <w:rFonts w:ascii="Times New Roman" w:hAnsi="Times New Roman" w:cs="Times New Roman"/>
        </w:rPr>
        <w:t xml:space="preserve">17 </w:t>
      </w:r>
      <w:r w:rsidR="00AB3DE4" w:rsidRPr="00F11A3E">
        <w:rPr>
          <w:rFonts w:ascii="Times New Roman" w:hAnsi="Times New Roman" w:cs="Times New Roman"/>
        </w:rPr>
        <w:t xml:space="preserve">oncologists employed </w:t>
      </w:r>
      <w:r w:rsidR="00D13049" w:rsidRPr="00F11A3E">
        <w:rPr>
          <w:rFonts w:ascii="Times New Roman" w:hAnsi="Times New Roman" w:cs="Times New Roman"/>
        </w:rPr>
        <w:t>in</w:t>
      </w:r>
      <w:r w:rsidR="00EC6C13" w:rsidRPr="00F11A3E">
        <w:rPr>
          <w:rFonts w:ascii="Times New Roman" w:hAnsi="Times New Roman" w:cs="Times New Roman"/>
        </w:rPr>
        <w:t xml:space="preserve"> different hospitals and hospital types. </w:t>
      </w:r>
      <w:r w:rsidR="00EE46B3" w:rsidRPr="00F11A3E">
        <w:rPr>
          <w:rFonts w:ascii="Times New Roman" w:hAnsi="Times New Roman" w:cs="Times New Roman"/>
        </w:rPr>
        <w:t xml:space="preserve">Oncologists were asked to map the timeline of individual steps in the care pathway until treatment initiation. </w:t>
      </w:r>
      <w:r w:rsidR="00C226CE" w:rsidRPr="00F11A3E">
        <w:rPr>
          <w:rFonts w:ascii="Times New Roman" w:hAnsi="Times New Roman" w:cs="Times New Roman"/>
        </w:rPr>
        <w:t>Table 2 lists the survey data</w:t>
      </w:r>
      <w:r w:rsidR="00CF42BF" w:rsidRPr="00F11A3E">
        <w:rPr>
          <w:rFonts w:ascii="Times New Roman" w:hAnsi="Times New Roman" w:cs="Times New Roman"/>
        </w:rPr>
        <w:t xml:space="preserve"> for each oncologist. </w:t>
      </w:r>
      <w:r w:rsidR="00702886" w:rsidRPr="00F11A3E">
        <w:rPr>
          <w:rFonts w:ascii="Times New Roman" w:hAnsi="Times New Roman" w:cs="Times New Roman"/>
        </w:rPr>
        <w:t>Discrete e</w:t>
      </w:r>
      <w:r w:rsidR="00E84809" w:rsidRPr="00F11A3E">
        <w:rPr>
          <w:rFonts w:ascii="Times New Roman" w:hAnsi="Times New Roman" w:cs="Times New Roman"/>
        </w:rPr>
        <w:t>mpirical distributions were created for each delay type (result molecular diagnostics, result PD-L1 test, and treatment delay)</w:t>
      </w:r>
      <w:r w:rsidR="00D318EF" w:rsidRPr="00F11A3E">
        <w:rPr>
          <w:rFonts w:ascii="Times New Roman" w:hAnsi="Times New Roman" w:cs="Times New Roman"/>
        </w:rPr>
        <w:t xml:space="preserve"> and</w:t>
      </w:r>
      <w:r w:rsidR="00E84809" w:rsidRPr="00F11A3E">
        <w:rPr>
          <w:rFonts w:ascii="Times New Roman" w:hAnsi="Times New Roman" w:cs="Times New Roman"/>
        </w:rPr>
        <w:t xml:space="preserve"> for each hospital type. </w:t>
      </w:r>
      <w:r w:rsidR="00853E88" w:rsidRPr="00F11A3E">
        <w:rPr>
          <w:rFonts w:ascii="Times New Roman" w:hAnsi="Times New Roman" w:cs="Times New Roman"/>
        </w:rPr>
        <w:t xml:space="preserve">The </w:t>
      </w:r>
      <w:r w:rsidR="005E5BB0" w:rsidRPr="00F11A3E">
        <w:rPr>
          <w:rFonts w:ascii="Times New Roman" w:hAnsi="Times New Roman" w:cs="Times New Roman"/>
        </w:rPr>
        <w:t xml:space="preserve">values for the </w:t>
      </w:r>
      <w:r w:rsidR="00853E88" w:rsidRPr="00F11A3E">
        <w:rPr>
          <w:rFonts w:ascii="Times New Roman" w:hAnsi="Times New Roman" w:cs="Times New Roman"/>
        </w:rPr>
        <w:t>empirical distribution</w:t>
      </w:r>
      <w:r w:rsidR="005E5BB0" w:rsidRPr="00F11A3E">
        <w:rPr>
          <w:rFonts w:ascii="Times New Roman" w:hAnsi="Times New Roman" w:cs="Times New Roman"/>
        </w:rPr>
        <w:t>s</w:t>
      </w:r>
      <w:r w:rsidR="00853E88" w:rsidRPr="00F11A3E">
        <w:rPr>
          <w:rFonts w:ascii="Times New Roman" w:hAnsi="Times New Roman" w:cs="Times New Roman"/>
        </w:rPr>
        <w:t xml:space="preserve"> for treatment delay </w:t>
      </w:r>
      <w:r w:rsidR="005E5BB0" w:rsidRPr="00F11A3E">
        <w:rPr>
          <w:rFonts w:ascii="Times New Roman" w:hAnsi="Times New Roman" w:cs="Times New Roman"/>
        </w:rPr>
        <w:t>were determine</w:t>
      </w:r>
      <w:r w:rsidR="00441E5D" w:rsidRPr="00F11A3E">
        <w:rPr>
          <w:rFonts w:ascii="Times New Roman" w:hAnsi="Times New Roman" w:cs="Times New Roman"/>
        </w:rPr>
        <w:t>d</w:t>
      </w:r>
      <w:r w:rsidR="00853E88" w:rsidRPr="00F11A3E">
        <w:rPr>
          <w:rFonts w:ascii="Times New Roman" w:hAnsi="Times New Roman" w:cs="Times New Roman"/>
        </w:rPr>
        <w:t xml:space="preserve"> </w:t>
      </w:r>
      <w:r w:rsidR="005E5BB0" w:rsidRPr="00F11A3E">
        <w:rPr>
          <w:rFonts w:ascii="Times New Roman" w:hAnsi="Times New Roman" w:cs="Times New Roman"/>
        </w:rPr>
        <w:t xml:space="preserve">by </w:t>
      </w:r>
      <w:r w:rsidR="00CF6EE1" w:rsidRPr="00F11A3E">
        <w:rPr>
          <w:rFonts w:ascii="Times New Roman" w:hAnsi="Times New Roman" w:cs="Times New Roman"/>
        </w:rPr>
        <w:t>subtracting</w:t>
      </w:r>
      <w:r w:rsidR="005E5BB0" w:rsidRPr="00F11A3E">
        <w:rPr>
          <w:rFonts w:ascii="Times New Roman" w:hAnsi="Times New Roman" w:cs="Times New Roman"/>
        </w:rPr>
        <w:t xml:space="preserve"> </w:t>
      </w:r>
      <w:r w:rsidR="00982948" w:rsidRPr="00F11A3E">
        <w:rPr>
          <w:rFonts w:ascii="Times New Roman" w:hAnsi="Times New Roman" w:cs="Times New Roman"/>
        </w:rPr>
        <w:t xml:space="preserve">either </w:t>
      </w:r>
      <w:r w:rsidR="00CA6DEB" w:rsidRPr="00F11A3E">
        <w:rPr>
          <w:rFonts w:ascii="Times New Roman" w:hAnsi="Times New Roman" w:cs="Times New Roman"/>
        </w:rPr>
        <w:t xml:space="preserve">the </w:t>
      </w:r>
      <w:r w:rsidR="00A96E34" w:rsidRPr="00F11A3E">
        <w:rPr>
          <w:rFonts w:ascii="Times New Roman" w:hAnsi="Times New Roman" w:cs="Times New Roman"/>
        </w:rPr>
        <w:t>delay</w:t>
      </w:r>
      <w:r w:rsidR="00CA6DEB" w:rsidRPr="00F11A3E">
        <w:rPr>
          <w:rFonts w:ascii="Times New Roman" w:hAnsi="Times New Roman" w:cs="Times New Roman"/>
        </w:rPr>
        <w:t xml:space="preserve"> for result molecular diagnostics or result PD-L1 test, whichever one is largest, from the </w:t>
      </w:r>
      <w:r w:rsidR="00E26799" w:rsidRPr="00F11A3E">
        <w:rPr>
          <w:rFonts w:ascii="Times New Roman" w:hAnsi="Times New Roman" w:cs="Times New Roman"/>
        </w:rPr>
        <w:t>time until</w:t>
      </w:r>
      <w:r w:rsidR="00CA6DEB" w:rsidRPr="00F11A3E">
        <w:rPr>
          <w:rFonts w:ascii="Times New Roman" w:hAnsi="Times New Roman" w:cs="Times New Roman"/>
        </w:rPr>
        <w:t xml:space="preserve"> treatment </w:t>
      </w:r>
      <w:r w:rsidR="00CF6EE1" w:rsidRPr="00F11A3E">
        <w:rPr>
          <w:rFonts w:ascii="Times New Roman" w:hAnsi="Times New Roman" w:cs="Times New Roman"/>
        </w:rPr>
        <w:t>initiation</w:t>
      </w:r>
      <w:r w:rsidR="00CA6DEB" w:rsidRPr="00F11A3E">
        <w:rPr>
          <w:rFonts w:ascii="Times New Roman" w:hAnsi="Times New Roman" w:cs="Times New Roman"/>
        </w:rPr>
        <w:t xml:space="preserve">. The resulting number is </w:t>
      </w:r>
      <w:r w:rsidR="00A37E93" w:rsidRPr="00F11A3E">
        <w:rPr>
          <w:rFonts w:ascii="Times New Roman" w:hAnsi="Times New Roman" w:cs="Times New Roman"/>
        </w:rPr>
        <w:t>the time between conclusion of the diagnostic pathway and treatment initiation, thus, the treatment delay.</w:t>
      </w:r>
    </w:p>
    <w:p w14:paraId="556824D8" w14:textId="01AD0A2B" w:rsidR="00834700" w:rsidRDefault="00481E7A" w:rsidP="00F11A3E">
      <w:pPr>
        <w:pStyle w:val="Standard"/>
        <w:spacing w:line="276" w:lineRule="auto"/>
        <w:rPr>
          <w:rFonts w:ascii="Times New Roman" w:hAnsi="Times New Roman" w:cs="Times New Roman"/>
        </w:rPr>
      </w:pPr>
      <w:r w:rsidRPr="00F11A3E">
        <w:rPr>
          <w:rFonts w:ascii="Times New Roman" w:hAnsi="Times New Roman" w:cs="Times New Roman"/>
        </w:rPr>
        <w:t xml:space="preserve">Given our assumption that all SoC tests are conducted in parallel, </w:t>
      </w:r>
      <w:r w:rsidR="003216B4" w:rsidRPr="00F11A3E">
        <w:rPr>
          <w:rFonts w:ascii="Times New Roman" w:hAnsi="Times New Roman" w:cs="Times New Roman"/>
        </w:rPr>
        <w:t>to determine the delay for SoC</w:t>
      </w:r>
      <w:r w:rsidR="00702886" w:rsidRPr="00F11A3E">
        <w:rPr>
          <w:rFonts w:ascii="Times New Roman" w:hAnsi="Times New Roman" w:cs="Times New Roman"/>
        </w:rPr>
        <w:t xml:space="preserve">, a random value was drawn from the empirical distributions for result molecular diagnostics and result PD-L1 test for the </w:t>
      </w:r>
      <w:r w:rsidR="007A4586" w:rsidRPr="00F11A3E">
        <w:rPr>
          <w:rFonts w:ascii="Times New Roman" w:hAnsi="Times New Roman" w:cs="Times New Roman"/>
        </w:rPr>
        <w:t xml:space="preserve">matching hospital type. The largest value of the two </w:t>
      </w:r>
      <w:r w:rsidR="005A653B" w:rsidRPr="00F11A3E">
        <w:rPr>
          <w:rFonts w:ascii="Times New Roman" w:hAnsi="Times New Roman" w:cs="Times New Roman"/>
        </w:rPr>
        <w:t xml:space="preserve">was used as the delay for </w:t>
      </w:r>
      <w:proofErr w:type="spellStart"/>
      <w:r w:rsidR="005A653B" w:rsidRPr="00F11A3E">
        <w:rPr>
          <w:rFonts w:ascii="Times New Roman" w:hAnsi="Times New Roman" w:cs="Times New Roman"/>
        </w:rPr>
        <w:t>SoC.</w:t>
      </w:r>
      <w:proofErr w:type="spellEnd"/>
      <w:r w:rsidR="005A653B" w:rsidRPr="00F11A3E">
        <w:rPr>
          <w:rFonts w:ascii="Times New Roman" w:hAnsi="Times New Roman" w:cs="Times New Roman"/>
        </w:rPr>
        <w:t xml:space="preserve"> </w:t>
      </w:r>
    </w:p>
    <w:p w14:paraId="666BCBAA" w14:textId="1C103BC2" w:rsidR="00F11A3E" w:rsidRDefault="00F11A3E" w:rsidP="00F11A3E">
      <w:pPr>
        <w:pStyle w:val="Standard"/>
        <w:spacing w:line="276" w:lineRule="auto"/>
        <w:rPr>
          <w:rFonts w:ascii="Times New Roman" w:hAnsi="Times New Roman" w:cs="Times New Roman"/>
        </w:rPr>
      </w:pPr>
    </w:p>
    <w:p w14:paraId="35D1370D" w14:textId="77777777" w:rsidR="00F11A3E" w:rsidRPr="00F11A3E" w:rsidRDefault="00F11A3E" w:rsidP="00F11A3E">
      <w:pPr>
        <w:pStyle w:val="Standard"/>
        <w:spacing w:line="276" w:lineRule="auto"/>
        <w:rPr>
          <w:rFonts w:ascii="Times New Roman" w:hAnsi="Times New Roman" w:cs="Times New Roman"/>
        </w:rPr>
      </w:pPr>
    </w:p>
    <w:p w14:paraId="683B1B1E" w14:textId="6E86443B" w:rsidR="00D34D21" w:rsidRPr="00F11A3E" w:rsidRDefault="00D34D21" w:rsidP="00F11A3E">
      <w:pPr>
        <w:pStyle w:val="Caption"/>
        <w:keepNext/>
        <w:spacing w:line="276" w:lineRule="auto"/>
        <w:rPr>
          <w:rFonts w:ascii="Times New Roman" w:hAnsi="Times New Roman" w:cs="Times New Roman"/>
        </w:rPr>
      </w:pPr>
      <w:r w:rsidRPr="00F11A3E">
        <w:rPr>
          <w:rFonts w:ascii="Times New Roman" w:hAnsi="Times New Roman" w:cs="Times New Roman"/>
        </w:rPr>
        <w:lastRenderedPageBreak/>
        <w:t>Tab</w:t>
      </w:r>
      <w:r w:rsidR="00F11A3E">
        <w:rPr>
          <w:rFonts w:ascii="Times New Roman" w:hAnsi="Times New Roman" w:cs="Times New Roman"/>
        </w:rPr>
        <w:t>le</w:t>
      </w:r>
      <w:r w:rsidRPr="00F11A3E">
        <w:rPr>
          <w:rFonts w:ascii="Times New Roman" w:hAnsi="Times New Roman" w:cs="Times New Roman"/>
        </w:rPr>
        <w:t xml:space="preserve"> </w:t>
      </w:r>
      <w:r w:rsidR="00982948" w:rsidRPr="00F11A3E">
        <w:rPr>
          <w:rFonts w:ascii="Times New Roman" w:hAnsi="Times New Roman" w:cs="Times New Roman"/>
        </w:rPr>
        <w:t>2</w:t>
      </w:r>
      <w:r w:rsidRPr="00F11A3E">
        <w:rPr>
          <w:rFonts w:ascii="Times New Roman" w:hAnsi="Times New Roman" w:cs="Times New Roman"/>
        </w:rPr>
        <w:t>. Survey data for diagnostic turnaround times and treatment initiation</w:t>
      </w:r>
    </w:p>
    <w:tbl>
      <w:tblPr>
        <w:tblStyle w:val="TableGrid"/>
        <w:tblW w:w="5000" w:type="pct"/>
        <w:tblLayout w:type="fixed"/>
        <w:tblLook w:val="04A0" w:firstRow="1" w:lastRow="0" w:firstColumn="1" w:lastColumn="0" w:noHBand="0" w:noVBand="1"/>
      </w:tblPr>
      <w:tblGrid>
        <w:gridCol w:w="1271"/>
        <w:gridCol w:w="1751"/>
        <w:gridCol w:w="1512"/>
        <w:gridCol w:w="1510"/>
        <w:gridCol w:w="1510"/>
        <w:gridCol w:w="1508"/>
      </w:tblGrid>
      <w:tr w:rsidR="00EB6651" w:rsidRPr="00F11A3E" w14:paraId="7D41EA3B" w14:textId="77777777" w:rsidTr="008C2BB2">
        <w:trPr>
          <w:trHeight w:val="121"/>
        </w:trPr>
        <w:tc>
          <w:tcPr>
            <w:tcW w:w="701" w:type="pct"/>
          </w:tcPr>
          <w:p w14:paraId="776A0452" w14:textId="55D663F8" w:rsidR="00EB6651" w:rsidRPr="00F11A3E" w:rsidRDefault="00EB6651" w:rsidP="00F11A3E">
            <w:pPr>
              <w:pStyle w:val="Standard"/>
              <w:spacing w:line="276" w:lineRule="auto"/>
              <w:rPr>
                <w:rFonts w:ascii="Times New Roman" w:hAnsi="Times New Roman" w:cs="Times New Roman"/>
              </w:rPr>
            </w:pPr>
            <w:r w:rsidRPr="00F11A3E">
              <w:rPr>
                <w:rFonts w:ascii="Times New Roman" w:hAnsi="Times New Roman" w:cs="Times New Roman"/>
              </w:rPr>
              <w:t>Oncologist</w:t>
            </w:r>
          </w:p>
        </w:tc>
        <w:tc>
          <w:tcPr>
            <w:tcW w:w="966" w:type="pct"/>
            <w:noWrap/>
            <w:hideMark/>
          </w:tcPr>
          <w:p w14:paraId="64C9DA30" w14:textId="3D8D790F"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Hospital type</w:t>
            </w:r>
          </w:p>
        </w:tc>
        <w:tc>
          <w:tcPr>
            <w:tcW w:w="834" w:type="pct"/>
            <w:noWrap/>
            <w:hideMark/>
          </w:tcPr>
          <w:p w14:paraId="35A3A202" w14:textId="0DA4237A"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Request molecular diagnostics or PD-L1 test (start interval)</w:t>
            </w:r>
          </w:p>
        </w:tc>
        <w:tc>
          <w:tcPr>
            <w:tcW w:w="833" w:type="pct"/>
            <w:noWrap/>
            <w:hideMark/>
          </w:tcPr>
          <w:p w14:paraId="2988300B" w14:textId="111DC2CE"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Result PD-L1 test</w:t>
            </w:r>
          </w:p>
        </w:tc>
        <w:tc>
          <w:tcPr>
            <w:tcW w:w="833" w:type="pct"/>
            <w:noWrap/>
            <w:hideMark/>
          </w:tcPr>
          <w:p w14:paraId="68A7E1E5" w14:textId="758482F0"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Result molecular diagnostics</w:t>
            </w:r>
          </w:p>
        </w:tc>
        <w:tc>
          <w:tcPr>
            <w:tcW w:w="832" w:type="pct"/>
            <w:noWrap/>
            <w:hideMark/>
          </w:tcPr>
          <w:p w14:paraId="0B920E79" w14:textId="0ACC6599" w:rsidR="00EB6651" w:rsidRPr="00F11A3E" w:rsidRDefault="00D34D21" w:rsidP="00F11A3E">
            <w:pPr>
              <w:pStyle w:val="Standard"/>
              <w:spacing w:after="160" w:line="276" w:lineRule="auto"/>
              <w:rPr>
                <w:rFonts w:ascii="Times New Roman" w:hAnsi="Times New Roman" w:cs="Times New Roman"/>
              </w:rPr>
            </w:pPr>
            <w:r w:rsidRPr="00F11A3E">
              <w:rPr>
                <w:rFonts w:ascii="Times New Roman" w:hAnsi="Times New Roman" w:cs="Times New Roman"/>
              </w:rPr>
              <w:t>T</w:t>
            </w:r>
            <w:r w:rsidR="00EB6651" w:rsidRPr="00F11A3E">
              <w:rPr>
                <w:rFonts w:ascii="Times New Roman" w:hAnsi="Times New Roman" w:cs="Times New Roman"/>
              </w:rPr>
              <w:t>reatment</w:t>
            </w:r>
            <w:r w:rsidRPr="00F11A3E">
              <w:rPr>
                <w:rFonts w:ascii="Times New Roman" w:hAnsi="Times New Roman" w:cs="Times New Roman"/>
              </w:rPr>
              <w:t xml:space="preserve"> initiation</w:t>
            </w:r>
          </w:p>
        </w:tc>
      </w:tr>
      <w:tr w:rsidR="00EB6651" w:rsidRPr="00F11A3E" w14:paraId="32DFC411" w14:textId="77777777" w:rsidTr="008C2BB2">
        <w:trPr>
          <w:trHeight w:val="115"/>
        </w:trPr>
        <w:tc>
          <w:tcPr>
            <w:tcW w:w="701" w:type="pct"/>
          </w:tcPr>
          <w:p w14:paraId="24A044EE" w14:textId="39DE3E86" w:rsidR="00EB6651" w:rsidRPr="00F11A3E" w:rsidRDefault="00EB6651" w:rsidP="00F11A3E">
            <w:pPr>
              <w:pStyle w:val="Standard"/>
              <w:spacing w:line="276" w:lineRule="auto"/>
              <w:rPr>
                <w:rFonts w:ascii="Times New Roman" w:hAnsi="Times New Roman" w:cs="Times New Roman"/>
              </w:rPr>
            </w:pPr>
            <w:r w:rsidRPr="00F11A3E">
              <w:rPr>
                <w:rFonts w:ascii="Times New Roman" w:hAnsi="Times New Roman" w:cs="Times New Roman"/>
              </w:rPr>
              <w:t>1</w:t>
            </w:r>
          </w:p>
        </w:tc>
        <w:tc>
          <w:tcPr>
            <w:tcW w:w="966" w:type="pct"/>
            <w:noWrap/>
            <w:hideMark/>
          </w:tcPr>
          <w:p w14:paraId="64C3D510" w14:textId="0EC487F4"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Academic</w:t>
            </w:r>
          </w:p>
        </w:tc>
        <w:tc>
          <w:tcPr>
            <w:tcW w:w="834" w:type="pct"/>
            <w:noWrap/>
            <w:hideMark/>
          </w:tcPr>
          <w:p w14:paraId="70EEE0AB"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0</w:t>
            </w:r>
          </w:p>
        </w:tc>
        <w:tc>
          <w:tcPr>
            <w:tcW w:w="833" w:type="pct"/>
            <w:noWrap/>
            <w:hideMark/>
          </w:tcPr>
          <w:p w14:paraId="565175A1"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15</w:t>
            </w:r>
          </w:p>
        </w:tc>
        <w:tc>
          <w:tcPr>
            <w:tcW w:w="833" w:type="pct"/>
            <w:noWrap/>
            <w:hideMark/>
          </w:tcPr>
          <w:p w14:paraId="0E1A80A7"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21</w:t>
            </w:r>
          </w:p>
        </w:tc>
        <w:tc>
          <w:tcPr>
            <w:tcW w:w="832" w:type="pct"/>
            <w:noWrap/>
            <w:hideMark/>
          </w:tcPr>
          <w:p w14:paraId="29C62E02"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28</w:t>
            </w:r>
          </w:p>
        </w:tc>
      </w:tr>
      <w:tr w:rsidR="00EB6651" w:rsidRPr="00F11A3E" w14:paraId="319A1E31" w14:textId="77777777" w:rsidTr="008C2BB2">
        <w:trPr>
          <w:trHeight w:val="115"/>
        </w:trPr>
        <w:tc>
          <w:tcPr>
            <w:tcW w:w="701" w:type="pct"/>
          </w:tcPr>
          <w:p w14:paraId="44578E02" w14:textId="1E1160AA" w:rsidR="00EB6651" w:rsidRPr="00F11A3E" w:rsidRDefault="00EB6651" w:rsidP="00F11A3E">
            <w:pPr>
              <w:pStyle w:val="Standard"/>
              <w:spacing w:line="276" w:lineRule="auto"/>
              <w:rPr>
                <w:rFonts w:ascii="Times New Roman" w:hAnsi="Times New Roman" w:cs="Times New Roman"/>
              </w:rPr>
            </w:pPr>
            <w:r w:rsidRPr="00F11A3E">
              <w:rPr>
                <w:rFonts w:ascii="Times New Roman" w:hAnsi="Times New Roman" w:cs="Times New Roman"/>
              </w:rPr>
              <w:t>2</w:t>
            </w:r>
          </w:p>
        </w:tc>
        <w:tc>
          <w:tcPr>
            <w:tcW w:w="966" w:type="pct"/>
            <w:noWrap/>
            <w:hideMark/>
          </w:tcPr>
          <w:p w14:paraId="4D7182A3" w14:textId="284D9B9D"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Academic</w:t>
            </w:r>
          </w:p>
        </w:tc>
        <w:tc>
          <w:tcPr>
            <w:tcW w:w="834" w:type="pct"/>
            <w:noWrap/>
            <w:hideMark/>
          </w:tcPr>
          <w:p w14:paraId="1D842CD7"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0</w:t>
            </w:r>
          </w:p>
        </w:tc>
        <w:tc>
          <w:tcPr>
            <w:tcW w:w="833" w:type="pct"/>
            <w:noWrap/>
            <w:hideMark/>
          </w:tcPr>
          <w:p w14:paraId="3BD82272"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4</w:t>
            </w:r>
          </w:p>
        </w:tc>
        <w:tc>
          <w:tcPr>
            <w:tcW w:w="833" w:type="pct"/>
            <w:noWrap/>
            <w:hideMark/>
          </w:tcPr>
          <w:p w14:paraId="6DAE4BCC"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10</w:t>
            </w:r>
          </w:p>
        </w:tc>
        <w:tc>
          <w:tcPr>
            <w:tcW w:w="832" w:type="pct"/>
            <w:noWrap/>
            <w:hideMark/>
          </w:tcPr>
          <w:p w14:paraId="529ECFE3"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12</w:t>
            </w:r>
          </w:p>
        </w:tc>
      </w:tr>
      <w:tr w:rsidR="00EB6651" w:rsidRPr="00F11A3E" w14:paraId="433873EB" w14:textId="77777777" w:rsidTr="008C2BB2">
        <w:trPr>
          <w:trHeight w:val="115"/>
        </w:trPr>
        <w:tc>
          <w:tcPr>
            <w:tcW w:w="701" w:type="pct"/>
          </w:tcPr>
          <w:p w14:paraId="6BB4A1A8" w14:textId="1BB62643" w:rsidR="00EB6651" w:rsidRPr="00F11A3E" w:rsidRDefault="00EB6651" w:rsidP="00F11A3E">
            <w:pPr>
              <w:pStyle w:val="Standard"/>
              <w:spacing w:line="276" w:lineRule="auto"/>
              <w:rPr>
                <w:rFonts w:ascii="Times New Roman" w:hAnsi="Times New Roman" w:cs="Times New Roman"/>
              </w:rPr>
            </w:pPr>
            <w:r w:rsidRPr="00F11A3E">
              <w:rPr>
                <w:rFonts w:ascii="Times New Roman" w:hAnsi="Times New Roman" w:cs="Times New Roman"/>
              </w:rPr>
              <w:t>3</w:t>
            </w:r>
          </w:p>
        </w:tc>
        <w:tc>
          <w:tcPr>
            <w:tcW w:w="966" w:type="pct"/>
            <w:noWrap/>
            <w:hideMark/>
          </w:tcPr>
          <w:p w14:paraId="008518C5" w14:textId="502D0F66"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Academic</w:t>
            </w:r>
          </w:p>
        </w:tc>
        <w:tc>
          <w:tcPr>
            <w:tcW w:w="834" w:type="pct"/>
            <w:noWrap/>
            <w:hideMark/>
          </w:tcPr>
          <w:p w14:paraId="25257250"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0</w:t>
            </w:r>
          </w:p>
        </w:tc>
        <w:tc>
          <w:tcPr>
            <w:tcW w:w="833" w:type="pct"/>
            <w:noWrap/>
            <w:hideMark/>
          </w:tcPr>
          <w:p w14:paraId="7BD825A5"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14</w:t>
            </w:r>
          </w:p>
        </w:tc>
        <w:tc>
          <w:tcPr>
            <w:tcW w:w="833" w:type="pct"/>
            <w:noWrap/>
            <w:hideMark/>
          </w:tcPr>
          <w:p w14:paraId="2E2926F3"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14</w:t>
            </w:r>
          </w:p>
        </w:tc>
        <w:tc>
          <w:tcPr>
            <w:tcW w:w="832" w:type="pct"/>
            <w:noWrap/>
            <w:hideMark/>
          </w:tcPr>
          <w:p w14:paraId="7BC8036D"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18</w:t>
            </w:r>
          </w:p>
        </w:tc>
      </w:tr>
      <w:tr w:rsidR="00EB6651" w:rsidRPr="00F11A3E" w14:paraId="7D24C2DB" w14:textId="77777777" w:rsidTr="008C2BB2">
        <w:trPr>
          <w:trHeight w:val="115"/>
        </w:trPr>
        <w:tc>
          <w:tcPr>
            <w:tcW w:w="701" w:type="pct"/>
          </w:tcPr>
          <w:p w14:paraId="5D1C507A" w14:textId="35E69D46" w:rsidR="00EB6651" w:rsidRPr="00F11A3E" w:rsidRDefault="00EB6651" w:rsidP="00F11A3E">
            <w:pPr>
              <w:pStyle w:val="Standard"/>
              <w:spacing w:line="276" w:lineRule="auto"/>
              <w:rPr>
                <w:rFonts w:ascii="Times New Roman" w:hAnsi="Times New Roman" w:cs="Times New Roman"/>
              </w:rPr>
            </w:pPr>
            <w:r w:rsidRPr="00F11A3E">
              <w:rPr>
                <w:rFonts w:ascii="Times New Roman" w:hAnsi="Times New Roman" w:cs="Times New Roman"/>
              </w:rPr>
              <w:t>4</w:t>
            </w:r>
          </w:p>
        </w:tc>
        <w:tc>
          <w:tcPr>
            <w:tcW w:w="966" w:type="pct"/>
            <w:noWrap/>
            <w:hideMark/>
          </w:tcPr>
          <w:p w14:paraId="67C3DA02" w14:textId="535E20C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Academic</w:t>
            </w:r>
          </w:p>
        </w:tc>
        <w:tc>
          <w:tcPr>
            <w:tcW w:w="834" w:type="pct"/>
            <w:noWrap/>
            <w:hideMark/>
          </w:tcPr>
          <w:p w14:paraId="7409BDA3"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0</w:t>
            </w:r>
          </w:p>
        </w:tc>
        <w:tc>
          <w:tcPr>
            <w:tcW w:w="833" w:type="pct"/>
            <w:noWrap/>
            <w:hideMark/>
          </w:tcPr>
          <w:p w14:paraId="539F0960"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10</w:t>
            </w:r>
          </w:p>
        </w:tc>
        <w:tc>
          <w:tcPr>
            <w:tcW w:w="833" w:type="pct"/>
            <w:noWrap/>
            <w:hideMark/>
          </w:tcPr>
          <w:p w14:paraId="173789BC"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21</w:t>
            </w:r>
          </w:p>
        </w:tc>
        <w:tc>
          <w:tcPr>
            <w:tcW w:w="832" w:type="pct"/>
            <w:noWrap/>
            <w:hideMark/>
          </w:tcPr>
          <w:p w14:paraId="48ABAD50"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21</w:t>
            </w:r>
          </w:p>
        </w:tc>
      </w:tr>
      <w:tr w:rsidR="00EB6651" w:rsidRPr="00F11A3E" w14:paraId="6566789F" w14:textId="77777777" w:rsidTr="008C2BB2">
        <w:trPr>
          <w:trHeight w:val="115"/>
        </w:trPr>
        <w:tc>
          <w:tcPr>
            <w:tcW w:w="701" w:type="pct"/>
          </w:tcPr>
          <w:p w14:paraId="4CC0EFDB" w14:textId="6B2C6476" w:rsidR="00EB6651" w:rsidRPr="00F11A3E" w:rsidRDefault="00EB6651" w:rsidP="00F11A3E">
            <w:pPr>
              <w:pStyle w:val="Standard"/>
              <w:spacing w:line="276" w:lineRule="auto"/>
              <w:rPr>
                <w:rFonts w:ascii="Times New Roman" w:hAnsi="Times New Roman" w:cs="Times New Roman"/>
              </w:rPr>
            </w:pPr>
            <w:r w:rsidRPr="00F11A3E">
              <w:rPr>
                <w:rFonts w:ascii="Times New Roman" w:hAnsi="Times New Roman" w:cs="Times New Roman"/>
              </w:rPr>
              <w:t>5</w:t>
            </w:r>
          </w:p>
        </w:tc>
        <w:tc>
          <w:tcPr>
            <w:tcW w:w="966" w:type="pct"/>
            <w:noWrap/>
            <w:hideMark/>
          </w:tcPr>
          <w:p w14:paraId="065441E0" w14:textId="5A857406"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Academic</w:t>
            </w:r>
          </w:p>
        </w:tc>
        <w:tc>
          <w:tcPr>
            <w:tcW w:w="834" w:type="pct"/>
            <w:noWrap/>
            <w:hideMark/>
          </w:tcPr>
          <w:p w14:paraId="6FDEE164"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0</w:t>
            </w:r>
          </w:p>
        </w:tc>
        <w:tc>
          <w:tcPr>
            <w:tcW w:w="833" w:type="pct"/>
            <w:noWrap/>
            <w:hideMark/>
          </w:tcPr>
          <w:p w14:paraId="5D118541"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9</w:t>
            </w:r>
          </w:p>
        </w:tc>
        <w:tc>
          <w:tcPr>
            <w:tcW w:w="833" w:type="pct"/>
            <w:noWrap/>
            <w:hideMark/>
          </w:tcPr>
          <w:p w14:paraId="0431E3E3"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21</w:t>
            </w:r>
          </w:p>
        </w:tc>
        <w:tc>
          <w:tcPr>
            <w:tcW w:w="832" w:type="pct"/>
            <w:noWrap/>
            <w:hideMark/>
          </w:tcPr>
          <w:p w14:paraId="090023B4"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28</w:t>
            </w:r>
          </w:p>
        </w:tc>
      </w:tr>
      <w:tr w:rsidR="00EB6651" w:rsidRPr="00F11A3E" w14:paraId="079065FB" w14:textId="77777777" w:rsidTr="008C2BB2">
        <w:trPr>
          <w:trHeight w:val="115"/>
        </w:trPr>
        <w:tc>
          <w:tcPr>
            <w:tcW w:w="701" w:type="pct"/>
          </w:tcPr>
          <w:p w14:paraId="77F16614" w14:textId="21170180" w:rsidR="00EB6651" w:rsidRPr="00F11A3E" w:rsidRDefault="00EB6651" w:rsidP="00F11A3E">
            <w:pPr>
              <w:pStyle w:val="Standard"/>
              <w:spacing w:line="276" w:lineRule="auto"/>
              <w:rPr>
                <w:rFonts w:ascii="Times New Roman" w:hAnsi="Times New Roman" w:cs="Times New Roman"/>
              </w:rPr>
            </w:pPr>
            <w:r w:rsidRPr="00F11A3E">
              <w:rPr>
                <w:rFonts w:ascii="Times New Roman" w:hAnsi="Times New Roman" w:cs="Times New Roman"/>
              </w:rPr>
              <w:t>6</w:t>
            </w:r>
          </w:p>
        </w:tc>
        <w:tc>
          <w:tcPr>
            <w:tcW w:w="966" w:type="pct"/>
            <w:noWrap/>
            <w:hideMark/>
          </w:tcPr>
          <w:p w14:paraId="272E4980" w14:textId="3D4E17BC"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Academic</w:t>
            </w:r>
          </w:p>
        </w:tc>
        <w:tc>
          <w:tcPr>
            <w:tcW w:w="834" w:type="pct"/>
            <w:noWrap/>
            <w:hideMark/>
          </w:tcPr>
          <w:p w14:paraId="0407D69E"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0</w:t>
            </w:r>
          </w:p>
        </w:tc>
        <w:tc>
          <w:tcPr>
            <w:tcW w:w="833" w:type="pct"/>
            <w:noWrap/>
            <w:hideMark/>
          </w:tcPr>
          <w:p w14:paraId="791E134F"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15</w:t>
            </w:r>
          </w:p>
        </w:tc>
        <w:tc>
          <w:tcPr>
            <w:tcW w:w="833" w:type="pct"/>
            <w:noWrap/>
            <w:hideMark/>
          </w:tcPr>
          <w:p w14:paraId="11D7A554"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20</w:t>
            </w:r>
          </w:p>
        </w:tc>
        <w:tc>
          <w:tcPr>
            <w:tcW w:w="832" w:type="pct"/>
            <w:noWrap/>
            <w:hideMark/>
          </w:tcPr>
          <w:p w14:paraId="18EE4316"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30</w:t>
            </w:r>
          </w:p>
        </w:tc>
      </w:tr>
      <w:tr w:rsidR="00EB6651" w:rsidRPr="00F11A3E" w14:paraId="4AAFA254" w14:textId="77777777" w:rsidTr="008C2BB2">
        <w:trPr>
          <w:trHeight w:val="115"/>
        </w:trPr>
        <w:tc>
          <w:tcPr>
            <w:tcW w:w="701" w:type="pct"/>
          </w:tcPr>
          <w:p w14:paraId="5DD14EA1" w14:textId="0AA13E15" w:rsidR="00EB6651" w:rsidRPr="00F11A3E" w:rsidRDefault="00EB6651" w:rsidP="00F11A3E">
            <w:pPr>
              <w:pStyle w:val="Standard"/>
              <w:spacing w:line="276" w:lineRule="auto"/>
              <w:rPr>
                <w:rFonts w:ascii="Times New Roman" w:hAnsi="Times New Roman" w:cs="Times New Roman"/>
              </w:rPr>
            </w:pPr>
            <w:r w:rsidRPr="00F11A3E">
              <w:rPr>
                <w:rFonts w:ascii="Times New Roman" w:hAnsi="Times New Roman" w:cs="Times New Roman"/>
              </w:rPr>
              <w:t>7</w:t>
            </w:r>
          </w:p>
        </w:tc>
        <w:tc>
          <w:tcPr>
            <w:tcW w:w="966" w:type="pct"/>
            <w:noWrap/>
            <w:hideMark/>
          </w:tcPr>
          <w:p w14:paraId="49A5107F" w14:textId="4F4D26AB"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General</w:t>
            </w:r>
          </w:p>
        </w:tc>
        <w:tc>
          <w:tcPr>
            <w:tcW w:w="834" w:type="pct"/>
            <w:noWrap/>
            <w:hideMark/>
          </w:tcPr>
          <w:p w14:paraId="25BC3BBC"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0</w:t>
            </w:r>
          </w:p>
        </w:tc>
        <w:tc>
          <w:tcPr>
            <w:tcW w:w="833" w:type="pct"/>
            <w:noWrap/>
            <w:hideMark/>
          </w:tcPr>
          <w:p w14:paraId="29232055"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4</w:t>
            </w:r>
          </w:p>
        </w:tc>
        <w:tc>
          <w:tcPr>
            <w:tcW w:w="833" w:type="pct"/>
            <w:noWrap/>
            <w:hideMark/>
          </w:tcPr>
          <w:p w14:paraId="439C360B"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21</w:t>
            </w:r>
          </w:p>
        </w:tc>
        <w:tc>
          <w:tcPr>
            <w:tcW w:w="832" w:type="pct"/>
            <w:noWrap/>
            <w:hideMark/>
          </w:tcPr>
          <w:p w14:paraId="5AD223AE"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22</w:t>
            </w:r>
          </w:p>
        </w:tc>
      </w:tr>
      <w:tr w:rsidR="00EB6651" w:rsidRPr="00F11A3E" w14:paraId="6B21C365" w14:textId="77777777" w:rsidTr="008C2BB2">
        <w:trPr>
          <w:trHeight w:val="115"/>
        </w:trPr>
        <w:tc>
          <w:tcPr>
            <w:tcW w:w="701" w:type="pct"/>
          </w:tcPr>
          <w:p w14:paraId="43CEE860" w14:textId="66D7500B" w:rsidR="00EB6651" w:rsidRPr="00F11A3E" w:rsidRDefault="00EB6651" w:rsidP="00F11A3E">
            <w:pPr>
              <w:pStyle w:val="Standard"/>
              <w:spacing w:line="276" w:lineRule="auto"/>
              <w:rPr>
                <w:rFonts w:ascii="Times New Roman" w:hAnsi="Times New Roman" w:cs="Times New Roman"/>
              </w:rPr>
            </w:pPr>
            <w:r w:rsidRPr="00F11A3E">
              <w:rPr>
                <w:rFonts w:ascii="Times New Roman" w:hAnsi="Times New Roman" w:cs="Times New Roman"/>
              </w:rPr>
              <w:t>8</w:t>
            </w:r>
          </w:p>
        </w:tc>
        <w:tc>
          <w:tcPr>
            <w:tcW w:w="966" w:type="pct"/>
            <w:noWrap/>
            <w:hideMark/>
          </w:tcPr>
          <w:p w14:paraId="4EF33B5E" w14:textId="28C5B574"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General</w:t>
            </w:r>
          </w:p>
        </w:tc>
        <w:tc>
          <w:tcPr>
            <w:tcW w:w="834" w:type="pct"/>
            <w:noWrap/>
            <w:hideMark/>
          </w:tcPr>
          <w:p w14:paraId="4B165E31"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0</w:t>
            </w:r>
          </w:p>
        </w:tc>
        <w:tc>
          <w:tcPr>
            <w:tcW w:w="833" w:type="pct"/>
            <w:noWrap/>
            <w:hideMark/>
          </w:tcPr>
          <w:p w14:paraId="0B12FC1D"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10</w:t>
            </w:r>
          </w:p>
        </w:tc>
        <w:tc>
          <w:tcPr>
            <w:tcW w:w="833" w:type="pct"/>
            <w:noWrap/>
            <w:hideMark/>
          </w:tcPr>
          <w:p w14:paraId="725EAD23"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10</w:t>
            </w:r>
          </w:p>
        </w:tc>
        <w:tc>
          <w:tcPr>
            <w:tcW w:w="832" w:type="pct"/>
            <w:noWrap/>
            <w:hideMark/>
          </w:tcPr>
          <w:p w14:paraId="3525184B"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14</w:t>
            </w:r>
          </w:p>
        </w:tc>
      </w:tr>
      <w:tr w:rsidR="00EB6651" w:rsidRPr="00F11A3E" w14:paraId="15BBE739" w14:textId="77777777" w:rsidTr="008C2BB2">
        <w:trPr>
          <w:trHeight w:val="115"/>
        </w:trPr>
        <w:tc>
          <w:tcPr>
            <w:tcW w:w="701" w:type="pct"/>
          </w:tcPr>
          <w:p w14:paraId="75F051B0" w14:textId="40E5C209" w:rsidR="00EB6651" w:rsidRPr="00F11A3E" w:rsidRDefault="00EB6651" w:rsidP="00F11A3E">
            <w:pPr>
              <w:pStyle w:val="Standard"/>
              <w:spacing w:line="276" w:lineRule="auto"/>
              <w:rPr>
                <w:rFonts w:ascii="Times New Roman" w:hAnsi="Times New Roman" w:cs="Times New Roman"/>
              </w:rPr>
            </w:pPr>
            <w:r w:rsidRPr="00F11A3E">
              <w:rPr>
                <w:rFonts w:ascii="Times New Roman" w:hAnsi="Times New Roman" w:cs="Times New Roman"/>
              </w:rPr>
              <w:t>9</w:t>
            </w:r>
          </w:p>
        </w:tc>
        <w:tc>
          <w:tcPr>
            <w:tcW w:w="966" w:type="pct"/>
            <w:noWrap/>
            <w:hideMark/>
          </w:tcPr>
          <w:p w14:paraId="0A950A08" w14:textId="65E74FE1"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General</w:t>
            </w:r>
          </w:p>
        </w:tc>
        <w:tc>
          <w:tcPr>
            <w:tcW w:w="834" w:type="pct"/>
            <w:noWrap/>
            <w:hideMark/>
          </w:tcPr>
          <w:p w14:paraId="178CF64F"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0</w:t>
            </w:r>
          </w:p>
        </w:tc>
        <w:tc>
          <w:tcPr>
            <w:tcW w:w="833" w:type="pct"/>
            <w:noWrap/>
            <w:hideMark/>
          </w:tcPr>
          <w:p w14:paraId="33BE95C0"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7</w:t>
            </w:r>
          </w:p>
        </w:tc>
        <w:tc>
          <w:tcPr>
            <w:tcW w:w="833" w:type="pct"/>
            <w:noWrap/>
            <w:hideMark/>
          </w:tcPr>
          <w:p w14:paraId="3183AE3C"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14</w:t>
            </w:r>
          </w:p>
        </w:tc>
        <w:tc>
          <w:tcPr>
            <w:tcW w:w="832" w:type="pct"/>
            <w:noWrap/>
            <w:hideMark/>
          </w:tcPr>
          <w:p w14:paraId="23BFF237"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19</w:t>
            </w:r>
          </w:p>
        </w:tc>
      </w:tr>
      <w:tr w:rsidR="00EB6651" w:rsidRPr="00F11A3E" w14:paraId="12F5F2CB" w14:textId="77777777" w:rsidTr="008C2BB2">
        <w:trPr>
          <w:trHeight w:val="115"/>
        </w:trPr>
        <w:tc>
          <w:tcPr>
            <w:tcW w:w="701" w:type="pct"/>
          </w:tcPr>
          <w:p w14:paraId="47CD7AFE" w14:textId="5A7F7E78" w:rsidR="00EB6651" w:rsidRPr="00F11A3E" w:rsidRDefault="00EB6651" w:rsidP="00F11A3E">
            <w:pPr>
              <w:pStyle w:val="Standard"/>
              <w:spacing w:line="276" w:lineRule="auto"/>
              <w:rPr>
                <w:rFonts w:ascii="Times New Roman" w:hAnsi="Times New Roman" w:cs="Times New Roman"/>
              </w:rPr>
            </w:pPr>
            <w:r w:rsidRPr="00F11A3E">
              <w:rPr>
                <w:rFonts w:ascii="Times New Roman" w:hAnsi="Times New Roman" w:cs="Times New Roman"/>
              </w:rPr>
              <w:t>10</w:t>
            </w:r>
          </w:p>
        </w:tc>
        <w:tc>
          <w:tcPr>
            <w:tcW w:w="966" w:type="pct"/>
            <w:noWrap/>
            <w:hideMark/>
          </w:tcPr>
          <w:p w14:paraId="64A234DF" w14:textId="109BE5D9"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Teaching</w:t>
            </w:r>
          </w:p>
        </w:tc>
        <w:tc>
          <w:tcPr>
            <w:tcW w:w="834" w:type="pct"/>
            <w:noWrap/>
            <w:hideMark/>
          </w:tcPr>
          <w:p w14:paraId="36AD14A2"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0</w:t>
            </w:r>
          </w:p>
        </w:tc>
        <w:tc>
          <w:tcPr>
            <w:tcW w:w="833" w:type="pct"/>
            <w:noWrap/>
            <w:hideMark/>
          </w:tcPr>
          <w:p w14:paraId="1B2F55EF"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5</w:t>
            </w:r>
          </w:p>
        </w:tc>
        <w:tc>
          <w:tcPr>
            <w:tcW w:w="833" w:type="pct"/>
            <w:noWrap/>
            <w:hideMark/>
          </w:tcPr>
          <w:p w14:paraId="02006F45"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10</w:t>
            </w:r>
          </w:p>
        </w:tc>
        <w:tc>
          <w:tcPr>
            <w:tcW w:w="832" w:type="pct"/>
            <w:noWrap/>
            <w:hideMark/>
          </w:tcPr>
          <w:p w14:paraId="65B95B71"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14</w:t>
            </w:r>
          </w:p>
        </w:tc>
      </w:tr>
      <w:tr w:rsidR="00EB6651" w:rsidRPr="00F11A3E" w14:paraId="220B8C08" w14:textId="77777777" w:rsidTr="008C2BB2">
        <w:trPr>
          <w:trHeight w:val="115"/>
        </w:trPr>
        <w:tc>
          <w:tcPr>
            <w:tcW w:w="701" w:type="pct"/>
          </w:tcPr>
          <w:p w14:paraId="3A0C9C47" w14:textId="3896086E" w:rsidR="00EB6651" w:rsidRPr="00F11A3E" w:rsidRDefault="00EB6651" w:rsidP="00F11A3E">
            <w:pPr>
              <w:pStyle w:val="Standard"/>
              <w:spacing w:line="276" w:lineRule="auto"/>
              <w:rPr>
                <w:rFonts w:ascii="Times New Roman" w:hAnsi="Times New Roman" w:cs="Times New Roman"/>
              </w:rPr>
            </w:pPr>
            <w:r w:rsidRPr="00F11A3E">
              <w:rPr>
                <w:rFonts w:ascii="Times New Roman" w:hAnsi="Times New Roman" w:cs="Times New Roman"/>
              </w:rPr>
              <w:t>11</w:t>
            </w:r>
          </w:p>
        </w:tc>
        <w:tc>
          <w:tcPr>
            <w:tcW w:w="966" w:type="pct"/>
            <w:noWrap/>
            <w:hideMark/>
          </w:tcPr>
          <w:p w14:paraId="00702014" w14:textId="41ECF1FF"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Teaching</w:t>
            </w:r>
          </w:p>
        </w:tc>
        <w:tc>
          <w:tcPr>
            <w:tcW w:w="834" w:type="pct"/>
            <w:noWrap/>
            <w:hideMark/>
          </w:tcPr>
          <w:p w14:paraId="127A28FE"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0</w:t>
            </w:r>
          </w:p>
        </w:tc>
        <w:tc>
          <w:tcPr>
            <w:tcW w:w="833" w:type="pct"/>
            <w:noWrap/>
            <w:hideMark/>
          </w:tcPr>
          <w:p w14:paraId="11341CF3"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8</w:t>
            </w:r>
          </w:p>
        </w:tc>
        <w:tc>
          <w:tcPr>
            <w:tcW w:w="833" w:type="pct"/>
            <w:noWrap/>
            <w:hideMark/>
          </w:tcPr>
          <w:p w14:paraId="1747432A"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14</w:t>
            </w:r>
          </w:p>
        </w:tc>
        <w:tc>
          <w:tcPr>
            <w:tcW w:w="832" w:type="pct"/>
            <w:noWrap/>
            <w:hideMark/>
          </w:tcPr>
          <w:p w14:paraId="23E84E2B"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20</w:t>
            </w:r>
          </w:p>
        </w:tc>
      </w:tr>
      <w:tr w:rsidR="00EB6651" w:rsidRPr="00F11A3E" w14:paraId="4A5E21F1" w14:textId="77777777" w:rsidTr="008C2BB2">
        <w:trPr>
          <w:trHeight w:val="115"/>
        </w:trPr>
        <w:tc>
          <w:tcPr>
            <w:tcW w:w="701" w:type="pct"/>
          </w:tcPr>
          <w:p w14:paraId="0A2F7F66" w14:textId="04A2B9E9" w:rsidR="00EB6651" w:rsidRPr="00F11A3E" w:rsidRDefault="00EB6651" w:rsidP="00F11A3E">
            <w:pPr>
              <w:pStyle w:val="Standard"/>
              <w:spacing w:line="276" w:lineRule="auto"/>
              <w:rPr>
                <w:rFonts w:ascii="Times New Roman" w:hAnsi="Times New Roman" w:cs="Times New Roman"/>
              </w:rPr>
            </w:pPr>
            <w:r w:rsidRPr="00F11A3E">
              <w:rPr>
                <w:rFonts w:ascii="Times New Roman" w:hAnsi="Times New Roman" w:cs="Times New Roman"/>
              </w:rPr>
              <w:t>12</w:t>
            </w:r>
          </w:p>
        </w:tc>
        <w:tc>
          <w:tcPr>
            <w:tcW w:w="966" w:type="pct"/>
            <w:noWrap/>
            <w:hideMark/>
          </w:tcPr>
          <w:p w14:paraId="3007E287" w14:textId="223C9BBE"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Teaching</w:t>
            </w:r>
          </w:p>
        </w:tc>
        <w:tc>
          <w:tcPr>
            <w:tcW w:w="834" w:type="pct"/>
            <w:noWrap/>
            <w:hideMark/>
          </w:tcPr>
          <w:p w14:paraId="3EA85801"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0</w:t>
            </w:r>
          </w:p>
        </w:tc>
        <w:tc>
          <w:tcPr>
            <w:tcW w:w="833" w:type="pct"/>
            <w:noWrap/>
            <w:hideMark/>
          </w:tcPr>
          <w:p w14:paraId="0134A615"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12</w:t>
            </w:r>
          </w:p>
        </w:tc>
        <w:tc>
          <w:tcPr>
            <w:tcW w:w="833" w:type="pct"/>
            <w:noWrap/>
            <w:hideMark/>
          </w:tcPr>
          <w:p w14:paraId="5BD42574"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14</w:t>
            </w:r>
          </w:p>
        </w:tc>
        <w:tc>
          <w:tcPr>
            <w:tcW w:w="832" w:type="pct"/>
            <w:noWrap/>
            <w:hideMark/>
          </w:tcPr>
          <w:p w14:paraId="74ADCB53"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21</w:t>
            </w:r>
          </w:p>
        </w:tc>
      </w:tr>
      <w:tr w:rsidR="00EB6651" w:rsidRPr="00F11A3E" w14:paraId="0658DC11" w14:textId="77777777" w:rsidTr="008C2BB2">
        <w:trPr>
          <w:trHeight w:val="115"/>
        </w:trPr>
        <w:tc>
          <w:tcPr>
            <w:tcW w:w="701" w:type="pct"/>
          </w:tcPr>
          <w:p w14:paraId="14746163" w14:textId="5C7A434B" w:rsidR="00EB6651" w:rsidRPr="00F11A3E" w:rsidRDefault="00EB6651" w:rsidP="00F11A3E">
            <w:pPr>
              <w:pStyle w:val="Standard"/>
              <w:spacing w:line="276" w:lineRule="auto"/>
              <w:rPr>
                <w:rFonts w:ascii="Times New Roman" w:hAnsi="Times New Roman" w:cs="Times New Roman"/>
              </w:rPr>
            </w:pPr>
            <w:r w:rsidRPr="00F11A3E">
              <w:rPr>
                <w:rFonts w:ascii="Times New Roman" w:hAnsi="Times New Roman" w:cs="Times New Roman"/>
              </w:rPr>
              <w:t>13</w:t>
            </w:r>
          </w:p>
        </w:tc>
        <w:tc>
          <w:tcPr>
            <w:tcW w:w="966" w:type="pct"/>
            <w:noWrap/>
            <w:hideMark/>
          </w:tcPr>
          <w:p w14:paraId="1848FEE2" w14:textId="1796EFA6"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Teaching</w:t>
            </w:r>
          </w:p>
        </w:tc>
        <w:tc>
          <w:tcPr>
            <w:tcW w:w="834" w:type="pct"/>
            <w:noWrap/>
            <w:hideMark/>
          </w:tcPr>
          <w:p w14:paraId="0CADD800"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0</w:t>
            </w:r>
          </w:p>
        </w:tc>
        <w:tc>
          <w:tcPr>
            <w:tcW w:w="833" w:type="pct"/>
            <w:noWrap/>
            <w:hideMark/>
          </w:tcPr>
          <w:p w14:paraId="48D13BA3"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14</w:t>
            </w:r>
          </w:p>
        </w:tc>
        <w:tc>
          <w:tcPr>
            <w:tcW w:w="833" w:type="pct"/>
            <w:noWrap/>
            <w:hideMark/>
          </w:tcPr>
          <w:p w14:paraId="1DE9A6D9"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21</w:t>
            </w:r>
          </w:p>
        </w:tc>
        <w:tc>
          <w:tcPr>
            <w:tcW w:w="832" w:type="pct"/>
            <w:noWrap/>
            <w:hideMark/>
          </w:tcPr>
          <w:p w14:paraId="27B28303"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25</w:t>
            </w:r>
          </w:p>
        </w:tc>
      </w:tr>
      <w:tr w:rsidR="00EB6651" w:rsidRPr="00F11A3E" w14:paraId="35C8EFF7" w14:textId="77777777" w:rsidTr="008C2BB2">
        <w:trPr>
          <w:trHeight w:val="115"/>
        </w:trPr>
        <w:tc>
          <w:tcPr>
            <w:tcW w:w="701" w:type="pct"/>
          </w:tcPr>
          <w:p w14:paraId="487A1D69" w14:textId="61E11CF9" w:rsidR="00EB6651" w:rsidRPr="00F11A3E" w:rsidRDefault="00EB6651" w:rsidP="00F11A3E">
            <w:pPr>
              <w:pStyle w:val="Standard"/>
              <w:spacing w:line="276" w:lineRule="auto"/>
              <w:rPr>
                <w:rFonts w:ascii="Times New Roman" w:hAnsi="Times New Roman" w:cs="Times New Roman"/>
              </w:rPr>
            </w:pPr>
            <w:r w:rsidRPr="00F11A3E">
              <w:rPr>
                <w:rFonts w:ascii="Times New Roman" w:hAnsi="Times New Roman" w:cs="Times New Roman"/>
              </w:rPr>
              <w:t>14</w:t>
            </w:r>
          </w:p>
        </w:tc>
        <w:tc>
          <w:tcPr>
            <w:tcW w:w="966" w:type="pct"/>
            <w:noWrap/>
            <w:hideMark/>
          </w:tcPr>
          <w:p w14:paraId="19FF20B7" w14:textId="5620EEE8"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Teaching</w:t>
            </w:r>
          </w:p>
        </w:tc>
        <w:tc>
          <w:tcPr>
            <w:tcW w:w="834" w:type="pct"/>
            <w:noWrap/>
            <w:hideMark/>
          </w:tcPr>
          <w:p w14:paraId="2CDF2F09"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0</w:t>
            </w:r>
          </w:p>
        </w:tc>
        <w:tc>
          <w:tcPr>
            <w:tcW w:w="833" w:type="pct"/>
            <w:noWrap/>
            <w:hideMark/>
          </w:tcPr>
          <w:p w14:paraId="1C6FB535"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15</w:t>
            </w:r>
          </w:p>
        </w:tc>
        <w:tc>
          <w:tcPr>
            <w:tcW w:w="833" w:type="pct"/>
            <w:noWrap/>
            <w:hideMark/>
          </w:tcPr>
          <w:p w14:paraId="048783B4"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23</w:t>
            </w:r>
          </w:p>
        </w:tc>
        <w:tc>
          <w:tcPr>
            <w:tcW w:w="832" w:type="pct"/>
            <w:noWrap/>
            <w:hideMark/>
          </w:tcPr>
          <w:p w14:paraId="5DD454E0"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32</w:t>
            </w:r>
          </w:p>
        </w:tc>
      </w:tr>
      <w:tr w:rsidR="00EB6651" w:rsidRPr="00F11A3E" w14:paraId="53D7C461" w14:textId="77777777" w:rsidTr="008C2BB2">
        <w:trPr>
          <w:trHeight w:val="115"/>
        </w:trPr>
        <w:tc>
          <w:tcPr>
            <w:tcW w:w="701" w:type="pct"/>
          </w:tcPr>
          <w:p w14:paraId="1B5F86C4" w14:textId="6220036E" w:rsidR="00EB6651" w:rsidRPr="00F11A3E" w:rsidRDefault="00EB6651" w:rsidP="00F11A3E">
            <w:pPr>
              <w:pStyle w:val="Standard"/>
              <w:spacing w:line="276" w:lineRule="auto"/>
              <w:rPr>
                <w:rFonts w:ascii="Times New Roman" w:hAnsi="Times New Roman" w:cs="Times New Roman"/>
              </w:rPr>
            </w:pPr>
            <w:r w:rsidRPr="00F11A3E">
              <w:rPr>
                <w:rFonts w:ascii="Times New Roman" w:hAnsi="Times New Roman" w:cs="Times New Roman"/>
              </w:rPr>
              <w:t>15</w:t>
            </w:r>
          </w:p>
        </w:tc>
        <w:tc>
          <w:tcPr>
            <w:tcW w:w="966" w:type="pct"/>
            <w:noWrap/>
            <w:hideMark/>
          </w:tcPr>
          <w:p w14:paraId="78AAA15B" w14:textId="42CBB159"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Teaching</w:t>
            </w:r>
          </w:p>
        </w:tc>
        <w:tc>
          <w:tcPr>
            <w:tcW w:w="834" w:type="pct"/>
            <w:noWrap/>
            <w:hideMark/>
          </w:tcPr>
          <w:p w14:paraId="08B4D5E2"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0</w:t>
            </w:r>
          </w:p>
        </w:tc>
        <w:tc>
          <w:tcPr>
            <w:tcW w:w="833" w:type="pct"/>
            <w:noWrap/>
            <w:hideMark/>
          </w:tcPr>
          <w:p w14:paraId="24FB5E85"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12</w:t>
            </w:r>
          </w:p>
        </w:tc>
        <w:tc>
          <w:tcPr>
            <w:tcW w:w="833" w:type="pct"/>
            <w:noWrap/>
            <w:hideMark/>
          </w:tcPr>
          <w:p w14:paraId="5A65DAE6"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15</w:t>
            </w:r>
          </w:p>
        </w:tc>
        <w:tc>
          <w:tcPr>
            <w:tcW w:w="832" w:type="pct"/>
            <w:noWrap/>
            <w:hideMark/>
          </w:tcPr>
          <w:p w14:paraId="108B8771"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20</w:t>
            </w:r>
          </w:p>
        </w:tc>
      </w:tr>
      <w:tr w:rsidR="00EB6651" w:rsidRPr="00F11A3E" w14:paraId="256C10F9" w14:textId="77777777" w:rsidTr="008C2BB2">
        <w:trPr>
          <w:trHeight w:val="115"/>
        </w:trPr>
        <w:tc>
          <w:tcPr>
            <w:tcW w:w="701" w:type="pct"/>
          </w:tcPr>
          <w:p w14:paraId="1091E2DB" w14:textId="3B2F361C" w:rsidR="00EB6651" w:rsidRPr="00F11A3E" w:rsidRDefault="00EB6651" w:rsidP="00F11A3E">
            <w:pPr>
              <w:pStyle w:val="Standard"/>
              <w:spacing w:line="276" w:lineRule="auto"/>
              <w:rPr>
                <w:rFonts w:ascii="Times New Roman" w:hAnsi="Times New Roman" w:cs="Times New Roman"/>
              </w:rPr>
            </w:pPr>
            <w:r w:rsidRPr="00F11A3E">
              <w:rPr>
                <w:rFonts w:ascii="Times New Roman" w:hAnsi="Times New Roman" w:cs="Times New Roman"/>
              </w:rPr>
              <w:t>16</w:t>
            </w:r>
          </w:p>
        </w:tc>
        <w:tc>
          <w:tcPr>
            <w:tcW w:w="966" w:type="pct"/>
            <w:noWrap/>
            <w:hideMark/>
          </w:tcPr>
          <w:p w14:paraId="17959E46" w14:textId="5A41276A"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Teaching</w:t>
            </w:r>
          </w:p>
        </w:tc>
        <w:tc>
          <w:tcPr>
            <w:tcW w:w="834" w:type="pct"/>
            <w:noWrap/>
            <w:hideMark/>
          </w:tcPr>
          <w:p w14:paraId="5A0E7573"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0</w:t>
            </w:r>
          </w:p>
        </w:tc>
        <w:tc>
          <w:tcPr>
            <w:tcW w:w="833" w:type="pct"/>
            <w:noWrap/>
            <w:hideMark/>
          </w:tcPr>
          <w:p w14:paraId="195B1807"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6</w:t>
            </w:r>
          </w:p>
        </w:tc>
        <w:tc>
          <w:tcPr>
            <w:tcW w:w="833" w:type="pct"/>
            <w:noWrap/>
            <w:hideMark/>
          </w:tcPr>
          <w:p w14:paraId="56B596BD"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12</w:t>
            </w:r>
          </w:p>
        </w:tc>
        <w:tc>
          <w:tcPr>
            <w:tcW w:w="832" w:type="pct"/>
            <w:noWrap/>
            <w:hideMark/>
          </w:tcPr>
          <w:p w14:paraId="0F64B478"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20</w:t>
            </w:r>
          </w:p>
        </w:tc>
      </w:tr>
      <w:tr w:rsidR="00EB6651" w:rsidRPr="00F11A3E" w14:paraId="24B91103" w14:textId="77777777" w:rsidTr="008C2BB2">
        <w:trPr>
          <w:trHeight w:val="121"/>
        </w:trPr>
        <w:tc>
          <w:tcPr>
            <w:tcW w:w="701" w:type="pct"/>
          </w:tcPr>
          <w:p w14:paraId="3D748338" w14:textId="130D6837" w:rsidR="00EB6651" w:rsidRPr="00F11A3E" w:rsidRDefault="00EB6651" w:rsidP="00F11A3E">
            <w:pPr>
              <w:pStyle w:val="Standard"/>
              <w:spacing w:line="276" w:lineRule="auto"/>
              <w:rPr>
                <w:rFonts w:ascii="Times New Roman" w:hAnsi="Times New Roman" w:cs="Times New Roman"/>
              </w:rPr>
            </w:pPr>
            <w:r w:rsidRPr="00F11A3E">
              <w:rPr>
                <w:rFonts w:ascii="Times New Roman" w:hAnsi="Times New Roman" w:cs="Times New Roman"/>
              </w:rPr>
              <w:t>17</w:t>
            </w:r>
          </w:p>
        </w:tc>
        <w:tc>
          <w:tcPr>
            <w:tcW w:w="966" w:type="pct"/>
            <w:noWrap/>
            <w:hideMark/>
          </w:tcPr>
          <w:p w14:paraId="3DD3EED5" w14:textId="3A3C7C2C"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Teaching</w:t>
            </w:r>
          </w:p>
        </w:tc>
        <w:tc>
          <w:tcPr>
            <w:tcW w:w="834" w:type="pct"/>
            <w:noWrap/>
            <w:hideMark/>
          </w:tcPr>
          <w:p w14:paraId="7D778349"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0</w:t>
            </w:r>
          </w:p>
        </w:tc>
        <w:tc>
          <w:tcPr>
            <w:tcW w:w="833" w:type="pct"/>
            <w:noWrap/>
            <w:hideMark/>
          </w:tcPr>
          <w:p w14:paraId="7AF9621B"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7</w:t>
            </w:r>
          </w:p>
        </w:tc>
        <w:tc>
          <w:tcPr>
            <w:tcW w:w="833" w:type="pct"/>
            <w:noWrap/>
            <w:hideMark/>
          </w:tcPr>
          <w:p w14:paraId="4C35B05A"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10</w:t>
            </w:r>
          </w:p>
        </w:tc>
        <w:tc>
          <w:tcPr>
            <w:tcW w:w="832" w:type="pct"/>
            <w:noWrap/>
            <w:hideMark/>
          </w:tcPr>
          <w:p w14:paraId="42BB40FD" w14:textId="77777777" w:rsidR="00EB6651" w:rsidRPr="00F11A3E" w:rsidRDefault="00EB6651" w:rsidP="00F11A3E">
            <w:pPr>
              <w:pStyle w:val="Standard"/>
              <w:spacing w:after="160" w:line="276" w:lineRule="auto"/>
              <w:rPr>
                <w:rFonts w:ascii="Times New Roman" w:hAnsi="Times New Roman" w:cs="Times New Roman"/>
              </w:rPr>
            </w:pPr>
            <w:r w:rsidRPr="00F11A3E">
              <w:rPr>
                <w:rFonts w:ascii="Times New Roman" w:hAnsi="Times New Roman" w:cs="Times New Roman"/>
              </w:rPr>
              <w:t>14</w:t>
            </w:r>
          </w:p>
        </w:tc>
      </w:tr>
    </w:tbl>
    <w:p w14:paraId="14B0BF79" w14:textId="77777777" w:rsidR="00FA5CFC" w:rsidRPr="00F11A3E" w:rsidRDefault="00FA5CFC" w:rsidP="00F11A3E">
      <w:pPr>
        <w:pStyle w:val="Standard"/>
        <w:spacing w:line="276" w:lineRule="auto"/>
      </w:pPr>
    </w:p>
    <w:p w14:paraId="26C397EB" w14:textId="77777777" w:rsidR="00025292" w:rsidRPr="00F11A3E" w:rsidRDefault="00025292" w:rsidP="00F11A3E">
      <w:pPr>
        <w:pStyle w:val="Heading4"/>
        <w:spacing w:line="276" w:lineRule="auto"/>
        <w:rPr>
          <w:rFonts w:ascii="Times New Roman" w:hAnsi="Times New Roman" w:cs="Times New Roman"/>
        </w:rPr>
      </w:pPr>
      <w:r w:rsidRPr="00F11A3E">
        <w:rPr>
          <w:rFonts w:ascii="Times New Roman" w:hAnsi="Times New Roman" w:cs="Times New Roman"/>
        </w:rPr>
        <w:t>Hospital networks and referrals</w:t>
      </w:r>
    </w:p>
    <w:p w14:paraId="7E14D5F3" w14:textId="4FE67E76" w:rsidR="00025292" w:rsidRPr="00F11A3E" w:rsidRDefault="00025292" w:rsidP="00F11A3E">
      <w:pPr>
        <w:pStyle w:val="Standard"/>
        <w:spacing w:line="276" w:lineRule="auto"/>
        <w:rPr>
          <w:rFonts w:ascii="Times New Roman" w:hAnsi="Times New Roman" w:cs="Times New Roman"/>
        </w:rPr>
      </w:pPr>
      <w:r w:rsidRPr="00F11A3E">
        <w:rPr>
          <w:rFonts w:ascii="Times New Roman" w:hAnsi="Times New Roman" w:cs="Times New Roman"/>
        </w:rPr>
        <w:t>At the start of each simulation, nearby hospitals form a network. More specifically, general hospitals connect to the nearest teaching and nearest academic hospital, and teaching hospitals connect to the nearest academic hospital. These hospital networks are used to facilitate referrals between hospitals. If biomarker testing in a general hospital has not identified a biomarker, that patient will be referred to the teaching hospital that is connected to the general hospital in the network. Similarly, if biomarker testing in a teaching hospital has not identified a biomarker, that patient will be referred to the academic hospital in the network. Academic hospitals do not refer patients elsewhere, as they have most elaborate testing capabilities.</w:t>
      </w:r>
    </w:p>
    <w:p w14:paraId="5A8471E3" w14:textId="77777777" w:rsidR="00025292" w:rsidRPr="00F11A3E" w:rsidRDefault="00025292" w:rsidP="00F11A3E">
      <w:pPr>
        <w:pStyle w:val="Standard"/>
        <w:spacing w:line="276" w:lineRule="auto"/>
        <w:rPr>
          <w:rFonts w:ascii="Times New Roman" w:hAnsi="Times New Roman" w:cs="Times New Roman"/>
        </w:rPr>
        <w:sectPr w:rsidR="00025292" w:rsidRPr="00F11A3E">
          <w:pgSz w:w="11906" w:h="16838"/>
          <w:pgMar w:top="1417" w:right="1417" w:bottom="1417" w:left="1417" w:header="720" w:footer="720" w:gutter="0"/>
          <w:cols w:space="720"/>
        </w:sectPr>
      </w:pPr>
    </w:p>
    <w:p w14:paraId="52544BCE" w14:textId="308ADE71" w:rsidR="00025292" w:rsidRPr="00F11A3E" w:rsidRDefault="00025292" w:rsidP="00F11A3E">
      <w:pPr>
        <w:pStyle w:val="Standard"/>
        <w:spacing w:line="276" w:lineRule="auto"/>
        <w:rPr>
          <w:rFonts w:ascii="Times New Roman" w:hAnsi="Times New Roman" w:cs="Times New Roman"/>
        </w:rPr>
      </w:pPr>
    </w:p>
    <w:p w14:paraId="721ED5F7" w14:textId="588E4317" w:rsidR="00DA53FF" w:rsidRPr="00F11A3E" w:rsidRDefault="000848F3" w:rsidP="00F11A3E">
      <w:pPr>
        <w:pStyle w:val="Standard"/>
        <w:keepNext/>
        <w:spacing w:line="276" w:lineRule="auto"/>
        <w:rPr>
          <w:rFonts w:ascii="Times New Roman" w:hAnsi="Times New Roman" w:cs="Times New Roman"/>
        </w:rPr>
      </w:pPr>
      <w:r w:rsidRPr="00F11A3E">
        <w:rPr>
          <w:rFonts w:ascii="Times New Roman" w:hAnsi="Times New Roman" w:cs="Times New Roman"/>
          <w:noProof/>
          <w:lang w:eastAsia="nl-NL"/>
        </w:rPr>
        <w:drawing>
          <wp:inline distT="0" distB="0" distL="0" distR="0" wp14:anchorId="581E9761" wp14:editId="2AC4D106">
            <wp:extent cx="8986053" cy="3057754"/>
            <wp:effectExtent l="0" t="0" r="571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9020090" cy="3069336"/>
                    </a:xfrm>
                    <a:prstGeom prst="rect">
                      <a:avLst/>
                    </a:prstGeom>
                  </pic:spPr>
                </pic:pic>
              </a:graphicData>
            </a:graphic>
          </wp:inline>
        </w:drawing>
      </w:r>
    </w:p>
    <w:p w14:paraId="1A880186" w14:textId="0241D74A" w:rsidR="00212FD4" w:rsidRPr="00F11A3E" w:rsidRDefault="00DA53FF" w:rsidP="00F11A3E">
      <w:pPr>
        <w:pStyle w:val="Caption"/>
        <w:spacing w:line="276" w:lineRule="auto"/>
        <w:rPr>
          <w:rFonts w:ascii="Times New Roman" w:hAnsi="Times New Roman" w:cs="Times New Roman"/>
        </w:rPr>
      </w:pPr>
      <w:r w:rsidRPr="00F11A3E">
        <w:rPr>
          <w:rFonts w:ascii="Times New Roman" w:hAnsi="Times New Roman" w:cs="Times New Roman"/>
        </w:rPr>
        <w:t xml:space="preserve">Figure </w:t>
      </w:r>
      <w:r w:rsidRPr="00F11A3E">
        <w:rPr>
          <w:rFonts w:ascii="Times New Roman" w:hAnsi="Times New Roman" w:cs="Times New Roman"/>
        </w:rPr>
        <w:fldChar w:fldCharType="begin"/>
      </w:r>
      <w:r w:rsidRPr="00F11A3E">
        <w:rPr>
          <w:rFonts w:ascii="Times New Roman" w:hAnsi="Times New Roman" w:cs="Times New Roman"/>
        </w:rPr>
        <w:instrText xml:space="preserve"> SEQ Figure \* ARABIC </w:instrText>
      </w:r>
      <w:r w:rsidRPr="00F11A3E">
        <w:rPr>
          <w:rFonts w:ascii="Times New Roman" w:hAnsi="Times New Roman" w:cs="Times New Roman"/>
        </w:rPr>
        <w:fldChar w:fldCharType="separate"/>
      </w:r>
      <w:r w:rsidR="00394F31" w:rsidRPr="00F11A3E">
        <w:rPr>
          <w:rFonts w:ascii="Times New Roman" w:hAnsi="Times New Roman" w:cs="Times New Roman"/>
          <w:noProof/>
        </w:rPr>
        <w:t>4</w:t>
      </w:r>
      <w:r w:rsidRPr="00F11A3E">
        <w:rPr>
          <w:rFonts w:ascii="Times New Roman" w:hAnsi="Times New Roman" w:cs="Times New Roman"/>
        </w:rPr>
        <w:fldChar w:fldCharType="end"/>
      </w:r>
      <w:r w:rsidRPr="00F11A3E">
        <w:rPr>
          <w:rFonts w:ascii="Times New Roman" w:hAnsi="Times New Roman" w:cs="Times New Roman"/>
        </w:rPr>
        <w:t>. Care workflow in academic hospitals</w:t>
      </w:r>
      <w:r w:rsidR="00F42A44" w:rsidRPr="00F11A3E">
        <w:rPr>
          <w:rFonts w:ascii="Times New Roman" w:hAnsi="Times New Roman" w:cs="Times New Roman"/>
        </w:rPr>
        <w:t xml:space="preserve">. </w:t>
      </w:r>
      <w:r w:rsidR="002F42DC" w:rsidRPr="00F11A3E">
        <w:rPr>
          <w:rFonts w:ascii="Times New Roman" w:hAnsi="Times New Roman" w:cs="Times New Roman"/>
        </w:rPr>
        <w:t xml:space="preserve">Both the trajectory for </w:t>
      </w:r>
      <w:r w:rsidR="00EB1F29" w:rsidRPr="00F11A3E">
        <w:rPr>
          <w:rFonts w:ascii="Times New Roman" w:hAnsi="Times New Roman" w:cs="Times New Roman"/>
        </w:rPr>
        <w:t>SoC</w:t>
      </w:r>
      <w:r w:rsidR="00F42A44" w:rsidRPr="00F11A3E">
        <w:rPr>
          <w:rFonts w:ascii="Times New Roman" w:hAnsi="Times New Roman" w:cs="Times New Roman"/>
        </w:rPr>
        <w:t xml:space="preserve"> biomarker testing</w:t>
      </w:r>
      <w:r w:rsidR="002F42DC" w:rsidRPr="00F11A3E">
        <w:rPr>
          <w:rFonts w:ascii="Times New Roman" w:hAnsi="Times New Roman" w:cs="Times New Roman"/>
        </w:rPr>
        <w:t xml:space="preserve"> (top path</w:t>
      </w:r>
      <w:r w:rsidR="00BD4F2D" w:rsidRPr="00F11A3E">
        <w:rPr>
          <w:rFonts w:ascii="Times New Roman" w:hAnsi="Times New Roman" w:cs="Times New Roman"/>
        </w:rPr>
        <w:t>way</w:t>
      </w:r>
      <w:r w:rsidR="002F42DC" w:rsidRPr="00F11A3E">
        <w:rPr>
          <w:rFonts w:ascii="Times New Roman" w:hAnsi="Times New Roman" w:cs="Times New Roman"/>
        </w:rPr>
        <w:t>)</w:t>
      </w:r>
      <w:r w:rsidR="00F42A44" w:rsidRPr="00F11A3E">
        <w:rPr>
          <w:rFonts w:ascii="Times New Roman" w:hAnsi="Times New Roman" w:cs="Times New Roman"/>
        </w:rPr>
        <w:t xml:space="preserve">, </w:t>
      </w:r>
      <w:r w:rsidR="002F42DC" w:rsidRPr="00F11A3E">
        <w:rPr>
          <w:rFonts w:ascii="Times New Roman" w:hAnsi="Times New Roman" w:cs="Times New Roman"/>
        </w:rPr>
        <w:t>and the trajectory for WGS (</w:t>
      </w:r>
      <w:r w:rsidR="00BD4F2D" w:rsidRPr="00F11A3E">
        <w:rPr>
          <w:rFonts w:ascii="Times New Roman" w:hAnsi="Times New Roman" w:cs="Times New Roman"/>
        </w:rPr>
        <w:t xml:space="preserve">bottom </w:t>
      </w:r>
      <w:r w:rsidR="002F42DC" w:rsidRPr="00F11A3E">
        <w:rPr>
          <w:rFonts w:ascii="Times New Roman" w:hAnsi="Times New Roman" w:cs="Times New Roman"/>
        </w:rPr>
        <w:t>path</w:t>
      </w:r>
      <w:r w:rsidR="00BD4F2D" w:rsidRPr="00F11A3E">
        <w:rPr>
          <w:rFonts w:ascii="Times New Roman" w:hAnsi="Times New Roman" w:cs="Times New Roman"/>
        </w:rPr>
        <w:t>way</w:t>
      </w:r>
      <w:r w:rsidR="002F42DC" w:rsidRPr="00F11A3E">
        <w:rPr>
          <w:rFonts w:ascii="Times New Roman" w:hAnsi="Times New Roman" w:cs="Times New Roman"/>
        </w:rPr>
        <w:t>) are active</w:t>
      </w:r>
      <w:r w:rsidR="00F42A44" w:rsidRPr="00F11A3E">
        <w:rPr>
          <w:rFonts w:ascii="Times New Roman" w:hAnsi="Times New Roman" w:cs="Times New Roman"/>
        </w:rPr>
        <w:t xml:space="preserve">. </w:t>
      </w:r>
      <w:r w:rsidR="00023975" w:rsidRPr="00F11A3E">
        <w:rPr>
          <w:rFonts w:ascii="Times New Roman" w:hAnsi="Times New Roman" w:cs="Times New Roman"/>
        </w:rPr>
        <w:t>The numbers below each block represent that number of patients that are currently in that block or that have passed that block.</w:t>
      </w:r>
    </w:p>
    <w:p w14:paraId="0C52D94F" w14:textId="6167580E" w:rsidR="00C8390A" w:rsidRPr="00F11A3E" w:rsidRDefault="00C8390A" w:rsidP="00F11A3E">
      <w:pPr>
        <w:pStyle w:val="Standard"/>
        <w:spacing w:line="276" w:lineRule="auto"/>
      </w:pPr>
    </w:p>
    <w:p w14:paraId="54A9FF4E" w14:textId="18B43498" w:rsidR="00C8390A" w:rsidRPr="00F11A3E" w:rsidRDefault="00C8390A" w:rsidP="00F11A3E">
      <w:pPr>
        <w:pStyle w:val="Standard"/>
        <w:spacing w:line="276" w:lineRule="auto"/>
      </w:pPr>
    </w:p>
    <w:p w14:paraId="54527C37" w14:textId="7B743161" w:rsidR="00C8390A" w:rsidRPr="00F11A3E" w:rsidRDefault="00C8390A" w:rsidP="00F11A3E">
      <w:pPr>
        <w:pStyle w:val="Standard"/>
        <w:spacing w:line="276" w:lineRule="auto"/>
      </w:pPr>
    </w:p>
    <w:p w14:paraId="3397498E" w14:textId="4DED950B" w:rsidR="00C8390A" w:rsidRPr="00F11A3E" w:rsidRDefault="00C8390A" w:rsidP="00F11A3E">
      <w:pPr>
        <w:pStyle w:val="Standard"/>
        <w:spacing w:line="276" w:lineRule="auto"/>
      </w:pPr>
    </w:p>
    <w:p w14:paraId="2E7B9346" w14:textId="55CDBAD2" w:rsidR="00C8390A" w:rsidRPr="00F11A3E" w:rsidRDefault="00C8390A" w:rsidP="00F11A3E">
      <w:pPr>
        <w:pStyle w:val="Standard"/>
        <w:spacing w:line="276" w:lineRule="auto"/>
      </w:pPr>
    </w:p>
    <w:p w14:paraId="5084F4B0" w14:textId="17ABDB15" w:rsidR="00C8390A" w:rsidRPr="00F11A3E" w:rsidRDefault="00C8390A" w:rsidP="00F11A3E">
      <w:pPr>
        <w:pStyle w:val="Standard"/>
        <w:spacing w:line="276" w:lineRule="auto"/>
      </w:pPr>
    </w:p>
    <w:p w14:paraId="18CA7D85" w14:textId="77777777" w:rsidR="00025292" w:rsidRPr="00F11A3E" w:rsidRDefault="00025292" w:rsidP="00F11A3E">
      <w:pPr>
        <w:pStyle w:val="Standard"/>
        <w:spacing w:line="276" w:lineRule="auto"/>
        <w:sectPr w:rsidR="00025292" w:rsidRPr="00F11A3E" w:rsidSect="00025292">
          <w:pgSz w:w="16838" w:h="11906" w:orient="landscape"/>
          <w:pgMar w:top="1417" w:right="1417" w:bottom="1417" w:left="1417" w:header="720" w:footer="720" w:gutter="0"/>
          <w:cols w:space="720"/>
          <w:docGrid w:linePitch="299"/>
        </w:sectPr>
      </w:pPr>
    </w:p>
    <w:p w14:paraId="322C9294" w14:textId="77777777" w:rsidR="00BD57E8" w:rsidRPr="00F11A3E" w:rsidRDefault="00BD57E8" w:rsidP="00F11A3E">
      <w:pPr>
        <w:pStyle w:val="Heading3"/>
        <w:spacing w:line="276" w:lineRule="auto"/>
        <w:rPr>
          <w:rFonts w:ascii="Times New Roman" w:hAnsi="Times New Roman" w:cs="Times New Roman"/>
        </w:rPr>
      </w:pPr>
      <w:r w:rsidRPr="00F11A3E">
        <w:rPr>
          <w:rFonts w:ascii="Times New Roman" w:hAnsi="Times New Roman" w:cs="Times New Roman"/>
        </w:rPr>
        <w:lastRenderedPageBreak/>
        <w:t>WGS facility</w:t>
      </w:r>
    </w:p>
    <w:p w14:paraId="72FFFCEC" w14:textId="6B43FAD5" w:rsidR="00BD57E8" w:rsidRPr="00F11A3E" w:rsidRDefault="00BD57E8" w:rsidP="00F11A3E">
      <w:pPr>
        <w:pStyle w:val="Standard"/>
        <w:spacing w:line="276" w:lineRule="auto"/>
        <w:rPr>
          <w:rFonts w:ascii="Times New Roman" w:hAnsi="Times New Roman" w:cs="Times New Roman"/>
        </w:rPr>
      </w:pPr>
      <w:r w:rsidRPr="00F11A3E">
        <w:rPr>
          <w:rFonts w:ascii="Times New Roman" w:hAnsi="Times New Roman" w:cs="Times New Roman"/>
        </w:rPr>
        <w:t xml:space="preserve">This agent-type is responsible for conducting WGS. </w:t>
      </w:r>
      <w:r w:rsidR="003F21D5" w:rsidRPr="00F11A3E">
        <w:rPr>
          <w:rFonts w:ascii="Times New Roman" w:hAnsi="Times New Roman" w:cs="Times New Roman"/>
        </w:rPr>
        <w:t>Even though the tumor cell percentage is vi</w:t>
      </w:r>
      <w:r w:rsidR="00DD3381" w:rsidRPr="00F11A3E">
        <w:rPr>
          <w:rFonts w:ascii="Times New Roman" w:hAnsi="Times New Roman" w:cs="Times New Roman"/>
        </w:rPr>
        <w:t xml:space="preserve">sually inspected by a pathologist in the hospital, a definitive check, using shallow </w:t>
      </w:r>
      <w:r w:rsidR="008D2AD5" w:rsidRPr="00F11A3E">
        <w:rPr>
          <w:rFonts w:ascii="Times New Roman" w:hAnsi="Times New Roman" w:cs="Times New Roman"/>
        </w:rPr>
        <w:t>WGS</w:t>
      </w:r>
      <w:r w:rsidR="00DD3381" w:rsidRPr="00F11A3E">
        <w:rPr>
          <w:rFonts w:ascii="Times New Roman" w:hAnsi="Times New Roman" w:cs="Times New Roman"/>
        </w:rPr>
        <w:t xml:space="preserve">, is performed in the WGS facility. </w:t>
      </w:r>
      <w:r w:rsidR="00515F86" w:rsidRPr="00F11A3E">
        <w:rPr>
          <w:rFonts w:ascii="Times New Roman" w:hAnsi="Times New Roman" w:cs="Times New Roman"/>
        </w:rPr>
        <w:t xml:space="preserve">The probability that a given biopsy passes this definitive check is determined using a beta distribution (p = 570, q = 28, min = 0, max = 1). </w:t>
      </w:r>
      <w:r w:rsidRPr="00F11A3E">
        <w:rPr>
          <w:rFonts w:ascii="Times New Roman" w:hAnsi="Times New Roman" w:cs="Times New Roman"/>
        </w:rPr>
        <w:t xml:space="preserve">If </w:t>
      </w:r>
      <w:r w:rsidR="00576A81" w:rsidRPr="00F11A3E">
        <w:rPr>
          <w:rFonts w:ascii="Times New Roman" w:hAnsi="Times New Roman" w:cs="Times New Roman"/>
        </w:rPr>
        <w:t xml:space="preserve">it is confirmed that the biopsy contains enough tumor cells, WGS will </w:t>
      </w:r>
      <w:r w:rsidR="00885C60" w:rsidRPr="00F11A3E">
        <w:rPr>
          <w:rFonts w:ascii="Times New Roman" w:hAnsi="Times New Roman" w:cs="Times New Roman"/>
        </w:rPr>
        <w:t xml:space="preserve">be conducted. Otherwise, the patient will receive </w:t>
      </w:r>
      <w:r w:rsidR="00EB1F29" w:rsidRPr="00F11A3E">
        <w:rPr>
          <w:rFonts w:ascii="Times New Roman" w:hAnsi="Times New Roman" w:cs="Times New Roman"/>
        </w:rPr>
        <w:t>SoC</w:t>
      </w:r>
      <w:r w:rsidR="00885C60" w:rsidRPr="00F11A3E">
        <w:rPr>
          <w:rFonts w:ascii="Times New Roman" w:hAnsi="Times New Roman" w:cs="Times New Roman"/>
        </w:rPr>
        <w:t xml:space="preserve"> biomarker testing.</w:t>
      </w:r>
      <w:r w:rsidR="00AF0DBF" w:rsidRPr="00F11A3E">
        <w:rPr>
          <w:rFonts w:ascii="Times New Roman" w:hAnsi="Times New Roman" w:cs="Times New Roman"/>
        </w:rPr>
        <w:t xml:space="preserve"> </w:t>
      </w:r>
      <w:r w:rsidRPr="00F11A3E">
        <w:rPr>
          <w:rFonts w:ascii="Times New Roman" w:hAnsi="Times New Roman" w:cs="Times New Roman"/>
        </w:rPr>
        <w:t xml:space="preserve">The workflow presented in figure </w:t>
      </w:r>
      <w:r w:rsidR="00F37214" w:rsidRPr="00F11A3E">
        <w:rPr>
          <w:rFonts w:ascii="Times New Roman" w:hAnsi="Times New Roman" w:cs="Times New Roman"/>
        </w:rPr>
        <w:t>5</w:t>
      </w:r>
      <w:r w:rsidRPr="00F11A3E">
        <w:rPr>
          <w:rFonts w:ascii="Times New Roman" w:hAnsi="Times New Roman" w:cs="Times New Roman"/>
        </w:rPr>
        <w:t xml:space="preserve"> reflects this workflow. </w:t>
      </w:r>
      <w:r w:rsidR="00754DF7" w:rsidRPr="00F11A3E">
        <w:rPr>
          <w:rFonts w:ascii="Times New Roman" w:hAnsi="Times New Roman" w:cs="Times New Roman"/>
        </w:rPr>
        <w:t>W</w:t>
      </w:r>
      <w:r w:rsidRPr="00F11A3E">
        <w:rPr>
          <w:rFonts w:ascii="Times New Roman" w:hAnsi="Times New Roman" w:cs="Times New Roman"/>
        </w:rPr>
        <w:t xml:space="preserve">hen WGS is concluded, the biopsy-agent is sent to the MTB-agent that is closest to the hospital-agent the biopsy-agent was sent from. </w:t>
      </w:r>
    </w:p>
    <w:p w14:paraId="6196DCAC" w14:textId="7F07C7C9" w:rsidR="00BD57E8" w:rsidRPr="00F11A3E" w:rsidRDefault="00744666" w:rsidP="00F11A3E">
      <w:pPr>
        <w:pStyle w:val="Standard"/>
        <w:keepNext/>
        <w:spacing w:line="276" w:lineRule="auto"/>
        <w:rPr>
          <w:rFonts w:ascii="Times New Roman" w:hAnsi="Times New Roman" w:cs="Times New Roman"/>
        </w:rPr>
      </w:pPr>
      <w:r w:rsidRPr="00F11A3E">
        <w:rPr>
          <w:rFonts w:ascii="Times New Roman" w:hAnsi="Times New Roman" w:cs="Times New Roman"/>
          <w:noProof/>
          <w:lang w:eastAsia="nl-NL"/>
        </w:rPr>
        <w:drawing>
          <wp:inline distT="0" distB="0" distL="0" distR="0" wp14:anchorId="7F21A5C5" wp14:editId="318CBBA7">
            <wp:extent cx="5760720" cy="1196340"/>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60720" cy="1196340"/>
                    </a:xfrm>
                    <a:prstGeom prst="rect">
                      <a:avLst/>
                    </a:prstGeom>
                  </pic:spPr>
                </pic:pic>
              </a:graphicData>
            </a:graphic>
          </wp:inline>
        </w:drawing>
      </w:r>
    </w:p>
    <w:p w14:paraId="739CA4E6" w14:textId="2B44C6A2" w:rsidR="00BD57E8" w:rsidRPr="00F11A3E" w:rsidRDefault="00BD57E8" w:rsidP="00F11A3E">
      <w:pPr>
        <w:pStyle w:val="Caption"/>
        <w:spacing w:line="276" w:lineRule="auto"/>
        <w:rPr>
          <w:rFonts w:ascii="Times New Roman" w:hAnsi="Times New Roman" w:cs="Times New Roman"/>
        </w:rPr>
      </w:pPr>
      <w:r w:rsidRPr="00F11A3E">
        <w:rPr>
          <w:rFonts w:ascii="Times New Roman" w:hAnsi="Times New Roman" w:cs="Times New Roman"/>
        </w:rPr>
        <w:t xml:space="preserve">Figure </w:t>
      </w:r>
      <w:r w:rsidRPr="00F11A3E">
        <w:rPr>
          <w:rFonts w:ascii="Times New Roman" w:hAnsi="Times New Roman" w:cs="Times New Roman"/>
        </w:rPr>
        <w:fldChar w:fldCharType="begin"/>
      </w:r>
      <w:r w:rsidRPr="00F11A3E">
        <w:rPr>
          <w:rFonts w:ascii="Times New Roman" w:hAnsi="Times New Roman" w:cs="Times New Roman"/>
        </w:rPr>
        <w:instrText xml:space="preserve"> SEQ Figure \* ARABIC </w:instrText>
      </w:r>
      <w:r w:rsidRPr="00F11A3E">
        <w:rPr>
          <w:rFonts w:ascii="Times New Roman" w:hAnsi="Times New Roman" w:cs="Times New Roman"/>
        </w:rPr>
        <w:fldChar w:fldCharType="separate"/>
      </w:r>
      <w:r w:rsidR="00394F31" w:rsidRPr="00F11A3E">
        <w:rPr>
          <w:rFonts w:ascii="Times New Roman" w:hAnsi="Times New Roman" w:cs="Times New Roman"/>
          <w:noProof/>
        </w:rPr>
        <w:t>5</w:t>
      </w:r>
      <w:r w:rsidRPr="00F11A3E">
        <w:rPr>
          <w:rFonts w:ascii="Times New Roman" w:hAnsi="Times New Roman" w:cs="Times New Roman"/>
        </w:rPr>
        <w:fldChar w:fldCharType="end"/>
      </w:r>
      <w:r w:rsidRPr="00F11A3E">
        <w:rPr>
          <w:rFonts w:ascii="Times New Roman" w:hAnsi="Times New Roman" w:cs="Times New Roman"/>
        </w:rPr>
        <w:t>. WGS facility workflow</w:t>
      </w:r>
      <w:r w:rsidR="00023975" w:rsidRPr="00F11A3E">
        <w:rPr>
          <w:rFonts w:ascii="Times New Roman" w:hAnsi="Times New Roman" w:cs="Times New Roman"/>
        </w:rPr>
        <w:t xml:space="preserve">. </w:t>
      </w:r>
      <w:r w:rsidR="00972E27" w:rsidRPr="00F11A3E">
        <w:rPr>
          <w:rFonts w:ascii="Times New Roman" w:hAnsi="Times New Roman" w:cs="Times New Roman"/>
        </w:rPr>
        <w:t>The numbers below each block represent that number of biopsies that are currently in that block or that have passed that block.</w:t>
      </w:r>
    </w:p>
    <w:p w14:paraId="6B3EF34B" w14:textId="6FBB7735" w:rsidR="00A14B87" w:rsidRPr="00F11A3E" w:rsidRDefault="00754DF7" w:rsidP="00F11A3E">
      <w:pPr>
        <w:pStyle w:val="Standard"/>
        <w:spacing w:line="276" w:lineRule="auto"/>
        <w:rPr>
          <w:rFonts w:ascii="Times New Roman" w:hAnsi="Times New Roman" w:cs="Times New Roman"/>
        </w:rPr>
      </w:pPr>
      <w:r w:rsidRPr="00F11A3E">
        <w:rPr>
          <w:rFonts w:ascii="Times New Roman" w:hAnsi="Times New Roman" w:cs="Times New Roman"/>
        </w:rPr>
        <w:t xml:space="preserve">From figure </w:t>
      </w:r>
      <w:r w:rsidR="00796C72" w:rsidRPr="00F11A3E">
        <w:rPr>
          <w:rFonts w:ascii="Times New Roman" w:hAnsi="Times New Roman" w:cs="Times New Roman"/>
        </w:rPr>
        <w:t>5</w:t>
      </w:r>
      <w:r w:rsidRPr="00F11A3E">
        <w:rPr>
          <w:rFonts w:ascii="Times New Roman" w:hAnsi="Times New Roman" w:cs="Times New Roman"/>
        </w:rPr>
        <w:t xml:space="preserve">, we can observe that both the quality check and sequencing itself incur a delay. </w:t>
      </w:r>
      <w:r w:rsidR="00B34535" w:rsidRPr="00F11A3E">
        <w:rPr>
          <w:rFonts w:ascii="Times New Roman" w:hAnsi="Times New Roman" w:cs="Times New Roman"/>
        </w:rPr>
        <w:t xml:space="preserve">For the entire </w:t>
      </w:r>
      <w:r w:rsidR="004E61B8" w:rsidRPr="00F11A3E">
        <w:rPr>
          <w:rFonts w:ascii="Times New Roman" w:hAnsi="Times New Roman" w:cs="Times New Roman"/>
        </w:rPr>
        <w:t xml:space="preserve">sequencing workflow delay, we draw </w:t>
      </w:r>
      <w:r w:rsidR="00B94631" w:rsidRPr="00F11A3E">
        <w:rPr>
          <w:rFonts w:ascii="Times New Roman" w:hAnsi="Times New Roman" w:cs="Times New Roman"/>
        </w:rPr>
        <w:t xml:space="preserve">for each biopsy-agent </w:t>
      </w:r>
      <w:r w:rsidR="004E61B8" w:rsidRPr="00F11A3E">
        <w:rPr>
          <w:rFonts w:ascii="Times New Roman" w:hAnsi="Times New Roman" w:cs="Times New Roman"/>
        </w:rPr>
        <w:t xml:space="preserve">one value from a </w:t>
      </w:r>
      <w:r w:rsidR="00D0123E" w:rsidRPr="00F11A3E">
        <w:rPr>
          <w:rFonts w:ascii="Times New Roman" w:hAnsi="Times New Roman" w:cs="Times New Roman"/>
        </w:rPr>
        <w:t xml:space="preserve">truncated normal </w:t>
      </w:r>
      <w:r w:rsidR="004E61B8" w:rsidRPr="00F11A3E">
        <w:rPr>
          <w:rFonts w:ascii="Times New Roman" w:hAnsi="Times New Roman" w:cs="Times New Roman"/>
        </w:rPr>
        <w:t>distribution</w:t>
      </w:r>
      <w:r w:rsidR="00D0123E" w:rsidRPr="00F11A3E">
        <w:rPr>
          <w:rFonts w:ascii="Times New Roman" w:hAnsi="Times New Roman" w:cs="Times New Roman"/>
        </w:rPr>
        <w:t xml:space="preserve"> (min = 7, max = 21, mean = 14, sigma = </w:t>
      </w:r>
      <w:r w:rsidR="006F7D8F" w:rsidRPr="00F11A3E">
        <w:rPr>
          <w:rFonts w:ascii="Times New Roman" w:hAnsi="Times New Roman" w:cs="Times New Roman"/>
        </w:rPr>
        <w:t>5</w:t>
      </w:r>
      <w:r w:rsidR="00D0123E" w:rsidRPr="00F11A3E">
        <w:rPr>
          <w:rFonts w:ascii="Times New Roman" w:hAnsi="Times New Roman" w:cs="Times New Roman"/>
        </w:rPr>
        <w:t>)</w:t>
      </w:r>
      <w:r w:rsidR="004E61B8" w:rsidRPr="00F11A3E">
        <w:rPr>
          <w:rFonts w:ascii="Times New Roman" w:hAnsi="Times New Roman" w:cs="Times New Roman"/>
        </w:rPr>
        <w:t xml:space="preserve">. </w:t>
      </w:r>
      <w:r w:rsidR="00B94631" w:rsidRPr="00F11A3E">
        <w:rPr>
          <w:rFonts w:ascii="Times New Roman" w:hAnsi="Times New Roman" w:cs="Times New Roman"/>
        </w:rPr>
        <w:t>The delay incurred by the quality assessment</w:t>
      </w:r>
      <w:r w:rsidR="00701B07" w:rsidRPr="00F11A3E">
        <w:rPr>
          <w:rFonts w:ascii="Times New Roman" w:hAnsi="Times New Roman" w:cs="Times New Roman"/>
        </w:rPr>
        <w:t xml:space="preserve"> accounts for 2</w:t>
      </w:r>
      <w:r w:rsidR="00FF51B6" w:rsidRPr="00F11A3E">
        <w:rPr>
          <w:rFonts w:ascii="Times New Roman" w:hAnsi="Times New Roman" w:cs="Times New Roman"/>
        </w:rPr>
        <w:t>5</w:t>
      </w:r>
      <w:r w:rsidR="00701B07" w:rsidRPr="00F11A3E">
        <w:rPr>
          <w:rFonts w:ascii="Times New Roman" w:hAnsi="Times New Roman" w:cs="Times New Roman"/>
        </w:rPr>
        <w:t xml:space="preserve">% of this delay, and the sequencing itself </w:t>
      </w:r>
      <w:r w:rsidR="006D78C0" w:rsidRPr="00F11A3E">
        <w:rPr>
          <w:rFonts w:ascii="Times New Roman" w:hAnsi="Times New Roman" w:cs="Times New Roman"/>
        </w:rPr>
        <w:t xml:space="preserve">accounts for the remaining </w:t>
      </w:r>
      <w:r w:rsidR="00CE7585" w:rsidRPr="00F11A3E">
        <w:rPr>
          <w:rFonts w:ascii="Times New Roman" w:hAnsi="Times New Roman" w:cs="Times New Roman"/>
        </w:rPr>
        <w:t>75</w:t>
      </w:r>
      <w:r w:rsidR="006D78C0" w:rsidRPr="00F11A3E">
        <w:rPr>
          <w:rFonts w:ascii="Times New Roman" w:hAnsi="Times New Roman" w:cs="Times New Roman"/>
        </w:rPr>
        <w:t>%. These percentages are based on assumptions.</w:t>
      </w:r>
      <w:r w:rsidR="00084CAD" w:rsidRPr="00F11A3E">
        <w:rPr>
          <w:rFonts w:ascii="Times New Roman" w:hAnsi="Times New Roman" w:cs="Times New Roman"/>
        </w:rPr>
        <w:t xml:space="preserve"> </w:t>
      </w:r>
      <w:r w:rsidR="00A14B3C" w:rsidRPr="00F11A3E">
        <w:rPr>
          <w:rFonts w:ascii="Times New Roman" w:hAnsi="Times New Roman" w:cs="Times New Roman"/>
        </w:rPr>
        <w:t xml:space="preserve">This is implemented as such, given that </w:t>
      </w:r>
      <w:r w:rsidR="00B64388" w:rsidRPr="00F11A3E">
        <w:rPr>
          <w:rFonts w:ascii="Times New Roman" w:hAnsi="Times New Roman" w:cs="Times New Roman"/>
        </w:rPr>
        <w:t xml:space="preserve">only the total turnaround time of WGS is known and the turnaround time of individual </w:t>
      </w:r>
      <w:r w:rsidR="003F552D" w:rsidRPr="00F11A3E">
        <w:rPr>
          <w:rFonts w:ascii="Times New Roman" w:hAnsi="Times New Roman" w:cs="Times New Roman"/>
        </w:rPr>
        <w:t xml:space="preserve">components of this process </w:t>
      </w:r>
      <w:r w:rsidR="005016C8" w:rsidRPr="00F11A3E">
        <w:rPr>
          <w:rFonts w:ascii="Times New Roman" w:hAnsi="Times New Roman" w:cs="Times New Roman"/>
        </w:rPr>
        <w:t xml:space="preserve">is unknown. </w:t>
      </w:r>
      <w:r w:rsidR="006910C4" w:rsidRPr="00F11A3E">
        <w:rPr>
          <w:rFonts w:ascii="Times New Roman" w:hAnsi="Times New Roman" w:cs="Times New Roman"/>
        </w:rPr>
        <w:t xml:space="preserve">Even though the 25%/75% split is an assumption, the </w:t>
      </w:r>
      <w:r w:rsidR="00C87D6C" w:rsidRPr="00F11A3E">
        <w:rPr>
          <w:rFonts w:ascii="Times New Roman" w:hAnsi="Times New Roman" w:cs="Times New Roman"/>
        </w:rPr>
        <w:t xml:space="preserve">mean </w:t>
      </w:r>
      <w:r w:rsidR="006910C4" w:rsidRPr="00F11A3E">
        <w:rPr>
          <w:rFonts w:ascii="Times New Roman" w:hAnsi="Times New Roman" w:cs="Times New Roman"/>
        </w:rPr>
        <w:t xml:space="preserve">turnaround time of </w:t>
      </w:r>
      <w:r w:rsidR="00C87D6C" w:rsidRPr="00F11A3E">
        <w:rPr>
          <w:rFonts w:ascii="Times New Roman" w:hAnsi="Times New Roman" w:cs="Times New Roman"/>
        </w:rPr>
        <w:t xml:space="preserve">WGS is based on </w:t>
      </w:r>
      <w:r w:rsidR="00C47C16" w:rsidRPr="00F11A3E">
        <w:rPr>
          <w:rFonts w:ascii="Times New Roman" w:hAnsi="Times New Roman" w:cs="Times New Roman"/>
        </w:rPr>
        <w:t>literature.</w:t>
      </w:r>
    </w:p>
    <w:p w14:paraId="05D92075" w14:textId="7DE11760" w:rsidR="00A14B87" w:rsidRPr="00F11A3E" w:rsidRDefault="00A47C1B" w:rsidP="00F11A3E">
      <w:pPr>
        <w:pStyle w:val="Standard"/>
        <w:spacing w:line="276" w:lineRule="auto"/>
        <w:rPr>
          <w:rFonts w:ascii="Times New Roman" w:hAnsi="Times New Roman" w:cs="Times New Roman"/>
        </w:rPr>
      </w:pPr>
      <w:r w:rsidRPr="00F11A3E">
        <w:rPr>
          <w:rFonts w:ascii="Times New Roman" w:hAnsi="Times New Roman" w:cs="Times New Roman"/>
        </w:rPr>
        <w:t xml:space="preserve">In the base-case analysis, we assumed that the capacity to conduct WGS is unlimited. </w:t>
      </w:r>
      <w:r w:rsidR="009E3B69" w:rsidRPr="00F11A3E">
        <w:rPr>
          <w:rFonts w:ascii="Times New Roman" w:hAnsi="Times New Roman" w:cs="Times New Roman"/>
        </w:rPr>
        <w:t xml:space="preserve">While it is unlikely that the capacity is truly unlimited, it is plausible that </w:t>
      </w:r>
      <w:r w:rsidR="00D85B08" w:rsidRPr="00F11A3E">
        <w:rPr>
          <w:rFonts w:ascii="Times New Roman" w:hAnsi="Times New Roman" w:cs="Times New Roman"/>
        </w:rPr>
        <w:t xml:space="preserve">the capacity is sufficiently large to have little or no impact on outcomes. </w:t>
      </w:r>
      <w:r w:rsidR="00072B46" w:rsidRPr="00F11A3E">
        <w:rPr>
          <w:rFonts w:ascii="Times New Roman" w:hAnsi="Times New Roman" w:cs="Times New Roman"/>
        </w:rPr>
        <w:t>The capacity to conduct WGS was varied in the sensitivity analyses to illustrate the potential effect</w:t>
      </w:r>
      <w:r w:rsidR="0005176F" w:rsidRPr="00F11A3E">
        <w:rPr>
          <w:rFonts w:ascii="Times New Roman" w:hAnsi="Times New Roman" w:cs="Times New Roman"/>
        </w:rPr>
        <w:t xml:space="preserve">s of these constraints on outcomes. </w:t>
      </w:r>
    </w:p>
    <w:p w14:paraId="5B6EF367" w14:textId="77777777" w:rsidR="00BD57E8" w:rsidRPr="00F11A3E" w:rsidRDefault="00BD57E8" w:rsidP="00F11A3E">
      <w:pPr>
        <w:pStyle w:val="Heading3"/>
        <w:spacing w:line="276" w:lineRule="auto"/>
        <w:rPr>
          <w:rFonts w:ascii="Times New Roman" w:hAnsi="Times New Roman" w:cs="Times New Roman"/>
        </w:rPr>
      </w:pPr>
      <w:r w:rsidRPr="00F11A3E">
        <w:rPr>
          <w:rFonts w:ascii="Times New Roman" w:hAnsi="Times New Roman" w:cs="Times New Roman"/>
        </w:rPr>
        <w:t>MTB</w:t>
      </w:r>
    </w:p>
    <w:p w14:paraId="4A7CAD54" w14:textId="52BC401A" w:rsidR="00BD57E8" w:rsidRPr="00F11A3E" w:rsidRDefault="00BD57E8" w:rsidP="00F11A3E">
      <w:pPr>
        <w:pStyle w:val="Standard"/>
        <w:spacing w:line="276" w:lineRule="auto"/>
        <w:rPr>
          <w:rFonts w:ascii="Times New Roman" w:hAnsi="Times New Roman" w:cs="Times New Roman"/>
        </w:rPr>
      </w:pPr>
      <w:r w:rsidRPr="00F11A3E">
        <w:rPr>
          <w:rFonts w:ascii="Times New Roman" w:hAnsi="Times New Roman" w:cs="Times New Roman"/>
        </w:rPr>
        <w:t xml:space="preserve">MTB-agents contain a workflow the represents at a high level the workflow used for interpreting the genetic information from WGS. The fact that not the interpretation itself but rather the infrequent meeting schedule of the MTB causes </w:t>
      </w:r>
      <w:r w:rsidR="004C6F1F" w:rsidRPr="00F11A3E">
        <w:rPr>
          <w:rFonts w:ascii="Times New Roman" w:hAnsi="Times New Roman" w:cs="Times New Roman"/>
        </w:rPr>
        <w:t xml:space="preserve">a </w:t>
      </w:r>
      <w:r w:rsidRPr="00F11A3E">
        <w:rPr>
          <w:rFonts w:ascii="Times New Roman" w:hAnsi="Times New Roman" w:cs="Times New Roman"/>
        </w:rPr>
        <w:t xml:space="preserve">delay in the diagnostic pathway is reflected in the modeled workflow. Figure </w:t>
      </w:r>
      <w:r w:rsidR="00F37214" w:rsidRPr="00F11A3E">
        <w:rPr>
          <w:rFonts w:ascii="Times New Roman" w:hAnsi="Times New Roman" w:cs="Times New Roman"/>
        </w:rPr>
        <w:t>6</w:t>
      </w:r>
      <w:r w:rsidRPr="00F11A3E">
        <w:rPr>
          <w:rFonts w:ascii="Times New Roman" w:hAnsi="Times New Roman" w:cs="Times New Roman"/>
        </w:rPr>
        <w:t xml:space="preserve"> i</w:t>
      </w:r>
      <w:r w:rsidR="00182330" w:rsidRPr="00F11A3E">
        <w:rPr>
          <w:rFonts w:ascii="Times New Roman" w:hAnsi="Times New Roman" w:cs="Times New Roman"/>
        </w:rPr>
        <w:t xml:space="preserve">llustrates the workflow within the MTB-agents. </w:t>
      </w:r>
      <w:r w:rsidR="001B57A4" w:rsidRPr="00F11A3E">
        <w:rPr>
          <w:rFonts w:ascii="Times New Roman" w:hAnsi="Times New Roman" w:cs="Times New Roman"/>
        </w:rPr>
        <w:t>First, it is</w:t>
      </w:r>
      <w:r w:rsidR="00BD6237" w:rsidRPr="00F11A3E">
        <w:rPr>
          <w:rFonts w:ascii="Times New Roman" w:hAnsi="Times New Roman" w:cs="Times New Roman"/>
        </w:rPr>
        <w:t xml:space="preserve"> determined if the complexity of this case warrants discussion in the MTB</w:t>
      </w:r>
      <w:r w:rsidRPr="00F11A3E">
        <w:rPr>
          <w:rFonts w:ascii="Times New Roman" w:hAnsi="Times New Roman" w:cs="Times New Roman"/>
        </w:rPr>
        <w:t xml:space="preserve">. For simplicity, we have assumed that all patients that have received WGS need to be discussed in an MTB. Subsequently, a </w:t>
      </w:r>
      <w:r w:rsidR="00636050" w:rsidRPr="00F11A3E">
        <w:rPr>
          <w:rFonts w:ascii="Times New Roman" w:hAnsi="Times New Roman" w:cs="Times New Roman"/>
        </w:rPr>
        <w:t xml:space="preserve">first-in-first-out (FIFO) </w:t>
      </w:r>
      <w:r w:rsidRPr="00F11A3E">
        <w:rPr>
          <w:rFonts w:ascii="Times New Roman" w:hAnsi="Times New Roman" w:cs="Times New Roman"/>
        </w:rPr>
        <w:t xml:space="preserve">queue of biopsy-agents that require interpretation is formed. However, interpretation requires experts, and they meet according to a given schedule. Thus, if a biopsy-agent narrowly missed a meeting, it </w:t>
      </w:r>
      <w:r w:rsidR="00CF6EE1" w:rsidRPr="00F11A3E">
        <w:rPr>
          <w:rFonts w:ascii="Times New Roman" w:hAnsi="Times New Roman" w:cs="Times New Roman"/>
        </w:rPr>
        <w:t>waits</w:t>
      </w:r>
      <w:r w:rsidR="00636050" w:rsidRPr="00F11A3E">
        <w:rPr>
          <w:rFonts w:ascii="Times New Roman" w:hAnsi="Times New Roman" w:cs="Times New Roman"/>
        </w:rPr>
        <w:t xml:space="preserve"> in the</w:t>
      </w:r>
      <w:r w:rsidR="00796C72" w:rsidRPr="00F11A3E">
        <w:rPr>
          <w:rFonts w:ascii="Times New Roman" w:hAnsi="Times New Roman" w:cs="Times New Roman"/>
        </w:rPr>
        <w:t xml:space="preserve"> </w:t>
      </w:r>
      <w:r w:rsidRPr="00F11A3E">
        <w:rPr>
          <w:rFonts w:ascii="Times New Roman" w:hAnsi="Times New Roman" w:cs="Times New Roman"/>
        </w:rPr>
        <w:t xml:space="preserve">queue until the next meeting is scheduled. </w:t>
      </w:r>
      <w:r w:rsidR="00BD6237" w:rsidRPr="00F11A3E">
        <w:rPr>
          <w:rFonts w:ascii="Times New Roman" w:hAnsi="Times New Roman" w:cs="Times New Roman"/>
        </w:rPr>
        <w:t>When</w:t>
      </w:r>
      <w:r w:rsidRPr="00F11A3E">
        <w:rPr>
          <w:rFonts w:ascii="Times New Roman" w:hAnsi="Times New Roman" w:cs="Times New Roman"/>
        </w:rPr>
        <w:t xml:space="preserve"> interpretation has concluded, the biopsy-agent is sent back to the original hospital where it is linked to the patient it was taken from.</w:t>
      </w:r>
    </w:p>
    <w:p w14:paraId="2E286FB9" w14:textId="3DF02457" w:rsidR="003C0350" w:rsidRPr="00F11A3E" w:rsidRDefault="00DA3A3A" w:rsidP="00F11A3E">
      <w:pPr>
        <w:pStyle w:val="Standard"/>
        <w:spacing w:line="276" w:lineRule="auto"/>
        <w:rPr>
          <w:rFonts w:ascii="Times New Roman" w:hAnsi="Times New Roman" w:cs="Times New Roman"/>
        </w:rPr>
      </w:pPr>
      <w:r w:rsidRPr="00F11A3E">
        <w:rPr>
          <w:rFonts w:ascii="Times New Roman" w:hAnsi="Times New Roman" w:cs="Times New Roman"/>
        </w:rPr>
        <w:t xml:space="preserve">To which MTB the </w:t>
      </w:r>
      <w:r w:rsidR="00446BF0" w:rsidRPr="00F11A3E">
        <w:rPr>
          <w:rFonts w:ascii="Times New Roman" w:hAnsi="Times New Roman" w:cs="Times New Roman"/>
        </w:rPr>
        <w:t>report is sent to from the WGS facility</w:t>
      </w:r>
      <w:r w:rsidR="0031656E" w:rsidRPr="00F11A3E">
        <w:rPr>
          <w:rFonts w:ascii="Times New Roman" w:hAnsi="Times New Roman" w:cs="Times New Roman"/>
        </w:rPr>
        <w:t>,</w:t>
      </w:r>
      <w:r w:rsidR="00446BF0" w:rsidRPr="00F11A3E">
        <w:rPr>
          <w:rFonts w:ascii="Times New Roman" w:hAnsi="Times New Roman" w:cs="Times New Roman"/>
        </w:rPr>
        <w:t xml:space="preserve"> is determined </w:t>
      </w:r>
      <w:r w:rsidR="00507A27" w:rsidRPr="00F11A3E">
        <w:rPr>
          <w:rFonts w:ascii="Times New Roman" w:hAnsi="Times New Roman" w:cs="Times New Roman"/>
        </w:rPr>
        <w:t>b</w:t>
      </w:r>
      <w:r w:rsidR="0031656E" w:rsidRPr="00F11A3E">
        <w:rPr>
          <w:rFonts w:ascii="Times New Roman" w:hAnsi="Times New Roman" w:cs="Times New Roman"/>
        </w:rPr>
        <w:t xml:space="preserve">ased on the distance to the hospital. </w:t>
      </w:r>
      <w:r w:rsidR="004F5041" w:rsidRPr="00F11A3E">
        <w:rPr>
          <w:rFonts w:ascii="Times New Roman" w:hAnsi="Times New Roman" w:cs="Times New Roman"/>
        </w:rPr>
        <w:t xml:space="preserve">This is either the nearest MTB to the hospital, or the second nearest MTB </w:t>
      </w:r>
      <w:r w:rsidR="000C15B3" w:rsidRPr="00F11A3E">
        <w:rPr>
          <w:rFonts w:ascii="Times New Roman" w:hAnsi="Times New Roman" w:cs="Times New Roman"/>
        </w:rPr>
        <w:t xml:space="preserve">if the nearest MTB has a utilization </w:t>
      </w:r>
      <w:r w:rsidR="008A1C84" w:rsidRPr="00F11A3E">
        <w:rPr>
          <w:rFonts w:ascii="Times New Roman" w:hAnsi="Times New Roman" w:cs="Times New Roman"/>
        </w:rPr>
        <w:t xml:space="preserve">rate </w:t>
      </w:r>
      <w:r w:rsidR="00131218" w:rsidRPr="00F11A3E">
        <w:rPr>
          <w:rFonts w:ascii="Times New Roman" w:hAnsi="Times New Roman" w:cs="Times New Roman"/>
        </w:rPr>
        <w:t>greater than the utilization rate of the second nearest MTB.</w:t>
      </w:r>
      <w:r w:rsidR="000C15B3" w:rsidRPr="00F11A3E">
        <w:rPr>
          <w:rFonts w:ascii="Times New Roman" w:hAnsi="Times New Roman" w:cs="Times New Roman"/>
        </w:rPr>
        <w:t xml:space="preserve"> </w:t>
      </w:r>
    </w:p>
    <w:p w14:paraId="2C125379" w14:textId="58F85A3D" w:rsidR="00BD57E8" w:rsidRPr="00F11A3E" w:rsidRDefault="00E90EB1" w:rsidP="00F11A3E">
      <w:pPr>
        <w:pStyle w:val="Standard"/>
        <w:keepNext/>
        <w:spacing w:line="276" w:lineRule="auto"/>
        <w:rPr>
          <w:rFonts w:ascii="Times New Roman" w:hAnsi="Times New Roman" w:cs="Times New Roman"/>
        </w:rPr>
      </w:pPr>
      <w:r w:rsidRPr="00F11A3E">
        <w:rPr>
          <w:rFonts w:ascii="Times New Roman" w:hAnsi="Times New Roman" w:cs="Times New Roman"/>
          <w:noProof/>
          <w:lang w:eastAsia="nl-NL"/>
        </w:rPr>
        <w:lastRenderedPageBreak/>
        <w:drawing>
          <wp:inline distT="0" distB="0" distL="0" distR="0" wp14:anchorId="02201A43" wp14:editId="249C2CE5">
            <wp:extent cx="5760720" cy="139827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60720" cy="1398270"/>
                    </a:xfrm>
                    <a:prstGeom prst="rect">
                      <a:avLst/>
                    </a:prstGeom>
                  </pic:spPr>
                </pic:pic>
              </a:graphicData>
            </a:graphic>
          </wp:inline>
        </w:drawing>
      </w:r>
      <w:r w:rsidRPr="00F11A3E">
        <w:rPr>
          <w:rFonts w:ascii="Times New Roman" w:hAnsi="Times New Roman" w:cs="Times New Roman"/>
          <w:noProof/>
          <w:lang w:eastAsia="nl-NL"/>
        </w:rPr>
        <w:t xml:space="preserve"> </w:t>
      </w:r>
    </w:p>
    <w:p w14:paraId="56190845" w14:textId="068EE087" w:rsidR="00BD57E8" w:rsidRPr="00F11A3E" w:rsidRDefault="00BD57E8" w:rsidP="00F11A3E">
      <w:pPr>
        <w:pStyle w:val="Caption"/>
        <w:spacing w:line="276" w:lineRule="auto"/>
        <w:rPr>
          <w:rFonts w:ascii="Times New Roman" w:hAnsi="Times New Roman" w:cs="Times New Roman"/>
        </w:rPr>
      </w:pPr>
      <w:r w:rsidRPr="00F11A3E">
        <w:rPr>
          <w:rFonts w:ascii="Times New Roman" w:hAnsi="Times New Roman" w:cs="Times New Roman"/>
        </w:rPr>
        <w:t xml:space="preserve">Figure </w:t>
      </w:r>
      <w:r w:rsidRPr="00F11A3E">
        <w:rPr>
          <w:rFonts w:ascii="Times New Roman" w:hAnsi="Times New Roman" w:cs="Times New Roman"/>
        </w:rPr>
        <w:fldChar w:fldCharType="begin"/>
      </w:r>
      <w:r w:rsidRPr="00F11A3E">
        <w:rPr>
          <w:rFonts w:ascii="Times New Roman" w:hAnsi="Times New Roman" w:cs="Times New Roman"/>
        </w:rPr>
        <w:instrText xml:space="preserve"> SEQ Figure \* ARABIC </w:instrText>
      </w:r>
      <w:r w:rsidRPr="00F11A3E">
        <w:rPr>
          <w:rFonts w:ascii="Times New Roman" w:hAnsi="Times New Roman" w:cs="Times New Roman"/>
        </w:rPr>
        <w:fldChar w:fldCharType="separate"/>
      </w:r>
      <w:r w:rsidR="00394F31" w:rsidRPr="00F11A3E">
        <w:rPr>
          <w:rFonts w:ascii="Times New Roman" w:hAnsi="Times New Roman" w:cs="Times New Roman"/>
          <w:noProof/>
        </w:rPr>
        <w:t>6</w:t>
      </w:r>
      <w:r w:rsidRPr="00F11A3E">
        <w:rPr>
          <w:rFonts w:ascii="Times New Roman" w:hAnsi="Times New Roman" w:cs="Times New Roman"/>
        </w:rPr>
        <w:fldChar w:fldCharType="end"/>
      </w:r>
      <w:r w:rsidRPr="00F11A3E">
        <w:rPr>
          <w:rFonts w:ascii="Times New Roman" w:hAnsi="Times New Roman" w:cs="Times New Roman"/>
        </w:rPr>
        <w:t>. MTB workflow</w:t>
      </w:r>
      <w:r w:rsidR="00972E27" w:rsidRPr="00F11A3E">
        <w:rPr>
          <w:rFonts w:ascii="Times New Roman" w:hAnsi="Times New Roman" w:cs="Times New Roman"/>
        </w:rPr>
        <w:t>. The numbers below each block represent that number of patients that are currently in that block or that have passed that block.</w:t>
      </w:r>
    </w:p>
    <w:p w14:paraId="195F2B91" w14:textId="77777777" w:rsidR="00BD57E8" w:rsidRPr="00F11A3E" w:rsidRDefault="00BD57E8" w:rsidP="00F11A3E">
      <w:pPr>
        <w:pStyle w:val="Heading3"/>
        <w:spacing w:line="276" w:lineRule="auto"/>
        <w:rPr>
          <w:rFonts w:ascii="Times New Roman" w:hAnsi="Times New Roman" w:cs="Times New Roman"/>
        </w:rPr>
      </w:pPr>
      <w:r w:rsidRPr="00F11A3E">
        <w:rPr>
          <w:rFonts w:ascii="Times New Roman" w:hAnsi="Times New Roman" w:cs="Times New Roman"/>
        </w:rPr>
        <w:t>WGS biopsy</w:t>
      </w:r>
    </w:p>
    <w:p w14:paraId="73170DC0" w14:textId="3B0F83AA" w:rsidR="00BD57E8" w:rsidRPr="00F11A3E" w:rsidRDefault="00BD57E8" w:rsidP="00F11A3E">
      <w:pPr>
        <w:pStyle w:val="Standard"/>
        <w:spacing w:line="276" w:lineRule="auto"/>
        <w:rPr>
          <w:rFonts w:ascii="Times New Roman" w:hAnsi="Times New Roman" w:cs="Times New Roman"/>
        </w:rPr>
      </w:pPr>
      <w:r w:rsidRPr="00F11A3E">
        <w:rPr>
          <w:rFonts w:ascii="Times New Roman" w:hAnsi="Times New Roman" w:cs="Times New Roman"/>
        </w:rPr>
        <w:t xml:space="preserve">An agent of this agent-type is only generated whenever a patient will receive WGS. Once WGS has concluded, the biopsy-agent and the patient </w:t>
      </w:r>
      <w:r w:rsidR="003965E4" w:rsidRPr="00F11A3E">
        <w:rPr>
          <w:rFonts w:ascii="Times New Roman" w:hAnsi="Times New Roman" w:cs="Times New Roman"/>
        </w:rPr>
        <w:t xml:space="preserve">it </w:t>
      </w:r>
      <w:r w:rsidRPr="00F11A3E">
        <w:rPr>
          <w:rFonts w:ascii="Times New Roman" w:hAnsi="Times New Roman" w:cs="Times New Roman"/>
        </w:rPr>
        <w:t>originates from are matched using a shared unique identifier and merged into one</w:t>
      </w:r>
      <w:r w:rsidR="006526BF" w:rsidRPr="00F11A3E">
        <w:rPr>
          <w:rFonts w:ascii="Times New Roman" w:hAnsi="Times New Roman" w:cs="Times New Roman"/>
        </w:rPr>
        <w:t xml:space="preserve"> agent</w:t>
      </w:r>
      <w:r w:rsidRPr="00F11A3E">
        <w:rPr>
          <w:rFonts w:ascii="Times New Roman" w:hAnsi="Times New Roman" w:cs="Times New Roman"/>
        </w:rPr>
        <w:t xml:space="preserve">. Figure </w:t>
      </w:r>
      <w:r w:rsidR="00F37214" w:rsidRPr="00F11A3E">
        <w:rPr>
          <w:rFonts w:ascii="Times New Roman" w:hAnsi="Times New Roman" w:cs="Times New Roman"/>
        </w:rPr>
        <w:t>7</w:t>
      </w:r>
      <w:r w:rsidRPr="00F11A3E">
        <w:rPr>
          <w:rFonts w:ascii="Times New Roman" w:hAnsi="Times New Roman" w:cs="Times New Roman"/>
        </w:rPr>
        <w:t xml:space="preserve"> shows the </w:t>
      </w:r>
      <w:proofErr w:type="spellStart"/>
      <w:r w:rsidRPr="00F11A3E">
        <w:rPr>
          <w:rFonts w:ascii="Times New Roman" w:hAnsi="Times New Roman" w:cs="Times New Roman"/>
        </w:rPr>
        <w:t>statechart</w:t>
      </w:r>
      <w:proofErr w:type="spellEnd"/>
      <w:r w:rsidRPr="00F11A3E">
        <w:rPr>
          <w:rFonts w:ascii="Times New Roman" w:hAnsi="Times New Roman" w:cs="Times New Roman"/>
        </w:rPr>
        <w:t xml:space="preserve"> that controls the movement of biopsy-agents between hospital-agents, WGS facility-agents, and MTB-agents. Transitions between states are fired </w:t>
      </w:r>
      <w:r w:rsidR="00796C01" w:rsidRPr="00F11A3E">
        <w:rPr>
          <w:rFonts w:ascii="Times New Roman" w:hAnsi="Times New Roman" w:cs="Times New Roman"/>
        </w:rPr>
        <w:t xml:space="preserve">using messages </w:t>
      </w:r>
      <w:r w:rsidRPr="00F11A3E">
        <w:rPr>
          <w:rFonts w:ascii="Times New Roman" w:hAnsi="Times New Roman" w:cs="Times New Roman"/>
        </w:rPr>
        <w:t>whenever the biopsy-agent has received a specific point in the workflow in the WGS facility-agent or the MTB-agent.</w:t>
      </w:r>
      <w:r w:rsidR="002218C3" w:rsidRPr="00F11A3E">
        <w:rPr>
          <w:rFonts w:ascii="Times New Roman" w:hAnsi="Times New Roman" w:cs="Times New Roman"/>
        </w:rPr>
        <w:t xml:space="preserve"> For example, </w:t>
      </w:r>
      <w:r w:rsidR="00B501CF" w:rsidRPr="00F11A3E">
        <w:rPr>
          <w:rFonts w:ascii="Times New Roman" w:hAnsi="Times New Roman" w:cs="Times New Roman"/>
        </w:rPr>
        <w:t xml:space="preserve">once WGS is concluded, the workflow within the WGS facility sends a message (“Move to MTB”) </w:t>
      </w:r>
      <w:r w:rsidR="006622AC" w:rsidRPr="00F11A3E">
        <w:rPr>
          <w:rFonts w:ascii="Times New Roman" w:hAnsi="Times New Roman" w:cs="Times New Roman"/>
        </w:rPr>
        <w:t xml:space="preserve">to the biopsy-agent, which fires a transition in the </w:t>
      </w:r>
      <w:proofErr w:type="spellStart"/>
      <w:r w:rsidR="006622AC" w:rsidRPr="00F11A3E">
        <w:rPr>
          <w:rFonts w:ascii="Times New Roman" w:hAnsi="Times New Roman" w:cs="Times New Roman"/>
        </w:rPr>
        <w:t>statechart</w:t>
      </w:r>
      <w:proofErr w:type="spellEnd"/>
      <w:r w:rsidR="006622AC" w:rsidRPr="00F11A3E">
        <w:rPr>
          <w:rFonts w:ascii="Times New Roman" w:hAnsi="Times New Roman" w:cs="Times New Roman"/>
        </w:rPr>
        <w:t>, and the biopsy-agent then move</w:t>
      </w:r>
      <w:r w:rsidR="006C155E" w:rsidRPr="00F11A3E">
        <w:rPr>
          <w:rFonts w:ascii="Times New Roman" w:hAnsi="Times New Roman" w:cs="Times New Roman"/>
        </w:rPr>
        <w:t>s to the MTB.</w:t>
      </w:r>
    </w:p>
    <w:p w14:paraId="567761CE" w14:textId="2FB2CC43" w:rsidR="00BD57E8" w:rsidRPr="00F11A3E" w:rsidRDefault="00F37214" w:rsidP="00F11A3E">
      <w:pPr>
        <w:pStyle w:val="Standard"/>
        <w:keepNext/>
        <w:spacing w:line="276" w:lineRule="auto"/>
        <w:rPr>
          <w:rFonts w:ascii="Times New Roman" w:hAnsi="Times New Roman" w:cs="Times New Roman"/>
        </w:rPr>
      </w:pPr>
      <w:r w:rsidRPr="00F11A3E">
        <w:rPr>
          <w:rFonts w:ascii="Times New Roman" w:hAnsi="Times New Roman" w:cs="Times New Roman"/>
          <w:noProof/>
          <w:lang w:eastAsia="nl-NL"/>
        </w:rPr>
        <w:drawing>
          <wp:inline distT="0" distB="0" distL="0" distR="0" wp14:anchorId="3A5865B1" wp14:editId="1D5E6859">
            <wp:extent cx="5756910" cy="395033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56910" cy="3950335"/>
                    </a:xfrm>
                    <a:prstGeom prst="rect">
                      <a:avLst/>
                    </a:prstGeom>
                    <a:noFill/>
                    <a:ln>
                      <a:noFill/>
                    </a:ln>
                  </pic:spPr>
                </pic:pic>
              </a:graphicData>
            </a:graphic>
          </wp:inline>
        </w:drawing>
      </w:r>
    </w:p>
    <w:p w14:paraId="3CEFFAC5" w14:textId="530B3D36" w:rsidR="00BD57E8" w:rsidRPr="00F11A3E" w:rsidRDefault="00BD57E8" w:rsidP="00F11A3E">
      <w:pPr>
        <w:pStyle w:val="Caption"/>
        <w:spacing w:line="276" w:lineRule="auto"/>
        <w:rPr>
          <w:rFonts w:ascii="Times New Roman" w:hAnsi="Times New Roman" w:cs="Times New Roman"/>
        </w:rPr>
      </w:pPr>
      <w:r w:rsidRPr="00F11A3E">
        <w:rPr>
          <w:rFonts w:ascii="Times New Roman" w:hAnsi="Times New Roman" w:cs="Times New Roman"/>
        </w:rPr>
        <w:t xml:space="preserve">Figure </w:t>
      </w:r>
      <w:r w:rsidRPr="00F11A3E">
        <w:rPr>
          <w:rFonts w:ascii="Times New Roman" w:hAnsi="Times New Roman" w:cs="Times New Roman"/>
        </w:rPr>
        <w:fldChar w:fldCharType="begin"/>
      </w:r>
      <w:r w:rsidRPr="00F11A3E">
        <w:rPr>
          <w:rFonts w:ascii="Times New Roman" w:hAnsi="Times New Roman" w:cs="Times New Roman"/>
        </w:rPr>
        <w:instrText xml:space="preserve"> SEQ Figure \* ARABIC </w:instrText>
      </w:r>
      <w:r w:rsidRPr="00F11A3E">
        <w:rPr>
          <w:rFonts w:ascii="Times New Roman" w:hAnsi="Times New Roman" w:cs="Times New Roman"/>
        </w:rPr>
        <w:fldChar w:fldCharType="separate"/>
      </w:r>
      <w:r w:rsidR="00394F31" w:rsidRPr="00F11A3E">
        <w:rPr>
          <w:rFonts w:ascii="Times New Roman" w:hAnsi="Times New Roman" w:cs="Times New Roman"/>
          <w:noProof/>
        </w:rPr>
        <w:t>7</w:t>
      </w:r>
      <w:r w:rsidRPr="00F11A3E">
        <w:rPr>
          <w:rFonts w:ascii="Times New Roman" w:hAnsi="Times New Roman" w:cs="Times New Roman"/>
        </w:rPr>
        <w:fldChar w:fldCharType="end"/>
      </w:r>
      <w:r w:rsidRPr="00F11A3E">
        <w:rPr>
          <w:rFonts w:ascii="Times New Roman" w:hAnsi="Times New Roman" w:cs="Times New Roman"/>
        </w:rPr>
        <w:t xml:space="preserve">. Biopsy-agent </w:t>
      </w:r>
      <w:proofErr w:type="spellStart"/>
      <w:r w:rsidRPr="00F11A3E">
        <w:rPr>
          <w:rFonts w:ascii="Times New Roman" w:hAnsi="Times New Roman" w:cs="Times New Roman"/>
        </w:rPr>
        <w:t>statechart</w:t>
      </w:r>
      <w:proofErr w:type="spellEnd"/>
    </w:p>
    <w:p w14:paraId="5D7436B9" w14:textId="77777777" w:rsidR="00BD57E8" w:rsidRPr="00F11A3E" w:rsidRDefault="00BD57E8" w:rsidP="00F11A3E">
      <w:pPr>
        <w:pStyle w:val="Standard"/>
        <w:spacing w:line="276" w:lineRule="auto"/>
        <w:rPr>
          <w:rFonts w:ascii="Times New Roman" w:hAnsi="Times New Roman" w:cs="Times New Roman"/>
        </w:rPr>
      </w:pPr>
    </w:p>
    <w:p w14:paraId="4E644B45" w14:textId="576F39AE" w:rsidR="00BD57E8" w:rsidRPr="00F11A3E" w:rsidRDefault="00BD57E8" w:rsidP="00F11A3E">
      <w:pPr>
        <w:pStyle w:val="Heading2"/>
        <w:spacing w:line="276" w:lineRule="auto"/>
        <w:rPr>
          <w:rFonts w:ascii="Times New Roman" w:hAnsi="Times New Roman" w:cs="Times New Roman"/>
        </w:rPr>
      </w:pPr>
      <w:r w:rsidRPr="00F11A3E">
        <w:rPr>
          <w:rFonts w:ascii="Times New Roman" w:hAnsi="Times New Roman" w:cs="Times New Roman"/>
        </w:rPr>
        <w:lastRenderedPageBreak/>
        <w:t>Model parameterization</w:t>
      </w:r>
    </w:p>
    <w:p w14:paraId="23AD37E1" w14:textId="3E61833C" w:rsidR="00BD57E8" w:rsidRPr="00F11A3E" w:rsidRDefault="00BD57E8" w:rsidP="00F11A3E">
      <w:pPr>
        <w:pStyle w:val="Standard"/>
        <w:spacing w:line="276" w:lineRule="auto"/>
        <w:rPr>
          <w:rFonts w:ascii="Times New Roman" w:hAnsi="Times New Roman" w:cs="Times New Roman"/>
          <w:bCs/>
        </w:rPr>
      </w:pPr>
      <w:r w:rsidRPr="00F11A3E">
        <w:rPr>
          <w:rFonts w:ascii="Times New Roman" w:hAnsi="Times New Roman" w:cs="Times New Roman"/>
        </w:rPr>
        <w:t>Table 1 lists the model input parameters</w:t>
      </w:r>
      <w:r w:rsidR="007C5F2B" w:rsidRPr="00F11A3E">
        <w:rPr>
          <w:rFonts w:ascii="Times New Roman" w:hAnsi="Times New Roman" w:cs="Times New Roman"/>
        </w:rPr>
        <w:t>, which are based on literature, expert opinion, or assumptions.</w:t>
      </w:r>
      <w:r w:rsidRPr="00F11A3E">
        <w:rPr>
          <w:rFonts w:ascii="Times New Roman" w:hAnsi="Times New Roman" w:cs="Times New Roman"/>
        </w:rPr>
        <w:t xml:space="preserve"> </w:t>
      </w:r>
      <w:r w:rsidR="006F1526" w:rsidRPr="00F11A3E">
        <w:rPr>
          <w:rFonts w:ascii="Times New Roman" w:hAnsi="Times New Roman" w:cs="Times New Roman"/>
        </w:rPr>
        <w:t xml:space="preserve">The model is intended as a proof-of-concept and an illustration of </w:t>
      </w:r>
      <w:r w:rsidR="00C05DA0" w:rsidRPr="00F11A3E">
        <w:rPr>
          <w:rFonts w:ascii="Times New Roman" w:hAnsi="Times New Roman" w:cs="Times New Roman"/>
        </w:rPr>
        <w:t xml:space="preserve">how </w:t>
      </w:r>
      <w:r w:rsidR="00C05DA0" w:rsidRPr="00F11A3E">
        <w:rPr>
          <w:rFonts w:ascii="Times New Roman" w:hAnsi="Times New Roman" w:cs="Times New Roman"/>
          <w:bCs/>
        </w:rPr>
        <w:t xml:space="preserve">dynamic simulation modeling and systems science can be utilized in HTA to inform organizational decisions regarding the use of complex disruptive health technologies. </w:t>
      </w:r>
      <w:r w:rsidR="0024452E" w:rsidRPr="00F11A3E">
        <w:rPr>
          <w:rFonts w:ascii="Times New Roman" w:hAnsi="Times New Roman" w:cs="Times New Roman"/>
          <w:bCs/>
        </w:rPr>
        <w:t xml:space="preserve">That goal can be achieved </w:t>
      </w:r>
      <w:r w:rsidR="007C5F2B" w:rsidRPr="00F11A3E">
        <w:rPr>
          <w:rFonts w:ascii="Times New Roman" w:hAnsi="Times New Roman" w:cs="Times New Roman"/>
          <w:bCs/>
        </w:rPr>
        <w:t>even if</w:t>
      </w:r>
      <w:r w:rsidR="000D301E" w:rsidRPr="00F11A3E">
        <w:rPr>
          <w:rFonts w:ascii="Times New Roman" w:hAnsi="Times New Roman" w:cs="Times New Roman"/>
          <w:bCs/>
        </w:rPr>
        <w:t xml:space="preserve">, for some parameters, </w:t>
      </w:r>
      <w:r w:rsidR="00A130ED" w:rsidRPr="00F11A3E">
        <w:rPr>
          <w:rFonts w:ascii="Times New Roman" w:hAnsi="Times New Roman" w:cs="Times New Roman"/>
          <w:bCs/>
        </w:rPr>
        <w:t xml:space="preserve">data is </w:t>
      </w:r>
      <w:r w:rsidR="00044546" w:rsidRPr="00F11A3E">
        <w:rPr>
          <w:rFonts w:ascii="Times New Roman" w:hAnsi="Times New Roman" w:cs="Times New Roman"/>
          <w:bCs/>
        </w:rPr>
        <w:t>lacking,</w:t>
      </w:r>
      <w:r w:rsidR="00A130ED" w:rsidRPr="00F11A3E">
        <w:rPr>
          <w:rFonts w:ascii="Times New Roman" w:hAnsi="Times New Roman" w:cs="Times New Roman"/>
          <w:bCs/>
        </w:rPr>
        <w:t xml:space="preserve"> and assumptions </w:t>
      </w:r>
      <w:r w:rsidR="003061D8" w:rsidRPr="00F11A3E">
        <w:rPr>
          <w:rFonts w:ascii="Times New Roman" w:hAnsi="Times New Roman" w:cs="Times New Roman"/>
          <w:bCs/>
        </w:rPr>
        <w:t>had to be made.</w:t>
      </w:r>
    </w:p>
    <w:p w14:paraId="05FB180E" w14:textId="6FBD4582" w:rsidR="00AC1495" w:rsidRPr="00F11A3E" w:rsidRDefault="00AC1495" w:rsidP="00F11A3E">
      <w:pPr>
        <w:pStyle w:val="Table"/>
        <w:keepNext/>
        <w:spacing w:line="276" w:lineRule="auto"/>
        <w:rPr>
          <w:rFonts w:ascii="Times New Roman" w:hAnsi="Times New Roman" w:cs="Times New Roman"/>
        </w:rPr>
      </w:pPr>
      <w:r w:rsidRPr="00F11A3E">
        <w:rPr>
          <w:rFonts w:ascii="Times New Roman" w:hAnsi="Times New Roman" w:cs="Times New Roman"/>
        </w:rPr>
        <w:t>Table 3: Model input parameters</w:t>
      </w:r>
    </w:p>
    <w:tbl>
      <w:tblPr>
        <w:tblStyle w:val="TableGrid"/>
        <w:tblW w:w="0" w:type="auto"/>
        <w:tblLayout w:type="fixed"/>
        <w:tblLook w:val="04A0" w:firstRow="1" w:lastRow="0" w:firstColumn="1" w:lastColumn="0" w:noHBand="0" w:noVBand="1"/>
      </w:tblPr>
      <w:tblGrid>
        <w:gridCol w:w="1271"/>
        <w:gridCol w:w="1418"/>
        <w:gridCol w:w="1559"/>
        <w:gridCol w:w="3269"/>
        <w:gridCol w:w="1545"/>
      </w:tblGrid>
      <w:tr w:rsidR="00AC1495" w:rsidRPr="00F11A3E" w14:paraId="0CE02C30" w14:textId="77777777" w:rsidTr="008C2BB2">
        <w:tc>
          <w:tcPr>
            <w:tcW w:w="1271" w:type="dxa"/>
          </w:tcPr>
          <w:p w14:paraId="4CA21E06" w14:textId="7FBA4EB0" w:rsidR="004A2F2E" w:rsidRPr="00F11A3E" w:rsidRDefault="004A2F2E" w:rsidP="00F11A3E">
            <w:pPr>
              <w:pStyle w:val="Standard"/>
              <w:spacing w:line="276" w:lineRule="auto"/>
              <w:rPr>
                <w:rFonts w:ascii="Times New Roman" w:hAnsi="Times New Roman" w:cs="Times New Roman"/>
                <w:b/>
                <w:bCs/>
              </w:rPr>
            </w:pPr>
            <w:r w:rsidRPr="00F11A3E">
              <w:rPr>
                <w:rFonts w:ascii="Times New Roman" w:hAnsi="Times New Roman" w:cs="Times New Roman"/>
                <w:b/>
                <w:bCs/>
              </w:rPr>
              <w:t>Parameter category</w:t>
            </w:r>
          </w:p>
        </w:tc>
        <w:tc>
          <w:tcPr>
            <w:tcW w:w="1418" w:type="dxa"/>
          </w:tcPr>
          <w:p w14:paraId="0266B442" w14:textId="2969AA74" w:rsidR="004A2F2E" w:rsidRPr="00F11A3E" w:rsidRDefault="004A2F2E" w:rsidP="00F11A3E">
            <w:pPr>
              <w:pStyle w:val="Standard"/>
              <w:spacing w:line="276" w:lineRule="auto"/>
              <w:rPr>
                <w:rFonts w:ascii="Times New Roman" w:hAnsi="Times New Roman" w:cs="Times New Roman"/>
                <w:b/>
                <w:bCs/>
              </w:rPr>
            </w:pPr>
            <w:r w:rsidRPr="00F11A3E">
              <w:rPr>
                <w:rFonts w:ascii="Times New Roman" w:hAnsi="Times New Roman" w:cs="Times New Roman"/>
                <w:b/>
                <w:bCs/>
              </w:rPr>
              <w:t>Parameter name</w:t>
            </w:r>
          </w:p>
        </w:tc>
        <w:tc>
          <w:tcPr>
            <w:tcW w:w="1559" w:type="dxa"/>
          </w:tcPr>
          <w:p w14:paraId="391E06EB" w14:textId="55BCE900" w:rsidR="004A2F2E" w:rsidRPr="00F11A3E" w:rsidRDefault="004A2F2E" w:rsidP="00F11A3E">
            <w:pPr>
              <w:pStyle w:val="Standard"/>
              <w:spacing w:line="276" w:lineRule="auto"/>
              <w:rPr>
                <w:rFonts w:ascii="Times New Roman" w:hAnsi="Times New Roman" w:cs="Times New Roman"/>
                <w:b/>
                <w:bCs/>
              </w:rPr>
            </w:pPr>
            <w:r w:rsidRPr="00F11A3E">
              <w:rPr>
                <w:rFonts w:ascii="Times New Roman" w:hAnsi="Times New Roman" w:cs="Times New Roman"/>
                <w:b/>
                <w:bCs/>
              </w:rPr>
              <w:t>Description</w:t>
            </w:r>
          </w:p>
        </w:tc>
        <w:tc>
          <w:tcPr>
            <w:tcW w:w="3269" w:type="dxa"/>
          </w:tcPr>
          <w:p w14:paraId="4FFC2F07" w14:textId="4B437C11" w:rsidR="004A2F2E" w:rsidRPr="00F11A3E" w:rsidRDefault="004A2F2E" w:rsidP="00F11A3E">
            <w:pPr>
              <w:pStyle w:val="Standard"/>
              <w:spacing w:line="276" w:lineRule="auto"/>
              <w:rPr>
                <w:rFonts w:ascii="Times New Roman" w:hAnsi="Times New Roman" w:cs="Times New Roman"/>
                <w:b/>
                <w:bCs/>
              </w:rPr>
            </w:pPr>
            <w:r w:rsidRPr="00F11A3E">
              <w:rPr>
                <w:rFonts w:ascii="Times New Roman" w:hAnsi="Times New Roman" w:cs="Times New Roman"/>
                <w:b/>
                <w:bCs/>
              </w:rPr>
              <w:t>Value</w:t>
            </w:r>
          </w:p>
        </w:tc>
        <w:tc>
          <w:tcPr>
            <w:tcW w:w="1545" w:type="dxa"/>
          </w:tcPr>
          <w:p w14:paraId="18A4FF3B" w14:textId="76FB748F" w:rsidR="004A2F2E" w:rsidRPr="00F11A3E" w:rsidRDefault="004A2F2E" w:rsidP="00F11A3E">
            <w:pPr>
              <w:pStyle w:val="Standard"/>
              <w:spacing w:line="276" w:lineRule="auto"/>
              <w:rPr>
                <w:rFonts w:ascii="Times New Roman" w:hAnsi="Times New Roman" w:cs="Times New Roman"/>
                <w:b/>
                <w:bCs/>
              </w:rPr>
            </w:pPr>
            <w:r w:rsidRPr="00F11A3E">
              <w:rPr>
                <w:rFonts w:ascii="Times New Roman" w:hAnsi="Times New Roman" w:cs="Times New Roman"/>
                <w:b/>
                <w:bCs/>
              </w:rPr>
              <w:t>Reference</w:t>
            </w:r>
          </w:p>
        </w:tc>
      </w:tr>
      <w:tr w:rsidR="00AC1495" w:rsidRPr="00F11A3E" w14:paraId="799F9E87" w14:textId="77777777" w:rsidTr="008C2BB2">
        <w:tc>
          <w:tcPr>
            <w:tcW w:w="1271" w:type="dxa"/>
            <w:vMerge w:val="restart"/>
          </w:tcPr>
          <w:p w14:paraId="2F01A6A6" w14:textId="3A43984C" w:rsidR="002D0C72" w:rsidRPr="00F11A3E" w:rsidRDefault="002D0C72" w:rsidP="00F11A3E">
            <w:pPr>
              <w:pStyle w:val="Standard"/>
              <w:spacing w:line="276" w:lineRule="auto"/>
              <w:rPr>
                <w:rFonts w:ascii="Times New Roman" w:hAnsi="Times New Roman" w:cs="Times New Roman"/>
                <w:b/>
                <w:bCs/>
              </w:rPr>
            </w:pPr>
            <w:r w:rsidRPr="00F11A3E">
              <w:rPr>
                <w:rFonts w:ascii="Times New Roman" w:hAnsi="Times New Roman" w:cs="Times New Roman"/>
                <w:b/>
                <w:bCs/>
              </w:rPr>
              <w:t>Global</w:t>
            </w:r>
          </w:p>
        </w:tc>
        <w:tc>
          <w:tcPr>
            <w:tcW w:w="1418" w:type="dxa"/>
          </w:tcPr>
          <w:p w14:paraId="6D62FA48" w14:textId="1610D86F"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Annual patient rate</w:t>
            </w:r>
          </w:p>
        </w:tc>
        <w:tc>
          <w:tcPr>
            <w:tcW w:w="1559" w:type="dxa"/>
          </w:tcPr>
          <w:p w14:paraId="09287D0B" w14:textId="3D5D5FF8"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Number</w:t>
            </w:r>
            <w:r w:rsidR="00664100" w:rsidRPr="00F11A3E">
              <w:rPr>
                <w:rFonts w:ascii="Times New Roman" w:hAnsi="Times New Roman" w:cs="Times New Roman"/>
              </w:rPr>
              <w:t xml:space="preserve"> and interarrival time</w:t>
            </w:r>
            <w:r w:rsidRPr="00F11A3E">
              <w:rPr>
                <w:rFonts w:ascii="Times New Roman" w:hAnsi="Times New Roman" w:cs="Times New Roman"/>
              </w:rPr>
              <w:t xml:space="preserve"> of</w:t>
            </w:r>
            <w:r w:rsidR="00FC1F13" w:rsidRPr="00F11A3E">
              <w:rPr>
                <w:rFonts w:ascii="Times New Roman" w:hAnsi="Times New Roman" w:cs="Times New Roman"/>
              </w:rPr>
              <w:t xml:space="preserve"> patients</w:t>
            </w:r>
            <w:r w:rsidRPr="00F11A3E">
              <w:rPr>
                <w:rFonts w:ascii="Times New Roman" w:hAnsi="Times New Roman" w:cs="Times New Roman"/>
              </w:rPr>
              <w:t xml:space="preserve"> diagnosed with stage IV NSCLC each year</w:t>
            </w:r>
          </w:p>
        </w:tc>
        <w:tc>
          <w:tcPr>
            <w:tcW w:w="3269" w:type="dxa"/>
          </w:tcPr>
          <w:p w14:paraId="7151BD39" w14:textId="334B3878"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Poisson(</w:t>
            </w:r>
            <w:r w:rsidR="00D638E6" w:rsidRPr="00F11A3E">
              <w:rPr>
                <w:rFonts w:ascii="Times New Roman" w:hAnsi="Times New Roman" w:cs="Times New Roman"/>
              </w:rPr>
              <w:t xml:space="preserve">λ = </w:t>
            </w:r>
            <w:r w:rsidRPr="00F11A3E">
              <w:rPr>
                <w:rFonts w:ascii="Times New Roman" w:hAnsi="Times New Roman" w:cs="Times New Roman"/>
              </w:rPr>
              <w:t>5313) (integer)</w:t>
            </w:r>
          </w:p>
        </w:tc>
        <w:tc>
          <w:tcPr>
            <w:tcW w:w="1545" w:type="dxa"/>
          </w:tcPr>
          <w:p w14:paraId="67D536AE" w14:textId="78CDF2DC"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fldChar w:fldCharType="begin" w:fldLock="1"/>
            </w:r>
            <w:r w:rsidR="00935C50" w:rsidRPr="00F11A3E">
              <w:rPr>
                <w:rFonts w:ascii="Times New Roman" w:hAnsi="Times New Roman" w:cs="Times New Roman"/>
              </w:rPr>
              <w:instrText>ADDIN CSL_CITATION {"citationItems":[{"id":"ITEM-1","itemData":{"ISSN":"18728332","abstract":"Objectives: Increased emphasis on molecular diagnostics can lead to increased variation in time to treatment (TTT) for patients with stage III and IV non-small cell lung cancer. This article presents the variation in TTT for advanced NSCLC patients observed in Dutch hospitals before the widespread use of immunotherapy. The aim of this article was to explore the variation in TTT between patients, as well as between hospitals. Material and methods: Based on the Netherlands Cancer Registry, we used patient-level data (n = 4096) from all 78 hospitals that diagnosed stage III or IV NSCLC in the Netherlands in 2016. To investigate how patient characteristics and hospital-level effects are associated with TTT (from diagnosis until start treatment), we interpreted regression model results for five common patient profiles to analyze the influence of age, gender, tumor stage, performance status, histology, and referral status as well as hospital-level characteristics on the TTT. Results and conclusions: TTT varies substantially between and within hospitals. The median TTT was 28 days with an inter-quartile range of 22 days. The hospital-level median TTT ranges from 17 to 68 days. TTT correlates significantly with tumor stage, performance status, and histology. The hospital-level effect, unrelated to hospital volume and type, affected TTT by several weeks at most. For most patients, TTT is within range as recommended in current guidelines. Variation in TTT seems higher for patients receiving either radiotherapy or targeted therapy, or for patients referred to another hospital and we hypothesize this is related to the complexity of the diagnostic pathway. With further advances in molecular diagnostics and precision oncology we expect variation in TTT to increase and this needs to be considered in designing optimal cancer care delivery.","author":[{"dropping-particle":"","family":"Ven","given":"M.","non-dropping-particle":"van de","parse-names":false,"suffix":""},{"dropping-particle":"","family":"Retèl","given":"V. P.","non-dropping-particle":"","parse-names":false,"suffix":""},{"dropping-particle":"","family":"Koffijberg","given":"H.","non-dropping-particle":"","parse-names":false,"suffix":""},{"dropping-particle":"","family":"Harten","given":"W. H.","non-dropping-particle":"van","parse-names":false,"suffix":""},{"dropping-particle":"","family":"IJzerman","given":"M. J.","non-dropping-particle":"","parse-names":false,"suffix":""}],"container-title":"Lung Cancer","id":"ITEM-1","issue":"May","issued":{"date-parts":[["2019"]]},"page":"34-41","publisher":"Elsevier","title":"Variation in the time to treatment for stage III and IV non-small cell lung cancer patients for hospitals in the Netherlands","type":"article-journal","volume":"134"},"uris":["http://www.mendeley.com/documents/?uuid=58b36c9c-108c-48eb-923c-62a360d008a4"]}],"mendeley":{"formattedCitation":"(4)","plainTextFormattedCitation":"(4)","previouslyFormattedCitation":"[4]"},"properties":{"noteIndex":0},"schema":"https://github.com/citation-style-language/schema/raw/master/csl-citation.json"}</w:instrText>
            </w:r>
            <w:r w:rsidRPr="00F11A3E">
              <w:rPr>
                <w:rFonts w:ascii="Times New Roman" w:hAnsi="Times New Roman" w:cs="Times New Roman"/>
              </w:rPr>
              <w:fldChar w:fldCharType="separate"/>
            </w:r>
            <w:r w:rsidR="00935C50" w:rsidRPr="00F11A3E">
              <w:rPr>
                <w:rFonts w:ascii="Times New Roman" w:hAnsi="Times New Roman" w:cs="Times New Roman"/>
                <w:noProof/>
              </w:rPr>
              <w:t>(4)</w:t>
            </w:r>
            <w:r w:rsidRPr="00F11A3E">
              <w:rPr>
                <w:rFonts w:ascii="Times New Roman" w:hAnsi="Times New Roman" w:cs="Times New Roman"/>
              </w:rPr>
              <w:fldChar w:fldCharType="end"/>
            </w:r>
            <w:r w:rsidRPr="00F11A3E">
              <w:rPr>
                <w:rFonts w:ascii="Times New Roman" w:hAnsi="Times New Roman" w:cs="Times New Roman"/>
              </w:rPr>
              <w:t xml:space="preserve">. </w:t>
            </w:r>
            <w:r w:rsidR="00787BC4" w:rsidRPr="00F11A3E">
              <w:rPr>
                <w:rFonts w:ascii="Times New Roman" w:hAnsi="Times New Roman" w:cs="Times New Roman"/>
              </w:rPr>
              <w:t>The type of d</w:t>
            </w:r>
            <w:r w:rsidRPr="00F11A3E">
              <w:rPr>
                <w:rFonts w:ascii="Times New Roman" w:hAnsi="Times New Roman" w:cs="Times New Roman"/>
              </w:rPr>
              <w:t>istribution</w:t>
            </w:r>
            <w:r w:rsidR="00664100" w:rsidRPr="00F11A3E">
              <w:rPr>
                <w:rFonts w:ascii="Times New Roman" w:hAnsi="Times New Roman" w:cs="Times New Roman"/>
              </w:rPr>
              <w:t xml:space="preserve"> for the interarrival time</w:t>
            </w:r>
            <w:r w:rsidRPr="00F11A3E">
              <w:rPr>
                <w:rFonts w:ascii="Times New Roman" w:hAnsi="Times New Roman" w:cs="Times New Roman"/>
              </w:rPr>
              <w:t xml:space="preserve"> is based on assumption.</w:t>
            </w:r>
          </w:p>
        </w:tc>
      </w:tr>
      <w:tr w:rsidR="00AC1495" w:rsidRPr="00F11A3E" w14:paraId="58CA135B" w14:textId="77777777" w:rsidTr="008C2BB2">
        <w:tc>
          <w:tcPr>
            <w:tcW w:w="1271" w:type="dxa"/>
            <w:vMerge/>
          </w:tcPr>
          <w:p w14:paraId="7B91A1C4" w14:textId="77777777" w:rsidR="002D0C72" w:rsidRPr="00F11A3E" w:rsidRDefault="002D0C72" w:rsidP="00F11A3E">
            <w:pPr>
              <w:pStyle w:val="Standard"/>
              <w:spacing w:line="276" w:lineRule="auto"/>
              <w:rPr>
                <w:rFonts w:ascii="Times New Roman" w:hAnsi="Times New Roman" w:cs="Times New Roman"/>
              </w:rPr>
            </w:pPr>
          </w:p>
        </w:tc>
        <w:tc>
          <w:tcPr>
            <w:tcW w:w="1418" w:type="dxa"/>
          </w:tcPr>
          <w:p w14:paraId="1CF7DECE" w14:textId="16A90299"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MTB count</w:t>
            </w:r>
          </w:p>
        </w:tc>
        <w:tc>
          <w:tcPr>
            <w:tcW w:w="1559" w:type="dxa"/>
          </w:tcPr>
          <w:p w14:paraId="6C2B4F63" w14:textId="6CD56997"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MTB agent population size</w:t>
            </w:r>
          </w:p>
        </w:tc>
        <w:tc>
          <w:tcPr>
            <w:tcW w:w="3269" w:type="dxa"/>
          </w:tcPr>
          <w:p w14:paraId="54917EE7" w14:textId="5240C708"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8 (integer)</w:t>
            </w:r>
          </w:p>
        </w:tc>
        <w:tc>
          <w:tcPr>
            <w:tcW w:w="1545" w:type="dxa"/>
          </w:tcPr>
          <w:p w14:paraId="6CBE3A28" w14:textId="5B9B5351"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fldChar w:fldCharType="begin" w:fldLock="1"/>
            </w:r>
            <w:r w:rsidR="00935C50" w:rsidRPr="00F11A3E">
              <w:rPr>
                <w:rFonts w:ascii="Times New Roman" w:hAnsi="Times New Roman" w:cs="Times New Roman"/>
              </w:rPr>
              <w:instrText>ADDIN CSL_CITATION {"citationItems":[{"id":"ITEM-1","itemData":{"URL":"https://www.netwerk-path.nl/index.php/tumor-boards","accessed":{"date-parts":[["2020","6","17"]]},"author":[{"dropping-particle":"","family":"PATH","given":"","non-dropping-particle":"","parse-names":false,"suffix":""}],"id":"ITEM-1","issued":{"date-parts":[["0"]]},"title":"Moleculaire tumor boards [Molecular tumor boards]","type":"webpage"},"uris":["http://www.mendeley.com/documents/?uuid=1d778580-87dc-408d-988b-719987362bf2"]}],"mendeley":{"formattedCitation":"(5)","plainTextFormattedCitation":"(5)","previouslyFormattedCitation":"[5]"},"properties":{"noteIndex":0},"schema":"https://github.com/citation-style-language/schema/raw/master/csl-citation.json"}</w:instrText>
            </w:r>
            <w:r w:rsidRPr="00F11A3E">
              <w:rPr>
                <w:rFonts w:ascii="Times New Roman" w:hAnsi="Times New Roman" w:cs="Times New Roman"/>
              </w:rPr>
              <w:fldChar w:fldCharType="separate"/>
            </w:r>
            <w:r w:rsidR="00935C50" w:rsidRPr="00F11A3E">
              <w:rPr>
                <w:rFonts w:ascii="Times New Roman" w:hAnsi="Times New Roman" w:cs="Times New Roman"/>
                <w:noProof/>
              </w:rPr>
              <w:t>(5)</w:t>
            </w:r>
            <w:r w:rsidRPr="00F11A3E">
              <w:rPr>
                <w:rFonts w:ascii="Times New Roman" w:hAnsi="Times New Roman" w:cs="Times New Roman"/>
              </w:rPr>
              <w:fldChar w:fldCharType="end"/>
            </w:r>
          </w:p>
        </w:tc>
      </w:tr>
      <w:tr w:rsidR="00AC1495" w:rsidRPr="00F11A3E" w14:paraId="59BC9FB7" w14:textId="77777777" w:rsidTr="008C2BB2">
        <w:tc>
          <w:tcPr>
            <w:tcW w:w="1271" w:type="dxa"/>
            <w:vMerge/>
          </w:tcPr>
          <w:p w14:paraId="5B556997" w14:textId="77777777" w:rsidR="002D0C72" w:rsidRPr="00F11A3E" w:rsidRDefault="002D0C72" w:rsidP="00F11A3E">
            <w:pPr>
              <w:pStyle w:val="Standard"/>
              <w:spacing w:line="276" w:lineRule="auto"/>
              <w:rPr>
                <w:rFonts w:ascii="Times New Roman" w:hAnsi="Times New Roman" w:cs="Times New Roman"/>
              </w:rPr>
            </w:pPr>
          </w:p>
        </w:tc>
        <w:tc>
          <w:tcPr>
            <w:tcW w:w="1418" w:type="dxa"/>
          </w:tcPr>
          <w:p w14:paraId="76C0B665" w14:textId="66AD823A"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WGS facility count</w:t>
            </w:r>
          </w:p>
        </w:tc>
        <w:tc>
          <w:tcPr>
            <w:tcW w:w="1559" w:type="dxa"/>
          </w:tcPr>
          <w:p w14:paraId="5A223A26" w14:textId="2969E488"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WGS agent population size</w:t>
            </w:r>
          </w:p>
        </w:tc>
        <w:tc>
          <w:tcPr>
            <w:tcW w:w="3269" w:type="dxa"/>
          </w:tcPr>
          <w:p w14:paraId="6E1DAE93" w14:textId="5E70F9BD"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1 (integer)</w:t>
            </w:r>
          </w:p>
        </w:tc>
        <w:tc>
          <w:tcPr>
            <w:tcW w:w="1545" w:type="dxa"/>
          </w:tcPr>
          <w:p w14:paraId="03BF3764" w14:textId="62793069" w:rsidR="002D0C72" w:rsidRPr="00F11A3E" w:rsidRDefault="00F55662" w:rsidP="00F11A3E">
            <w:pPr>
              <w:pStyle w:val="Standard"/>
              <w:spacing w:line="276" w:lineRule="auto"/>
              <w:rPr>
                <w:rFonts w:ascii="Times New Roman" w:hAnsi="Times New Roman" w:cs="Times New Roman"/>
              </w:rPr>
            </w:pPr>
            <w:r w:rsidRPr="00F11A3E">
              <w:rPr>
                <w:rFonts w:ascii="Times New Roman" w:hAnsi="Times New Roman" w:cs="Times New Roman"/>
              </w:rPr>
              <w:t>Reflects</w:t>
            </w:r>
            <w:r w:rsidR="00787BC4" w:rsidRPr="00F11A3E">
              <w:rPr>
                <w:rFonts w:ascii="Times New Roman" w:hAnsi="Times New Roman" w:cs="Times New Roman"/>
              </w:rPr>
              <w:t xml:space="preserve"> the current situation in the Netherlands</w:t>
            </w:r>
          </w:p>
        </w:tc>
      </w:tr>
      <w:tr w:rsidR="00AC1495" w:rsidRPr="00F11A3E" w14:paraId="770DFF80" w14:textId="77777777" w:rsidTr="008C2BB2">
        <w:tc>
          <w:tcPr>
            <w:tcW w:w="1271" w:type="dxa"/>
            <w:vMerge/>
          </w:tcPr>
          <w:p w14:paraId="344805A6" w14:textId="77777777" w:rsidR="002D0C72" w:rsidRPr="00F11A3E" w:rsidRDefault="002D0C72" w:rsidP="00F11A3E">
            <w:pPr>
              <w:pStyle w:val="Standard"/>
              <w:spacing w:line="276" w:lineRule="auto"/>
              <w:rPr>
                <w:rFonts w:ascii="Times New Roman" w:hAnsi="Times New Roman" w:cs="Times New Roman"/>
              </w:rPr>
            </w:pPr>
          </w:p>
        </w:tc>
        <w:tc>
          <w:tcPr>
            <w:tcW w:w="1418" w:type="dxa"/>
          </w:tcPr>
          <w:p w14:paraId="4A0D86CC" w14:textId="5E9C4872"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Patient indication WGS</w:t>
            </w:r>
          </w:p>
        </w:tc>
        <w:tc>
          <w:tcPr>
            <w:tcW w:w="1559" w:type="dxa"/>
          </w:tcPr>
          <w:p w14:paraId="03F9239E" w14:textId="5ADD0498"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Probability of 0 or 1 that a given patient matches the patient indication for whom WGS is indicated</w:t>
            </w:r>
          </w:p>
        </w:tc>
        <w:tc>
          <w:tcPr>
            <w:tcW w:w="3269" w:type="dxa"/>
          </w:tcPr>
          <w:p w14:paraId="76DCD922" w14:textId="77777777" w:rsidR="002D0C72" w:rsidRPr="00F11A3E" w:rsidRDefault="002D0C72" w:rsidP="00F11A3E">
            <w:pPr>
              <w:pStyle w:val="Standard"/>
              <w:spacing w:line="276" w:lineRule="auto"/>
              <w:rPr>
                <w:rFonts w:ascii="Times New Roman" w:hAnsi="Times New Roman" w:cs="Times New Roman"/>
              </w:rPr>
            </w:pPr>
            <m:oMathPara>
              <m:oMathParaPr>
                <m:jc m:val="left"/>
              </m:oMathParaPr>
              <m:oMath>
                <m:r>
                  <w:rPr>
                    <w:rFonts w:ascii="Cambria Math" w:hAnsi="Cambria Math" w:cs="Times New Roman"/>
                  </w:rPr>
                  <m:t>P</m:t>
                </m:r>
                <m:d>
                  <m:dPr>
                    <m:endChr m:val="|"/>
                    <m:ctrlPr>
                      <w:rPr>
                        <w:rFonts w:ascii="Cambria Math" w:hAnsi="Cambria Math" w:cs="Times New Roman"/>
                        <w:i/>
                      </w:rPr>
                    </m:ctrlPr>
                  </m:dPr>
                  <m:e>
                    <m:r>
                      <w:rPr>
                        <w:rFonts w:ascii="Cambria Math" w:hAnsi="Cambria Math" w:cs="Times New Roman"/>
                      </w:rPr>
                      <m:t xml:space="preserve">X </m:t>
                    </m:r>
                  </m:e>
                </m:d>
              </m:oMath>
            </m:oMathPara>
          </w:p>
          <w:p w14:paraId="26EACED8" w14:textId="0B91D943" w:rsidR="002D0C72" w:rsidRPr="00F11A3E" w:rsidRDefault="002D0C72" w:rsidP="00F11A3E">
            <w:pPr>
              <w:pStyle w:val="Standard"/>
              <w:spacing w:line="276" w:lineRule="auto"/>
              <w:rPr>
                <w:rFonts w:ascii="Times New Roman" w:hAnsi="Times New Roman" w:cs="Times New Roman"/>
              </w:rPr>
            </w:pPr>
            <m:oMathPara>
              <m:oMathParaPr>
                <m:jc m:val="left"/>
              </m:oMathParaPr>
              <m:oMath>
                <m:r>
                  <w:rPr>
                    <w:rFonts w:ascii="Cambria Math" w:hAnsi="Cambria Math" w:cs="Times New Roman"/>
                  </w:rPr>
                  <m:t>referred to academic</m:t>
                </m:r>
              </m:oMath>
            </m:oMathPara>
          </w:p>
          <w:p w14:paraId="3EF2A490" w14:textId="77777777" w:rsidR="002D0C72" w:rsidRPr="00F11A3E" w:rsidRDefault="002D0C72" w:rsidP="00F11A3E">
            <w:pPr>
              <w:pStyle w:val="Standard"/>
              <w:spacing w:line="276" w:lineRule="auto"/>
              <w:rPr>
                <w:rFonts w:ascii="Times New Roman" w:hAnsi="Times New Roman" w:cs="Times New Roman"/>
              </w:rPr>
            </w:pPr>
            <m:oMathPara>
              <m:oMathParaPr>
                <m:jc m:val="left"/>
              </m:oMathParaPr>
              <m:oMath>
                <m:r>
                  <w:rPr>
                    <w:rFonts w:ascii="Cambria Math" w:hAnsi="Cambria Math" w:cs="Times New Roman"/>
                  </w:rPr>
                  <m:t xml:space="preserve"> hospital=1) | </m:t>
                </m:r>
              </m:oMath>
            </m:oMathPara>
          </w:p>
          <w:p w14:paraId="1899531A" w14:textId="6EC2B15B" w:rsidR="002D0C72" w:rsidRPr="00F11A3E" w:rsidRDefault="002D0C72" w:rsidP="00F11A3E">
            <w:pPr>
              <w:pStyle w:val="Standard"/>
              <w:spacing w:line="276" w:lineRule="auto"/>
              <w:rPr>
                <w:rFonts w:ascii="Times New Roman" w:hAnsi="Times New Roman" w:cs="Times New Roman"/>
              </w:rPr>
            </w:pPr>
            <m:oMathPara>
              <m:oMathParaPr>
                <m:jc m:val="left"/>
              </m:oMathParaPr>
              <m:oMath>
                <m:r>
                  <w:rPr>
                    <w:rFonts w:ascii="Cambria Math" w:hAnsi="Cambria Math" w:cs="Times New Roman"/>
                  </w:rPr>
                  <m:t>P</m:t>
                </m:r>
                <m:d>
                  <m:dPr>
                    <m:endChr m:val="|"/>
                    <m:ctrlPr>
                      <w:rPr>
                        <w:rFonts w:ascii="Cambria Math" w:hAnsi="Cambria Math" w:cs="Times New Roman"/>
                        <w:i/>
                      </w:rPr>
                    </m:ctrlPr>
                  </m:dPr>
                  <m:e>
                    <m:r>
                      <w:rPr>
                        <w:rFonts w:ascii="Cambria Math" w:hAnsi="Cambria Math" w:cs="Times New Roman"/>
                      </w:rPr>
                      <m:t xml:space="preserve">X </m:t>
                    </m:r>
                  </m:e>
                </m:d>
                <m:r>
                  <w:rPr>
                    <w:rFonts w:ascii="Cambria Math" w:hAnsi="Cambria Math" w:cs="Times New Roman"/>
                  </w:rPr>
                  <m:t>SoC in academic</m:t>
                </m:r>
              </m:oMath>
            </m:oMathPara>
          </w:p>
          <w:p w14:paraId="48A1EA2A" w14:textId="77777777" w:rsidR="002D0C72" w:rsidRPr="00F11A3E" w:rsidRDefault="002D0C72" w:rsidP="00F11A3E">
            <w:pPr>
              <w:pStyle w:val="Standard"/>
              <w:spacing w:line="276" w:lineRule="auto"/>
              <w:rPr>
                <w:rFonts w:ascii="Times New Roman" w:hAnsi="Times New Roman" w:cs="Times New Roman"/>
              </w:rPr>
            </w:pPr>
            <m:oMathPara>
              <m:oMath>
                <m:r>
                  <w:rPr>
                    <w:rFonts w:ascii="Cambria Math" w:hAnsi="Cambria Math" w:cs="Times New Roman"/>
                  </w:rPr>
                  <m:t xml:space="preserve"> hospital identified</m:t>
                </m:r>
              </m:oMath>
            </m:oMathPara>
          </w:p>
          <w:p w14:paraId="433FA81B" w14:textId="31723FFB" w:rsidR="002D0C72" w:rsidRPr="00F11A3E" w:rsidRDefault="002D0C72" w:rsidP="00F11A3E">
            <w:pPr>
              <w:pStyle w:val="Standard"/>
              <w:spacing w:line="276" w:lineRule="auto"/>
              <w:rPr>
                <w:rFonts w:ascii="Times New Roman" w:hAnsi="Times New Roman" w:cs="Times New Roman"/>
              </w:rPr>
            </w:pPr>
            <m:oMathPara>
              <m:oMath>
                <m:r>
                  <w:rPr>
                    <w:rFonts w:ascii="Cambria Math" w:hAnsi="Cambria Math" w:cs="Times New Roman"/>
                  </w:rPr>
                  <m:t xml:space="preserve"> biomarker=0) = 1</m:t>
                </m:r>
              </m:oMath>
            </m:oMathPara>
          </w:p>
          <w:p w14:paraId="21174617" w14:textId="77777777" w:rsidR="002D0C72" w:rsidRPr="00F11A3E" w:rsidRDefault="002D0C72" w:rsidP="00F11A3E">
            <w:pPr>
              <w:pStyle w:val="Standard"/>
              <w:spacing w:line="276" w:lineRule="auto"/>
              <w:rPr>
                <w:rFonts w:ascii="Times New Roman" w:hAnsi="Times New Roman" w:cs="Times New Roman"/>
              </w:rPr>
            </w:pPr>
            <m:oMathPara>
              <m:oMath>
                <m:r>
                  <w:rPr>
                    <w:rFonts w:ascii="Cambria Math" w:hAnsi="Cambria Math" w:cs="Times New Roman"/>
                  </w:rPr>
                  <m:t>P</m:t>
                </m:r>
                <m:d>
                  <m:dPr>
                    <m:endChr m:val="|"/>
                    <m:ctrlPr>
                      <w:rPr>
                        <w:rFonts w:ascii="Cambria Math" w:hAnsi="Cambria Math" w:cs="Times New Roman"/>
                        <w:i/>
                      </w:rPr>
                    </m:ctrlPr>
                  </m:dPr>
                  <m:e>
                    <m:r>
                      <w:rPr>
                        <w:rFonts w:ascii="Cambria Math" w:hAnsi="Cambria Math" w:cs="Times New Roman"/>
                      </w:rPr>
                      <m:t xml:space="preserve">X </m:t>
                    </m:r>
                  </m:e>
                </m:d>
                <m:r>
                  <w:rPr>
                    <w:rFonts w:ascii="Cambria Math" w:hAnsi="Cambria Math" w:cs="Times New Roman"/>
                  </w:rPr>
                  <m:t>referred to academic</m:t>
                </m:r>
              </m:oMath>
            </m:oMathPara>
          </w:p>
          <w:p w14:paraId="4F1DD476" w14:textId="77777777" w:rsidR="002D0C72" w:rsidRPr="00F11A3E" w:rsidRDefault="002D0C72" w:rsidP="00F11A3E">
            <w:pPr>
              <w:pStyle w:val="Standard"/>
              <w:spacing w:line="276" w:lineRule="auto"/>
              <w:rPr>
                <w:rFonts w:ascii="Times New Roman" w:hAnsi="Times New Roman" w:cs="Times New Roman"/>
              </w:rPr>
            </w:pPr>
            <m:oMathPara>
              <m:oMathParaPr>
                <m:jc m:val="left"/>
              </m:oMathParaPr>
              <m:oMath>
                <m:r>
                  <w:rPr>
                    <w:rFonts w:ascii="Cambria Math" w:hAnsi="Cambria Math" w:cs="Times New Roman"/>
                  </w:rPr>
                  <m:t xml:space="preserve"> hospital=0) | P</m:t>
                </m:r>
                <m:d>
                  <m:dPr>
                    <m:endChr m:val="|"/>
                    <m:ctrlPr>
                      <w:rPr>
                        <w:rFonts w:ascii="Cambria Math" w:hAnsi="Cambria Math" w:cs="Times New Roman"/>
                        <w:i/>
                      </w:rPr>
                    </m:ctrlPr>
                  </m:dPr>
                  <m:e>
                    <m:r>
                      <w:rPr>
                        <w:rFonts w:ascii="Cambria Math" w:hAnsi="Cambria Math" w:cs="Times New Roman"/>
                      </w:rPr>
                      <m:t xml:space="preserve">X </m:t>
                    </m:r>
                  </m:e>
                </m:d>
              </m:oMath>
            </m:oMathPara>
          </w:p>
          <w:p w14:paraId="1AA79518" w14:textId="77777777" w:rsidR="002D0C72" w:rsidRPr="00F11A3E" w:rsidRDefault="002D0C72" w:rsidP="00F11A3E">
            <w:pPr>
              <w:pStyle w:val="Standard"/>
              <w:spacing w:line="276" w:lineRule="auto"/>
              <w:rPr>
                <w:rFonts w:ascii="Times New Roman" w:hAnsi="Times New Roman" w:cs="Times New Roman"/>
              </w:rPr>
            </w:pPr>
            <m:oMathPara>
              <m:oMath>
                <m:r>
                  <w:rPr>
                    <w:rFonts w:ascii="Cambria Math" w:hAnsi="Cambria Math" w:cs="Times New Roman"/>
                  </w:rPr>
                  <m:t>SoC in academic</m:t>
                </m:r>
              </m:oMath>
            </m:oMathPara>
          </w:p>
          <w:p w14:paraId="22C56DC4" w14:textId="77777777" w:rsidR="002D0C72" w:rsidRPr="00F11A3E" w:rsidRDefault="002D0C72" w:rsidP="00F11A3E">
            <w:pPr>
              <w:pStyle w:val="Standard"/>
              <w:spacing w:line="276" w:lineRule="auto"/>
              <w:rPr>
                <w:rFonts w:ascii="Times New Roman" w:hAnsi="Times New Roman" w:cs="Times New Roman"/>
              </w:rPr>
            </w:pPr>
            <m:oMathPara>
              <m:oMath>
                <m:r>
                  <w:rPr>
                    <w:rFonts w:ascii="Cambria Math" w:hAnsi="Cambria Math" w:cs="Times New Roman"/>
                  </w:rPr>
                  <m:t xml:space="preserve"> hospital identified</m:t>
                </m:r>
              </m:oMath>
            </m:oMathPara>
          </w:p>
          <w:p w14:paraId="7FB7732F" w14:textId="0A70C1BF" w:rsidR="002D0C72" w:rsidRPr="00F11A3E" w:rsidRDefault="002D0C72" w:rsidP="00F11A3E">
            <w:pPr>
              <w:pStyle w:val="Standard"/>
              <w:spacing w:line="276" w:lineRule="auto"/>
              <w:rPr>
                <w:rFonts w:ascii="Times New Roman" w:hAnsi="Times New Roman" w:cs="Times New Roman"/>
              </w:rPr>
            </w:pPr>
            <m:oMathPara>
              <m:oMath>
                <m:r>
                  <w:rPr>
                    <w:rFonts w:ascii="Cambria Math" w:hAnsi="Cambria Math" w:cs="Times New Roman"/>
                  </w:rPr>
                  <m:t xml:space="preserve"> biomarker=1)  = 0</m:t>
                </m:r>
              </m:oMath>
            </m:oMathPara>
          </w:p>
          <w:p w14:paraId="07D82045" w14:textId="3AFED8AB"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(fraction)</w:t>
            </w:r>
          </w:p>
        </w:tc>
        <w:tc>
          <w:tcPr>
            <w:tcW w:w="1545" w:type="dxa"/>
          </w:tcPr>
          <w:p w14:paraId="095AAF91" w14:textId="3DFE1C35"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Assumption</w:t>
            </w:r>
          </w:p>
        </w:tc>
      </w:tr>
      <w:tr w:rsidR="00AC1495" w:rsidRPr="00F11A3E" w14:paraId="5215EBAC" w14:textId="77777777" w:rsidTr="008C2BB2">
        <w:tc>
          <w:tcPr>
            <w:tcW w:w="1271" w:type="dxa"/>
            <w:vMerge/>
          </w:tcPr>
          <w:p w14:paraId="0FB5DB24" w14:textId="77777777" w:rsidR="002D0C72" w:rsidRPr="00F11A3E" w:rsidRDefault="002D0C72" w:rsidP="00F11A3E">
            <w:pPr>
              <w:pStyle w:val="Standard"/>
              <w:spacing w:line="276" w:lineRule="auto"/>
              <w:rPr>
                <w:rFonts w:ascii="Times New Roman" w:hAnsi="Times New Roman" w:cs="Times New Roman"/>
              </w:rPr>
            </w:pPr>
          </w:p>
        </w:tc>
        <w:tc>
          <w:tcPr>
            <w:tcW w:w="1418" w:type="dxa"/>
          </w:tcPr>
          <w:p w14:paraId="4EA4BF4E" w14:textId="0D349A7C"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WGS Adoption rate</w:t>
            </w:r>
          </w:p>
        </w:tc>
        <w:tc>
          <w:tcPr>
            <w:tcW w:w="1559" w:type="dxa"/>
          </w:tcPr>
          <w:p w14:paraId="214BFB44" w14:textId="1458A0DF"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The proportion of physicians who have adopted WGS</w:t>
            </w:r>
          </w:p>
        </w:tc>
        <w:tc>
          <w:tcPr>
            <w:tcW w:w="3269" w:type="dxa"/>
          </w:tcPr>
          <w:p w14:paraId="7AF310B4" w14:textId="13C81C9F" w:rsidR="002D0C72" w:rsidRPr="00F11A3E" w:rsidRDefault="002D0C72" w:rsidP="00F11A3E">
            <w:pPr>
              <w:pStyle w:val="TableContents"/>
              <w:spacing w:line="276" w:lineRule="auto"/>
              <w:rPr>
                <w:rFonts w:ascii="Times New Roman" w:hAnsi="Times New Roman" w:cs="Times New Roman"/>
              </w:rPr>
            </w:pPr>
            <w:r w:rsidRPr="00F11A3E">
              <w:rPr>
                <w:rFonts w:ascii="Times New Roman" w:hAnsi="Times New Roman" w:cs="Times New Roman"/>
              </w:rPr>
              <w:t>0.90 (fraction)</w:t>
            </w:r>
          </w:p>
        </w:tc>
        <w:tc>
          <w:tcPr>
            <w:tcW w:w="1545" w:type="dxa"/>
          </w:tcPr>
          <w:p w14:paraId="59D4C1A6" w14:textId="5664ECA6"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Assumption</w:t>
            </w:r>
          </w:p>
        </w:tc>
      </w:tr>
      <w:tr w:rsidR="00AC1495" w:rsidRPr="00F11A3E" w14:paraId="50D86228" w14:textId="77777777" w:rsidTr="008C2BB2">
        <w:tc>
          <w:tcPr>
            <w:tcW w:w="1271" w:type="dxa"/>
            <w:vMerge/>
          </w:tcPr>
          <w:p w14:paraId="6D31C52D" w14:textId="77777777" w:rsidR="002D0C72" w:rsidRPr="00F11A3E" w:rsidRDefault="002D0C72" w:rsidP="00F11A3E">
            <w:pPr>
              <w:pStyle w:val="Standard"/>
              <w:spacing w:line="276" w:lineRule="auto"/>
              <w:rPr>
                <w:rFonts w:ascii="Times New Roman" w:hAnsi="Times New Roman" w:cs="Times New Roman"/>
              </w:rPr>
            </w:pPr>
          </w:p>
        </w:tc>
        <w:tc>
          <w:tcPr>
            <w:tcW w:w="1418" w:type="dxa"/>
          </w:tcPr>
          <w:p w14:paraId="29665360" w14:textId="62990E3B"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Patient preferences</w:t>
            </w:r>
          </w:p>
        </w:tc>
        <w:tc>
          <w:tcPr>
            <w:tcW w:w="1559" w:type="dxa"/>
          </w:tcPr>
          <w:p w14:paraId="55995660" w14:textId="6E48D96F"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Probability that the patient-agent prefers WGS over SoC</w:t>
            </w:r>
          </w:p>
        </w:tc>
        <w:tc>
          <w:tcPr>
            <w:tcW w:w="3269" w:type="dxa"/>
          </w:tcPr>
          <w:p w14:paraId="76938C2B" w14:textId="50C7313B" w:rsidR="002D0C72" w:rsidRPr="00F11A3E" w:rsidRDefault="002D0C72" w:rsidP="00F11A3E">
            <w:pPr>
              <w:pStyle w:val="TableContents"/>
              <w:spacing w:line="276" w:lineRule="auto"/>
              <w:rPr>
                <w:rFonts w:ascii="Times New Roman" w:hAnsi="Times New Roman" w:cs="Times New Roman"/>
              </w:rPr>
            </w:pPr>
            <w:r w:rsidRPr="00F11A3E">
              <w:rPr>
                <w:rFonts w:ascii="Times New Roman" w:hAnsi="Times New Roman" w:cs="Times New Roman"/>
              </w:rPr>
              <w:t>0.90 (fraction)</w:t>
            </w:r>
          </w:p>
        </w:tc>
        <w:tc>
          <w:tcPr>
            <w:tcW w:w="1545" w:type="dxa"/>
          </w:tcPr>
          <w:p w14:paraId="15755206" w14:textId="76524F86"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Assumption</w:t>
            </w:r>
          </w:p>
        </w:tc>
      </w:tr>
      <w:tr w:rsidR="00AC1495" w:rsidRPr="00F11A3E" w14:paraId="0B5C7DF6" w14:textId="77777777" w:rsidTr="008C2BB2">
        <w:tc>
          <w:tcPr>
            <w:tcW w:w="1271" w:type="dxa"/>
            <w:vMerge/>
          </w:tcPr>
          <w:p w14:paraId="1C17786B" w14:textId="77777777" w:rsidR="002D0C72" w:rsidRPr="00F11A3E" w:rsidRDefault="002D0C72" w:rsidP="00F11A3E">
            <w:pPr>
              <w:pStyle w:val="Standard"/>
              <w:spacing w:line="276" w:lineRule="auto"/>
              <w:rPr>
                <w:rFonts w:ascii="Times New Roman" w:hAnsi="Times New Roman" w:cs="Times New Roman"/>
              </w:rPr>
            </w:pPr>
          </w:p>
        </w:tc>
        <w:tc>
          <w:tcPr>
            <w:tcW w:w="1418" w:type="dxa"/>
          </w:tcPr>
          <w:p w14:paraId="4B737251" w14:textId="55AE6640"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 xml:space="preserve">Proportion of patients who </w:t>
            </w:r>
            <w:r w:rsidRPr="00F11A3E">
              <w:rPr>
                <w:rFonts w:ascii="Times New Roman" w:hAnsi="Times New Roman" w:cs="Times New Roman"/>
              </w:rPr>
              <w:lastRenderedPageBreak/>
              <w:t>are discussed MTB</w:t>
            </w:r>
          </w:p>
        </w:tc>
        <w:tc>
          <w:tcPr>
            <w:tcW w:w="1559" w:type="dxa"/>
          </w:tcPr>
          <w:p w14:paraId="26F57846" w14:textId="59090C1E"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lastRenderedPageBreak/>
              <w:t xml:space="preserve">The proportion of patients </w:t>
            </w:r>
            <w:r w:rsidRPr="00F11A3E">
              <w:rPr>
                <w:rFonts w:ascii="Times New Roman" w:hAnsi="Times New Roman" w:cs="Times New Roman"/>
              </w:rPr>
              <w:lastRenderedPageBreak/>
              <w:t>who received WGS that are discussed in an MTB</w:t>
            </w:r>
          </w:p>
        </w:tc>
        <w:tc>
          <w:tcPr>
            <w:tcW w:w="3269" w:type="dxa"/>
          </w:tcPr>
          <w:p w14:paraId="3213F005" w14:textId="0F85BEB0" w:rsidR="002D0C72" w:rsidRPr="00F11A3E" w:rsidRDefault="002D0C72" w:rsidP="00F11A3E">
            <w:pPr>
              <w:pStyle w:val="TableContents"/>
              <w:spacing w:line="276" w:lineRule="auto"/>
              <w:rPr>
                <w:rFonts w:ascii="Times New Roman" w:hAnsi="Times New Roman" w:cs="Times New Roman"/>
              </w:rPr>
            </w:pPr>
            <w:r w:rsidRPr="00F11A3E">
              <w:rPr>
                <w:rFonts w:ascii="Times New Roman" w:hAnsi="Times New Roman" w:cs="Times New Roman"/>
              </w:rPr>
              <w:lastRenderedPageBreak/>
              <w:t>1 (fraction)</w:t>
            </w:r>
          </w:p>
        </w:tc>
        <w:tc>
          <w:tcPr>
            <w:tcW w:w="1545" w:type="dxa"/>
          </w:tcPr>
          <w:p w14:paraId="41EBBA72" w14:textId="0939BCCB"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Assumption</w:t>
            </w:r>
          </w:p>
        </w:tc>
      </w:tr>
      <w:tr w:rsidR="00AC1495" w:rsidRPr="00F11A3E" w14:paraId="1D048D62" w14:textId="77777777" w:rsidTr="008C2BB2">
        <w:tc>
          <w:tcPr>
            <w:tcW w:w="1271" w:type="dxa"/>
            <w:vMerge w:val="restart"/>
          </w:tcPr>
          <w:p w14:paraId="50E747E4" w14:textId="1CD5BEBD" w:rsidR="002D0C72" w:rsidRPr="00F11A3E" w:rsidRDefault="002D0C72" w:rsidP="00F11A3E">
            <w:pPr>
              <w:pStyle w:val="Standard"/>
              <w:spacing w:line="276" w:lineRule="auto"/>
              <w:rPr>
                <w:rFonts w:ascii="Times New Roman" w:hAnsi="Times New Roman" w:cs="Times New Roman"/>
                <w:b/>
                <w:bCs/>
              </w:rPr>
            </w:pPr>
            <w:r w:rsidRPr="00F11A3E">
              <w:rPr>
                <w:rFonts w:ascii="Times New Roman" w:hAnsi="Times New Roman" w:cs="Times New Roman"/>
                <w:b/>
                <w:bCs/>
              </w:rPr>
              <w:t>Patient characteristics</w:t>
            </w:r>
          </w:p>
        </w:tc>
        <w:tc>
          <w:tcPr>
            <w:tcW w:w="1418" w:type="dxa"/>
          </w:tcPr>
          <w:p w14:paraId="53BDC553" w14:textId="20151FF3"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KRAS mutation prevalence</w:t>
            </w:r>
          </w:p>
        </w:tc>
        <w:tc>
          <w:tcPr>
            <w:tcW w:w="1559" w:type="dxa"/>
          </w:tcPr>
          <w:p w14:paraId="3247F6A4" w14:textId="157CC583"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Probability that patient harbors an EGFR mutation</w:t>
            </w:r>
          </w:p>
        </w:tc>
        <w:tc>
          <w:tcPr>
            <w:tcW w:w="3269" w:type="dxa"/>
          </w:tcPr>
          <w:p w14:paraId="6EB1FB45" w14:textId="64B57B5A" w:rsidR="002D0C72" w:rsidRPr="00F11A3E" w:rsidRDefault="002D0C72" w:rsidP="00F11A3E">
            <w:pPr>
              <w:pStyle w:val="TableContents"/>
              <w:spacing w:line="276" w:lineRule="auto"/>
              <w:rPr>
                <w:rFonts w:ascii="Times New Roman" w:hAnsi="Times New Roman" w:cs="Times New Roman"/>
              </w:rPr>
            </w:pPr>
            <w:r w:rsidRPr="00F11A3E">
              <w:rPr>
                <w:rFonts w:ascii="Times New Roman" w:hAnsi="Times New Roman" w:cs="Times New Roman"/>
              </w:rPr>
              <w:t xml:space="preserve">Non-squamous cell carcinoma: </w:t>
            </w:r>
            <w:r w:rsidR="00044546">
              <w:rPr>
                <w:rFonts w:ascii="Times New Roman" w:hAnsi="Times New Roman" w:cs="Times New Roman"/>
              </w:rPr>
              <w:t>B</w:t>
            </w:r>
            <w:r w:rsidRPr="00F11A3E">
              <w:rPr>
                <w:rFonts w:ascii="Times New Roman" w:hAnsi="Times New Roman" w:cs="Times New Roman"/>
              </w:rPr>
              <w:t>eta(p = 784, q = 1268)</w:t>
            </w:r>
          </w:p>
          <w:p w14:paraId="21044C51" w14:textId="31D412A6" w:rsidR="002D0C72" w:rsidRPr="00F11A3E" w:rsidRDefault="002D0C72" w:rsidP="00F11A3E">
            <w:pPr>
              <w:pStyle w:val="TableContents"/>
              <w:spacing w:line="276" w:lineRule="auto"/>
              <w:rPr>
                <w:rFonts w:ascii="Times New Roman" w:hAnsi="Times New Roman" w:cs="Times New Roman"/>
              </w:rPr>
            </w:pPr>
            <w:r w:rsidRPr="00F11A3E">
              <w:rPr>
                <w:rFonts w:ascii="Times New Roman" w:hAnsi="Times New Roman" w:cs="Times New Roman"/>
              </w:rPr>
              <w:t xml:space="preserve">Squamous cell carcinoma: </w:t>
            </w:r>
            <w:r w:rsidR="00044546">
              <w:rPr>
                <w:rFonts w:ascii="Times New Roman" w:hAnsi="Times New Roman" w:cs="Times New Roman"/>
              </w:rPr>
              <w:t>B</w:t>
            </w:r>
            <w:r w:rsidRPr="00F11A3E">
              <w:rPr>
                <w:rFonts w:ascii="Times New Roman" w:hAnsi="Times New Roman" w:cs="Times New Roman"/>
              </w:rPr>
              <w:t>eta(p = 3, q = 26)</w:t>
            </w:r>
          </w:p>
          <w:p w14:paraId="0DCDC43A" w14:textId="18BBD9B3" w:rsidR="002D0C72" w:rsidRPr="00F11A3E" w:rsidRDefault="002D0C72" w:rsidP="00F11A3E">
            <w:pPr>
              <w:pStyle w:val="TableContents"/>
              <w:spacing w:line="276" w:lineRule="auto"/>
              <w:rPr>
                <w:rFonts w:ascii="Times New Roman" w:hAnsi="Times New Roman" w:cs="Times New Roman"/>
              </w:rPr>
            </w:pPr>
            <w:r w:rsidRPr="00F11A3E">
              <w:rPr>
                <w:rFonts w:ascii="Times New Roman" w:hAnsi="Times New Roman" w:cs="Times New Roman"/>
              </w:rPr>
              <w:t>(fraction)</w:t>
            </w:r>
          </w:p>
        </w:tc>
        <w:tc>
          <w:tcPr>
            <w:tcW w:w="1545" w:type="dxa"/>
          </w:tcPr>
          <w:p w14:paraId="79E2CC5A" w14:textId="335B5BDF"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 xml:space="preserve">Non-squamous: </w:t>
            </w:r>
            <w:r w:rsidRPr="00F11A3E">
              <w:rPr>
                <w:rFonts w:ascii="Times New Roman" w:hAnsi="Times New Roman" w:cs="Times New Roman"/>
              </w:rPr>
              <w:fldChar w:fldCharType="begin" w:fldLock="1"/>
            </w:r>
            <w:r w:rsidR="00935C50" w:rsidRPr="00F11A3E">
              <w:rPr>
                <w:rFonts w:ascii="Times New Roman" w:hAnsi="Times New Roman" w:cs="Times New Roman"/>
              </w:rPr>
              <w:instrText>ADDIN CSL_CITATION {"citationItems":[{"id":"ITEM-1","itemData":{"DOI":"10.1016/j.lungcan.2018.05.006","ISSN":"18728332","PMID":"29858031","abstract":"Objectives: Biological predisposition for specific metastatic organs might differ between molecular subgroups of lung cancer. We aimed to assess the association between molecular status and metastatic organs at diagnosis in a nationwide stage IV non-squamous non-small cell lung cancer ((ns)-NSCLC) cohort. Methods: All ns-NSCLC from 2013 that were stage IV at diagnosis were identified from the Netherlands Cancer Registry, which records information on metastatic organs at diagnosis. Tumors were matched to the Dutch Pathology Registry (PALGA) from which data on molecular status established in routine practice was extracted. Four molecular subgroups (EGFR+, KRAS+, ALK+, triple-negative) were identified. For each metastatic organ, proportions of tumors metastasized to this organ were, per molecular subgroup, compared to triple-negative tumors by multivariable logistic regression analyses (adjusted odds ratios (OR) with 95% confidence intervals (CI)), taking clinicopathological variables into account. Results: 160 EGFR+ (exon 19 del, exon 21 L858R), 784 KRAS+, 42 ALK+, and 1008 triple-negative tumors were identified. Most frequent metastatic organs were the bone (34%), pleura (24%), lung (23%), and brain (22%). Compared to triple-negatives, EGFR+ tumors had more often metastases to the bone (31.5 vs 53.8%; OR 2.55 (95% CI 1.80–3.62)) and pleura (24.1 vs 37.5%; OR 2.06 (1.42–2.98)), and less often to the brain (22.0 vs 12.5%; OR 0.53 (0.32–0.88)) and adrenal glands (19.1 vs 7.5%; OR 0.46 (0.28–0.75)). Compared to triple-negatives, KRAS+ and ALK+ tumors had at diagnosis metastasized more often to the lung (20.3 vs 26.7%; OR 1.40 (1.12–1.76)) and the liver (13.1 vs 23.8%; OR 2.07 (1.00–4.32)), respectively. Conclusion: NSCLC molecular status was associated with metastatic pattern at diagnosis. 54% of stage IV EGFR+ ns-NSCLC patients had bone metastases at diagnosis. These observational results are hypothesis generating, and call for a prospective study where EGFR+ patients are screened for bone metastases, and treated to prevent skeletal related events.","author":[{"dropping-particle":"","family":"Kuijpers","given":"C. C.H.J.","non-dropping-particle":"","parse-names":false,"suffix":""},{"dropping-particle":"","family":"Hendriks","given":"L. E.L.","non-dropping-particle":"","parse-names":false,"suffix":""},{"dropping-particle":"","family":"Derks","given":"J. L.","non-dropping-particle":"","parse-names":false,"suffix":""},{"dropping-particle":"","family":"Dingemans","given":"A. M.C.","non-dropping-particle":"","parse-names":false,"suffix":""},{"dropping-particle":"","family":"Lindert","given":"A. S.R.","non-dropping-particle":"van","parse-names":false,"suffix":""},{"dropping-particle":"","family":"Heuvel","given":"M. M.","non-dropping-particle":"van den","parse-names":false,"suffix":""},{"dropping-particle":"","family":"Damhuis","given":"R. A.","non-dropping-particle":"","parse-names":false,"suffix":""},{"dropping-particle":"","family":"Willems","given":"S. M.","non-dropping-particle":"","parse-names":false,"suffix":""}],"container-title":"Lung Cancer","id":"ITEM-1","issued":{"date-parts":[["2018","7","1"]]},"page":"76-81","publisher":"Elsevier Ireland Ltd","title":"Association of molecular status and metastatic organs at diagnosis in patients with stage IV non-squamous non-small cell lung cancer","type":"article-journal","volume":"121"},"uris":["http://www.mendeley.com/documents/?uuid=0ab89f58-d241-3cca-a4b2-e8677f77ceaa"]}],"mendeley":{"formattedCitation":"(6)","plainTextFormattedCitation":"(6)","previouslyFormattedCitation":"[6]"},"properties":{"noteIndex":0},"schema":"https://github.com/citation-style-language/schema/raw/master/csl-citation.json"}</w:instrText>
            </w:r>
            <w:r w:rsidRPr="00F11A3E">
              <w:rPr>
                <w:rFonts w:ascii="Times New Roman" w:hAnsi="Times New Roman" w:cs="Times New Roman"/>
              </w:rPr>
              <w:fldChar w:fldCharType="separate"/>
            </w:r>
            <w:r w:rsidR="00935C50" w:rsidRPr="00F11A3E">
              <w:rPr>
                <w:rFonts w:ascii="Times New Roman" w:hAnsi="Times New Roman" w:cs="Times New Roman"/>
                <w:noProof/>
              </w:rPr>
              <w:t>(6)</w:t>
            </w:r>
            <w:r w:rsidRPr="00F11A3E">
              <w:rPr>
                <w:rFonts w:ascii="Times New Roman" w:hAnsi="Times New Roman" w:cs="Times New Roman"/>
              </w:rPr>
              <w:fldChar w:fldCharType="end"/>
            </w:r>
          </w:p>
          <w:p w14:paraId="29EDA5F6" w14:textId="3264208D"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 xml:space="preserve">Squamous: </w:t>
            </w:r>
            <w:r w:rsidRPr="00F11A3E">
              <w:rPr>
                <w:rFonts w:ascii="Times New Roman" w:hAnsi="Times New Roman" w:cs="Times New Roman"/>
              </w:rPr>
              <w:fldChar w:fldCharType="begin" w:fldLock="1"/>
            </w:r>
            <w:r w:rsidR="00935C50" w:rsidRPr="00F11A3E">
              <w:rPr>
                <w:rFonts w:ascii="Times New Roman" w:hAnsi="Times New Roman" w:cs="Times New Roman"/>
              </w:rPr>
              <w:instrText>ADDIN CSL_CITATION {"citationItems":[{"id":"ITEM-1","itemData":{"DOI":"10.1371/journal.pone.0070346","ISSN":"19326203","PMID":"23922984","abstract":"Introduction:In randomly assigned studies with EGFR TKI only a minor proportion of patients with NSCLC have genetically profiled biopsies. Guidelines provide evidence to perform EGFR and KRAS mutation analysis in non-squamous NSCLC. We explored tumor biopsy quality offered for mutation testing, different mutations distribution, and outcome with EGFR TKI.Patient and Methods:Clinical data from 8 regional hospitals were studied for patient and tumor characteristics, treatment and overall survival. Biopsies sent to the central laboratory were evaluated for DNA quality and subsequently analyzed for mutations in exons 18-21 of EGFR and exon 2 of KRAS by bidirectional sequence analysis.Results:Tumors from 442 subsequent patients were analyzed. For 74 patients (17%) tumors were unsuitable for mutation analysis. Thirty-eight patients (10.9%) had EGFR mutations with 79% known activating mutations. One hundred eight patients (30%) had functional KRAS mutations. The mutation spectrum was comparable to the Cosmic database. Following treatment in the first or second line with EGFR TKI median overall survival for patients with EGFR (n = 14), KRAS (n = 14) mutations and wild type EGFR/KRAS (n = 31) was not reached, 20 and 9 months, respectively.Conclusion:One out of every 6 tumor samples was inadequate for mutation analysis. Patients with EGFR activating mutations treated with EGFR-TKI have the longest survival. © 2013 Kerner et al.","author":[{"dropping-particle":"","family":"Kerner","given":"Gerald S.M.A.","non-dropping-particle":"","parse-names":false,"suffix":""},{"dropping-particle":"","family":"Schuuring","given":"Ed","non-dropping-particle":"","parse-names":false,"suffix":""},{"dropping-particle":"","family":"Sietsma","given":"Johanna","non-dropping-particle":"","parse-names":false,"suffix":""},{"dropping-particle":"","family":"Hiltermann","given":"Thijo J.N.","non-dropping-particle":"","parse-names":false,"suffix":""},{"dropping-particle":"","family":"Pieterman","given":"Remge M.","non-dropping-particle":"","parse-names":false,"suffix":""},{"dropping-particle":"","family":"Leede","given":"Gerard P.J.","non-dropping-particle":"de","parse-names":false,"suffix":""},{"dropping-particle":"","family":"Putten","given":"John W.G.","non-dropping-particle":"van","parse-names":false,"suffix":""},{"dropping-particle":"","family":"Liesker","given":"Jeroen","non-dropping-particle":"","parse-names":false,"suffix":""},{"dropping-particle":"","family":"Renkema","given":"Tineke E.J.","non-dropping-particle":"","parse-names":false,"suffix":""},{"dropping-particle":"","family":"Hengel","given":"Peter","non-dropping-particle":"van","parse-names":false,"suffix":""},{"dropping-particle":"","family":"Platteel","given":"Inge","non-dropping-particle":"","parse-names":false,"suffix":""},{"dropping-particle":"","family":"Timens","given":"Wim","non-dropping-particle":"","parse-names":false,"suffix":""},{"dropping-particle":"","family":"Groen","given":"Harry J.M.","non-dropping-particle":"","parse-names":false,"suffix":""}],"container-title":"PLoS ONE","editor":[{"dropping-particle":"","family":"Batra","given":"Surinder K.","non-dropping-particle":"","parse-names":false,"suffix":""}],"id":"ITEM-1","issue":"7","issued":{"date-parts":[["2013","7","29"]]},"page":"e70346","publisher":"Public Library of Science","title":"Common and Rare EGFR and KRAS Mutations in a Dutch Non-Small-Cell Lung Cancer Population and Their Clinical Outcome","type":"article-journal","volume":"8"},"uris":["http://www.mendeley.com/documents/?uuid=11f7896a-2cd8-3326-b172-fd833c3387cb"]}],"mendeley":{"formattedCitation":"(7)","plainTextFormattedCitation":"(7)","previouslyFormattedCitation":"[7]"},"properties":{"noteIndex":0},"schema":"https://github.com/citation-style-language/schema/raw/master/csl-citation.json"}</w:instrText>
            </w:r>
            <w:r w:rsidRPr="00F11A3E">
              <w:rPr>
                <w:rFonts w:ascii="Times New Roman" w:hAnsi="Times New Roman" w:cs="Times New Roman"/>
              </w:rPr>
              <w:fldChar w:fldCharType="separate"/>
            </w:r>
            <w:r w:rsidR="00935C50" w:rsidRPr="00F11A3E">
              <w:rPr>
                <w:rFonts w:ascii="Times New Roman" w:hAnsi="Times New Roman" w:cs="Times New Roman"/>
                <w:noProof/>
              </w:rPr>
              <w:t>(7)</w:t>
            </w:r>
            <w:r w:rsidRPr="00F11A3E">
              <w:rPr>
                <w:rFonts w:ascii="Times New Roman" w:hAnsi="Times New Roman" w:cs="Times New Roman"/>
              </w:rPr>
              <w:fldChar w:fldCharType="end"/>
            </w:r>
          </w:p>
        </w:tc>
      </w:tr>
      <w:tr w:rsidR="00AC1495" w:rsidRPr="00F11A3E" w14:paraId="5D25AD0E" w14:textId="77777777" w:rsidTr="008C2BB2">
        <w:tc>
          <w:tcPr>
            <w:tcW w:w="1271" w:type="dxa"/>
            <w:vMerge/>
          </w:tcPr>
          <w:p w14:paraId="3F1AD8CB" w14:textId="6F005234" w:rsidR="002D0C72" w:rsidRPr="00F11A3E" w:rsidRDefault="002D0C72" w:rsidP="00F11A3E">
            <w:pPr>
              <w:pStyle w:val="Standard"/>
              <w:spacing w:line="276" w:lineRule="auto"/>
              <w:rPr>
                <w:rFonts w:ascii="Times New Roman" w:hAnsi="Times New Roman" w:cs="Times New Roman"/>
                <w:b/>
                <w:bCs/>
              </w:rPr>
            </w:pPr>
          </w:p>
        </w:tc>
        <w:tc>
          <w:tcPr>
            <w:tcW w:w="1418" w:type="dxa"/>
          </w:tcPr>
          <w:p w14:paraId="03FBBB1E" w14:textId="4A6E7FD1"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EGFR mutation prevalence</w:t>
            </w:r>
          </w:p>
        </w:tc>
        <w:tc>
          <w:tcPr>
            <w:tcW w:w="1559" w:type="dxa"/>
          </w:tcPr>
          <w:p w14:paraId="6B46196E" w14:textId="7B01B7AD"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Probability that patient harbors an EGFR mutation. EGFR mutations do not overlap with KRAS mutations.</w:t>
            </w:r>
          </w:p>
        </w:tc>
        <w:tc>
          <w:tcPr>
            <w:tcW w:w="3269" w:type="dxa"/>
          </w:tcPr>
          <w:p w14:paraId="3BD31D80" w14:textId="76CC3AA5" w:rsidR="002D0C72" w:rsidRPr="00F11A3E" w:rsidRDefault="002D0C72" w:rsidP="00F11A3E">
            <w:pPr>
              <w:pStyle w:val="TableContents"/>
              <w:spacing w:line="276" w:lineRule="auto"/>
              <w:rPr>
                <w:rFonts w:ascii="Times New Roman" w:hAnsi="Times New Roman" w:cs="Times New Roman"/>
              </w:rPr>
            </w:pPr>
            <w:r w:rsidRPr="00F11A3E">
              <w:rPr>
                <w:rFonts w:ascii="Times New Roman" w:hAnsi="Times New Roman" w:cs="Times New Roman"/>
              </w:rPr>
              <w:t xml:space="preserve">Non-squamous cell carcinoma: </w:t>
            </w:r>
            <w:r w:rsidR="006F7FD8" w:rsidRPr="00F11A3E">
              <w:rPr>
                <w:rFonts w:ascii="Times New Roman" w:hAnsi="Times New Roman" w:cs="Times New Roman"/>
              </w:rPr>
              <w:t>B</w:t>
            </w:r>
            <w:r w:rsidRPr="00F11A3E">
              <w:rPr>
                <w:rFonts w:ascii="Times New Roman" w:hAnsi="Times New Roman" w:cs="Times New Roman"/>
              </w:rPr>
              <w:t>eta(p = 218, q = 1834)</w:t>
            </w:r>
          </w:p>
          <w:p w14:paraId="46A88DB6" w14:textId="2BB70496" w:rsidR="002D0C72" w:rsidRPr="00F11A3E" w:rsidRDefault="002D0C72" w:rsidP="00F11A3E">
            <w:pPr>
              <w:pStyle w:val="TableContents"/>
              <w:spacing w:line="276" w:lineRule="auto"/>
              <w:rPr>
                <w:rFonts w:ascii="Times New Roman" w:hAnsi="Times New Roman" w:cs="Times New Roman"/>
              </w:rPr>
            </w:pPr>
            <w:r w:rsidRPr="00F11A3E">
              <w:rPr>
                <w:rFonts w:ascii="Times New Roman" w:hAnsi="Times New Roman" w:cs="Times New Roman"/>
              </w:rPr>
              <w:t xml:space="preserve">Squamous cell carcinoma: </w:t>
            </w:r>
            <w:r w:rsidR="00044546">
              <w:rPr>
                <w:rFonts w:ascii="Times New Roman" w:hAnsi="Times New Roman" w:cs="Times New Roman"/>
              </w:rPr>
              <w:t>B</w:t>
            </w:r>
            <w:r w:rsidRPr="00F11A3E">
              <w:rPr>
                <w:rFonts w:ascii="Times New Roman" w:hAnsi="Times New Roman" w:cs="Times New Roman"/>
              </w:rPr>
              <w:t xml:space="preserve">eta(p = 1, q = 28) </w:t>
            </w:r>
          </w:p>
          <w:p w14:paraId="7B4A7F41" w14:textId="136B3CB8" w:rsidR="002D0C72" w:rsidRPr="00F11A3E" w:rsidRDefault="002D0C72" w:rsidP="00F11A3E">
            <w:pPr>
              <w:pStyle w:val="TableContents"/>
              <w:spacing w:line="276" w:lineRule="auto"/>
              <w:rPr>
                <w:rFonts w:ascii="Times New Roman" w:hAnsi="Times New Roman" w:cs="Times New Roman"/>
              </w:rPr>
            </w:pPr>
            <w:r w:rsidRPr="00F11A3E">
              <w:rPr>
                <w:rFonts w:ascii="Times New Roman" w:hAnsi="Times New Roman" w:cs="Times New Roman"/>
              </w:rPr>
              <w:t>(fraction)</w:t>
            </w:r>
          </w:p>
        </w:tc>
        <w:tc>
          <w:tcPr>
            <w:tcW w:w="1545" w:type="dxa"/>
          </w:tcPr>
          <w:p w14:paraId="7A854282" w14:textId="0255100C"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 xml:space="preserve">Non-squamous: </w:t>
            </w:r>
            <w:r w:rsidRPr="00F11A3E">
              <w:rPr>
                <w:rFonts w:ascii="Times New Roman" w:hAnsi="Times New Roman" w:cs="Times New Roman"/>
              </w:rPr>
              <w:fldChar w:fldCharType="begin" w:fldLock="1"/>
            </w:r>
            <w:r w:rsidR="00935C50" w:rsidRPr="00F11A3E">
              <w:rPr>
                <w:rFonts w:ascii="Times New Roman" w:hAnsi="Times New Roman" w:cs="Times New Roman"/>
              </w:rPr>
              <w:instrText>ADDIN CSL_CITATION {"citationItems":[{"id":"ITEM-1","itemData":{"DOI":"10.1016/j.lungcan.2018.05.006","ISSN":"18728332","PMID":"29858031","abstract":"Objectives: Biological predisposition for specific metastatic organs might differ between molecular subgroups of lung cancer. We aimed to assess the association between molecular status and metastatic organs at diagnosis in a nationwide stage IV non-squamous non-small cell lung cancer ((ns)-NSCLC) cohort. Methods: All ns-NSCLC from 2013 that were stage IV at diagnosis were identified from the Netherlands Cancer Registry, which records information on metastatic organs at diagnosis. Tumors were matched to the Dutch Pathology Registry (PALGA) from which data on molecular status established in routine practice was extracted. Four molecular subgroups (EGFR+, KRAS+, ALK+, triple-negative) were identified. For each metastatic organ, proportions of tumors metastasized to this organ were, per molecular subgroup, compared to triple-negative tumors by multivariable logistic regression analyses (adjusted odds ratios (OR) with 95% confidence intervals (CI)), taking clinicopathological variables into account. Results: 160 EGFR+ (exon 19 del, exon 21 L858R), 784 KRAS+, 42 ALK+, and 1008 triple-negative tumors were identified. Most frequent metastatic organs were the bone (34%), pleura (24%), lung (23%), and brain (22%). Compared to triple-negatives, EGFR+ tumors had more often metastases to the bone (31.5 vs 53.8%; OR 2.55 (95% CI 1.80–3.62)) and pleura (24.1 vs 37.5%; OR 2.06 (1.42–2.98)), and less often to the brain (22.0 vs 12.5%; OR 0.53 (0.32–0.88)) and adrenal glands (19.1 vs 7.5%; OR 0.46 (0.28–0.75)). Compared to triple-negatives, KRAS+ and ALK+ tumors had at diagnosis metastasized more often to the lung (20.3 vs 26.7%; OR 1.40 (1.12–1.76)) and the liver (13.1 vs 23.8%; OR 2.07 (1.00–4.32)), respectively. Conclusion: NSCLC molecular status was associated with metastatic pattern at diagnosis. 54% of stage IV EGFR+ ns-NSCLC patients had bone metastases at diagnosis. These observational results are hypothesis generating, and call for a prospective study where EGFR+ patients are screened for bone metastases, and treated to prevent skeletal related events.","author":[{"dropping-particle":"","family":"Kuijpers","given":"C. C.H.J.","non-dropping-particle":"","parse-names":false,"suffix":""},{"dropping-particle":"","family":"Hendriks","given":"L. E.L.","non-dropping-particle":"","parse-names":false,"suffix":""},{"dropping-particle":"","family":"Derks","given":"J. L.","non-dropping-particle":"","parse-names":false,"suffix":""},{"dropping-particle":"","family":"Dingemans","given":"A. M.C.","non-dropping-particle":"","parse-names":false,"suffix":""},{"dropping-particle":"","family":"Lindert","given":"A. S.R.","non-dropping-particle":"van","parse-names":false,"suffix":""},{"dropping-particle":"","family":"Heuvel","given":"M. M.","non-dropping-particle":"van den","parse-names":false,"suffix":""},{"dropping-particle":"","family":"Damhuis","given":"R. A.","non-dropping-particle":"","parse-names":false,"suffix":""},{"dropping-particle":"","family":"Willems","given":"S. M.","non-dropping-particle":"","parse-names":false,"suffix":""}],"container-title":"Lung Cancer","id":"ITEM-1","issued":{"date-parts":[["2018","7","1"]]},"page":"76-81","publisher":"Elsevier Ireland Ltd","title":"Association of molecular status and metastatic organs at diagnosis in patients with stage IV non-squamous non-small cell lung cancer","type":"article-journal","volume":"121"},"uris":["http://www.mendeley.com/documents/?uuid=0ab89f58-d241-3cca-a4b2-e8677f77ceaa"]}],"mendeley":{"formattedCitation":"(6)","plainTextFormattedCitation":"(6)","previouslyFormattedCitation":"[6]"},"properties":{"noteIndex":0},"schema":"https://github.com/citation-style-language/schema/raw/master/csl-citation.json"}</w:instrText>
            </w:r>
            <w:r w:rsidRPr="00F11A3E">
              <w:rPr>
                <w:rFonts w:ascii="Times New Roman" w:hAnsi="Times New Roman" w:cs="Times New Roman"/>
              </w:rPr>
              <w:fldChar w:fldCharType="separate"/>
            </w:r>
            <w:r w:rsidR="00935C50" w:rsidRPr="00F11A3E">
              <w:rPr>
                <w:rFonts w:ascii="Times New Roman" w:hAnsi="Times New Roman" w:cs="Times New Roman"/>
                <w:noProof/>
              </w:rPr>
              <w:t>(6)</w:t>
            </w:r>
            <w:r w:rsidRPr="00F11A3E">
              <w:rPr>
                <w:rFonts w:ascii="Times New Roman" w:hAnsi="Times New Roman" w:cs="Times New Roman"/>
              </w:rPr>
              <w:fldChar w:fldCharType="end"/>
            </w:r>
          </w:p>
          <w:p w14:paraId="7400C8D6" w14:textId="43A8E3E0"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 xml:space="preserve">Squamous: </w:t>
            </w:r>
            <w:r w:rsidRPr="00F11A3E">
              <w:rPr>
                <w:rFonts w:ascii="Times New Roman" w:hAnsi="Times New Roman" w:cs="Times New Roman"/>
              </w:rPr>
              <w:fldChar w:fldCharType="begin" w:fldLock="1"/>
            </w:r>
            <w:r w:rsidR="00935C50" w:rsidRPr="00F11A3E">
              <w:rPr>
                <w:rFonts w:ascii="Times New Roman" w:hAnsi="Times New Roman" w:cs="Times New Roman"/>
              </w:rPr>
              <w:instrText>ADDIN CSL_CITATION {"citationItems":[{"id":"ITEM-1","itemData":{"DOI":"10.1371/journal.pone.0070346","ISSN":"19326203","PMID":"23922984","abstract":"Introduction:In randomly assigned studies with EGFR TKI only a minor proportion of patients with NSCLC have genetically profiled biopsies. Guidelines provide evidence to perform EGFR and KRAS mutation analysis in non-squamous NSCLC. We explored tumor biopsy quality offered for mutation testing, different mutations distribution, and outcome with EGFR TKI.Patient and Methods:Clinical data from 8 regional hospitals were studied for patient and tumor characteristics, treatment and overall survival. Biopsies sent to the central laboratory were evaluated for DNA quality and subsequently analyzed for mutations in exons 18-21 of EGFR and exon 2 of KRAS by bidirectional sequence analysis.Results:Tumors from 442 subsequent patients were analyzed. For 74 patients (17%) tumors were unsuitable for mutation analysis. Thirty-eight patients (10.9%) had EGFR mutations with 79% known activating mutations. One hundred eight patients (30%) had functional KRAS mutations. The mutation spectrum was comparable to the Cosmic database. Following treatment in the first or second line with EGFR TKI median overall survival for patients with EGFR (n = 14), KRAS (n = 14) mutations and wild type EGFR/KRAS (n = 31) was not reached, 20 and 9 months, respectively.Conclusion:One out of every 6 tumor samples was inadequate for mutation analysis. Patients with EGFR activating mutations treated with EGFR-TKI have the longest survival. © 2013 Kerner et al.","author":[{"dropping-particle":"","family":"Kerner","given":"Gerald S.M.A.","non-dropping-particle":"","parse-names":false,"suffix":""},{"dropping-particle":"","family":"Schuuring","given":"Ed","non-dropping-particle":"","parse-names":false,"suffix":""},{"dropping-particle":"","family":"Sietsma","given":"Johanna","non-dropping-particle":"","parse-names":false,"suffix":""},{"dropping-particle":"","family":"Hiltermann","given":"Thijo J.N.","non-dropping-particle":"","parse-names":false,"suffix":""},{"dropping-particle":"","family":"Pieterman","given":"Remge M.","non-dropping-particle":"","parse-names":false,"suffix":""},{"dropping-particle":"","family":"Leede","given":"Gerard P.J.","non-dropping-particle":"de","parse-names":false,"suffix":""},{"dropping-particle":"","family":"Putten","given":"John W.G.","non-dropping-particle":"van","parse-names":false,"suffix":""},{"dropping-particle":"","family":"Liesker","given":"Jeroen","non-dropping-particle":"","parse-names":false,"suffix":""},{"dropping-particle":"","family":"Renkema","given":"Tineke E.J.","non-dropping-particle":"","parse-names":false,"suffix":""},{"dropping-particle":"","family":"Hengel","given":"Peter","non-dropping-particle":"van","parse-names":false,"suffix":""},{"dropping-particle":"","family":"Platteel","given":"Inge","non-dropping-particle":"","parse-names":false,"suffix":""},{"dropping-particle":"","family":"Timens","given":"Wim","non-dropping-particle":"","parse-names":false,"suffix":""},{"dropping-particle":"","family":"Groen","given":"Harry J.M.","non-dropping-particle":"","parse-names":false,"suffix":""}],"container-title":"PLoS ONE","editor":[{"dropping-particle":"","family":"Batra","given":"Surinder K.","non-dropping-particle":"","parse-names":false,"suffix":""}],"id":"ITEM-1","issue":"7","issued":{"date-parts":[["2013","7","29"]]},"page":"e70346","publisher":"Public Library of Science","title":"Common and Rare EGFR and KRAS Mutations in a Dutch Non-Small-Cell Lung Cancer Population and Their Clinical Outcome","type":"article-journal","volume":"8"},"uris":["http://www.mendeley.com/documents/?uuid=11f7896a-2cd8-3326-b172-fd833c3387cb"]}],"mendeley":{"formattedCitation":"(7)","plainTextFormattedCitation":"(7)","previouslyFormattedCitation":"[7]"},"properties":{"noteIndex":0},"schema":"https://github.com/citation-style-language/schema/raw/master/csl-citation.json"}</w:instrText>
            </w:r>
            <w:r w:rsidRPr="00F11A3E">
              <w:rPr>
                <w:rFonts w:ascii="Times New Roman" w:hAnsi="Times New Roman" w:cs="Times New Roman"/>
              </w:rPr>
              <w:fldChar w:fldCharType="separate"/>
            </w:r>
            <w:r w:rsidR="00935C50" w:rsidRPr="00F11A3E">
              <w:rPr>
                <w:rFonts w:ascii="Times New Roman" w:hAnsi="Times New Roman" w:cs="Times New Roman"/>
                <w:noProof/>
              </w:rPr>
              <w:t>(7)</w:t>
            </w:r>
            <w:r w:rsidRPr="00F11A3E">
              <w:rPr>
                <w:rFonts w:ascii="Times New Roman" w:hAnsi="Times New Roman" w:cs="Times New Roman"/>
              </w:rPr>
              <w:fldChar w:fldCharType="end"/>
            </w:r>
          </w:p>
        </w:tc>
      </w:tr>
      <w:tr w:rsidR="00AC1495" w:rsidRPr="00F11A3E" w14:paraId="63028FF7" w14:textId="77777777" w:rsidTr="008C2BB2">
        <w:tc>
          <w:tcPr>
            <w:tcW w:w="1271" w:type="dxa"/>
            <w:vMerge/>
          </w:tcPr>
          <w:p w14:paraId="74C5F937" w14:textId="77777777" w:rsidR="002D0C72" w:rsidRPr="00F11A3E" w:rsidRDefault="002D0C72" w:rsidP="00F11A3E">
            <w:pPr>
              <w:pStyle w:val="Standard"/>
              <w:spacing w:line="276" w:lineRule="auto"/>
              <w:rPr>
                <w:rFonts w:ascii="Times New Roman" w:hAnsi="Times New Roman" w:cs="Times New Roman"/>
              </w:rPr>
            </w:pPr>
          </w:p>
        </w:tc>
        <w:tc>
          <w:tcPr>
            <w:tcW w:w="1418" w:type="dxa"/>
          </w:tcPr>
          <w:p w14:paraId="69F6ADA3" w14:textId="74BA4898"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ALK rearrangement prevalence</w:t>
            </w:r>
          </w:p>
        </w:tc>
        <w:tc>
          <w:tcPr>
            <w:tcW w:w="1559" w:type="dxa"/>
          </w:tcPr>
          <w:p w14:paraId="37702D64" w14:textId="297FF006"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Probability that patient harbors an ALK rearrangement</w:t>
            </w:r>
          </w:p>
        </w:tc>
        <w:tc>
          <w:tcPr>
            <w:tcW w:w="3269" w:type="dxa"/>
          </w:tcPr>
          <w:p w14:paraId="658A33BC" w14:textId="79D4C488" w:rsidR="002D0C72" w:rsidRPr="00F11A3E" w:rsidRDefault="002D0C72" w:rsidP="00F11A3E">
            <w:pPr>
              <w:pStyle w:val="TableContents"/>
              <w:spacing w:line="276" w:lineRule="auto"/>
              <w:rPr>
                <w:rFonts w:ascii="Times New Roman" w:hAnsi="Times New Roman" w:cs="Times New Roman"/>
              </w:rPr>
            </w:pPr>
            <w:r w:rsidRPr="00F11A3E">
              <w:rPr>
                <w:rFonts w:ascii="Times New Roman" w:hAnsi="Times New Roman" w:cs="Times New Roman"/>
              </w:rPr>
              <w:t>Beta(p = 238, q = 7538) (fraction)</w:t>
            </w:r>
          </w:p>
        </w:tc>
        <w:tc>
          <w:tcPr>
            <w:tcW w:w="1545" w:type="dxa"/>
          </w:tcPr>
          <w:p w14:paraId="01EFAE68" w14:textId="32A311D0"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fldChar w:fldCharType="begin" w:fldLock="1"/>
            </w:r>
            <w:r w:rsidR="00935C50" w:rsidRPr="00F11A3E">
              <w:rPr>
                <w:rFonts w:ascii="Times New Roman" w:hAnsi="Times New Roman" w:cs="Times New Roman"/>
              </w:rPr>
              <w:instrText>ADDIN CSL_CITATION {"citationItems":[{"id":"ITEM-1","itemData":{"ISSN":"18728332","abstract":"Objectives:: Tumor programmed death ligand 1 (PD-L1) expression is associated with improved clinical benefit from immunotherapies targeting the PD-1 pathway. We conducted a global, multicenter, retrospective observational study to determine real-world prevalence of tumor PD-L1 expression in patients with NSCLC. Materials and methods:: Patients ≥18 years with histologically confirmed stage IIIB/IV NSCLC and a tumor tissue block (≤5 years old) obtained before treatment were identified in 45 centers across 18 countries. Tumor samples from eligible patients were selected consecutively, when possible. PD-L1 expression was evaluated at each center using the PD-L1 IHC 22C3 pharmDx kit (Agilent, Santa Clara, CA, USA). Results:: Of 2617 patients who met inclusion criteria, 2368 (90%) had PD-L1 data; 530 (22%) patients had PD-L1 TPS ≥ 50%, 1232 (52%) had PD-L1 TPS ≥ 1%, and 1136 (48%) had PD-L1 TPS &lt; 1%. The most common reason for not having PD-L1 data (n = 249) was insufficient tumor cells (&lt;100) on the slide (n = 170 [6%]). Percentages of patients with PD-L1 TPS ≥ 50% and TPS ≥ 1%, respectively were: 22%/52% in Europe; 22%/53% in Asia Pacific; 21%/47% in the Americas, and 24%/55% in other countries. Prevalence of EGFR mutations (19%) and ALK alterations (3%) was consistent with prior reports from metastatic NSCLC studies. Among 1064 patients negative for both EGFR mutation and ALK alteration, the percentage with PD-L1 TPS ≥ 50% and TPS ≥ 1%, respectively, were 27% and 53%. Conclusions:: This is the largest real-world study in advanced NSCLC to date evaluating PD-L1 tumor expression using the 22C3 pharmDx kit. Testing failure rate was low with local evaluation of PD-L1 TPS across a large number of centers. Prevalence of PD-L1 TPS ≥ 50% and TPS ≥ 1% among patients with stage IIIB/IV NSCLC was similar across geographic regions and broadly consistent with central testing results from clinical trial screening populations.","author":[{"dropping-particle":"","family":"Dietel","given":"M.","non-dropping-particle":"","parse-names":false,"suffix":""},{"dropping-particle":"","family":"Savelov","given":"N.","non-dropping-particle":"","parse-names":false,"suffix":""},{"dropping-particle":"","family":"Salanova","given":"R.","non-dropping-particle":"","parse-names":false,"suffix":""},{"dropping-particle":"","family":"Micke","given":"P.","non-dropping-particle":"","parse-names":false,"suffix":""},{"dropping-particle":"","family":"Bigras","given":"G.","non-dropping-particle":"","parse-names":false,"suffix":""},{"dropping-particle":"","family":"Hida","given":"T.","non-dropping-particle":"","parse-names":false,"suffix":""},{"dropping-particle":"","family":"Antunez","given":"J.","non-dropping-particle":"","parse-names":false,"suffix":""},{"dropping-particle":"","family":"Guldhammer Skov","given":"B.","non-dropping-particle":"","parse-names":false,"suffix":""},{"dropping-particle":"","family":"Hutarew","given":"G.","non-dropping-particle":"","parse-names":false,"suffix":""},{"dropping-particle":"","family":"Sua","given":"L. F.","non-dropping-particle":"","parse-names":false,"suffix":""},{"dropping-particle":"","family":"Akita","given":"H.","non-dropping-particle":"","parse-names":false,"suffix":""},{"dropping-particle":"","family":"Chan","given":"O. S.H.","non-dropping-particle":"","parse-names":false,"suffix":""},{"dropping-particle":"","family":"Piperdi","given":"B.","non-dropping-particle":"","parse-names":false,"suffix":""},{"dropping-particle":"","family":"Burke","given":"T.","non-dropping-particle":"","parse-names":false,"suffix":""},{"dropping-particle":"","family":"Khambata-Ford","given":"S.","non-dropping-particle":"","parse-names":false,"suffix":""},{"dropping-particle":"","family":"Deitz","given":"A. C.","non-dropping-particle":"","parse-names":false,"suffix":""}],"container-title":"Lung Cancer","id":"ITEM-1","issue":"February","issued":{"date-parts":[["2019"]]},"page":"174-179","publisher":"Elsevier","title":"Real-world prevalence of programmed death ligand 1 expression in locally advanced or metastatic non–small-cell lung cancer: The global, multicenter EXPRESS study","type":"article-journal","volume":"134"},"uris":["http://www.mendeley.com/documents/?uuid=8691ee19-d5b8-48d1-bbe5-d1b1edc99adb"]}],"mendeley":{"formattedCitation":"(8)","plainTextFormattedCitation":"(8)","previouslyFormattedCitation":"[8]"},"properties":{"noteIndex":0},"schema":"https://github.com/citation-style-language/schema/raw/master/csl-citation.json"}</w:instrText>
            </w:r>
            <w:r w:rsidRPr="00F11A3E">
              <w:rPr>
                <w:rFonts w:ascii="Times New Roman" w:hAnsi="Times New Roman" w:cs="Times New Roman"/>
              </w:rPr>
              <w:fldChar w:fldCharType="separate"/>
            </w:r>
            <w:r w:rsidR="00935C50" w:rsidRPr="00F11A3E">
              <w:rPr>
                <w:rFonts w:ascii="Times New Roman" w:hAnsi="Times New Roman" w:cs="Times New Roman"/>
                <w:noProof/>
              </w:rPr>
              <w:t>(8)</w:t>
            </w:r>
            <w:r w:rsidRPr="00F11A3E">
              <w:rPr>
                <w:rFonts w:ascii="Times New Roman" w:hAnsi="Times New Roman" w:cs="Times New Roman"/>
              </w:rPr>
              <w:fldChar w:fldCharType="end"/>
            </w:r>
          </w:p>
        </w:tc>
      </w:tr>
      <w:tr w:rsidR="00AC1495" w:rsidRPr="00F11A3E" w14:paraId="1C2DAF64" w14:textId="77777777" w:rsidTr="008C2BB2">
        <w:tc>
          <w:tcPr>
            <w:tcW w:w="1271" w:type="dxa"/>
            <w:vMerge/>
          </w:tcPr>
          <w:p w14:paraId="41030E9F" w14:textId="77777777" w:rsidR="002D0C72" w:rsidRPr="00F11A3E" w:rsidRDefault="002D0C72" w:rsidP="00F11A3E">
            <w:pPr>
              <w:pStyle w:val="Standard"/>
              <w:spacing w:line="276" w:lineRule="auto"/>
              <w:rPr>
                <w:rFonts w:ascii="Times New Roman" w:hAnsi="Times New Roman" w:cs="Times New Roman"/>
              </w:rPr>
            </w:pPr>
          </w:p>
        </w:tc>
        <w:tc>
          <w:tcPr>
            <w:tcW w:w="1418" w:type="dxa"/>
          </w:tcPr>
          <w:p w14:paraId="2D54B152" w14:textId="0766343A"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ROS1 rearrangement prevalence</w:t>
            </w:r>
          </w:p>
        </w:tc>
        <w:tc>
          <w:tcPr>
            <w:tcW w:w="1559" w:type="dxa"/>
          </w:tcPr>
          <w:p w14:paraId="25235C2D" w14:textId="76EE4505"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Probability that patient harbors a ROS1 rearrangement</w:t>
            </w:r>
          </w:p>
        </w:tc>
        <w:tc>
          <w:tcPr>
            <w:tcW w:w="3269" w:type="dxa"/>
          </w:tcPr>
          <w:p w14:paraId="5893E577" w14:textId="64A5A53F" w:rsidR="002D0C72" w:rsidRPr="00F11A3E" w:rsidRDefault="002D0C72" w:rsidP="00F11A3E">
            <w:pPr>
              <w:pStyle w:val="TableContents"/>
              <w:spacing w:line="276" w:lineRule="auto"/>
              <w:rPr>
                <w:rFonts w:ascii="Times New Roman" w:hAnsi="Times New Roman" w:cs="Times New Roman"/>
              </w:rPr>
            </w:pPr>
            <w:r w:rsidRPr="00F11A3E">
              <w:rPr>
                <w:rFonts w:ascii="Times New Roman" w:hAnsi="Times New Roman" w:cs="Times New Roman"/>
              </w:rPr>
              <w:t>Beta(p = 7, q = 530) (fraction)</w:t>
            </w:r>
          </w:p>
        </w:tc>
        <w:tc>
          <w:tcPr>
            <w:tcW w:w="1545" w:type="dxa"/>
          </w:tcPr>
          <w:p w14:paraId="3CD6EC22" w14:textId="690CD273"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fldChar w:fldCharType="begin" w:fldLock="1"/>
            </w:r>
            <w:r w:rsidR="00935C50" w:rsidRPr="00F11A3E">
              <w:rPr>
                <w:rFonts w:ascii="Times New Roman" w:hAnsi="Times New Roman" w:cs="Times New Roman"/>
              </w:rPr>
              <w:instrText>ADDIN CSL_CITATION {"citationItems":[{"id":"ITEM-1","itemData":{"DOI":"10.1016/j.lungcan.2018.01.002","ISSN":"18728332","abstract":"Introduction Although a growing list of essential genomic/immune-based biomarkers are linked to approved non-small-cell lung cancer (NSCLC) therapies worldwide, few reports have detailed the evolution of NSCLC predictive biomarker assessment in routine clinical practice. Methods We retrospectively reviewed the first one thousand plus NSCLC patient specimens from our institution analyzed for predictive biomarkers from 2004 to 2017 and evaluated patterns of testing as well as correlation with clinical-pathologic characteristics. Results The majority of 1009 NSCLC patients had advanced stages of adenocarcinoma with most tissues obtained from the lung, mediastinal/hilar nodes, or pleura. The majority of testing was performed on cytology or small biopsy specimens. All were tested for EGFR mutations, 895 for ALK rearrangement, 841 for KRAS mutation, 537 for ROS1 rearrangement, and 179 using comprehensive genomic profiling. Implementation of near-universal genomic biomarker testing at our institution for EGFR, ALK, ROS1 and PD-L1 all occurred within the first year following evidence of clinical activity or regulatory body approval of an associated inhibitor. The overall testing failure rate after use of the best specimen for the most common tests was ≤5.5%. A quarter of tumors had a driver oncogene identified (EGFR/ALK/ROS1/BRAF V600E) with an approved oral targeted therapy, with the highest prevalence in those patients with no or light (≤15 pack-years) history of tobacco use. Conclusions Tumor biomarker testing using clinical NSCLC specimens in routine oncologic care evolves rapidly following approval of targeted therapies linked to diagnostic assays. Our practice's decade plus experience highlights the rapid evolution of biomarker testing and confirms the therapeutic relevance of such testing in all patients—particularly those patients with light/no history of tobacco use.","author":[{"dropping-particle":"","family":"VanderLaan","given":"Paul A.","non-dropping-particle":"","parse-names":false,"suffix":""},{"dropping-particle":"","family":"Rangachari","given":"Deepa","non-dropping-particle":"","parse-names":false,"suffix":""},{"dropping-particle":"","family":"Majid","given":"Adnan","non-dropping-particle":"","parse-names":false,"suffix":""},{"dropping-particle":"","family":"Parikh","given":"Mihir S.","non-dropping-particle":"","parse-names":false,"suffix":""},{"dropping-particle":"","family":"Gangadharan","given":"Sidharta P.","non-dropping-particle":"","parse-names":false,"suffix":""},{"dropping-particle":"","family":"Kent","given":"Michael S.","non-dropping-particle":"","parse-names":false,"suffix":""},{"dropping-particle":"","family":"McDonald","given":"Danielle C.","non-dropping-particle":"","parse-names":false,"suffix":""},{"dropping-particle":"","family":"Huberman","given":"Mark S.","non-dropping-particle":"","parse-names":false,"suffix":""},{"dropping-particle":"","family":"Kobayashi","given":"Susumu S.","non-dropping-particle":"","parse-names":false,"suffix":""},{"dropping-particle":"","family":"Costa","given":"Daniel B.","non-dropping-particle":"","parse-names":false,"suffix":""}],"container-title":"Lung Cancer","id":"ITEM-1","issue":"December 2017","issued":{"date-parts":[["2018"]]},"page":"90-95","publisher":"Elsevier","title":"Tumor biomarker testing in non-small-cell lung cancer: A decade of change","type":"article-journal","volume":"116"},"uris":["http://www.mendeley.com/documents/?uuid=2a617aaf-4da0-48fe-96b7-083a389396e2"]}],"mendeley":{"formattedCitation":"(9)","plainTextFormattedCitation":"(9)","previouslyFormattedCitation":"[9]"},"properties":{"noteIndex":0},"schema":"https://github.com/citation-style-language/schema/raw/master/csl-citation.json"}</w:instrText>
            </w:r>
            <w:r w:rsidRPr="00F11A3E">
              <w:rPr>
                <w:rFonts w:ascii="Times New Roman" w:hAnsi="Times New Roman" w:cs="Times New Roman"/>
              </w:rPr>
              <w:fldChar w:fldCharType="separate"/>
            </w:r>
            <w:r w:rsidR="00935C50" w:rsidRPr="00F11A3E">
              <w:rPr>
                <w:rFonts w:ascii="Times New Roman" w:hAnsi="Times New Roman" w:cs="Times New Roman"/>
                <w:noProof/>
              </w:rPr>
              <w:t>(9)</w:t>
            </w:r>
            <w:r w:rsidRPr="00F11A3E">
              <w:rPr>
                <w:rFonts w:ascii="Times New Roman" w:hAnsi="Times New Roman" w:cs="Times New Roman"/>
              </w:rPr>
              <w:fldChar w:fldCharType="end"/>
            </w:r>
          </w:p>
        </w:tc>
      </w:tr>
      <w:tr w:rsidR="00AC1495" w:rsidRPr="00F11A3E" w14:paraId="0D0AA883" w14:textId="77777777" w:rsidTr="008C2BB2">
        <w:tc>
          <w:tcPr>
            <w:tcW w:w="1271" w:type="dxa"/>
            <w:vMerge/>
          </w:tcPr>
          <w:p w14:paraId="4691DD81" w14:textId="77777777" w:rsidR="002D0C72" w:rsidRPr="00F11A3E" w:rsidRDefault="002D0C72" w:rsidP="00F11A3E">
            <w:pPr>
              <w:pStyle w:val="Standard"/>
              <w:spacing w:line="276" w:lineRule="auto"/>
              <w:rPr>
                <w:rFonts w:ascii="Times New Roman" w:hAnsi="Times New Roman" w:cs="Times New Roman"/>
              </w:rPr>
            </w:pPr>
          </w:p>
        </w:tc>
        <w:tc>
          <w:tcPr>
            <w:tcW w:w="1418" w:type="dxa"/>
          </w:tcPr>
          <w:p w14:paraId="64EB6531" w14:textId="11E62CAE"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BRAF mutation prevalence</w:t>
            </w:r>
          </w:p>
        </w:tc>
        <w:tc>
          <w:tcPr>
            <w:tcW w:w="1559" w:type="dxa"/>
          </w:tcPr>
          <w:p w14:paraId="35960602" w14:textId="464CBC8B"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Probability that patient harbors a BRAF mutation</w:t>
            </w:r>
          </w:p>
        </w:tc>
        <w:tc>
          <w:tcPr>
            <w:tcW w:w="3269" w:type="dxa"/>
          </w:tcPr>
          <w:p w14:paraId="57714235" w14:textId="2EBB0D9F" w:rsidR="002D0C72" w:rsidRPr="00F11A3E" w:rsidRDefault="002D0C72" w:rsidP="00F11A3E">
            <w:pPr>
              <w:pStyle w:val="TableContents"/>
              <w:spacing w:line="276" w:lineRule="auto"/>
              <w:rPr>
                <w:rFonts w:ascii="Times New Roman" w:hAnsi="Times New Roman" w:cs="Times New Roman"/>
              </w:rPr>
            </w:pPr>
            <w:r w:rsidRPr="00F11A3E">
              <w:rPr>
                <w:rFonts w:ascii="Times New Roman" w:hAnsi="Times New Roman" w:cs="Times New Roman"/>
              </w:rPr>
              <w:t>Beta(p = 143, q = 7633) (fraction)</w:t>
            </w:r>
          </w:p>
        </w:tc>
        <w:tc>
          <w:tcPr>
            <w:tcW w:w="1545" w:type="dxa"/>
          </w:tcPr>
          <w:p w14:paraId="2F05D009" w14:textId="195D89B7"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fldChar w:fldCharType="begin" w:fldLock="1"/>
            </w:r>
            <w:r w:rsidR="00935C50" w:rsidRPr="00F11A3E">
              <w:rPr>
                <w:rFonts w:ascii="Times New Roman" w:hAnsi="Times New Roman" w:cs="Times New Roman"/>
              </w:rPr>
              <w:instrText>ADDIN CSL_CITATION {"citationItems":[{"id":"ITEM-1","itemData":{"ISSN":"18728332","abstract":"Objectives:: Tumor programmed death ligand 1 (PD-L1) expression is associated with improved clinical benefit from immunotherapies targeting the PD-1 pathway. We conducted a global, multicenter, retrospective observational study to determine real-world prevalence of tumor PD-L1 expression in patients with NSCLC. Materials and methods:: Patients ≥18 years with histologically confirmed stage IIIB/IV NSCLC and a tumor tissue block (≤5 years old) obtained before treatment were identified in 45 centers across 18 countries. Tumor samples from eligible patients were selected consecutively, when possible. PD-L1 expression was evaluated at each center using the PD-L1 IHC 22C3 pharmDx kit (Agilent, Santa Clara, CA, USA). Results:: Of 2617 patients who met inclusion criteria, 2368 (90%) had PD-L1 data; 530 (22%) patients had PD-L1 TPS ≥ 50%, 1232 (52%) had PD-L1 TPS ≥ 1%, and 1136 (48%) had PD-L1 TPS &lt; 1%. The most common reason for not having PD-L1 data (n = 249) was insufficient tumor cells (&lt;100) on the slide (n = 170 [6%]). Percentages of patients with PD-L1 TPS ≥ 50% and TPS ≥ 1%, respectively were: 22%/52% in Europe; 22%/53% in Asia Pacific; 21%/47% in the Americas, and 24%/55% in other countries. Prevalence of EGFR mutations (19%) and ALK alterations (3%) was consistent with prior reports from metastatic NSCLC studies. Among 1064 patients negative for both EGFR mutation and ALK alteration, the percentage with PD-L1 TPS ≥ 50% and TPS ≥ 1%, respectively, were 27% and 53%. Conclusions:: This is the largest real-world study in advanced NSCLC to date evaluating PD-L1 tumor expression using the 22C3 pharmDx kit. Testing failure rate was low with local evaluation of PD-L1 TPS across a large number of centers. Prevalence of PD-L1 TPS ≥ 50% and TPS ≥ 1% among patients with stage IIIB/IV NSCLC was similar across geographic regions and broadly consistent with central testing results from clinical trial screening populations.","author":[{"dropping-particle":"","family":"Dietel","given":"M.","non-dropping-particle":"","parse-names":false,"suffix":""},{"dropping-particle":"","family":"Savelov","given":"N.","non-dropping-particle":"","parse-names":false,"suffix":""},{"dropping-particle":"","family":"Salanova","given":"R.","non-dropping-particle":"","parse-names":false,"suffix":""},{"dropping-particle":"","family":"Micke","given":"P.","non-dropping-particle":"","parse-names":false,"suffix":""},{"dropping-particle":"","family":"Bigras","given":"G.","non-dropping-particle":"","parse-names":false,"suffix":""},{"dropping-particle":"","family":"Hida","given":"T.","non-dropping-particle":"","parse-names":false,"suffix":""},{"dropping-particle":"","family":"Antunez","given":"J.","non-dropping-particle":"","parse-names":false,"suffix":""},{"dropping-particle":"","family":"Guldhammer Skov","given":"B.","non-dropping-particle":"","parse-names":false,"suffix":""},{"dropping-particle":"","family":"Hutarew","given":"G.","non-dropping-particle":"","parse-names":false,"suffix":""},{"dropping-particle":"","family":"Sua","given":"L. F.","non-dropping-particle":"","parse-names":false,"suffix":""},{"dropping-particle":"","family":"Akita","given":"H.","non-dropping-particle":"","parse-names":false,"suffix":""},{"dropping-particle":"","family":"Chan","given":"O. S.H.","non-dropping-particle":"","parse-names":false,"suffix":""},{"dropping-particle":"","family":"Piperdi","given":"B.","non-dropping-particle":"","parse-names":false,"suffix":""},{"dropping-particle":"","family":"Burke","given":"T.","non-dropping-particle":"","parse-names":false,"suffix":""},{"dropping-particle":"","family":"Khambata-Ford","given":"S.","non-dropping-particle":"","parse-names":false,"suffix":""},{"dropping-particle":"","family":"Deitz","given":"A. C.","non-dropping-particle":"","parse-names":false,"suffix":""}],"container-title":"Lung Cancer","id":"ITEM-1","issue":"February","issued":{"date-parts":[["2019"]]},"page":"174-179","publisher":"Elsevier","title":"Real-world prevalence of programmed death ligand 1 expression in locally advanced or metastatic non–small-cell lung cancer: The global, multicenter EXPRESS study","type":"article-journal","volume":"134"},"uris":["http://www.mendeley.com/documents/?uuid=8691ee19-d5b8-48d1-bbe5-d1b1edc99adb"]}],"mendeley":{"formattedCitation":"(8)","plainTextFormattedCitation":"(8)","previouslyFormattedCitation":"[8]"},"properties":{"noteIndex":0},"schema":"https://github.com/citation-style-language/schema/raw/master/csl-citation.json"}</w:instrText>
            </w:r>
            <w:r w:rsidRPr="00F11A3E">
              <w:rPr>
                <w:rFonts w:ascii="Times New Roman" w:hAnsi="Times New Roman" w:cs="Times New Roman"/>
              </w:rPr>
              <w:fldChar w:fldCharType="separate"/>
            </w:r>
            <w:r w:rsidR="00935C50" w:rsidRPr="00F11A3E">
              <w:rPr>
                <w:rFonts w:ascii="Times New Roman" w:hAnsi="Times New Roman" w:cs="Times New Roman"/>
                <w:noProof/>
              </w:rPr>
              <w:t>(8)</w:t>
            </w:r>
            <w:r w:rsidRPr="00F11A3E">
              <w:rPr>
                <w:rFonts w:ascii="Times New Roman" w:hAnsi="Times New Roman" w:cs="Times New Roman"/>
              </w:rPr>
              <w:fldChar w:fldCharType="end"/>
            </w:r>
          </w:p>
        </w:tc>
      </w:tr>
      <w:tr w:rsidR="00AC1495" w:rsidRPr="00F11A3E" w14:paraId="3A99A14C" w14:textId="77777777" w:rsidTr="008C2BB2">
        <w:tc>
          <w:tcPr>
            <w:tcW w:w="1271" w:type="dxa"/>
            <w:vMerge/>
          </w:tcPr>
          <w:p w14:paraId="385714D0" w14:textId="77777777" w:rsidR="002D0C72" w:rsidRPr="00F11A3E" w:rsidRDefault="002D0C72" w:rsidP="00F11A3E">
            <w:pPr>
              <w:pStyle w:val="Standard"/>
              <w:spacing w:line="276" w:lineRule="auto"/>
              <w:rPr>
                <w:rFonts w:ascii="Times New Roman" w:hAnsi="Times New Roman" w:cs="Times New Roman"/>
              </w:rPr>
            </w:pPr>
          </w:p>
        </w:tc>
        <w:tc>
          <w:tcPr>
            <w:tcW w:w="1418" w:type="dxa"/>
          </w:tcPr>
          <w:p w14:paraId="7FC64AF9" w14:textId="5664D869"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MET mutation prevalence</w:t>
            </w:r>
          </w:p>
        </w:tc>
        <w:tc>
          <w:tcPr>
            <w:tcW w:w="1559" w:type="dxa"/>
          </w:tcPr>
          <w:p w14:paraId="7537235F" w14:textId="75CF1420"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Probability that patient harbors a MET mutation</w:t>
            </w:r>
          </w:p>
        </w:tc>
        <w:tc>
          <w:tcPr>
            <w:tcW w:w="3269" w:type="dxa"/>
          </w:tcPr>
          <w:p w14:paraId="5F54E986" w14:textId="2444039E" w:rsidR="002D0C72" w:rsidRPr="00F11A3E" w:rsidRDefault="002D0C72" w:rsidP="00F11A3E">
            <w:pPr>
              <w:pStyle w:val="TableContents"/>
              <w:spacing w:line="276" w:lineRule="auto"/>
              <w:rPr>
                <w:rFonts w:ascii="Times New Roman" w:hAnsi="Times New Roman" w:cs="Times New Roman"/>
              </w:rPr>
            </w:pPr>
            <w:r w:rsidRPr="00F11A3E">
              <w:rPr>
                <w:rFonts w:ascii="Times New Roman" w:hAnsi="Times New Roman" w:cs="Times New Roman"/>
              </w:rPr>
              <w:t>0.04 (fraction)</w:t>
            </w:r>
          </w:p>
        </w:tc>
        <w:tc>
          <w:tcPr>
            <w:tcW w:w="1545" w:type="dxa"/>
          </w:tcPr>
          <w:p w14:paraId="578F96D0" w14:textId="56661AC8"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fldChar w:fldCharType="begin" w:fldLock="1"/>
            </w:r>
            <w:r w:rsidR="00935C50" w:rsidRPr="00F11A3E">
              <w:rPr>
                <w:rFonts w:ascii="Times New Roman" w:hAnsi="Times New Roman" w:cs="Times New Roman"/>
              </w:rPr>
              <w:instrText>ADDIN CSL_CITATION {"citationItems":[{"id":"ITEM-1","itemData":{"ISSN":"1474547X","abstract":"Lung cancer is the most frequent cause of cancer-related deaths worldwide. Every year, 1·8 million people are diagnosed with lung cancer, and 1·6 million people die as a result of the disease. 5-year survival rates vary from 4–17% depending on stage and regional differences. In this Seminar, we discuss existing treatment for patients with lung cancer and the promise of precision medicine, with special emphasis on new targeted therapies. Some subgroups, eg—patients with poor performance status and elderly patients—are not specifically addressed, because these groups require special treatment considerations and no frameworks have been established in terms of new targeted therapies. We discuss prevention and early detection of lung cancer with an emphasis on lung cancer screening. Although we acknowledge the importance of smoking prevention and cessation, this is a large topic beyond the scope of this Seminar.","author":[{"dropping-particle":"","family":"Hirsch","given":"Fred R.","non-dropping-particle":"","parse-names":false,"suffix":""},{"dropping-particle":"V.","family":"Scagliotti","given":"Giorgio","non-dropping-particle":"","parse-names":false,"suffix":""},{"dropping-particle":"","family":"Mulshine","given":"James L.","non-dropping-particle":"","parse-names":false,"suffix":""},{"dropping-particle":"","family":"Kwon","given":"Regina","non-dropping-particle":"","parse-names":false,"suffix":""},{"dropping-particle":"","family":"Curran","given":"Walter J.","non-dropping-particle":"","parse-names":false,"suffix":""},{"dropping-particle":"","family":"Wu","given":"Yi Long","non-dropping-particle":"","parse-names":false,"suffix":""},{"dropping-particle":"","family":"Paz-Ares","given":"Luis","non-dropping-particle":"","parse-names":false,"suffix":""}],"container-title":"The Lancet","id":"ITEM-1","issue":"10066","issued":{"date-parts":[["2017"]]},"page":"299-311","publisher":"Elsevier Ltd","title":"Lung cancer: current therapies and new targeted treatments","type":"article-journal","volume":"389"},"uris":["http://www.mendeley.com/documents/?uuid=a561b876-3c06-4bec-bcec-6926fb923789"]}],"mendeley":{"formattedCitation":"(10)","plainTextFormattedCitation":"(10)","previouslyFormattedCitation":"[10]"},"properties":{"noteIndex":0},"schema":"https://github.com/citation-style-language/schema/raw/master/csl-citation.json"}</w:instrText>
            </w:r>
            <w:r w:rsidRPr="00F11A3E">
              <w:rPr>
                <w:rFonts w:ascii="Times New Roman" w:hAnsi="Times New Roman" w:cs="Times New Roman"/>
              </w:rPr>
              <w:fldChar w:fldCharType="separate"/>
            </w:r>
            <w:r w:rsidR="00935C50" w:rsidRPr="00F11A3E">
              <w:rPr>
                <w:rFonts w:ascii="Times New Roman" w:hAnsi="Times New Roman" w:cs="Times New Roman"/>
                <w:noProof/>
              </w:rPr>
              <w:t>(10)</w:t>
            </w:r>
            <w:r w:rsidRPr="00F11A3E">
              <w:rPr>
                <w:rFonts w:ascii="Times New Roman" w:hAnsi="Times New Roman" w:cs="Times New Roman"/>
              </w:rPr>
              <w:fldChar w:fldCharType="end"/>
            </w:r>
          </w:p>
        </w:tc>
      </w:tr>
      <w:tr w:rsidR="00AC1495" w:rsidRPr="00F11A3E" w14:paraId="4954E430" w14:textId="77777777" w:rsidTr="008C2BB2">
        <w:tc>
          <w:tcPr>
            <w:tcW w:w="1271" w:type="dxa"/>
            <w:vMerge/>
          </w:tcPr>
          <w:p w14:paraId="692B63C5" w14:textId="77777777" w:rsidR="002D0C72" w:rsidRPr="00F11A3E" w:rsidRDefault="002D0C72" w:rsidP="00F11A3E">
            <w:pPr>
              <w:pStyle w:val="Standard"/>
              <w:spacing w:line="276" w:lineRule="auto"/>
              <w:rPr>
                <w:rFonts w:ascii="Times New Roman" w:hAnsi="Times New Roman" w:cs="Times New Roman"/>
              </w:rPr>
            </w:pPr>
          </w:p>
        </w:tc>
        <w:tc>
          <w:tcPr>
            <w:tcW w:w="1418" w:type="dxa"/>
          </w:tcPr>
          <w:p w14:paraId="409F793F" w14:textId="4B4B1226"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RET rearrangement prevalence</w:t>
            </w:r>
          </w:p>
        </w:tc>
        <w:tc>
          <w:tcPr>
            <w:tcW w:w="1559" w:type="dxa"/>
          </w:tcPr>
          <w:p w14:paraId="40FB4951" w14:textId="1A0419B1"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Probability that patient harbors a RET rearrangement</w:t>
            </w:r>
          </w:p>
        </w:tc>
        <w:tc>
          <w:tcPr>
            <w:tcW w:w="3269" w:type="dxa"/>
          </w:tcPr>
          <w:p w14:paraId="033883B1" w14:textId="62D7D36E" w:rsidR="002D0C72" w:rsidRPr="00F11A3E" w:rsidRDefault="002D0C72" w:rsidP="00F11A3E">
            <w:pPr>
              <w:pStyle w:val="TableContents"/>
              <w:spacing w:line="276" w:lineRule="auto"/>
              <w:rPr>
                <w:rFonts w:ascii="Times New Roman" w:hAnsi="Times New Roman" w:cs="Times New Roman"/>
              </w:rPr>
            </w:pPr>
            <w:r w:rsidRPr="00F11A3E">
              <w:rPr>
                <w:rFonts w:ascii="Times New Roman" w:hAnsi="Times New Roman" w:cs="Times New Roman"/>
              </w:rPr>
              <w:t>Beta(p = 22, q = 975) (fraction)</w:t>
            </w:r>
          </w:p>
        </w:tc>
        <w:tc>
          <w:tcPr>
            <w:tcW w:w="1545" w:type="dxa"/>
          </w:tcPr>
          <w:p w14:paraId="2A20D9EB" w14:textId="70868BC5"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fldChar w:fldCharType="begin" w:fldLock="1"/>
            </w:r>
            <w:r w:rsidR="00935C50" w:rsidRPr="00F11A3E">
              <w:rPr>
                <w:rFonts w:ascii="Times New Roman" w:hAnsi="Times New Roman" w:cs="Times New Roman"/>
              </w:rPr>
              <w:instrText>ADDIN CSL_CITATION {"citationItems":[{"id":"ITEM-1","itemData":{"DOI":"10.1016/j.jtho.2015.09.016","ISSN":"15561380","PMID":"26762747","abstract":"Introduction: Rearrangements of RET are rare oncogenic events in patients with non-small cell lung cancer (NSCLC). While the characterization of Asian patients suggests a predominance of nonsmokers of young age in this genetically defined lung cancer subgroup, little is known about the characteristics of non-Asian patients. We present the results of an analysis of a European cohort of patients with RET rearranged NSCLC. Methods: Nine hundred ninety-seven patients with KRAS/EGFR/ALK wildtype lung adenocarcinomas were analyzed using fluorescence in situ hybridization for RET fusions. Tumor specimens were molecularly profiled and clinicopathological characteristics of the patients were collected. Results: Rearrangements of RET were identified in 22 patients, with a prevalence of 2.2% in the KRAS/EGFR/ALK wildtype subgroup. Co-occurring genetic aberrations were detected in 10 patients, and the majority had mutations in TP53. The median age at diagnosis was 62 years (range, 39-80 years; mean ± SD, 61 ± 11.7 years) with a higher proportion of men (59% versus 41%). There was only a slight predominance of nonsmokers (54.5%) compared to current or former smokers (45.5%). Conclusions: Patients with RET rearranged adenocarcinomas represent a rare and heterogeneous NSCLC subgroup. In some contrast to published data, we see a high prevalence of current and former smokers in our white RET cohort. The significance of co-occurring aberrations, so far, is unclear.","author":[{"dropping-particle":"","family":"Michels","given":"Sebastian","non-dropping-particle":"","parse-names":false,"suffix":""},{"dropping-particle":"","family":"Scheel","given":"Andreas Hans","non-dropping-particle":"","parse-names":false,"suffix":""},{"dropping-particle":"","family":"Scheffler","given":"Matthias","non-dropping-particle":"","parse-names":false,"suffix":""},{"dropping-particle":"","family":"Schultheis","given":"Anne Maria","non-dropping-particle":"","parse-names":false,"suffix":""},{"dropping-particle":"","family":"Gautschi","given":"Oliver","non-dropping-particle":"","parse-names":false,"suffix":""},{"dropping-particle":"","family":"Aebersold","given":"Franziska","non-dropping-particle":"","parse-names":false,"suffix":""},{"dropping-particle":"","family":"Diebold","given":"Joachim","non-dropping-particle":"","parse-names":false,"suffix":""},{"dropping-particle":"","family":"Pall","given":"Georg","non-dropping-particle":"","parse-names":false,"suffix":""},{"dropping-particle":"","family":"Rothschild","given":"Sacha","non-dropping-particle":"","parse-names":false,"suffix":""},{"dropping-particle":"","family":"Bubendorf","given":"Lukas","non-dropping-particle":"","parse-names":false,"suffix":""},{"dropping-particle":"","family":"Hartmann","given":"Wolfgang","non-dropping-particle":"","parse-names":false,"suffix":""},{"dropping-particle":"","family":"Heukamp","given":"Lukas","non-dropping-particle":"","parse-names":false,"suffix":""},{"dropping-particle":"","family":"Schildhaus","given":"Hans Ulrich","non-dropping-particle":"","parse-names":false,"suffix":""},{"dropping-particle":"","family":"Fassunke","given":"Jana","non-dropping-particle":"","parse-names":false,"suffix":""},{"dropping-particle":"","family":"Ihle","given":"Michaela Angelika","non-dropping-particle":"","parse-names":false,"suffix":""},{"dropping-particle":"","family":"Künstlinger","given":"Helen","non-dropping-particle":"","parse-names":false,"suffix":""},{"dropping-particle":"","family":"Heydt","given":"Carina","non-dropping-particle":"","parse-names":false,"suffix":""},{"dropping-particle":"","family":"Fischer","given":"Rieke","non-dropping-particle":"","parse-names":false,"suffix":""},{"dropping-particle":"","family":"Nogovà","given":"Lucia","non-dropping-particle":"","parse-names":false,"suffix":""},{"dropping-particle":"","family":"Mattonet","given":"Christian","non-dropping-particle":"","parse-names":false,"suffix":""},{"dropping-particle":"","family":"Hein","given":"Rebecca","non-dropping-particle":"","parse-names":false,"suffix":""},{"dropping-particle":"","family":"Adams","given":"Anne","non-dropping-particle":"","parse-names":false,"suffix":""},{"dropping-particle":"","family":"Gerigk","given":"Ulrich","non-dropping-particle":"","parse-names":false,"suffix":""},{"dropping-particle":"","family":"Schulte","given":"Wolfgang","non-dropping-particle":"","parse-names":false,"suffix":""},{"dropping-particle":"","family":"Lüders","given":"Heike","non-dropping-particle":"","parse-names":false,"suffix":""},{"dropping-particle":"","family":"Grohé","given":"Christian","non-dropping-particle":"","parse-names":false,"suffix":""},{"dropping-particle":"","family":"Graeven","given":"Ullrich","non-dropping-particle":"","parse-names":false,"suffix":""},{"dropping-particle":"","family":"Müller-Naendrup","given":"Clemens","non-dropping-particle":"","parse-names":false,"suffix":""},{"dropping-particle":"","family":"Draube","given":"Andreas","non-dropping-particle":"","parse-names":false,"suffix":""},{"dropping-particle":"","family":"Kambartel","given":"Karl Otto","non-dropping-particle":"","parse-names":false,"suffix":""},{"dropping-particle":"","family":"Krüger","given":"Stefan","non-dropping-particle":"","parse-names":false,"suffix":""},{"dropping-particle":"","family":"Schulze-Olden","given":"Susanne","non-dropping-particle":"","parse-names":false,"suffix":""},{"dropping-particle":"","family":"Serke","given":"Monika","non-dropping-particle":"","parse-names":false,"suffix":""},{"dropping-particle":"","family":"Engel-Riedel","given":"Walburga","non-dropping-particle":"","parse-names":false,"suffix":""},{"dropping-particle":"","family":"Kaminsky","given":"Britta","non-dropping-particle":"","parse-names":false,"suffix":""},{"dropping-particle":"","family":"Randerath","given":"Winfried","non-dropping-particle":"","parse-names":false,"suffix":""},{"dropping-particle":"","family":"Merkelbach-Bruse","given":"Sabine","non-dropping-particle":"","parse-names":false,"suffix":""},{"dropping-particle":"","family":"Büttner","given":"Reinhard","non-dropping-particle":"","parse-names":false,"suffix":""},{"dropping-particle":"","family":"Wolf","given":"Jürgen","non-dropping-particle":"","parse-names":false,"suffix":""}],"container-title":"Journal of Thoracic Oncology","id":"ITEM-1","issue":"1","issued":{"date-parts":[["2016","1","1"]]},"page":"122-127","publisher":"Lippincott Williams and Wilkins","title":"Clinicopathological characteristics of RET rearranged lung cancer in European patients","type":"article-journal","volume":"11"},"uris":["http://www.mendeley.com/documents/?uuid=5ea6efbd-5747-3da3-bcc0-6fb8576d5090"]}],"mendeley":{"formattedCitation":"(11)","plainTextFormattedCitation":"(11)","previouslyFormattedCitation":"[11]"},"properties":{"noteIndex":0},"schema":"https://github.com/citation-style-language/schema/raw/master/csl-citation.json"}</w:instrText>
            </w:r>
            <w:r w:rsidRPr="00F11A3E">
              <w:rPr>
                <w:rFonts w:ascii="Times New Roman" w:hAnsi="Times New Roman" w:cs="Times New Roman"/>
              </w:rPr>
              <w:fldChar w:fldCharType="separate"/>
            </w:r>
            <w:r w:rsidR="00935C50" w:rsidRPr="00F11A3E">
              <w:rPr>
                <w:rFonts w:ascii="Times New Roman" w:hAnsi="Times New Roman" w:cs="Times New Roman"/>
                <w:noProof/>
              </w:rPr>
              <w:t>(11)</w:t>
            </w:r>
            <w:r w:rsidRPr="00F11A3E">
              <w:rPr>
                <w:rFonts w:ascii="Times New Roman" w:hAnsi="Times New Roman" w:cs="Times New Roman"/>
              </w:rPr>
              <w:fldChar w:fldCharType="end"/>
            </w:r>
          </w:p>
        </w:tc>
      </w:tr>
      <w:tr w:rsidR="00AC1495" w:rsidRPr="00F11A3E" w14:paraId="65ED60A9" w14:textId="77777777" w:rsidTr="008C2BB2">
        <w:tc>
          <w:tcPr>
            <w:tcW w:w="1271" w:type="dxa"/>
            <w:vMerge/>
          </w:tcPr>
          <w:p w14:paraId="49A95BA0" w14:textId="77777777" w:rsidR="002D0C72" w:rsidRPr="00F11A3E" w:rsidRDefault="002D0C72" w:rsidP="00F11A3E">
            <w:pPr>
              <w:pStyle w:val="Standard"/>
              <w:spacing w:line="276" w:lineRule="auto"/>
              <w:rPr>
                <w:rFonts w:ascii="Times New Roman" w:hAnsi="Times New Roman" w:cs="Times New Roman"/>
              </w:rPr>
            </w:pPr>
          </w:p>
        </w:tc>
        <w:tc>
          <w:tcPr>
            <w:tcW w:w="1418" w:type="dxa"/>
          </w:tcPr>
          <w:p w14:paraId="012CEC56" w14:textId="4E427AC6"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HER2 mutation prevalence</w:t>
            </w:r>
          </w:p>
        </w:tc>
        <w:tc>
          <w:tcPr>
            <w:tcW w:w="1559" w:type="dxa"/>
          </w:tcPr>
          <w:p w14:paraId="33733F3D" w14:textId="676CCB54"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Probability that patient harbors a HER2 mutation</w:t>
            </w:r>
          </w:p>
        </w:tc>
        <w:tc>
          <w:tcPr>
            <w:tcW w:w="3269" w:type="dxa"/>
          </w:tcPr>
          <w:p w14:paraId="674DD024" w14:textId="310E7ABB" w:rsidR="002D0C72" w:rsidRPr="00F11A3E" w:rsidRDefault="002D0C72" w:rsidP="00F11A3E">
            <w:pPr>
              <w:pStyle w:val="TableContents"/>
              <w:spacing w:line="276" w:lineRule="auto"/>
              <w:rPr>
                <w:rFonts w:ascii="Times New Roman" w:hAnsi="Times New Roman" w:cs="Times New Roman"/>
              </w:rPr>
            </w:pPr>
            <w:r w:rsidRPr="00F11A3E">
              <w:rPr>
                <w:rFonts w:ascii="Times New Roman" w:hAnsi="Times New Roman" w:cs="Times New Roman"/>
              </w:rPr>
              <w:t>Beta(p = 64, q = 7712) (fraction)</w:t>
            </w:r>
          </w:p>
        </w:tc>
        <w:tc>
          <w:tcPr>
            <w:tcW w:w="1545" w:type="dxa"/>
          </w:tcPr>
          <w:p w14:paraId="2F36D746" w14:textId="42C39F77"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fldChar w:fldCharType="begin" w:fldLock="1"/>
            </w:r>
            <w:r w:rsidR="00935C50" w:rsidRPr="00F11A3E">
              <w:rPr>
                <w:rFonts w:ascii="Times New Roman" w:hAnsi="Times New Roman" w:cs="Times New Roman"/>
              </w:rPr>
              <w:instrText>ADDIN CSL_CITATION {"citationItems":[{"id":"ITEM-1","itemData":{"ISSN":"18728332","abstract":"Objectives:: Tumor programmed death ligand 1 (PD-L1) expression is associated with improved clinical benefit from immunotherapies targeting the PD-1 pathway. We conducted a global, multicenter, retrospective observational study to determine real-world prevalence of tumor PD-L1 expression in patients with NSCLC. Materials and methods:: Patients ≥18 years with histologically confirmed stage IIIB/IV NSCLC and a tumor tissue block (≤5 years old) obtained before treatment were identified in 45 centers across 18 countries. Tumor samples from eligible patients were selected consecutively, when possible. PD-L1 expression was evaluated at each center using the PD-L1 IHC 22C3 pharmDx kit (Agilent, Santa Clara, CA, USA). Results:: Of 2617 patients who met inclusion criteria, 2368 (90%) had PD-L1 data; 530 (22%) patients had PD-L1 TPS ≥ 50%, 1232 (52%) had PD-L1 TPS ≥ 1%, and 1136 (48%) had PD-L1 TPS &lt; 1%. The most common reason for not having PD-L1 data (n = 249) was insufficient tumor cells (&lt;100) on the slide (n = 170 [6%]). Percentages of patients with PD-L1 TPS ≥ 50% and TPS ≥ 1%, respectively were: 22%/52% in Europe; 22%/53% in Asia Pacific; 21%/47% in the Americas, and 24%/55% in other countries. Prevalence of EGFR mutations (19%) and ALK alterations (3%) was consistent with prior reports from metastatic NSCLC studies. Among 1064 patients negative for both EGFR mutation and ALK alteration, the percentage with PD-L1 TPS ≥ 50% and TPS ≥ 1%, respectively, were 27% and 53%. Conclusions:: This is the largest real-world study in advanced NSCLC to date evaluating PD-L1 tumor expression using the 22C3 pharmDx kit. Testing failure rate was low with local evaluation of PD-L1 TPS across a large number of centers. Prevalence of PD-L1 TPS ≥ 50% and TPS ≥ 1% among patients with stage IIIB/IV NSCLC was similar across geographic regions and broadly consistent with central testing results from clinical trial screening populations.","author":[{"dropping-particle":"","family":"Dietel","given":"M.","non-dropping-particle":"","parse-names":false,"suffix":""},{"dropping-particle":"","family":"Savelov","given":"N.","non-dropping-particle":"","parse-names":false,"suffix":""},{"dropping-particle":"","family":"Salanova","given":"R.","non-dropping-particle":"","parse-names":false,"suffix":""},{"dropping-particle":"","family":"Micke","given":"P.","non-dropping-particle":"","parse-names":false,"suffix":""},{"dropping-particle":"","family":"Bigras","given":"G.","non-dropping-particle":"","parse-names":false,"suffix":""},{"dropping-particle":"","family":"Hida","given":"T.","non-dropping-particle":"","parse-names":false,"suffix":""},{"dropping-particle":"","family":"Antunez","given":"J.","non-dropping-particle":"","parse-names":false,"suffix":""},{"dropping-particle":"","family":"Guldhammer Skov","given":"B.","non-dropping-particle":"","parse-names":false,"suffix":""},{"dropping-particle":"","family":"Hutarew","given":"G.","non-dropping-particle":"","parse-names":false,"suffix":""},{"dropping-particle":"","family":"Sua","given":"L. F.","non-dropping-particle":"","parse-names":false,"suffix":""},{"dropping-particle":"","family":"Akita","given":"H.","non-dropping-particle":"","parse-names":false,"suffix":""},{"dropping-particle":"","family":"Chan","given":"O. S.H.","non-dropping-particle":"","parse-names":false,"suffix":""},{"dropping-particle":"","family":"Piperdi","given":"B.","non-dropping-particle":"","parse-names":false,"suffix":""},{"dropping-particle":"","family":"Burke","given":"T.","non-dropping-particle":"","parse-names":false,"suffix":""},{"dropping-particle":"","family":"Khambata-Ford","given":"S.","non-dropping-particle":"","parse-names":false,"suffix":""},{"dropping-particle":"","family":"Deitz","given":"A. C.","non-dropping-particle":"","parse-names":false,"suffix":""}],"container-title":"Lung Cancer","id":"ITEM-1","issue":"February","issued":{"date-parts":[["2019"]]},"page":"174-179","publisher":"Elsevier","title":"Real-world prevalence of programmed death ligand 1 expression in locally advanced or metastatic non–small-cell lung cancer: The global, multicenter EXPRESS study","type":"article-journal","volume":"134"},"uris":["http://www.mendeley.com/documents/?uuid=8691ee19-d5b8-48d1-bbe5-d1b1edc99adb"]}],"mendeley":{"formattedCitation":"(8)","plainTextFormattedCitation":"(8)","previouslyFormattedCitation":"[8]"},"properties":{"noteIndex":0},"schema":"https://github.com/citation-style-language/schema/raw/master/csl-citation.json"}</w:instrText>
            </w:r>
            <w:r w:rsidRPr="00F11A3E">
              <w:rPr>
                <w:rFonts w:ascii="Times New Roman" w:hAnsi="Times New Roman" w:cs="Times New Roman"/>
              </w:rPr>
              <w:fldChar w:fldCharType="separate"/>
            </w:r>
            <w:r w:rsidR="00935C50" w:rsidRPr="00F11A3E">
              <w:rPr>
                <w:rFonts w:ascii="Times New Roman" w:hAnsi="Times New Roman" w:cs="Times New Roman"/>
                <w:noProof/>
              </w:rPr>
              <w:t>(8)</w:t>
            </w:r>
            <w:r w:rsidRPr="00F11A3E">
              <w:rPr>
                <w:rFonts w:ascii="Times New Roman" w:hAnsi="Times New Roman" w:cs="Times New Roman"/>
              </w:rPr>
              <w:fldChar w:fldCharType="end"/>
            </w:r>
          </w:p>
        </w:tc>
      </w:tr>
      <w:tr w:rsidR="00AC1495" w:rsidRPr="00F11A3E" w14:paraId="35B8C0EB" w14:textId="77777777" w:rsidTr="008C2BB2">
        <w:tc>
          <w:tcPr>
            <w:tcW w:w="1271" w:type="dxa"/>
            <w:vMerge/>
          </w:tcPr>
          <w:p w14:paraId="6AA7DCAF" w14:textId="77777777" w:rsidR="002D0C72" w:rsidRPr="00F11A3E" w:rsidRDefault="002D0C72" w:rsidP="00F11A3E">
            <w:pPr>
              <w:pStyle w:val="Standard"/>
              <w:spacing w:line="276" w:lineRule="auto"/>
              <w:rPr>
                <w:rFonts w:ascii="Times New Roman" w:hAnsi="Times New Roman" w:cs="Times New Roman"/>
              </w:rPr>
            </w:pPr>
          </w:p>
        </w:tc>
        <w:tc>
          <w:tcPr>
            <w:tcW w:w="1418" w:type="dxa"/>
          </w:tcPr>
          <w:p w14:paraId="44CA1B23" w14:textId="61D51246"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NTRK rearrangement prevalence</w:t>
            </w:r>
          </w:p>
        </w:tc>
        <w:tc>
          <w:tcPr>
            <w:tcW w:w="1559" w:type="dxa"/>
          </w:tcPr>
          <w:p w14:paraId="187FE755" w14:textId="462AFFEA"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Probability that patient harbors a NTRK rearrangement</w:t>
            </w:r>
          </w:p>
        </w:tc>
        <w:tc>
          <w:tcPr>
            <w:tcW w:w="3269" w:type="dxa"/>
          </w:tcPr>
          <w:p w14:paraId="7DDA64A4" w14:textId="138713A8" w:rsidR="002D0C72" w:rsidRPr="00F11A3E" w:rsidRDefault="002D0C72" w:rsidP="00F11A3E">
            <w:pPr>
              <w:pStyle w:val="TableContents"/>
              <w:spacing w:line="276" w:lineRule="auto"/>
              <w:rPr>
                <w:rFonts w:ascii="Times New Roman" w:hAnsi="Times New Roman" w:cs="Times New Roman"/>
              </w:rPr>
            </w:pPr>
            <w:r w:rsidRPr="00F11A3E">
              <w:rPr>
                <w:rFonts w:ascii="Times New Roman" w:hAnsi="Times New Roman" w:cs="Times New Roman"/>
              </w:rPr>
              <w:t>Uniform distribution(0.02, 0.03) (fraction)</w:t>
            </w:r>
          </w:p>
        </w:tc>
        <w:tc>
          <w:tcPr>
            <w:tcW w:w="1545" w:type="dxa"/>
          </w:tcPr>
          <w:p w14:paraId="3E53F3B2" w14:textId="46F06A74"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fldChar w:fldCharType="begin" w:fldLock="1"/>
            </w:r>
            <w:r w:rsidR="00935C50" w:rsidRPr="00F11A3E">
              <w:rPr>
                <w:rFonts w:ascii="Times New Roman" w:hAnsi="Times New Roman" w:cs="Times New Roman"/>
              </w:rPr>
              <w:instrText>ADDIN CSL_CITATION {"citationItems":[{"id":"ITEM-1","itemData":{"ISSN":"1474547X","abstract":"Lung cancer is the most frequent cause of cancer-related deaths worldwide. Every year, 1·8 million people are diagnosed with lung cancer, and 1·6 million people die as a result of the disease. 5-year survival rates vary from 4–17% depending on stage and regional differences. In this Seminar, we discuss existing treatment for patients with lung cancer and the promise of precision medicine, with special emphasis on new targeted therapies. Some subgroups, eg—patients with poor performance status and elderly patients—are not specifically addressed, because these groups require special treatment considerations and no frameworks have been established in terms of new targeted therapies. We discuss prevention and early detection of lung cancer with an emphasis on lung cancer screening. Although we acknowledge the importance of smoking prevention and cessation, this is a large topic beyond the scope of this Seminar.","author":[{"dropping-particle":"","family":"Hirsch","given":"Fred R.","non-dropping-particle":"","parse-names":false,"suffix":""},{"dropping-particle":"V.","family":"Scagliotti","given":"Giorgio","non-dropping-particle":"","parse-names":false,"suffix":""},{"dropping-particle":"","family":"Mulshine","given":"James L.","non-dropping-particle":"","parse-names":false,"suffix":""},{"dropping-particle":"","family":"Kwon","given":"Regina","non-dropping-particle":"","parse-names":false,"suffix":""},{"dropping-particle":"","family":"Curran","given":"Walter J.","non-dropping-particle":"","parse-names":false,"suffix":""},{"dropping-particle":"","family":"Wu","given":"Yi Long","non-dropping-particle":"","parse-names":false,"suffix":""},{"dropping-particle":"","family":"Paz-Ares","given":"Luis","non-dropping-particle":"","parse-names":false,"suffix":""}],"container-title":"The Lancet","id":"ITEM-1","issue":"10066","issued":{"date-parts":[["2017"]]},"page":"299-311","publisher":"Elsevier Ltd","title":"Lung cancer: current therapies and new targeted treatments","type":"article-journal","volume":"389"},"uris":["http://www.mendeley.com/documents/?uuid=a561b876-3c06-4bec-bcec-6926fb923789"]}],"mendeley":{"formattedCitation":"(10)","plainTextFormattedCitation":"(10)","previouslyFormattedCitation":"[10]"},"properties":{"noteIndex":0},"schema":"https://github.com/citation-style-language/schema/raw/master/csl-citation.json"}</w:instrText>
            </w:r>
            <w:r w:rsidRPr="00F11A3E">
              <w:rPr>
                <w:rFonts w:ascii="Times New Roman" w:hAnsi="Times New Roman" w:cs="Times New Roman"/>
              </w:rPr>
              <w:fldChar w:fldCharType="separate"/>
            </w:r>
            <w:r w:rsidR="00935C50" w:rsidRPr="00F11A3E">
              <w:rPr>
                <w:rFonts w:ascii="Times New Roman" w:hAnsi="Times New Roman" w:cs="Times New Roman"/>
                <w:noProof/>
              </w:rPr>
              <w:t>(10)</w:t>
            </w:r>
            <w:r w:rsidRPr="00F11A3E">
              <w:rPr>
                <w:rFonts w:ascii="Times New Roman" w:hAnsi="Times New Roman" w:cs="Times New Roman"/>
              </w:rPr>
              <w:fldChar w:fldCharType="end"/>
            </w:r>
          </w:p>
        </w:tc>
      </w:tr>
      <w:tr w:rsidR="00AC1495" w:rsidRPr="00F11A3E" w14:paraId="342A1696" w14:textId="77777777" w:rsidTr="008C2BB2">
        <w:tc>
          <w:tcPr>
            <w:tcW w:w="1271" w:type="dxa"/>
            <w:vMerge/>
          </w:tcPr>
          <w:p w14:paraId="5C3ECFE5" w14:textId="77777777" w:rsidR="002D0C72" w:rsidRPr="00F11A3E" w:rsidRDefault="002D0C72" w:rsidP="00F11A3E">
            <w:pPr>
              <w:pStyle w:val="Standard"/>
              <w:spacing w:line="276" w:lineRule="auto"/>
              <w:rPr>
                <w:rFonts w:ascii="Times New Roman" w:hAnsi="Times New Roman" w:cs="Times New Roman"/>
              </w:rPr>
            </w:pPr>
          </w:p>
        </w:tc>
        <w:tc>
          <w:tcPr>
            <w:tcW w:w="1418" w:type="dxa"/>
          </w:tcPr>
          <w:p w14:paraId="70BA5CE7" w14:textId="61CCAD07"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High PD-L1 expression level prevalence</w:t>
            </w:r>
          </w:p>
        </w:tc>
        <w:tc>
          <w:tcPr>
            <w:tcW w:w="1559" w:type="dxa"/>
          </w:tcPr>
          <w:p w14:paraId="388B0C85" w14:textId="0181CD05"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Probability that patient has a tumor proportion score (TPS) equal or greater than 50%</w:t>
            </w:r>
          </w:p>
        </w:tc>
        <w:tc>
          <w:tcPr>
            <w:tcW w:w="3269" w:type="dxa"/>
          </w:tcPr>
          <w:p w14:paraId="496C14DF" w14:textId="50E1874A" w:rsidR="002D0C72" w:rsidRPr="00F11A3E" w:rsidRDefault="002D0C72" w:rsidP="00F11A3E">
            <w:pPr>
              <w:pStyle w:val="TableContents"/>
              <w:spacing w:line="276" w:lineRule="auto"/>
              <w:rPr>
                <w:rFonts w:ascii="Times New Roman" w:hAnsi="Times New Roman" w:cs="Times New Roman"/>
              </w:rPr>
            </w:pPr>
            <w:r w:rsidRPr="00F11A3E">
              <w:rPr>
                <w:rFonts w:ascii="Times New Roman" w:hAnsi="Times New Roman" w:cs="Times New Roman"/>
              </w:rPr>
              <w:t>Beta(p = 181, q = 650) (fraction)</w:t>
            </w:r>
          </w:p>
        </w:tc>
        <w:tc>
          <w:tcPr>
            <w:tcW w:w="1545" w:type="dxa"/>
          </w:tcPr>
          <w:p w14:paraId="52697E96" w14:textId="5DF66AE6"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fldChar w:fldCharType="begin" w:fldLock="1"/>
            </w:r>
            <w:r w:rsidR="00935C50" w:rsidRPr="00F11A3E">
              <w:rPr>
                <w:rFonts w:ascii="Times New Roman" w:hAnsi="Times New Roman" w:cs="Times New Roman"/>
              </w:rPr>
              <w:instrText>ADDIN CSL_CITATION {"citationItems":[{"id":"ITEM-1","itemData":{"ISSN":"18728332","abstract":"Objectives:: Tumor programmed death ligand 1 (PD-L1) expression is associated with improved clinical benefit from immunotherapies targeting the PD-1 pathway. We conducted a global, multicenter, retrospective observational study to determine real-world prevalence of tumor PD-L1 expression in patients with NSCLC. Materials and methods:: Patients ≥18 years with histologically confirmed stage IIIB/IV NSCLC and a tumor tissue block (≤5 years old) obtained before treatment were identified in 45 centers across 18 countries. Tumor samples from eligible patients were selected consecutively, when possible. PD-L1 expression was evaluated at each center using the PD-L1 IHC 22C3 pharmDx kit (Agilent, Santa Clara, CA, USA). Results:: Of 2617 patients who met inclusion criteria, 2368 (90%) had PD-L1 data; 530 (22%) patients had PD-L1 TPS ≥ 50%, 1232 (52%) had PD-L1 TPS ≥ 1%, and 1136 (48%) had PD-L1 TPS &lt; 1%. The most common reason for not having PD-L1 data (n = 249) was insufficient tumor cells (&lt;100) on the slide (n = 170 [6%]). Percentages of patients with PD-L1 TPS ≥ 50% and TPS ≥ 1%, respectively were: 22%/52% in Europe; 22%/53% in Asia Pacific; 21%/47% in the Americas, and 24%/55% in other countries. Prevalence of EGFR mutations (19%) and ALK alterations (3%) was consistent with prior reports from metastatic NSCLC studies. Among 1064 patients negative for both EGFR mutation and ALK alteration, the percentage with PD-L1 TPS ≥ 50% and TPS ≥ 1%, respectively, were 27% and 53%. Conclusions:: This is the largest real-world study in advanced NSCLC to date evaluating PD-L1 tumor expression using the 22C3 pharmDx kit. Testing failure rate was low with local evaluation of PD-L1 TPS across a large number of centers. Prevalence of PD-L1 TPS ≥ 50% and TPS ≥ 1% among patients with stage IIIB/IV NSCLC was similar across geographic regions and broadly consistent with central testing results from clinical trial screening populations.","author":[{"dropping-particle":"","family":"Dietel","given":"M.","non-dropping-particle":"","parse-names":false,"suffix":""},{"dropping-particle":"","family":"Savelov","given":"N.","non-dropping-particle":"","parse-names":false,"suffix":""},{"dropping-particle":"","family":"Salanova","given":"R.","non-dropping-particle":"","parse-names":false,"suffix":""},{"dropping-particle":"","family":"Micke","given":"P.","non-dropping-particle":"","parse-names":false,"suffix":""},{"dropping-particle":"","family":"Bigras","given":"G.","non-dropping-particle":"","parse-names":false,"suffix":""},{"dropping-particle":"","family":"Hida","given":"T.","non-dropping-particle":"","parse-names":false,"suffix":""},{"dropping-particle":"","family":"Antunez","given":"J.","non-dropping-particle":"","parse-names":false,"suffix":""},{"dropping-particle":"","family":"Guldhammer Skov","given":"B.","non-dropping-particle":"","parse-names":false,"suffix":""},{"dropping-particle":"","family":"Hutarew","given":"G.","non-dropping-particle":"","parse-names":false,"suffix":""},{"dropping-particle":"","family":"Sua","given":"L. F.","non-dropping-particle":"","parse-names":false,"suffix":""},{"dropping-particle":"","family":"Akita","given":"H.","non-dropping-particle":"","parse-names":false,"suffix":""},{"dropping-particle":"","family":"Chan","given":"O. S.H.","non-dropping-particle":"","parse-names":false,"suffix":""},{"dropping-particle":"","family":"Piperdi","given":"B.","non-dropping-particle":"","parse-names":false,"suffix":""},{"dropping-particle":"","family":"Burke","given":"T.","non-dropping-particle":"","parse-names":false,"suffix":""},{"dropping-particle":"","family":"Khambata-Ford","given":"S.","non-dropping-particle":"","parse-names":false,"suffix":""},{"dropping-particle":"","family":"Deitz","given":"A. C.","non-dropping-particle":"","parse-names":false,"suffix":""}],"container-title":"Lung Cancer","id":"ITEM-1","issue":"February","issued":{"date-parts":[["2019"]]},"page":"174-179","publisher":"Elsevier","title":"Real-world prevalence of programmed death ligand 1 expression in locally advanced or metastatic non–small-cell lung cancer: The global, multicenter EXPRESS study","type":"article-journal","volume":"134"},"uris":["http://www.mendeley.com/documents/?uuid=8691ee19-d5b8-48d1-bbe5-d1b1edc99adb"]}],"mendeley":{"formattedCitation":"(8)","plainTextFormattedCitation":"(8)","previouslyFormattedCitation":"[8]"},"properties":{"noteIndex":0},"schema":"https://github.com/citation-style-language/schema/raw/master/csl-citation.json"}</w:instrText>
            </w:r>
            <w:r w:rsidRPr="00F11A3E">
              <w:rPr>
                <w:rFonts w:ascii="Times New Roman" w:hAnsi="Times New Roman" w:cs="Times New Roman"/>
              </w:rPr>
              <w:fldChar w:fldCharType="separate"/>
            </w:r>
            <w:r w:rsidR="00935C50" w:rsidRPr="00F11A3E">
              <w:rPr>
                <w:rFonts w:ascii="Times New Roman" w:hAnsi="Times New Roman" w:cs="Times New Roman"/>
                <w:noProof/>
              </w:rPr>
              <w:t>(8)</w:t>
            </w:r>
            <w:r w:rsidRPr="00F11A3E">
              <w:rPr>
                <w:rFonts w:ascii="Times New Roman" w:hAnsi="Times New Roman" w:cs="Times New Roman"/>
              </w:rPr>
              <w:fldChar w:fldCharType="end"/>
            </w:r>
          </w:p>
        </w:tc>
      </w:tr>
      <w:tr w:rsidR="00AC1495" w:rsidRPr="00F11A3E" w14:paraId="4BA6F3A8" w14:textId="77777777" w:rsidTr="008C2BB2">
        <w:tc>
          <w:tcPr>
            <w:tcW w:w="1271" w:type="dxa"/>
            <w:vMerge/>
          </w:tcPr>
          <w:p w14:paraId="1FB183FC" w14:textId="77777777" w:rsidR="002D0C72" w:rsidRPr="00F11A3E" w:rsidRDefault="002D0C72" w:rsidP="00F11A3E">
            <w:pPr>
              <w:pStyle w:val="Standard"/>
              <w:spacing w:line="276" w:lineRule="auto"/>
              <w:rPr>
                <w:rFonts w:ascii="Times New Roman" w:hAnsi="Times New Roman" w:cs="Times New Roman"/>
              </w:rPr>
            </w:pPr>
          </w:p>
        </w:tc>
        <w:tc>
          <w:tcPr>
            <w:tcW w:w="1418" w:type="dxa"/>
          </w:tcPr>
          <w:p w14:paraId="78211703" w14:textId="2F8EFB77"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Performance status</w:t>
            </w:r>
          </w:p>
        </w:tc>
        <w:tc>
          <w:tcPr>
            <w:tcW w:w="1559" w:type="dxa"/>
          </w:tcPr>
          <w:p w14:paraId="1B51CCC3" w14:textId="77777777" w:rsidR="002D0C72" w:rsidRPr="00F11A3E" w:rsidRDefault="002D0C72" w:rsidP="00F11A3E">
            <w:pPr>
              <w:widowControl/>
              <w:suppressAutoHyphens w:val="0"/>
              <w:autoSpaceDE w:val="0"/>
              <w:adjustRightInd w:val="0"/>
              <w:spacing w:line="276" w:lineRule="auto"/>
              <w:textAlignment w:val="auto"/>
              <w:rPr>
                <w:rFonts w:ascii="Times New Roman" w:eastAsiaTheme="minorHAnsi" w:hAnsi="Times New Roman" w:cs="Times New Roman"/>
              </w:rPr>
            </w:pPr>
            <w:r w:rsidRPr="00F11A3E">
              <w:rPr>
                <w:rFonts w:ascii="Times New Roman" w:hAnsi="Times New Roman" w:cs="Times New Roman"/>
              </w:rPr>
              <w:t xml:space="preserve">Patients’ clinical condition on the </w:t>
            </w:r>
            <w:r w:rsidRPr="00F11A3E">
              <w:rPr>
                <w:rFonts w:ascii="Times New Roman" w:eastAsiaTheme="minorHAnsi" w:hAnsi="Times New Roman" w:cs="Times New Roman"/>
              </w:rPr>
              <w:t>Eastern Cooperative</w:t>
            </w:r>
          </w:p>
          <w:p w14:paraId="287CBE56" w14:textId="2C292816" w:rsidR="002D0C72" w:rsidRPr="00F11A3E" w:rsidRDefault="002D0C72" w:rsidP="00F11A3E">
            <w:pPr>
              <w:pStyle w:val="Standard"/>
              <w:spacing w:line="276" w:lineRule="auto"/>
              <w:rPr>
                <w:rFonts w:ascii="Times New Roman" w:hAnsi="Times New Roman" w:cs="Times New Roman"/>
              </w:rPr>
            </w:pPr>
            <w:r w:rsidRPr="00F11A3E">
              <w:rPr>
                <w:rFonts w:ascii="Times New Roman" w:eastAsiaTheme="minorHAnsi" w:hAnsi="Times New Roman" w:cs="Times New Roman"/>
              </w:rPr>
              <w:t>Oncology Group Performance Status (ECOG PS) scale</w:t>
            </w:r>
          </w:p>
        </w:tc>
        <w:tc>
          <w:tcPr>
            <w:tcW w:w="3269" w:type="dxa"/>
          </w:tcPr>
          <w:p w14:paraId="41F3A643" w14:textId="77777777" w:rsidR="002D0C72" w:rsidRPr="00F11A3E" w:rsidRDefault="002D0C72" w:rsidP="00F11A3E">
            <w:pPr>
              <w:pStyle w:val="TableContents"/>
              <w:spacing w:line="276" w:lineRule="auto"/>
              <w:rPr>
                <w:rFonts w:ascii="Times New Roman" w:hAnsi="Times New Roman" w:cs="Times New Roman"/>
              </w:rPr>
            </w:pPr>
            <w:r w:rsidRPr="00F11A3E">
              <w:rPr>
                <w:rFonts w:ascii="Times New Roman" w:hAnsi="Times New Roman" w:cs="Times New Roman"/>
              </w:rPr>
              <w:t>PS 0-1: 0.695</w:t>
            </w:r>
          </w:p>
          <w:p w14:paraId="3B3E431D" w14:textId="77777777" w:rsidR="002D0C72" w:rsidRPr="00F11A3E" w:rsidRDefault="002D0C72" w:rsidP="00F11A3E">
            <w:pPr>
              <w:pStyle w:val="TableContents"/>
              <w:spacing w:line="276" w:lineRule="auto"/>
              <w:rPr>
                <w:rFonts w:ascii="Times New Roman" w:hAnsi="Times New Roman" w:cs="Times New Roman"/>
              </w:rPr>
            </w:pPr>
            <w:r w:rsidRPr="00F11A3E">
              <w:rPr>
                <w:rFonts w:ascii="Times New Roman" w:hAnsi="Times New Roman" w:cs="Times New Roman"/>
              </w:rPr>
              <w:t>PS 2: 0.192</w:t>
            </w:r>
          </w:p>
          <w:p w14:paraId="5EA18327" w14:textId="77777777" w:rsidR="002D0C72" w:rsidRPr="00F11A3E" w:rsidRDefault="002D0C72" w:rsidP="00F11A3E">
            <w:pPr>
              <w:pStyle w:val="TableContents"/>
              <w:spacing w:line="276" w:lineRule="auto"/>
              <w:rPr>
                <w:rFonts w:ascii="Times New Roman" w:hAnsi="Times New Roman" w:cs="Times New Roman"/>
              </w:rPr>
            </w:pPr>
            <w:r w:rsidRPr="00F11A3E">
              <w:rPr>
                <w:rFonts w:ascii="Times New Roman" w:hAnsi="Times New Roman" w:cs="Times New Roman"/>
              </w:rPr>
              <w:t>PS 3: 0.079</w:t>
            </w:r>
          </w:p>
          <w:p w14:paraId="75316447" w14:textId="77777777" w:rsidR="002D0C72" w:rsidRPr="00F11A3E" w:rsidRDefault="002D0C72" w:rsidP="00F11A3E">
            <w:pPr>
              <w:pStyle w:val="TableContents"/>
              <w:spacing w:line="276" w:lineRule="auto"/>
              <w:rPr>
                <w:rFonts w:ascii="Times New Roman" w:hAnsi="Times New Roman" w:cs="Times New Roman"/>
              </w:rPr>
            </w:pPr>
            <w:r w:rsidRPr="00F11A3E">
              <w:rPr>
                <w:rFonts w:ascii="Times New Roman" w:hAnsi="Times New Roman" w:cs="Times New Roman"/>
              </w:rPr>
              <w:t>PS 4: 0.033</w:t>
            </w:r>
          </w:p>
          <w:p w14:paraId="549EA09D" w14:textId="02E0F454" w:rsidR="002D0C72" w:rsidRPr="00F11A3E" w:rsidRDefault="002D0C72" w:rsidP="00F11A3E">
            <w:pPr>
              <w:pStyle w:val="TableContents"/>
              <w:spacing w:line="276" w:lineRule="auto"/>
              <w:rPr>
                <w:rFonts w:ascii="Times New Roman" w:hAnsi="Times New Roman" w:cs="Times New Roman"/>
              </w:rPr>
            </w:pPr>
            <w:r w:rsidRPr="00F11A3E">
              <w:rPr>
                <w:rFonts w:ascii="Times New Roman" w:hAnsi="Times New Roman" w:cs="Times New Roman"/>
              </w:rPr>
              <w:t>(fraction)</w:t>
            </w:r>
          </w:p>
        </w:tc>
        <w:tc>
          <w:tcPr>
            <w:tcW w:w="1545" w:type="dxa"/>
          </w:tcPr>
          <w:p w14:paraId="648489CA" w14:textId="138D3BBB"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fldChar w:fldCharType="begin" w:fldLock="1"/>
            </w:r>
            <w:r w:rsidR="00935C50" w:rsidRPr="00F11A3E">
              <w:rPr>
                <w:rFonts w:ascii="Times New Roman" w:hAnsi="Times New Roman" w:cs="Times New Roman"/>
              </w:rPr>
              <w:instrText>ADDIN CSL_CITATION {"citationItems":[{"id":"ITEM-1","itemData":{"DOI":"10.1016/j.lungcan.2015.03.020","ISSN":"18728332","PMID":"25870155","abstract":"Objectives: In patients with advanced incurable lung cancer deciding as to the most appropriate treatment (e.g. chemotherapy or supportive care only) is challenging. In such patients the TNM classification system has reached its ceiling therefore other factors are used to assess prognosis and as such, guide treatment. Performance status (PS), weight loss and inflammatory biomarkers (Glasgow Prognostic Score (mGPS)) predict survival in advanced lung cancer however these have not been compared. This study compares key prognostic factors in advanced lung cancer. Materials and methods: Patients with newly diagnosed advanced lung cancer were recruited and demographics, weight loss, other prognostic factors (mGPS, PS) were collected. Kaplan-Meier and Cox regression methods were used to compare these prognostic factors. Results: 390 patients with advanced incurable lung cancer were recruited; 341 were male, median age was 66 years (IQR 59-73) and patients had stage IV non-small cell (n = 288) (73.8%) or extensive stage small cell lung cancer (n = 102) (26.2%). The median survival was 7.8 months. On multivariate analysis only performance status (HR 1.74 CI 1.50-2.02) and mGPS (HR 1.67, CI 1.40-2.00) predicted survival (p&lt; 0.001). Survival at 3 months ranged from 99% (ECOG 0-1) to 74% (ECOG 2) and using mGPS, from 99% (mGPS0) to 71% (mGPS2). In combination, survival ranged from 99% (mGPS 0, ECOG 0-1) to 33% (mGPS2, ECOG 3). Conclusion: Performance status and the mGPS are superior prognostic factors in advanced lung cancer. In combination, these improved survival prediction compared with either alone.","author":[{"dropping-particle":"","family":"Simmons","given":"Claribel P","non-dropping-particle":"","parse-names":false,"suffix":""},{"dropping-particle":"","family":"Koinis","given":"Filippos","non-dropping-particle":"","parse-names":false,"suffix":""},{"dropping-particle":"","family":"Fallon","given":"Marie T","non-dropping-particle":"","parse-names":false,"suffix":""},{"dropping-particle":"","family":"Fearon","given":"Kenneth C","non-dropping-particle":"","parse-names":false,"suffix":""},{"dropping-particle":"","family":"Bowden","given":"Jo","non-dropping-particle":"","parse-names":false,"suffix":""},{"dropping-particle":"","family":"Solheim","given":"Tora S","non-dropping-particle":"","parse-names":false,"suffix":""},{"dropping-particle":"","family":"Gronberg","given":"Bjorn Henning","non-dropping-particle":"","parse-names":false,"suffix":""},{"dropping-particle":"","family":"McMillan","given":"Donald C.","non-dropping-particle":"","parse-names":false,"suffix":""},{"dropping-particle":"","family":"Gioulbasanis","given":"Ioannis","non-dropping-particle":"","parse-names":false,"suffix":""},{"dropping-particle":"","family":"Laird","given":"Barry J","non-dropping-particle":"","parse-names":false,"suffix":""}],"container-title":"Lung Cancer","id":"ITEM-1","issue":"3","issued":{"date-parts":[["2015"]]},"page":"304-309","title":"Prognosis in advanced lung cancer - A prospective study examining key clinicopathological factors","type":"article-journal","volume":"88"},"uris":["http://www.mendeley.com/documents/?uuid=d56b988f-b60d-30c4-8b3c-c3e58a2f6e40"]}],"mendeley":{"formattedCitation":"(12)","plainTextFormattedCitation":"(12)","previouslyFormattedCitation":"[12]"},"properties":{"noteIndex":0},"schema":"https://github.com/citation-style-language/schema/raw/master/csl-citation.json"}</w:instrText>
            </w:r>
            <w:r w:rsidRPr="00F11A3E">
              <w:rPr>
                <w:rFonts w:ascii="Times New Roman" w:hAnsi="Times New Roman" w:cs="Times New Roman"/>
              </w:rPr>
              <w:fldChar w:fldCharType="separate"/>
            </w:r>
            <w:r w:rsidR="00935C50" w:rsidRPr="00F11A3E">
              <w:rPr>
                <w:rFonts w:ascii="Times New Roman" w:hAnsi="Times New Roman" w:cs="Times New Roman"/>
                <w:noProof/>
              </w:rPr>
              <w:t>(12)</w:t>
            </w:r>
            <w:r w:rsidRPr="00F11A3E">
              <w:rPr>
                <w:rFonts w:ascii="Times New Roman" w:hAnsi="Times New Roman" w:cs="Times New Roman"/>
              </w:rPr>
              <w:fldChar w:fldCharType="end"/>
            </w:r>
          </w:p>
        </w:tc>
      </w:tr>
      <w:tr w:rsidR="00AC1495" w:rsidRPr="00F11A3E" w14:paraId="033369F3" w14:textId="77777777" w:rsidTr="008C2BB2">
        <w:tc>
          <w:tcPr>
            <w:tcW w:w="1271" w:type="dxa"/>
            <w:vMerge/>
          </w:tcPr>
          <w:p w14:paraId="30DD41A2" w14:textId="77777777" w:rsidR="002D0C72" w:rsidRPr="00F11A3E" w:rsidRDefault="002D0C72" w:rsidP="00F11A3E">
            <w:pPr>
              <w:pStyle w:val="Standard"/>
              <w:spacing w:line="276" w:lineRule="auto"/>
              <w:rPr>
                <w:rFonts w:ascii="Times New Roman" w:hAnsi="Times New Roman" w:cs="Times New Roman"/>
              </w:rPr>
            </w:pPr>
          </w:p>
        </w:tc>
        <w:tc>
          <w:tcPr>
            <w:tcW w:w="1418" w:type="dxa"/>
          </w:tcPr>
          <w:p w14:paraId="332BA33E" w14:textId="165B0231"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Time to death</w:t>
            </w:r>
          </w:p>
        </w:tc>
        <w:tc>
          <w:tcPr>
            <w:tcW w:w="1559" w:type="dxa"/>
          </w:tcPr>
          <w:p w14:paraId="2C224EA0" w14:textId="7550FAC4"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 xml:space="preserve">The time </w:t>
            </w:r>
            <w:r w:rsidR="007B126A" w:rsidRPr="00F11A3E">
              <w:rPr>
                <w:rFonts w:ascii="Times New Roman" w:hAnsi="Times New Roman" w:cs="Times New Roman"/>
              </w:rPr>
              <w:t xml:space="preserve">in days </w:t>
            </w:r>
            <w:r w:rsidRPr="00F11A3E">
              <w:rPr>
                <w:rFonts w:ascii="Times New Roman" w:hAnsi="Times New Roman" w:cs="Times New Roman"/>
              </w:rPr>
              <w:t>after which a patient-agent will die during the diagnostic pathway</w:t>
            </w:r>
          </w:p>
        </w:tc>
        <w:tc>
          <w:tcPr>
            <w:tcW w:w="3269" w:type="dxa"/>
          </w:tcPr>
          <w:p w14:paraId="3B2F2671" w14:textId="4AFD807E" w:rsidR="002D0C72" w:rsidRPr="00F11A3E" w:rsidRDefault="002D0C72" w:rsidP="00F11A3E">
            <w:pPr>
              <w:pStyle w:val="TableContents"/>
              <w:spacing w:line="276" w:lineRule="auto"/>
              <w:rPr>
                <w:rFonts w:ascii="Times New Roman" w:hAnsi="Times New Roman" w:cs="Times New Roman"/>
              </w:rPr>
            </w:pPr>
            <w:r w:rsidRPr="00F11A3E">
              <w:rPr>
                <w:rFonts w:ascii="Times New Roman" w:hAnsi="Times New Roman" w:cs="Times New Roman"/>
              </w:rPr>
              <w:t>Weibull(</w:t>
            </w:r>
            <w:r w:rsidR="00087F69" w:rsidRPr="00F11A3E">
              <w:rPr>
                <w:rFonts w:ascii="Times New Roman" w:hAnsi="Times New Roman" w:cs="Times New Roman"/>
              </w:rPr>
              <w:t xml:space="preserve">shape = </w:t>
            </w:r>
            <w:r w:rsidR="00805FC1" w:rsidRPr="00F11A3E">
              <w:rPr>
                <w:rFonts w:ascii="Times New Roman" w:hAnsi="Times New Roman" w:cs="Times New Roman"/>
              </w:rPr>
              <w:t>1.72,</w:t>
            </w:r>
            <w:r w:rsidR="00087F69" w:rsidRPr="00F11A3E">
              <w:rPr>
                <w:rFonts w:ascii="Times New Roman" w:hAnsi="Times New Roman" w:cs="Times New Roman"/>
              </w:rPr>
              <w:t xml:space="preserve"> scale =</w:t>
            </w:r>
            <w:r w:rsidR="00805FC1" w:rsidRPr="00F11A3E">
              <w:rPr>
                <w:rFonts w:ascii="Times New Roman" w:hAnsi="Times New Roman" w:cs="Times New Roman"/>
              </w:rPr>
              <w:t xml:space="preserve"> </w:t>
            </w:r>
            <w:r w:rsidR="00087F69" w:rsidRPr="00F11A3E">
              <w:rPr>
                <w:rFonts w:ascii="Times New Roman" w:hAnsi="Times New Roman" w:cs="Times New Roman"/>
              </w:rPr>
              <w:t xml:space="preserve"> </w:t>
            </w:r>
            <w:r w:rsidR="00805FC1" w:rsidRPr="00F11A3E">
              <w:rPr>
                <w:rFonts w:ascii="Times New Roman" w:hAnsi="Times New Roman" w:cs="Times New Roman"/>
              </w:rPr>
              <w:t>669.7</w:t>
            </w:r>
            <w:r w:rsidR="007E6430" w:rsidRPr="00F11A3E">
              <w:rPr>
                <w:rFonts w:ascii="Times New Roman" w:hAnsi="Times New Roman" w:cs="Times New Roman"/>
              </w:rPr>
              <w:t>3</w:t>
            </w:r>
            <w:r w:rsidR="00805FC1" w:rsidRPr="00F11A3E">
              <w:rPr>
                <w:rFonts w:ascii="Times New Roman" w:hAnsi="Times New Roman" w:cs="Times New Roman"/>
              </w:rPr>
              <w:t xml:space="preserve">, </w:t>
            </w:r>
            <w:r w:rsidR="00087F69" w:rsidRPr="00F11A3E">
              <w:rPr>
                <w:rFonts w:ascii="Times New Roman" w:hAnsi="Times New Roman" w:cs="Times New Roman"/>
              </w:rPr>
              <w:t xml:space="preserve">min = </w:t>
            </w:r>
            <w:r w:rsidR="00805FC1" w:rsidRPr="00F11A3E">
              <w:rPr>
                <w:rFonts w:ascii="Times New Roman" w:hAnsi="Times New Roman" w:cs="Times New Roman"/>
              </w:rPr>
              <w:t>0</w:t>
            </w:r>
            <w:r w:rsidRPr="00F11A3E">
              <w:rPr>
                <w:rFonts w:ascii="Times New Roman" w:hAnsi="Times New Roman" w:cs="Times New Roman"/>
              </w:rPr>
              <w:t>) (continuous)</w:t>
            </w:r>
          </w:p>
        </w:tc>
        <w:tc>
          <w:tcPr>
            <w:tcW w:w="1545" w:type="dxa"/>
          </w:tcPr>
          <w:p w14:paraId="1AE2A07C" w14:textId="50E9EFE1" w:rsidR="00060216" w:rsidRPr="00F11A3E" w:rsidRDefault="00B93179" w:rsidP="00F11A3E">
            <w:pPr>
              <w:pStyle w:val="Standard"/>
              <w:spacing w:line="276" w:lineRule="auto"/>
              <w:rPr>
                <w:rFonts w:ascii="Times New Roman" w:hAnsi="Times New Roman" w:cs="Times New Roman"/>
              </w:rPr>
            </w:pPr>
            <w:r w:rsidRPr="00F11A3E">
              <w:rPr>
                <w:rFonts w:ascii="Times New Roman" w:hAnsi="Times New Roman" w:cs="Times New Roman"/>
              </w:rPr>
              <w:t>Digitized KM-curve</w:t>
            </w:r>
            <w:r w:rsidR="00D7263C" w:rsidRPr="00F11A3E">
              <w:rPr>
                <w:rFonts w:ascii="Times New Roman" w:hAnsi="Times New Roman" w:cs="Times New Roman"/>
              </w:rPr>
              <w:t xml:space="preserve"> for</w:t>
            </w:r>
            <w:r w:rsidRPr="00F11A3E">
              <w:rPr>
                <w:rFonts w:ascii="Times New Roman" w:hAnsi="Times New Roman" w:cs="Times New Roman"/>
              </w:rPr>
              <w:t xml:space="preserve"> </w:t>
            </w:r>
            <w:r w:rsidR="00393846" w:rsidRPr="00F11A3E">
              <w:rPr>
                <w:rFonts w:ascii="Times New Roman" w:hAnsi="Times New Roman" w:cs="Times New Roman"/>
              </w:rPr>
              <w:t>patient subgroup chemotherapy</w:t>
            </w:r>
            <w:r w:rsidR="000D6E58" w:rsidRPr="00F11A3E">
              <w:rPr>
                <w:rFonts w:ascii="Times New Roman" w:hAnsi="Times New Roman" w:cs="Times New Roman"/>
              </w:rPr>
              <w:t xml:space="preserve"> with</w:t>
            </w:r>
            <w:r w:rsidR="00393846" w:rsidRPr="00F11A3E">
              <w:rPr>
                <w:rFonts w:ascii="Times New Roman" w:hAnsi="Times New Roman" w:cs="Times New Roman"/>
              </w:rPr>
              <w:t xml:space="preserve"> PD-L1 </w:t>
            </w:r>
            <w:r w:rsidR="007664EA" w:rsidRPr="00F11A3E">
              <w:rPr>
                <w:rFonts w:ascii="Times New Roman" w:hAnsi="Times New Roman" w:cs="Times New Roman"/>
              </w:rPr>
              <w:t xml:space="preserve">TPS score ≥ </w:t>
            </w:r>
            <w:r w:rsidR="00FB3B62" w:rsidRPr="00F11A3E">
              <w:rPr>
                <w:rFonts w:ascii="Times New Roman" w:hAnsi="Times New Roman" w:cs="Times New Roman"/>
              </w:rPr>
              <w:t>50</w:t>
            </w:r>
            <w:r w:rsidR="007664EA" w:rsidRPr="00F11A3E">
              <w:rPr>
                <w:rFonts w:ascii="Times New Roman" w:hAnsi="Times New Roman" w:cs="Times New Roman"/>
              </w:rPr>
              <w:t>%</w:t>
            </w:r>
            <w:r w:rsidR="00D7263C" w:rsidRPr="00F11A3E">
              <w:rPr>
                <w:rFonts w:ascii="Times New Roman" w:hAnsi="Times New Roman" w:cs="Times New Roman"/>
              </w:rPr>
              <w:t xml:space="preserve"> </w:t>
            </w:r>
            <w:r w:rsidR="00D7263C" w:rsidRPr="00F11A3E">
              <w:rPr>
                <w:rFonts w:ascii="Times New Roman" w:hAnsi="Times New Roman" w:cs="Times New Roman"/>
              </w:rPr>
              <w:fldChar w:fldCharType="begin" w:fldLock="1"/>
            </w:r>
            <w:r w:rsidR="00935C50" w:rsidRPr="00F11A3E">
              <w:rPr>
                <w:rFonts w:ascii="Times New Roman" w:hAnsi="Times New Roman" w:cs="Times New Roman"/>
              </w:rPr>
              <w:instrText>ADDIN CSL_CITATION {"citationItems":[{"id":"ITEM-1","itemData":{"DOI":"10.1016/S0140-6736(18)32409-7","ISSN":"1474547X","PMID":"30955977","abstract":"Background: First-line pembrolizumab monotherapy improves overall and progression-free survival in patients with untreated metastatic non-small-cell lung cancer with a programmed death ligand 1 (PD-L1) tumour proportion score (TPS) of 50% or greater. We investigated overall survival after treatment with pembrolizumab monotherapy in patients with a PD-L1 TPS of 1% or greater. Methods: This randomised, open-label, phase 3 study was done in 213 medical centres in 32 countries. Eligible patients were adults (≥18 years) with previously untreated locally advanced or metastatic non-small-cell lung cancer without a sensitising EGFR mutation or ALK translocation and with an Eastern Cooperative Oncology Group (ECOG) performance status score of 0 or 1, life expectancy 3 months or longer, and a PD-L1 TPS of 1% or greater. Randomisation was computer generated, accessed via an interactive voice-response and integrated web-response system, and stratified by region of enrolment (east Asia vs rest of world), ECOG performance status score (0 vs 1), histology (squamous vs non-squamous), and PD-L1 TPS (≥50% vs 1–49%). Enrolled patients were randomly assigned 1:1 in blocks of four per stratum to receive pembrolizumab 200 mg every 3 weeks for up to 35 cycles or the investigator's choice of platinum-based chemotherapy for four to six cycles. Primary endpoints were overall survival in patients with a TPS of 50% or greater, 20% or greater, and 1% or greater (one-sided significance thresholds, p=0·0122, p=0·0120, and p=0·0124, respectively) in the intention-to-treat population, assessed sequentially if the previous findings were significant. This study is registered at ClinicalTrials.gov, number NCT02220894. Findings: From Dec 19, 2014, to March 6, 2017, 1274 patients (902 men, 372 women, median age 63 years [IQR 57–69]) with a PD-L1 TPS of 1% or greater were allocated to pembrolizumab (n=637) or chemotherapy (n=637) and included in the intention-to-treat population. 599 (47%) had a TPS of 50% or greater and 818 patients (64%) had a TPS of 20% or greater. As of Feb 26, 2018, median follow-up was 12·8 months. Overall survival was significantly longer in the pembrolizumab group than in the chemotherapy group in all three TPS populations (≥50% hazard ratio 0·69, 95% CI 0·56–0·85, p=0·0003; ≥20% 0·77, 0·64–0·92, p=0·0020, and ≥1% 0·81, 0·71–0·93, p=0·0018). The median surival values by TPS population were 20·0 months (95% CI 15·4–24·9) for pembrolizumab versus 12·2 months (10·4–14·2…","author":[{"dropping-particle":"","family":"Mok","given":"Tony S.K.","non-dropping-particle":"","parse-names":false,"suffix":""},{"dropping-particle":"","family":"Wu","given":"Yi Long","non-dropping-particle":"","parse-names":false,"suffix":""},{"dropping-particle":"","family":"Kudaba","given":"Iveta","non-dropping-particle":"","parse-names":false,"suffix":""},{"dropping-particle":"","family":"Kowalski","given":"Dariusz M.","non-dropping-particle":"","parse-names":false,"suffix":""},{"dropping-particle":"","family":"Cho","given":"Byoung Chul","non-dropping-particle":"","parse-names":false,"suffix":""},{"dropping-particle":"","family":"Turna","given":"Hande Z.","non-dropping-particle":"","parse-names":false,"suffix":""},{"dropping-particle":"","family":"Castro","given":"Gilberto","non-dropping-particle":"","parse-names":false,"suffix":""},{"dropping-particle":"","family":"Srimuninnimit","given":"Vichien","non-dropping-particle":"","parse-names":false,"suffix":""},{"dropping-particle":"","family":"Laktionov","given":"Konstantin K.","non-dropping-particle":"","parse-names":false,"suffix":""},{"dropping-particle":"","family":"Bondarenko","given":"Igor","non-dropping-particle":"","parse-names":false,"suffix":""},{"dropping-particle":"","family":"Kubota","given":"Kaoru","non-dropping-particle":"","parse-names":false,"suffix":""},{"dropping-particle":"","family":"Lubiniecki","given":"Gregory M.","non-dropping-particle":"","parse-names":false,"suffix":""},{"dropping-particle":"","family":"Zhang","given":"Jin","non-dropping-particle":"","parse-names":false,"suffix":""},{"dropping-particle":"","family":"Kush","given":"Debra","non-dropping-particle":"","parse-names":false,"suffix":""},{"dropping-particle":"","family":"Lopes","given":"Gilberto","non-dropping-particle":"","parse-names":false,"suffix":""},{"dropping-particle":"","family":"Gomez Aubin","given":"Gonzalo","non-dropping-particle":"","parse-names":false,"suffix":""},{"dropping-particle":"","family":"Fein","given":"Luis","non-dropping-particle":"","parse-names":false,"suffix":""},{"dropping-particle":"","family":"Kaen","given":"Diego","non-dropping-particle":"","parse-names":false,"suffix":""},{"dropping-particle":"","family":"Kowalyszyn","given":"Ruben","non-dropping-particle":"","parse-names":false,"suffix":""},{"dropping-particle":"","family":"Lerzo","given":"Guillermo","non-dropping-particle":"","parse-names":false,"suffix":""},{"dropping-particle":"","family":"Martinengo","given":"Gaston","non-dropping-particle":"","parse-names":false,"suffix":""},{"dropping-particle":"","family":"Molina","given":"Matias","non-dropping-particle":"","parse-names":false,"suffix":""},{"dropping-particle":"","family":"Richardet","given":"Eduardo","non-dropping-particle":"","parse-names":false,"suffix":""},{"dropping-particle":"","family":"Picon","given":"Pablo","non-dropping-particle":"","parse-names":false,"suffix":""},{"dropping-particle":"","family":"Varela","given":"Mirta","non-dropping-particle":"","parse-names":false,"suffix":""},{"dropping-particle":"","family":"Zarba","given":"Juan Jose","non-dropping-particle":"","parse-names":false,"suffix":""},{"dropping-particle":"","family":"Azevedo","given":"Sergio Jobim","non-dropping-particle":"de","parse-names":false,"suffix":""},{"dropping-particle":"","family":"Barrios","given":"Carlos Henrique","non-dropping-particle":"","parse-names":false,"suffix":""},{"dropping-particle":"","family":"Beato","given":"Carlos","non-dropping-particle":"","parse-names":false,"suffix":""},{"dropping-particle":"","family":"Cerny","given":"Carlos Alexandre Sydow","non-dropping-particle":"","parse-names":false,"suffix":""},{"dropping-particle":"","family":"Marchi","given":"Pedro Rafael Martins","non-dropping-particle":"De","parse-names":false,"suffix":""},{"dropping-particle":"","family":"Fernandes","given":"Gustavo","non-dropping-particle":"","parse-names":false,"suffix":""},{"dropping-particle":"","family":"Franke","given":"Fabio Andre","non-dropping-particle":"","parse-names":false,"suffix":""},{"dropping-particle":"","family":"Freitas","given":"Helano","non-dropping-particle":"","parse-names":false,"suffix":""},{"dropping-particle":"","family":"Girotto","given":"Gustavo","non-dropping-particle":"","parse-names":false,"suffix":""},{"dropping-particle":"","family":"Lopes","given":"Valeria","non-dropping-particle":"","parse-names":false,"suffix":""},{"dropping-particle":"","family":"Santos","given":"Lucas","non-dropping-particle":"","parse-names":false,"suffix":""},{"dropping-particle":"","family":"Costa","given":"Marcos Andre","non-dropping-particle":"","parse-names":false,"suffix":""},{"dropping-particle":"","family":"Shimada","given":"Andrea Kazumi","non-dropping-particle":"","parse-names":false,"suffix":""},{"dropping-particle":"","family":"Smaletz","given":"Oren","non-dropping-particle":"","parse-names":false,"suffix":""},{"dropping-particle":"","family":"Soares","given":"Joao Paulo Holanda","non-dropping-particle":"","parse-names":false,"suffix":""},{"dropping-particle":"","family":"Victorino","given":"Ana Paula","non-dropping-particle":"","parse-names":false,"suffix":""},{"dropping-particle":"","family":"Ferreira","given":"Carlos","non-dropping-particle":"","parse-names":false,"suffix":""},{"dropping-particle":"","family":"Koleva","given":"Marchela","non-dropping-particle":"","parse-names":false,"suffix":""},{"dropping-particle":"","family":"Koynov","given":"Krassimir","non-dropping-particle":"","parse-names":false,"suffix":""},{"dropping-particle":"","family":"Micheva","given":"Rumyana","non-dropping-particle":"","parse-names":false,"suffix":""},{"dropping-particle":"","family":"Deliverski","given":"Tsvetan","non-dropping-particle":"","parse-names":false,"suffix":""},{"dropping-particle":"","family":"Milanova","given":"Zhasmina","non-dropping-particle":"","parse-names":false,"suffix":""},{"dropping-particle":"","family":"Doganov","given":"Boyan","non-dropping-particle":"","parse-names":false,"suffix":""},{"dropping-particle":"","family":"Cheng","given":"Susanna","non-dropping-particle":"","parse-names":false,"suffix":""},{"dropping-particle":"","family":"Angelis","given":"Flavia","non-dropping-particle":"De","parse-names":false,"suffix":""},{"dropping-particle":"","family":"Speranza","given":"Giovanna","non-dropping-particle":"","parse-names":false,"suffix":""},{"dropping-particle":"","family":"Juergens","given":"Rosalyn Anne","non-dropping-particle":"","parse-names":false,"suffix":""},{"dropping-particle":"","family":"Ksienski","given":"Doran","non-dropping-particle":"","parse-names":false,"suffix":""},{"dropping-particle":"","family":"Fenton","given":"David","non-dropping-particle":"","parse-names":false,"suffix":""},{"dropping-particle":"","family":"Aren","given":"Osvaldo","non-dropping-particle":"","parse-names":false,"suffix":""},{"dropping-particle":"","family":"Caglevic","given":"Christian","non-dropping-particle":"","parse-names":false,"suffix":""},{"dropping-particle":"","family":"Galindo","given":"Hector","non-dropping-particle":"","parse-names":false,"suffix":""},{"dropping-particle":"","family":"Rey","given":"Felipe","non-dropping-particle":"","parse-names":false,"suffix":""},{"dropping-particle":"","family":"Chang","given":"Jianhua","non-dropping-particle":"","parse-names":false,"suffix":""},{"dropping-particle":"","family":"Chen","given":"Gongyan","non-dropping-particle":"","parse-names":false,"suffix":""},{"dropping-particle":"","family":"Chen","given":"Xi","non-dropping-particle":"","parse-names":false,"suffix":""},{"dropping-particle":"","family":"Ouyang","given":"Xuenong","non-dropping-particle":"","parse-names":false,"suffix":""},{"dropping-particle":"","family":"Cheng","given":"Ying","non-dropping-particle":"","parse-names":false,"suffix":""},{"dropping-particle":"","family":"Ding","given":"Zhenyu","non-dropping-particle":"","parse-names":false,"suffix":""},{"dropping-particle":"","family":"Hou","given":"Mei","non-dropping-particle":"","parse-names":false,"suffix":""},{"dropping-particle":"","family":"Fan","given":"Yun","non-dropping-particle":"","parse-names":false,"suffix":""},{"dropping-particle":"","family":"Feng","given":"Jifeng","non-dropping-particle":"","parse-names":false,"suffix":""},{"dropping-particle":"","family":"He","given":"Jianxing","non-dropping-particle":"","parse-names":false,"suffix":""},{"dropping-particle":"","family":"He","given":"Yong","non-dropping-particle":"","parse-names":false,"suffix":""},{"dropping-particle":"","family":"Hu","given":"Yi","non-dropping-particle":"","parse-names":false,"suffix":""},{"dropping-particle":"","family":"Li","given":"Wei","non-dropping-particle":"","parse-names":false,"suffix":""},{"dropping-particle":"","family":"Liu","given":"Xiaoqing","non-dropping-particle":"","parse-names":false,"suffix":""},{"dropping-particle":"","family":"Liu","given":"Zhe","non-dropping-particle":"","parse-names":false,"suffix":""},{"dropping-particle":"","family":"Lu","given":"Shun","non-dropping-particle":"","parse-names":false,"suffix":""},{"dropping-particle":"","family":"Qin","given":"Shukui","non-dropping-particle":"","parse-names":false,"suffix":""},{"dropping-particle":"","family":"Tang","given":"Qiyou","non-dropping-particle":"","parse-names":false,"suffix":""},{"dropping-particle":"","family":"Wang","given":"Buhai","non-dropping-particle":"","parse-names":false,"suffix":""},{"dropping-particle":"","family":"Wang","given":"Kai","non-dropping-particle":"","parse-names":false,"suffix":""},{"dropping-particle":"","family":"Zhang","given":"Li","non-dropping-particle":"","parse-names":false,"suffix":""},{"dropping-particle":"","family":"Zhang","given":"Xin","non-dropping-particle":"","parse-names":false,"suffix":""},{"dropping-particle":"","family":"Zhao","given":"Jun","non-dropping-particle":"","parse-names":false,"suffix":""},{"dropping-particle":"","family":"Wang","given":"Jie","non-dropping-particle":"","parse-names":false,"suffix":""},{"dropping-particle":"","family":"Zhou","given":"Caicun","non-dropping-particle":"","parse-names":false,"suffix":""},{"dropping-particle":"","family":"Zhou","given":"Jianying","non-dropping-particle":"","parse-names":false,"suffix":""},{"dropping-particle":"","family":"Zhou","given":"Qing","non-dropping-particle":"","parse-names":false,"suffix":""},{"dropping-particle":"","family":"Wu","given":"Yilong","non-dropping-particle":"","parse-names":false,"suffix":""},{"dropping-particle":"","family":"Cardona","given":"Andres","non-dropping-particle":"","parse-names":false,"suffix":""},{"dropping-particle":"","family":"Duarte","given":"Ricardo","non-dropping-particle":"","parse-names":false,"suffix":""},{"dropping-particle":"","family":"Gomez Wolff","given":"Luis","non-dropping-particle":"","parse-names":false,"suffix":""},{"dropping-particle":"","family":"Zambrano","given":"Angela","non-dropping-particle":"","parse-names":false,"suffix":""},{"dropping-particle":"","family":"Vallejo","given":"Marcela","non-dropping-particle":"","parse-names":false,"suffix":""},{"dropping-particle":"","family":"Havel","given":"Libor","non-dropping-particle":"","parse-names":false,"suffix":""},{"dropping-particle":"","family":"Kolek","given":"Vitezslav","non-dropping-particle":"","parse-names":false,"suffix":""},{"dropping-particle":"","family":"Kolman","given":"Petr","non-dropping-particle":"","parse-names":false,"suffix":""},{"dropping-particle":"","family":"Koubkova","given":"Leona","non-dropping-particle":"","parse-names":false,"suffix":""},{"dropping-particle":"","family":"Petruzelka","given":"Lubos","non-dropping-particle":"","parse-names":false,"suffix":""},{"dropping-particle":"","family":"Popelkova","given":"Patrice","non-dropping-particle":"","parse-names":false,"suffix":""},{"dropping-particle":"","family":"Roubec","given":"Jaromir","non-dropping-particle":"","parse-names":false,"suffix":""},{"dropping-particle":"","family":"Vanasek","given":"Jaroslav","non-dropping-particle":"","parse-names":false,"suffix":""},{"dropping-particle":"","family":"Vlasek","given":"Tomas","non-dropping-particle":"","parse-names":false,"suffix":""},{"dropping-particle":"","family":"Jaal","given":"Jana","non-dropping-particle":"","parse-names":false,"suffix":""},{"dropping-particle":"","family":"Kuusk","given":"Gerli","non-dropping-particle":"","parse-names":false,"suffix":""},{"dropping-particle":"","family":"Avendano","given":"Oscar","non-dropping-particle":"","parse-names":false,"suffix":""},{"dropping-particle":"","family":"Castro","given":"Hugo","non-dropping-particle":"","parse-names":false,"suffix":""},{"dropping-particle":"","family":"Lopez","given":"Karla","non-dropping-particle":"","parse-names":false,"suffix":""},{"dropping-particle":"","family":"Sandoval","given":"Mario","non-dropping-particle":"","parse-names":false,"suffix":""},{"dropping-particle":"","family":"Ho","given":"Chung Man James","non-dropping-particle":"","parse-names":false,"suffix":""},{"dropping-particle":"","family":"Lo","given":"Sing Hung","non-dropping-particle":"","parse-names":false,"suffix":""},{"dropping-particle":"","family":"Laczo","given":"Ibolya","non-dropping-particle":"","parse-names":false,"suffix":""},{"dropping-particle":"","family":"Piko","given":"Bela","non-dropping-particle":"","parse-names":false,"suffix":""},{"dropping-particle":"","family":"Ostoros","given":"Gyula","non-dropping-particle":"","parse-names":false,"suffix":""},{"dropping-particle":"","family":"Aoe","given":"Keisuke","non-dropping-particle":"","parse-names":false,"suffix":""},{"dropping-particle":"","family":"Fujisaka","given":"Yasuhito","non-dropping-particle":"","parse-names":false,"suffix":""},{"dropping-particle":"","family":"Hirashima","given":"Tomonori","non-dropping-particle":"","parse-names":false,"suffix":""},{"dropping-particle":"","family":"Horiike","given":"Atsushi","non-dropping-particle":"","parse-names":false,"suffix":""},{"dropping-particle":"","family":"Hosomi","given":"Yukio","non-dropping-particle":"","parse-names":false,"suffix":""},{"dropping-particle":"","family":"Hotta","given":"Katsuyuki","non-dropping-particle":"","parse-names":false,"suffix":""},{"dropping-particle":"","family":"Ichiki","given":"Masao","non-dropping-particle":"","parse-names":false,"suffix":""},{"dropping-particle":"","family":"Imamura","given":"Fumio","non-dropping-particle":"","parse-names":false,"suffix":""},{"dropping-particle":"","family":"Iwamoto","given":"Yasuo","non-dropping-particle":"","parse-names":false,"suffix":""},{"dropping-particle":"","family":"Kasahara","given":"Kazuo","non-dropping-particle":"","parse-names":false,"suffix":""},{"dropping-particle":"","family":"Katakami","given":"Nobuyuki","non-dropping-particle":"","parse-names":false,"suffix":""},{"dropping-particle":"","family":"Kato","given":"Terufumi","non-dropping-particle":"","parse-names":false,"suffix":""},{"dropping-particle":"","family":"Murakami","given":"Shuji","non-dropping-particle":"","parse-names":false,"suffix":""},{"dropping-particle":"","family":"Kawaguchi","given":"Tomoya","non-dropping-particle":"","parse-names":false,"suffix":""},{"dropping-particle":"","family":"Kishi","given":"Kazuma","non-dropping-particle":"","parse-names":false,"suffix":""},{"dropping-particle":"","family":"Kubota","given":"Kaoru","non-dropping-particle":"","parse-names":false,"suffix":""},{"dropping-particle":"","family":"Kurata","given":"Takayasu","non-dropping-particle":"","parse-names":false,"suffix":""},{"dropping-particle":"","family":"Torii","given":"Yoshitaro","non-dropping-particle":"","parse-names":false,"suffix":""},{"dropping-particle":"","family":"Nakahara","given":"Yasuharu","non-dropping-particle":"","parse-names":false,"suffix":""},{"dropping-particle":"","family":"Nishimura","given":"Takashi","non-dropping-particle":"","parse-names":false,"suffix":""},{"dropping-particle":"","family":"Ohira","given":"Tatsuo","non-dropping-particle":"","parse-names":false,"suffix":""},{"dropping-particle":"","family":"Saka","given":"Hideo","non-dropping-particle":"","parse-names":false,"suffix":""},{"dropping-particle":"","family":"Sawa","given":"Toshiyuki","non-dropping-particle":"","parse-names":false,"suffix":""},{"dropping-particle":"","family":"Seki","given":"Nobuhiko","non-dropping-particle":"","parse-names":false,"suffix":""},{"dropping-particle":"","family":"Sugawara","given":"Shunichi","non-dropping-particle":"","parse-names":false,"suffix":""},{"dropping-particle":"","family":"Takahashi","given":"Kazuhisa","non-dropping-particle":"","parse-names":false,"suffix":""},{"dropping-particle":"","family":"Takigawa","given":"Nagio","non-dropping-particle":"","parse-names":false,"suffix":""},{"dropping-particle":"","family":"Tanaka","given":"Hiroshi","non-dropping-particle":"","parse-names":false,"suffix":""},{"dropping-particle":"","family":"Yamada","given":"Kazuhiko","non-dropping-particle":"","parse-names":false,"suffix":""},{"dropping-particle":"","family":"Yokoyama","given":"Takuma","non-dropping-particle":"","parse-names":false,"suffix":""},{"dropping-particle":"","family":"Yokoyama","given":"Toshihide","non-dropping-particle":"","parse-names":false,"suffix":""},{"dropping-particle":"","family":"Yoshioka","given":"Hiroshige","non-dropping-particle":"","parse-names":false,"suffix":""},{"dropping-particle":"","family":"Kudaba","given":"Iveta","non-dropping-particle":"","parse-names":false,"suffix":""},{"dropping-particle":"","family":"Purkalne","given":"Gunta","non-dropping-particle":"","parse-names":false,"suffix":""},{"dropping-particle":"","family":"Stara","given":"Zinaida","non-dropping-particle":"","parse-names":false,"suffix":""},{"dropping-particle":"","family":"Cesas","given":"Alvydas","non-dropping-particle":"","parse-names":false,"suffix":""},{"dropping-particle":"","family":"Cicenas","given":"Saulius","non-dropping-particle":"","parse-names":false,"suffix":""},{"dropping-particle":"","family":"Zemaitis","given":"Marius","non-dropping-particle":"","parse-names":false,"suffix":""},{"dropping-particle":"","family":"How","given":"Soon Hin","non-dropping-particle":"","parse-names":false,"suffix":""},{"dropping-particle":"","family":"Liam","given":"Chong Kin","non-dropping-particle":"","parse-names":false,"suffix":""},{"dropping-particle":"","family":"Ong","given":"Choo Khoon","non-dropping-particle":"","parse-names":false,"suffix":""},{"dropping-particle":"","family":"Tho","given":"Lye Mun","non-dropping-particle":"","parse-names":false,"suffix":""},{"dropping-particle":"","family":"Arrieta Rodriguez","given":"Oscar","non-dropping-particle":"","parse-names":false,"suffix":""},{"dropping-particle":"","family":"The Bustamante Valles","given":"Flor","non-dropping-particle":"de","parse-names":false,"suffix":""},{"dropping-particle":"","family":"Hernandez Hernandez","given":"Carlos","non-dropping-particle":"","parse-names":false,"suffix":""},{"dropping-particle":"","family":"Mas","given":"Luis","non-dropping-particle":"","parse-names":false,"suffix":""},{"dropping-particle":"","family":"Vera","given":"Luis","non-dropping-particle":"","parse-names":false,"suffix":""},{"dropping-particle":"","family":"Salas","given":"Jorge","non-dropping-particle":"","parse-names":false,"suffix":""},{"dropping-particle":"","family":"Tejada","given":"Hermes","non-dropping-particle":"","parse-names":false,"suffix":""},{"dropping-particle":"","family":"Edusma-Dy","given":"Regina","non-dropping-particle":"","parse-names":false,"suffix":""},{"dropping-particle":"","family":"Galvez","given":"Christina","non-dropping-particle":"","parse-names":false,"suffix":""},{"dropping-particle":"","family":"Ladrera","given":"Guia Elena Imelda","non-dropping-particle":"","parse-names":false,"suffix":""},{"dropping-particle":"","family":"Tan Chun Bing","given":"Jerry","non-dropping-particle":"","parse-names":false,"suffix":""},{"dropping-particle":"","family":"Jassem","given":"Jacek","non-dropping-particle":"","parse-names":false,"suffix":""},{"dropping-particle":"","family":"Kalinka-Warzocha","given":"Ewa","non-dropping-particle":"","parse-names":false,"suffix":""},{"dropping-particle":"","family":"Karaszewska","given":"Boguslawa","non-dropping-particle":"","parse-names":false,"suffix":""},{"dropping-particle":"","family":"Kazarnowicz","given":"Andrzej","non-dropping-particle":"","parse-names":false,"suffix":""},{"dropping-particle":"","family":"Kowalski","given":"Dariusz","non-dropping-particle":"","parse-names":false,"suffix":""},{"dropping-particle":"","family":"Lesniewski Kmak","given":"Krzysztof","non-dropping-particle":"","parse-names":false,"suffix":""},{"dropping-particle":"","family":"Ramlau","given":"Rodryg","non-dropping-particle":"","parse-names":false,"suffix":""},{"dropping-particle":"","family":"Araujo","given":"Antonio","non-dropping-particle":"","parse-names":false,"suffix":""},{"dropping-particle":"","family":"Barata","given":"Fernando","non-dropping-particle":"","parse-names":false,"suffix":""},{"dropping-particle":"","family":"Gil","given":"Nuno","non-dropping-particle":"","parse-names":false,"suffix":""},{"dropping-particle":"","family":"Hespanhol","given":"Venceslau","non-dropping-particle":"","parse-names":false,"suffix":""},{"dropping-particle":"","family":"Alexandru","given":"Aurelia","non-dropping-particle":"","parse-names":false,"suffix":""},{"dropping-particle":"","family":"Dediu","given":"Mircea","non-dropping-particle":"","parse-names":false,"suffix":""},{"dropping-particle":"","family":"Cherciu","given":"Nelly","non-dropping-particle":"","parse-names":false,"suffix":""},{"dropping-particle":"","family":"Ciurescu","given":"Daniel","non-dropping-particle":"","parse-names":false,"suffix":""},{"dropping-particle":"","family":"Ganea","given":"Doina","non-dropping-particle":"","parse-names":false,"suffix":""},{"dropping-particle":"","family":"Miron","given":"Lucian","non-dropping-particle":"","parse-names":false,"suffix":""},{"dropping-particle":"","family":"Sirbu","given":"Daniela","non-dropping-particle":"","parse-names":false,"suffix":""},{"dropping-particle":"","family":"Turdean","given":"Maria","non-dropping-particle":"","parse-names":false,"suffix":""},{"dropping-particle":"","family":"Emelyanov","given":"Sergey","non-dropping-particle":"","parse-names":false,"suffix":""},{"dropping-particle":"","family":"Karaseva","given":"Nina","non-dropping-particle":"","parse-names":false,"suffix":""},{"dropping-particle":"","family":"Kuzina","given":"Lyudmila","non-dropping-particle":"","parse-names":false,"suffix":""},{"dropping-particle":"","family":"Lazarev","given":"Sergey","non-dropping-particle":"","parse-names":false,"suffix":""},{"dropping-particle":"","family":"Lifirenko","given":"Igor","non-dropping-particle":"","parse-names":false,"suffix":""},{"dropping-particle":"","family":"Bolotina","given":"Larisa","non-dropping-particle":"","parse-names":false,"suffix":""},{"dropping-particle":"","family":"Lipatov","given":"Oleg","non-dropping-particle":"","parse-names":false,"suffix":""},{"dropping-particle":"","family":"Ovchinnikova","given":"Elena","non-dropping-particle":"","parse-names":false,"suffix":""},{"dropping-particle":"","family":"Matrosova","given":"Marina","non-dropping-particle":"","parse-names":false,"suffix":""},{"dropping-particle":"","family":"Alyasova","given":"Anna","non-dropping-particle":"","parse-names":false,"suffix":""},{"dropping-particle":"","family":"Poltoratsky","given":"Artem","non-dropping-particle":"","parse-names":false,"suffix":""},{"dropping-particle":"","family":"Taranov","given":"Pavel","non-dropping-particle":"","parse-names":false,"suffix":""},{"dropping-particle":"","family":"Zarubenkov","given":"Oleg","non-dropping-particle":"","parse-names":false,"suffix":""},{"dropping-particle":"","family":"Cohen","given":"Graham","non-dropping-particle":"","parse-names":false,"suffix":""},{"dropping-particle":"","family":"Dreosti","given":"Lydia","non-dropping-particle":"","parse-names":false,"suffix":""},{"dropping-particle":"","family":"Seolwane","given":"Freddy","non-dropping-particle":"","parse-names":false,"suffix":""},{"dropping-particle":"","family":"Hall","given":"Jacqueline","non-dropping-particle":"","parse-names":false,"suffix":""},{"dropping-particle":"","family":"Hart","given":"Gregory","non-dropping-particle":"","parse-names":false,"suffix":""},{"dropping-particle":"","family":"Jordaan","given":"Christa","non-dropping-particle":"","parse-names":false,"suffix":""},{"dropping-particle":"","family":"Buddu","given":"Sayeuri","non-dropping-particle":"","parse-names":false,"suffix":""},{"dropping-particle":"","family":"Botha","given":"Michiel","non-dropping-particle":"","parse-names":false,"suffix":""},{"dropping-particle":"","family":"Landers","given":"Gregory","non-dropping-particle":"","parse-names":false,"suffix":""},{"dropping-particle":"","family":"Rappaport","given":"Bernardo","non-dropping-particle":"","parse-names":false,"suffix":""},{"dropping-particle":"","family":"Ruff","given":"Paul","non-dropping-particle":"","parse-names":false,"suffix":""},{"dropping-particle":"","family":"Shepherd","given":"Lucinda","non-dropping-particle":"","parse-names":false,"suffix":""},{"dropping-particle":"","family":"Szpak","given":"Waldemar","non-dropping-particle":"","parse-names":false,"suffix":""},{"dropping-particle":"","family":"Ahn","given":"Myung Ju","non-dropping-particle":"","parse-names":false,"suffix":""},{"dropping-particle":"","family":"Cho","given":"Byoung Chul","non-dropping-particle":"","parse-names":false,"suffix":""},{"dropping-particle":"","family":"Kim","given":"Joo Hang","non-dropping-particle":"","parse-names":false,"suffix":""},{"dropping-particle":"","family":"Bergstrom","given":"Per","non-dropping-particle":"","parse-names":false,"suffix":""},{"dropping-particle":"","family":"Ohman","given":"Ronny","non-dropping-particle":"","parse-names":false,"suffix":""},{"dropping-particle":"","family":"Griph","given":"Hakan","non-dropping-particle":"","parse-names":false,"suffix":""},{"dropping-particle":"","family":"Betticher","given":"Daniel","non-dropping-particle":"","parse-names":false,"suffix":""},{"dropping-particle":"","family":"Ochsenbein","given":"Adrian","non-dropping-particle":"","parse-names":false,"suffix":""},{"dropping-particle":"","family":"Zippelius","given":"Alfred","non-dropping-particle":"","parse-names":false,"suffix":""},{"dropping-particle":"","family":"Chan","given":"Gee Chen","non-dropping-particle":"","parse-names":false,"suffix":""},{"dropping-particle":"","family":"Chiu","given":"Chao Hua","non-dropping-particle":"","parse-names":false,"suffix":""},{"dropping-particle":"","family":"Hsia","given":"Te Chun","non-dropping-particle":"","parse-names":false,"suffix":""},{"dropping-particle":"","family":"Su","given":"Wu Chou","non-dropping-particle":"","parse-names":false,"suffix":""},{"dropping-particle":"","family":"Yang","given":"Chih Hsin","non-dropping-particle":"","parse-names":false,"suffix":""},{"dropping-particle":"","family":"Ativitavas","given":"Touch","non-dropping-particle":"","parse-names":false,"suffix":""},{"dropping-particle":"","family":"Danchaivijitr","given":"Pongwut","non-dropping-particle":"","parse-names":false,"suffix":""},{"dropping-particle":"","family":"Srimuninnimit","given":"Vichien","non-dropping-particle":"","parse-names":false,"suffix":""},{"dropping-particle":"","family":"Seetalarom","given":"Kasan","non-dropping-particle":"","parse-names":false,"suffix":""},{"dropping-particle":"","family":"Sookprasert","given":"Aumkhae","non-dropping-particle":"","parse-names":false,"suffix":""},{"dropping-particle":"","family":"Sriuranpong","given":"Virote","non-dropping-particle":"","parse-names":false,"suffix":""},{"dropping-particle":"","family":"Altundag","given":"Ozden","non-dropping-particle":"","parse-names":false,"suffix":""},{"dropping-particle":"","family":"Cay Senler","given":"Filiz","non-dropping-particle":"","parse-names":false,"suffix":""},{"dropping-particle":"","family":"Erman","given":"Mustafa","non-dropping-particle":"","parse-names":false,"suffix":""},{"dropping-particle":"","family":"Goksel","given":"Tuncay","non-dropping-particle":"","parse-names":false,"suffix":""},{"dropping-particle":"","family":"Goker","given":"Erdem","non-dropping-particle":"","parse-names":false,"suffix":""},{"dropping-particle":"","family":"Ozyilkan","given":"Ozgur","non-dropping-particle":"","parse-names":false,"suffix":""},{"dropping-particle":"","family":"Seker","given":"Mesut","non-dropping-particle":"","parse-names":false,"suffix":""},{"dropping-particle":"","family":"Gumus","given":"Mahmut","non-dropping-particle":"","parse-names":false,"suffix":""},{"dropping-particle":"","family":"Turna","given":"Hande","non-dropping-particle":"","parse-names":false,"suffix":""},{"dropping-particle":"","family":"Yumuk","given":"Fulden","non-dropping-particle":"","parse-names":false,"suffix":""},{"dropping-particle":"","family":"Adamchuk","given":"Grigory","non-dropping-particle":"","parse-names":false,"suffix":""},{"dropping-particle":"","family":"Bondarenko","given":"Igor","non-dropping-particle":"","parse-names":false,"suffix":""},{"dropping-particle":"","family":"Ivashchuk","given":"Oleksandr","non-dropping-particle":"","parse-names":false,"suffix":""},{"dropping-particle":"","family":"Ponomarova","given":"Olga","non-dropping-particle":"","parse-names":false,"suffix":""},{"dropping-particle":"","family":"Rusyn","given":"Andrii","non-dropping-particle":"","parse-names":false,"suffix":""},{"dropping-particle":"","family":"Shevnya","given":"Sergii","non-dropping-particle":"","parse-names":false,"suffix":""},{"dropping-particle":"","family":"Shparyk","given":"Yaroslav","non-dropping-particle":"","parse-names":false,"suffix":""},{"dropping-particle":"","family":"Sinielnikov","given":"Ivan","non-dropping-particle":"","parse-names":false,"suffix":""},{"dropping-particle":"","family":"Andrusenko","given":"Orest","non-dropping-particle":"","parse-names":false,"suffix":""},{"dropping-particle":"","family":"Trukhyn","given":"Dmytro","non-dropping-particle":"","parse-names":false,"suffix":""},{"dropping-particle":"","family":"Ursol","given":"Grygoriy","non-dropping-particle":"","parse-names":false,"suffix":""},{"dropping-particle":"","family":"Vynnychenko","given":"Ihor","non-dropping-particle":"","parse-names":false,"suffix":""},{"dropping-particle":"","family":"Nguyen","given":"Tien Quang","non-dropping-particle":"","parse-names":false,"suffix":""},{"dropping-particle":"","family":"Pham","given":"Xuan Dung","non-dropping-particle":"","parse-names":false,"suffix":""},{"dropping-particle":"","family":"Castro","given":"Gilberto","non-dropping-particle":"","parse-names":false,"suffix":""},{"dropping-particle":"","family":"Kubota","given":"Kaoru","non-dropping-particle":"","parse-names":false,"suffix":""}],"container-title":"The Lancet","id":"ITEM-1","issue":"10183","issued":{"date-parts":[["2019"]]},"page":"1819-1830","title":"Pembrolizumab versus chemotherapy for previously untreated, PD-L1-expressing, locally advanced or metastatic non-small-cell lung cancer (KEYNOTE-042): a randomised, open-label, controlled, phase 3 trial","type":"article-journal","volume":"393"},"uris":["http://www.mendeley.com/documents/?uuid=3e72179e-2c77-400a-9bc8-22bc3d598544"]}],"mendeley":{"formattedCitation":"(13)","plainTextFormattedCitation":"(13)","previouslyFormattedCitation":"[13]"},"properties":{"noteIndex":0},"schema":"https://github.com/citation-style-language/schema/raw/master/csl-citation.json"}</w:instrText>
            </w:r>
            <w:r w:rsidR="00D7263C" w:rsidRPr="00F11A3E">
              <w:rPr>
                <w:rFonts w:ascii="Times New Roman" w:hAnsi="Times New Roman" w:cs="Times New Roman"/>
              </w:rPr>
              <w:fldChar w:fldCharType="separate"/>
            </w:r>
            <w:r w:rsidR="00935C50" w:rsidRPr="00F11A3E">
              <w:rPr>
                <w:rFonts w:ascii="Times New Roman" w:hAnsi="Times New Roman" w:cs="Times New Roman"/>
                <w:noProof/>
              </w:rPr>
              <w:t>(13)</w:t>
            </w:r>
            <w:r w:rsidR="00D7263C" w:rsidRPr="00F11A3E">
              <w:rPr>
                <w:rFonts w:ascii="Times New Roman" w:hAnsi="Times New Roman" w:cs="Times New Roman"/>
              </w:rPr>
              <w:fldChar w:fldCharType="end"/>
            </w:r>
          </w:p>
        </w:tc>
      </w:tr>
      <w:tr w:rsidR="00AC1495" w:rsidRPr="00F11A3E" w14:paraId="43C07E16" w14:textId="77777777" w:rsidTr="008C2BB2">
        <w:tc>
          <w:tcPr>
            <w:tcW w:w="1271" w:type="dxa"/>
            <w:vMerge w:val="restart"/>
          </w:tcPr>
          <w:p w14:paraId="6D718E83" w14:textId="4A88BDB5" w:rsidR="002D0C72" w:rsidRPr="00F11A3E" w:rsidRDefault="002D0C72" w:rsidP="00F11A3E">
            <w:pPr>
              <w:pStyle w:val="Standard"/>
              <w:spacing w:line="276" w:lineRule="auto"/>
              <w:rPr>
                <w:rFonts w:ascii="Times New Roman" w:hAnsi="Times New Roman" w:cs="Times New Roman"/>
                <w:b/>
                <w:bCs/>
              </w:rPr>
            </w:pPr>
            <w:r w:rsidRPr="00F11A3E">
              <w:rPr>
                <w:rFonts w:ascii="Times New Roman" w:hAnsi="Times New Roman" w:cs="Times New Roman"/>
                <w:b/>
                <w:bCs/>
              </w:rPr>
              <w:t>MTB</w:t>
            </w:r>
          </w:p>
        </w:tc>
        <w:tc>
          <w:tcPr>
            <w:tcW w:w="1418" w:type="dxa"/>
          </w:tcPr>
          <w:p w14:paraId="38753638" w14:textId="15ACC1D4"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Meeting schedule</w:t>
            </w:r>
          </w:p>
        </w:tc>
        <w:tc>
          <w:tcPr>
            <w:tcW w:w="1559" w:type="dxa"/>
          </w:tcPr>
          <w:p w14:paraId="03ADDB4A" w14:textId="1F948D7A"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The frequency that each MTB meet and discuss cases.</w:t>
            </w:r>
          </w:p>
        </w:tc>
        <w:tc>
          <w:tcPr>
            <w:tcW w:w="3269" w:type="dxa"/>
          </w:tcPr>
          <w:p w14:paraId="790E935C" w14:textId="77777777" w:rsidR="002D0C72" w:rsidRPr="00F11A3E" w:rsidRDefault="002D0C72" w:rsidP="00F11A3E">
            <w:pPr>
              <w:pStyle w:val="TableContents"/>
              <w:spacing w:line="276" w:lineRule="auto"/>
              <w:rPr>
                <w:rFonts w:ascii="Times New Roman" w:hAnsi="Times New Roman" w:cs="Times New Roman"/>
              </w:rPr>
            </w:pPr>
            <w:r w:rsidRPr="00F11A3E">
              <w:rPr>
                <w:rFonts w:ascii="Times New Roman" w:hAnsi="Times New Roman" w:cs="Times New Roman"/>
              </w:rPr>
              <w:t>Weekly 3-hour meeting</w:t>
            </w:r>
          </w:p>
          <w:p w14:paraId="3FC24A4C" w14:textId="009BEE38" w:rsidR="002D0C72" w:rsidRPr="00F11A3E" w:rsidRDefault="002D0C72" w:rsidP="00F11A3E">
            <w:pPr>
              <w:pStyle w:val="TableContents"/>
              <w:spacing w:line="276" w:lineRule="auto"/>
              <w:rPr>
                <w:rFonts w:ascii="Times New Roman" w:hAnsi="Times New Roman" w:cs="Times New Roman"/>
              </w:rPr>
            </w:pPr>
          </w:p>
        </w:tc>
        <w:tc>
          <w:tcPr>
            <w:tcW w:w="1545" w:type="dxa"/>
          </w:tcPr>
          <w:p w14:paraId="1BA92A17" w14:textId="55A8319B"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fldChar w:fldCharType="begin" w:fldLock="1"/>
            </w:r>
            <w:r w:rsidR="00935C50" w:rsidRPr="00F11A3E">
              <w:rPr>
                <w:rFonts w:ascii="Times New Roman" w:hAnsi="Times New Roman" w:cs="Times New Roman"/>
              </w:rPr>
              <w:instrText>ADDIN CSL_CITATION {"citationItems":[{"id":"ITEM-1","itemData":{"URL":"https://www.netwerk-path.nl/index.php/tumor-boards","accessed":{"date-parts":[["2020","6","17"]]},"author":[{"dropping-particle":"","family":"PATH","given":"","non-dropping-particle":"","parse-names":false,"suffix":""}],"id":"ITEM-1","issued":{"date-parts":[["0"]]},"title":"Moleculaire tumor boards [Molecular tumor boards]","type":"webpage"},"uris":["http://www.mendeley.com/documents/?uuid=1d778580-87dc-408d-988b-719987362bf2"]}],"mendeley":{"formattedCitation":"(5)","plainTextFormattedCitation":"(5)","previouslyFormattedCitation":"[5]"},"properties":{"noteIndex":0},"schema":"https://github.com/citation-style-language/schema/raw/master/csl-citation.json"}</w:instrText>
            </w:r>
            <w:r w:rsidRPr="00F11A3E">
              <w:rPr>
                <w:rFonts w:ascii="Times New Roman" w:hAnsi="Times New Roman" w:cs="Times New Roman"/>
              </w:rPr>
              <w:fldChar w:fldCharType="separate"/>
            </w:r>
            <w:r w:rsidR="00935C50" w:rsidRPr="00F11A3E">
              <w:rPr>
                <w:rFonts w:ascii="Times New Roman" w:hAnsi="Times New Roman" w:cs="Times New Roman"/>
                <w:noProof/>
              </w:rPr>
              <w:t>(5)</w:t>
            </w:r>
            <w:r w:rsidRPr="00F11A3E">
              <w:rPr>
                <w:rFonts w:ascii="Times New Roman" w:hAnsi="Times New Roman" w:cs="Times New Roman"/>
              </w:rPr>
              <w:fldChar w:fldCharType="end"/>
            </w:r>
            <w:r w:rsidRPr="00F11A3E">
              <w:rPr>
                <w:rFonts w:ascii="Times New Roman" w:hAnsi="Times New Roman" w:cs="Times New Roman"/>
              </w:rPr>
              <w:t>, assumed to be identical across MTB-agents</w:t>
            </w:r>
          </w:p>
        </w:tc>
      </w:tr>
      <w:tr w:rsidR="00AC1495" w:rsidRPr="00F11A3E" w14:paraId="58A8EB5D" w14:textId="77777777" w:rsidTr="008C2BB2">
        <w:tc>
          <w:tcPr>
            <w:tcW w:w="1271" w:type="dxa"/>
            <w:vMerge/>
          </w:tcPr>
          <w:p w14:paraId="16B629EC" w14:textId="77777777" w:rsidR="002D0C72" w:rsidRPr="00F11A3E" w:rsidRDefault="002D0C72" w:rsidP="00F11A3E">
            <w:pPr>
              <w:pStyle w:val="Standard"/>
              <w:spacing w:line="276" w:lineRule="auto"/>
              <w:rPr>
                <w:rFonts w:ascii="Times New Roman" w:hAnsi="Times New Roman" w:cs="Times New Roman"/>
              </w:rPr>
            </w:pPr>
          </w:p>
        </w:tc>
        <w:tc>
          <w:tcPr>
            <w:tcW w:w="1418" w:type="dxa"/>
          </w:tcPr>
          <w:p w14:paraId="65730B0A" w14:textId="46D3115D"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Time required for each case</w:t>
            </w:r>
          </w:p>
        </w:tc>
        <w:tc>
          <w:tcPr>
            <w:tcW w:w="1559" w:type="dxa"/>
          </w:tcPr>
          <w:p w14:paraId="097B6357" w14:textId="174920B9"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The time in minutes required to discuss one patient in the MTB.</w:t>
            </w:r>
          </w:p>
        </w:tc>
        <w:tc>
          <w:tcPr>
            <w:tcW w:w="3269" w:type="dxa"/>
          </w:tcPr>
          <w:p w14:paraId="5D9EB8E0" w14:textId="49C2E65C" w:rsidR="002D0C72" w:rsidRPr="00F11A3E" w:rsidRDefault="002D0C72" w:rsidP="00F11A3E">
            <w:pPr>
              <w:pStyle w:val="TableContents"/>
              <w:spacing w:line="276" w:lineRule="auto"/>
              <w:rPr>
                <w:rFonts w:ascii="Times New Roman" w:hAnsi="Times New Roman" w:cs="Times New Roman"/>
              </w:rPr>
            </w:pPr>
            <w:r w:rsidRPr="00F11A3E">
              <w:rPr>
                <w:rFonts w:ascii="Times New Roman" w:hAnsi="Times New Roman" w:cs="Times New Roman"/>
              </w:rPr>
              <w:t xml:space="preserve">Normal distribution(mean = </w:t>
            </w:r>
            <w:r w:rsidR="009467DD" w:rsidRPr="00F11A3E">
              <w:rPr>
                <w:rFonts w:ascii="Times New Roman" w:hAnsi="Times New Roman" w:cs="Times New Roman"/>
              </w:rPr>
              <w:t>4</w:t>
            </w:r>
            <w:r w:rsidRPr="00F11A3E">
              <w:rPr>
                <w:rFonts w:ascii="Times New Roman" w:hAnsi="Times New Roman" w:cs="Times New Roman"/>
              </w:rPr>
              <w:t xml:space="preserve">, variance = </w:t>
            </w:r>
            <w:r w:rsidR="009467DD" w:rsidRPr="00F11A3E">
              <w:rPr>
                <w:rFonts w:ascii="Times New Roman" w:hAnsi="Times New Roman" w:cs="Times New Roman"/>
              </w:rPr>
              <w:t>1.5</w:t>
            </w:r>
            <w:r w:rsidR="009C7D4D" w:rsidRPr="00F11A3E">
              <w:rPr>
                <w:rFonts w:ascii="Times New Roman" w:hAnsi="Times New Roman" w:cs="Times New Roman"/>
              </w:rPr>
              <w:t xml:space="preserve">, min = </w:t>
            </w:r>
            <w:r w:rsidR="00F45945" w:rsidRPr="00F11A3E">
              <w:rPr>
                <w:rFonts w:ascii="Times New Roman" w:hAnsi="Times New Roman" w:cs="Times New Roman"/>
              </w:rPr>
              <w:t xml:space="preserve">0, max = </w:t>
            </w:r>
            <w:r w:rsidR="009467DD" w:rsidRPr="00F11A3E">
              <w:rPr>
                <w:rFonts w:ascii="Times New Roman" w:hAnsi="Times New Roman" w:cs="Times New Roman"/>
              </w:rPr>
              <w:t>1</w:t>
            </w:r>
            <w:r w:rsidR="00F45945" w:rsidRPr="00F11A3E">
              <w:rPr>
                <w:rFonts w:ascii="Times New Roman" w:hAnsi="Times New Roman" w:cs="Times New Roman"/>
              </w:rPr>
              <w:t>0</w:t>
            </w:r>
            <w:r w:rsidRPr="00F11A3E">
              <w:rPr>
                <w:rFonts w:ascii="Times New Roman" w:hAnsi="Times New Roman" w:cs="Times New Roman"/>
              </w:rPr>
              <w:t>) (continuous)</w:t>
            </w:r>
          </w:p>
        </w:tc>
        <w:tc>
          <w:tcPr>
            <w:tcW w:w="1545" w:type="dxa"/>
          </w:tcPr>
          <w:p w14:paraId="2D275306" w14:textId="550C3B73" w:rsidR="002D0C72" w:rsidRPr="00F11A3E" w:rsidRDefault="002D295A" w:rsidP="00F11A3E">
            <w:pPr>
              <w:pStyle w:val="Standard"/>
              <w:spacing w:line="276" w:lineRule="auto"/>
              <w:rPr>
                <w:rFonts w:ascii="Times New Roman" w:hAnsi="Times New Roman" w:cs="Times New Roman"/>
              </w:rPr>
            </w:pPr>
            <w:r w:rsidRPr="00F11A3E">
              <w:rPr>
                <w:rFonts w:ascii="Times New Roman" w:hAnsi="Times New Roman" w:cs="Times New Roman"/>
              </w:rPr>
              <w:t>Expert opinion</w:t>
            </w:r>
          </w:p>
        </w:tc>
      </w:tr>
      <w:tr w:rsidR="00AC1495" w:rsidRPr="00F11A3E" w14:paraId="237B44F3" w14:textId="77777777" w:rsidTr="008C2BB2">
        <w:tc>
          <w:tcPr>
            <w:tcW w:w="1271" w:type="dxa"/>
            <w:vMerge w:val="restart"/>
          </w:tcPr>
          <w:p w14:paraId="7BE109AD" w14:textId="3605A2DC" w:rsidR="002D0C72" w:rsidRPr="00F11A3E" w:rsidRDefault="002D0C72" w:rsidP="00F11A3E">
            <w:pPr>
              <w:pStyle w:val="Standard"/>
              <w:spacing w:line="276" w:lineRule="auto"/>
              <w:rPr>
                <w:rFonts w:ascii="Times New Roman" w:hAnsi="Times New Roman" w:cs="Times New Roman"/>
                <w:b/>
                <w:bCs/>
              </w:rPr>
            </w:pPr>
            <w:r w:rsidRPr="00F11A3E">
              <w:rPr>
                <w:rFonts w:ascii="Times New Roman" w:hAnsi="Times New Roman" w:cs="Times New Roman"/>
                <w:b/>
                <w:bCs/>
              </w:rPr>
              <w:t>WGS facility</w:t>
            </w:r>
          </w:p>
        </w:tc>
        <w:tc>
          <w:tcPr>
            <w:tcW w:w="1418" w:type="dxa"/>
          </w:tcPr>
          <w:p w14:paraId="033D1B80" w14:textId="46D6AF3A"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Sequencing capacity</w:t>
            </w:r>
          </w:p>
        </w:tc>
        <w:tc>
          <w:tcPr>
            <w:tcW w:w="1559" w:type="dxa"/>
          </w:tcPr>
          <w:p w14:paraId="5A54B578" w14:textId="5449B96B"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 xml:space="preserve">The number of biopsies that can be sequenced concurrently at </w:t>
            </w:r>
            <w:r w:rsidRPr="00F11A3E">
              <w:rPr>
                <w:rFonts w:ascii="Times New Roman" w:hAnsi="Times New Roman" w:cs="Times New Roman"/>
              </w:rPr>
              <w:lastRenderedPageBreak/>
              <w:t>any given moment</w:t>
            </w:r>
          </w:p>
        </w:tc>
        <w:tc>
          <w:tcPr>
            <w:tcW w:w="3269" w:type="dxa"/>
          </w:tcPr>
          <w:p w14:paraId="7EC2B0BB" w14:textId="2B5B1BC2" w:rsidR="002D0C72" w:rsidRPr="00F11A3E" w:rsidRDefault="002D0C72" w:rsidP="00F11A3E">
            <w:pPr>
              <w:pStyle w:val="TableContents"/>
              <w:spacing w:line="276" w:lineRule="auto"/>
              <w:rPr>
                <w:rFonts w:ascii="Times New Roman" w:hAnsi="Times New Roman" w:cs="Times New Roman"/>
              </w:rPr>
            </w:pPr>
            <w:r w:rsidRPr="00F11A3E">
              <w:rPr>
                <w:rFonts w:ascii="Times New Roman" w:hAnsi="Times New Roman" w:cs="Times New Roman"/>
              </w:rPr>
              <w:lastRenderedPageBreak/>
              <w:t>Unlimited</w:t>
            </w:r>
          </w:p>
        </w:tc>
        <w:tc>
          <w:tcPr>
            <w:tcW w:w="1545" w:type="dxa"/>
          </w:tcPr>
          <w:p w14:paraId="0E02FB9C" w14:textId="6144ABCE"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Assumption</w:t>
            </w:r>
          </w:p>
        </w:tc>
      </w:tr>
      <w:tr w:rsidR="00AC1495" w:rsidRPr="00F11A3E" w14:paraId="098FE339" w14:textId="77777777" w:rsidTr="008C2BB2">
        <w:tc>
          <w:tcPr>
            <w:tcW w:w="1271" w:type="dxa"/>
            <w:vMerge/>
          </w:tcPr>
          <w:p w14:paraId="7E1B7AA9" w14:textId="77777777" w:rsidR="002D0C72" w:rsidRPr="00F11A3E" w:rsidRDefault="002D0C72" w:rsidP="00F11A3E">
            <w:pPr>
              <w:pStyle w:val="Standard"/>
              <w:spacing w:line="276" w:lineRule="auto"/>
              <w:rPr>
                <w:rFonts w:ascii="Times New Roman" w:hAnsi="Times New Roman" w:cs="Times New Roman"/>
              </w:rPr>
            </w:pPr>
          </w:p>
        </w:tc>
        <w:tc>
          <w:tcPr>
            <w:tcW w:w="1418" w:type="dxa"/>
          </w:tcPr>
          <w:p w14:paraId="7F3D9FAD" w14:textId="6E58E76A"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WGS technical success rate</w:t>
            </w:r>
          </w:p>
        </w:tc>
        <w:tc>
          <w:tcPr>
            <w:tcW w:w="1559" w:type="dxa"/>
          </w:tcPr>
          <w:p w14:paraId="7A239A78" w14:textId="350BBDBE"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 xml:space="preserve">The proportion of biopsies were not successfully sequenced </w:t>
            </w:r>
            <w:r w:rsidR="00CF6EE1" w:rsidRPr="00F11A3E">
              <w:rPr>
                <w:rFonts w:ascii="Times New Roman" w:hAnsi="Times New Roman" w:cs="Times New Roman"/>
              </w:rPr>
              <w:t>even though</w:t>
            </w:r>
            <w:r w:rsidRPr="00F11A3E">
              <w:rPr>
                <w:rFonts w:ascii="Times New Roman" w:hAnsi="Times New Roman" w:cs="Times New Roman"/>
              </w:rPr>
              <w:t xml:space="preserve"> they contained enough tumor cells</w:t>
            </w:r>
          </w:p>
        </w:tc>
        <w:tc>
          <w:tcPr>
            <w:tcW w:w="3269" w:type="dxa"/>
          </w:tcPr>
          <w:p w14:paraId="42E9D9B7" w14:textId="5151976C" w:rsidR="002D0C72" w:rsidRPr="00F11A3E" w:rsidRDefault="002D0C72" w:rsidP="00F11A3E">
            <w:pPr>
              <w:pStyle w:val="TableContents"/>
              <w:spacing w:line="276" w:lineRule="auto"/>
              <w:rPr>
                <w:rFonts w:ascii="Times New Roman" w:hAnsi="Times New Roman" w:cs="Times New Roman"/>
              </w:rPr>
            </w:pPr>
            <w:r w:rsidRPr="00F11A3E">
              <w:rPr>
                <w:rFonts w:ascii="Times New Roman" w:hAnsi="Times New Roman" w:cs="Times New Roman"/>
              </w:rPr>
              <w:t>Beta(p = 570, q = 28) (fraction)</w:t>
            </w:r>
          </w:p>
        </w:tc>
        <w:tc>
          <w:tcPr>
            <w:tcW w:w="1545" w:type="dxa"/>
          </w:tcPr>
          <w:p w14:paraId="20521F85" w14:textId="4319038B"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fldChar w:fldCharType="begin" w:fldLock="1"/>
            </w:r>
            <w:r w:rsidR="00935C50" w:rsidRPr="00F11A3E">
              <w:rPr>
                <w:rFonts w:ascii="Times New Roman" w:hAnsi="Times New Roman" w:cs="Times New Roman"/>
              </w:rPr>
              <w:instrText>ADDIN CSL_CITATION {"citationItems":[{"id":"ITEM-1","itemData":{"DOI":"10.1016/j.annonc.2020.08.083","author":[{"dropping-particle":"","family":"Monkhorst","given":"Kim","non-dropping-particle":"","parse-names":false,"suffix":""},{"dropping-particle":"","family":"Samsom","given":"K.","non-dropping-particle":"","parse-names":false,"suffix":""},{"dropping-particle":"","family":"Schipper","given":"L.","non-dropping-particle":"","parse-names":false,"suffix":""},{"dropping-particle":"","family":"Roepman","given":"P.","non-dropping-particle":"","parse-names":false,"suffix":""},{"dropping-particle":"","family":"Bosch","given":"L.","non-dropping-particle":"","parse-names":false,"suffix":""},{"dropping-particle":"de","family":"Bruijn","given":"E.","non-dropping-particle":"","parse-names":false,"suffix":""},{"dropping-particle":"","family":"Hoes","given":"L.R.","non-dropping-particle":"","parse-names":false,"suffix":""},{"dropping-particle":"","family":"Riethorst","given":"I.","non-dropping-particle":"","parse-names":false,"suffix":""},{"dropping-particle":"","family":"Schoenmaker","given":"L.","non-dropping-particle":"","parse-names":false,"suffix":""},{"dropping-particle":"van der","family":"Kolk","given":"L.","non-dropping-particle":"","parse-names":false,"suffix":""},{"dropping-particle":"","family":"Buffart","given":"T.","non-dropping-particle":"","parse-names":false,"suffix":""},{"dropping-particle":"van der","family":"Hoeven","given":"K.","non-dropping-particle":"","parse-names":false,"suffix":""},{"dropping-particle":"","family":"Voest","given":"E.E.","non-dropping-particle":"","parse-names":false,"suffix":""},{"dropping-particle":"","family":"Cuppen","given":"E.","non-dropping-particle":"","parse-names":false,"suffix":""},{"dropping-particle":"","family":"Meijer","given":"G.","non-dropping-particle":"","parse-names":false,"suffix":""}],"container-title":"ESMO Annual Meeting","id":"ITEM-1","issued":{"date-parts":[["2020"]]},"page":"1189O","title":"Validation of whole genome sequencing in routine clinical practice","type":"article-journal","volume":"31"},"uris":["http://www.mendeley.com/documents/?uuid=de8fe664-2e60-316e-acf2-150035de92b6"]}],"mendeley":{"formattedCitation":"(14)","plainTextFormattedCitation":"(14)","previouslyFormattedCitation":"[14]"},"properties":{"noteIndex":0},"schema":"https://github.com/citation-style-language/schema/raw/master/csl-citation.json"}</w:instrText>
            </w:r>
            <w:r w:rsidRPr="00F11A3E">
              <w:rPr>
                <w:rFonts w:ascii="Times New Roman" w:hAnsi="Times New Roman" w:cs="Times New Roman"/>
              </w:rPr>
              <w:fldChar w:fldCharType="separate"/>
            </w:r>
            <w:r w:rsidR="00935C50" w:rsidRPr="00F11A3E">
              <w:rPr>
                <w:rFonts w:ascii="Times New Roman" w:hAnsi="Times New Roman" w:cs="Times New Roman"/>
                <w:noProof/>
              </w:rPr>
              <w:t>(14)</w:t>
            </w:r>
            <w:r w:rsidRPr="00F11A3E">
              <w:rPr>
                <w:rFonts w:ascii="Times New Roman" w:hAnsi="Times New Roman" w:cs="Times New Roman"/>
              </w:rPr>
              <w:fldChar w:fldCharType="end"/>
            </w:r>
          </w:p>
        </w:tc>
      </w:tr>
      <w:tr w:rsidR="00AC1495" w:rsidRPr="00F11A3E" w14:paraId="25E725EA" w14:textId="77777777" w:rsidTr="008C2BB2">
        <w:tc>
          <w:tcPr>
            <w:tcW w:w="1271" w:type="dxa"/>
            <w:vMerge/>
          </w:tcPr>
          <w:p w14:paraId="41F749B3" w14:textId="77777777" w:rsidR="002D0C72" w:rsidRPr="00F11A3E" w:rsidRDefault="002D0C72" w:rsidP="00F11A3E">
            <w:pPr>
              <w:pStyle w:val="Standard"/>
              <w:spacing w:line="276" w:lineRule="auto"/>
              <w:rPr>
                <w:rFonts w:ascii="Times New Roman" w:hAnsi="Times New Roman" w:cs="Times New Roman"/>
              </w:rPr>
            </w:pPr>
          </w:p>
        </w:tc>
        <w:tc>
          <w:tcPr>
            <w:tcW w:w="1418" w:type="dxa"/>
          </w:tcPr>
          <w:p w14:paraId="46D32B59" w14:textId="12B2DD19"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Turnaround time WGS</w:t>
            </w:r>
          </w:p>
        </w:tc>
        <w:tc>
          <w:tcPr>
            <w:tcW w:w="1559" w:type="dxa"/>
          </w:tcPr>
          <w:p w14:paraId="2E32CE93" w14:textId="021B3A4B"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Represents turnaround time of WGS in days</w:t>
            </w:r>
          </w:p>
        </w:tc>
        <w:tc>
          <w:tcPr>
            <w:tcW w:w="3269" w:type="dxa"/>
          </w:tcPr>
          <w:p w14:paraId="6E2B9DB0" w14:textId="1B298923" w:rsidR="002D0C72" w:rsidRPr="00F11A3E" w:rsidRDefault="002D0C72" w:rsidP="00F11A3E">
            <w:pPr>
              <w:pStyle w:val="TableContents"/>
              <w:spacing w:line="276" w:lineRule="auto"/>
              <w:rPr>
                <w:rFonts w:ascii="Times New Roman" w:hAnsi="Times New Roman" w:cs="Times New Roman"/>
              </w:rPr>
            </w:pPr>
            <w:r w:rsidRPr="00F11A3E">
              <w:rPr>
                <w:rFonts w:ascii="Times New Roman" w:hAnsi="Times New Roman" w:cs="Times New Roman"/>
              </w:rPr>
              <w:t>Truncated normal distribution (min = 7, max = 21, mean = 14, sigma = 3) (continuous)</w:t>
            </w:r>
          </w:p>
        </w:tc>
        <w:tc>
          <w:tcPr>
            <w:tcW w:w="1545" w:type="dxa"/>
          </w:tcPr>
          <w:p w14:paraId="09D3BB4D" w14:textId="5E501415"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 xml:space="preserve">Mean: </w:t>
            </w:r>
            <w:r w:rsidRPr="00F11A3E">
              <w:rPr>
                <w:rFonts w:ascii="Times New Roman" w:hAnsi="Times New Roman" w:cs="Times New Roman"/>
              </w:rPr>
              <w:fldChar w:fldCharType="begin" w:fldLock="1"/>
            </w:r>
            <w:r w:rsidR="00935C50" w:rsidRPr="00F11A3E">
              <w:rPr>
                <w:rFonts w:ascii="Times New Roman" w:hAnsi="Times New Roman" w:cs="Times New Roman"/>
              </w:rPr>
              <w:instrText>ADDIN CSL_CITATION {"citationItems":[{"id":"ITEM-1","itemData":{"DOI":"10.1016/j.annonc.2020.08.083","author":[{"dropping-particle":"","family":"Monkhorst","given":"Kim","non-dropping-particle":"","parse-names":false,"suffix":""},{"dropping-particle":"","family":"Samsom","given":"K.","non-dropping-particle":"","parse-names":false,"suffix":""},{"dropping-particle":"","family":"Schipper","given":"L.","non-dropping-particle":"","parse-names":false,"suffix":""},{"dropping-particle":"","family":"Roepman","given":"P.","non-dropping-particle":"","parse-names":false,"suffix":""},{"dropping-particle":"","family":"Bosch","given":"L.","non-dropping-particle":"","parse-names":false,"suffix":""},{"dropping-particle":"de","family":"Bruijn","given":"E.","non-dropping-particle":"","parse-names":false,"suffix":""},{"dropping-particle":"","family":"Hoes","given":"L.R.","non-dropping-particle":"","parse-names":false,"suffix":""},{"dropping-particle":"","family":"Riethorst","given":"I.","non-dropping-particle":"","parse-names":false,"suffix":""},{"dropping-particle":"","family":"Schoenmaker","given":"L.","non-dropping-particle":"","parse-names":false,"suffix":""},{"dropping-particle":"van der","family":"Kolk","given":"L.","non-dropping-particle":"","parse-names":false,"suffix":""},{"dropping-particle":"","family":"Buffart","given":"T.","non-dropping-particle":"","parse-names":false,"suffix":""},{"dropping-particle":"van der","family":"Hoeven","given":"K.","non-dropping-particle":"","parse-names":false,"suffix":""},{"dropping-particle":"","family":"Voest","given":"E.E.","non-dropping-particle":"","parse-names":false,"suffix":""},{"dropping-particle":"","family":"Cuppen","given":"E.","non-dropping-particle":"","parse-names":false,"suffix":""},{"dropping-particle":"","family":"Meijer","given":"G.","non-dropping-particle":"","parse-names":false,"suffix":""}],"container-title":"ESMO Annual Meeting","id":"ITEM-1","issued":{"date-parts":[["2020"]]},"page":"1189O","title":"Validation of whole genome sequencing in routine clinical practice","type":"article-journal","volume":"31"},"uris":["http://www.mendeley.com/documents/?uuid=de8fe664-2e60-316e-acf2-150035de92b6"]}],"mendeley":{"formattedCitation":"(14)","plainTextFormattedCitation":"(14)","previouslyFormattedCitation":"[14]"},"properties":{"noteIndex":0},"schema":"https://github.com/citation-style-language/schema/raw/master/csl-citation.json"}</w:instrText>
            </w:r>
            <w:r w:rsidRPr="00F11A3E">
              <w:rPr>
                <w:rFonts w:ascii="Times New Roman" w:hAnsi="Times New Roman" w:cs="Times New Roman"/>
              </w:rPr>
              <w:fldChar w:fldCharType="separate"/>
            </w:r>
            <w:r w:rsidR="00935C50" w:rsidRPr="00F11A3E">
              <w:rPr>
                <w:rFonts w:ascii="Times New Roman" w:hAnsi="Times New Roman" w:cs="Times New Roman"/>
                <w:noProof/>
              </w:rPr>
              <w:t>(14)</w:t>
            </w:r>
            <w:r w:rsidRPr="00F11A3E">
              <w:rPr>
                <w:rFonts w:ascii="Times New Roman" w:hAnsi="Times New Roman" w:cs="Times New Roman"/>
              </w:rPr>
              <w:fldChar w:fldCharType="end"/>
            </w:r>
          </w:p>
          <w:p w14:paraId="1A4D634C" w14:textId="3A1EA1CB" w:rsidR="002D0C72" w:rsidRPr="00F11A3E" w:rsidRDefault="00787BC4" w:rsidP="00F11A3E">
            <w:pPr>
              <w:pStyle w:val="Standard"/>
              <w:spacing w:line="276" w:lineRule="auto"/>
              <w:rPr>
                <w:rFonts w:ascii="Times New Roman" w:hAnsi="Times New Roman" w:cs="Times New Roman"/>
              </w:rPr>
            </w:pPr>
            <w:r w:rsidRPr="00F11A3E">
              <w:rPr>
                <w:rFonts w:ascii="Times New Roman" w:hAnsi="Times New Roman" w:cs="Times New Roman"/>
              </w:rPr>
              <w:t>Type of d</w:t>
            </w:r>
            <w:r w:rsidR="002D0C72" w:rsidRPr="00F11A3E">
              <w:rPr>
                <w:rFonts w:ascii="Times New Roman" w:hAnsi="Times New Roman" w:cs="Times New Roman"/>
              </w:rPr>
              <w:t xml:space="preserve">istribution, min, max, sigma is based on assumption. </w:t>
            </w:r>
          </w:p>
        </w:tc>
      </w:tr>
      <w:tr w:rsidR="00AC1495" w:rsidRPr="00F11A3E" w14:paraId="183E5233" w14:textId="77777777" w:rsidTr="008C2BB2">
        <w:tc>
          <w:tcPr>
            <w:tcW w:w="1271" w:type="dxa"/>
            <w:vMerge/>
          </w:tcPr>
          <w:p w14:paraId="1091FF5C" w14:textId="77777777" w:rsidR="002D0C72" w:rsidRPr="00F11A3E" w:rsidRDefault="002D0C72" w:rsidP="00F11A3E">
            <w:pPr>
              <w:pStyle w:val="Standard"/>
              <w:spacing w:line="276" w:lineRule="auto"/>
              <w:rPr>
                <w:rFonts w:ascii="Times New Roman" w:hAnsi="Times New Roman" w:cs="Times New Roman"/>
              </w:rPr>
            </w:pPr>
          </w:p>
        </w:tc>
        <w:tc>
          <w:tcPr>
            <w:tcW w:w="1418" w:type="dxa"/>
          </w:tcPr>
          <w:p w14:paraId="4BFE24C4" w14:textId="748A2E61"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Cost shallow WGS</w:t>
            </w:r>
          </w:p>
        </w:tc>
        <w:tc>
          <w:tcPr>
            <w:tcW w:w="1559" w:type="dxa"/>
          </w:tcPr>
          <w:p w14:paraId="6FD563D1" w14:textId="1F39A290"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The cost of conducting shallow WGS on one biopsy</w:t>
            </w:r>
          </w:p>
        </w:tc>
        <w:tc>
          <w:tcPr>
            <w:tcW w:w="3269" w:type="dxa"/>
          </w:tcPr>
          <w:p w14:paraId="6863495A" w14:textId="18EB55D3" w:rsidR="002D0C72" w:rsidRPr="00F11A3E" w:rsidRDefault="002D0C72" w:rsidP="00F11A3E">
            <w:pPr>
              <w:pStyle w:val="TableContents"/>
              <w:spacing w:line="276" w:lineRule="auto"/>
              <w:rPr>
                <w:rFonts w:ascii="Times New Roman" w:hAnsi="Times New Roman" w:cs="Times New Roman"/>
              </w:rPr>
            </w:pPr>
            <w:r w:rsidRPr="00F11A3E">
              <w:rPr>
                <w:rFonts w:ascii="Times New Roman" w:hAnsi="Times New Roman" w:cs="Times New Roman"/>
              </w:rPr>
              <w:t>25% * Cost WGS (continuous)</w:t>
            </w:r>
          </w:p>
        </w:tc>
        <w:tc>
          <w:tcPr>
            <w:tcW w:w="1545" w:type="dxa"/>
          </w:tcPr>
          <w:p w14:paraId="4401E86C" w14:textId="7FFB5526"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Expert opinion</w:t>
            </w:r>
          </w:p>
        </w:tc>
      </w:tr>
      <w:tr w:rsidR="00AC1495" w:rsidRPr="00F11A3E" w14:paraId="2D9A2B28" w14:textId="77777777" w:rsidTr="008C2BB2">
        <w:tc>
          <w:tcPr>
            <w:tcW w:w="1271" w:type="dxa"/>
            <w:vMerge/>
          </w:tcPr>
          <w:p w14:paraId="74C43F44" w14:textId="77777777" w:rsidR="002D0C72" w:rsidRPr="00F11A3E" w:rsidRDefault="002D0C72" w:rsidP="00F11A3E">
            <w:pPr>
              <w:pStyle w:val="Standard"/>
              <w:spacing w:line="276" w:lineRule="auto"/>
              <w:rPr>
                <w:rFonts w:ascii="Times New Roman" w:hAnsi="Times New Roman" w:cs="Times New Roman"/>
              </w:rPr>
            </w:pPr>
          </w:p>
        </w:tc>
        <w:tc>
          <w:tcPr>
            <w:tcW w:w="1418" w:type="dxa"/>
          </w:tcPr>
          <w:p w14:paraId="27BC061F" w14:textId="28519B37"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Shallow WGS quality assessment</w:t>
            </w:r>
          </w:p>
        </w:tc>
        <w:tc>
          <w:tcPr>
            <w:tcW w:w="1559" w:type="dxa"/>
          </w:tcPr>
          <w:p w14:paraId="734394D2" w14:textId="664AF941"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 xml:space="preserve">The probability that a given biopsy fails the quality assessment by shallow WGS </w:t>
            </w:r>
          </w:p>
        </w:tc>
        <w:tc>
          <w:tcPr>
            <w:tcW w:w="3269" w:type="dxa"/>
          </w:tcPr>
          <w:p w14:paraId="02B13A06" w14:textId="422AF29C" w:rsidR="002D0C72" w:rsidRPr="00F11A3E" w:rsidRDefault="002D0C72" w:rsidP="00F11A3E">
            <w:pPr>
              <w:pStyle w:val="TableContents"/>
              <w:spacing w:line="276" w:lineRule="auto"/>
              <w:rPr>
                <w:rFonts w:ascii="Times New Roman" w:hAnsi="Times New Roman" w:cs="Times New Roman"/>
              </w:rPr>
            </w:pPr>
            <w:r w:rsidRPr="00F11A3E">
              <w:rPr>
                <w:rFonts w:ascii="Times New Roman" w:hAnsi="Times New Roman" w:cs="Times New Roman"/>
              </w:rPr>
              <w:t>Beta(p = 28, q = 570) (fraction)</w:t>
            </w:r>
          </w:p>
        </w:tc>
        <w:tc>
          <w:tcPr>
            <w:tcW w:w="1545" w:type="dxa"/>
          </w:tcPr>
          <w:p w14:paraId="640BA3DC" w14:textId="0F8FA33C"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fldChar w:fldCharType="begin" w:fldLock="1"/>
            </w:r>
            <w:r w:rsidR="00935C50" w:rsidRPr="00F11A3E">
              <w:rPr>
                <w:rFonts w:ascii="Times New Roman" w:hAnsi="Times New Roman" w:cs="Times New Roman"/>
              </w:rPr>
              <w:instrText>ADDIN CSL_CITATION {"citationItems":[{"id":"ITEM-1","itemData":{"DOI":"10.1016/j.annonc.2020.08.083","author":[{"dropping-particle":"","family":"Monkhorst","given":"Kim","non-dropping-particle":"","parse-names":false,"suffix":""},{"dropping-particle":"","family":"Samsom","given":"K.","non-dropping-particle":"","parse-names":false,"suffix":""},{"dropping-particle":"","family":"Schipper","given":"L.","non-dropping-particle":"","parse-names":false,"suffix":""},{"dropping-particle":"","family":"Roepman","given":"P.","non-dropping-particle":"","parse-names":false,"suffix":""},{"dropping-particle":"","family":"Bosch","given":"L.","non-dropping-particle":"","parse-names":false,"suffix":""},{"dropping-particle":"de","family":"Bruijn","given":"E.","non-dropping-particle":"","parse-names":false,"suffix":""},{"dropping-particle":"","family":"Hoes","given":"L.R.","non-dropping-particle":"","parse-names":false,"suffix":""},{"dropping-particle":"","family":"Riethorst","given":"I.","non-dropping-particle":"","parse-names":false,"suffix":""},{"dropping-particle":"","family":"Schoenmaker","given":"L.","non-dropping-particle":"","parse-names":false,"suffix":""},{"dropping-particle":"van der","family":"Kolk","given":"L.","non-dropping-particle":"","parse-names":false,"suffix":""},{"dropping-particle":"","family":"Buffart","given":"T.","non-dropping-particle":"","parse-names":false,"suffix":""},{"dropping-particle":"van der","family":"Hoeven","given":"K.","non-dropping-particle":"","parse-names":false,"suffix":""},{"dropping-particle":"","family":"Voest","given":"E.E.","non-dropping-particle":"","parse-names":false,"suffix":""},{"dropping-particle":"","family":"Cuppen","given":"E.","non-dropping-particle":"","parse-names":false,"suffix":""},{"dropping-particle":"","family":"Meijer","given":"G.","non-dropping-particle":"","parse-names":false,"suffix":""}],"container-title":"ESMO Annual Meeting","id":"ITEM-1","issued":{"date-parts":[["2020"]]},"page":"1189O","title":"Validation of whole genome sequencing in routine clinical practice","type":"article-journal","volume":"31"},"uris":["http://www.mendeley.com/documents/?uuid=de8fe664-2e60-316e-acf2-150035de92b6"]}],"mendeley":{"formattedCitation":"(14)","plainTextFormattedCitation":"(14)","previouslyFormattedCitation":"[14]"},"properties":{"noteIndex":0},"schema":"https://github.com/citation-style-language/schema/raw/master/csl-citation.json"}</w:instrText>
            </w:r>
            <w:r w:rsidRPr="00F11A3E">
              <w:rPr>
                <w:rFonts w:ascii="Times New Roman" w:hAnsi="Times New Roman" w:cs="Times New Roman"/>
              </w:rPr>
              <w:fldChar w:fldCharType="separate"/>
            </w:r>
            <w:r w:rsidR="00935C50" w:rsidRPr="00F11A3E">
              <w:rPr>
                <w:rFonts w:ascii="Times New Roman" w:hAnsi="Times New Roman" w:cs="Times New Roman"/>
                <w:noProof/>
              </w:rPr>
              <w:t>(14)</w:t>
            </w:r>
            <w:r w:rsidRPr="00F11A3E">
              <w:rPr>
                <w:rFonts w:ascii="Times New Roman" w:hAnsi="Times New Roman" w:cs="Times New Roman"/>
              </w:rPr>
              <w:fldChar w:fldCharType="end"/>
            </w:r>
          </w:p>
        </w:tc>
      </w:tr>
      <w:tr w:rsidR="00AC1495" w:rsidRPr="00F11A3E" w14:paraId="1990A180" w14:textId="77777777" w:rsidTr="008C2BB2">
        <w:tc>
          <w:tcPr>
            <w:tcW w:w="1271" w:type="dxa"/>
            <w:vMerge w:val="restart"/>
          </w:tcPr>
          <w:p w14:paraId="5809F983" w14:textId="4E1B92B2" w:rsidR="002D0C72" w:rsidRPr="00F11A3E" w:rsidRDefault="002D0C72" w:rsidP="00F11A3E">
            <w:pPr>
              <w:pStyle w:val="Standard"/>
              <w:spacing w:line="276" w:lineRule="auto"/>
              <w:rPr>
                <w:rFonts w:ascii="Times New Roman" w:hAnsi="Times New Roman" w:cs="Times New Roman"/>
                <w:b/>
                <w:bCs/>
              </w:rPr>
            </w:pPr>
            <w:r w:rsidRPr="00F11A3E">
              <w:rPr>
                <w:rFonts w:ascii="Times New Roman" w:hAnsi="Times New Roman" w:cs="Times New Roman"/>
                <w:b/>
                <w:bCs/>
              </w:rPr>
              <w:t>Hospital (academic, teaching, general)</w:t>
            </w:r>
          </w:p>
        </w:tc>
        <w:tc>
          <w:tcPr>
            <w:tcW w:w="1418" w:type="dxa"/>
          </w:tcPr>
          <w:p w14:paraId="11B5ECC3" w14:textId="00DE32CA"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NGS technical success rate</w:t>
            </w:r>
          </w:p>
        </w:tc>
        <w:tc>
          <w:tcPr>
            <w:tcW w:w="1559" w:type="dxa"/>
          </w:tcPr>
          <w:p w14:paraId="0B48A3F9" w14:textId="56BEA1BD"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Probability that an NGS panel is successfully conducted</w:t>
            </w:r>
          </w:p>
        </w:tc>
        <w:tc>
          <w:tcPr>
            <w:tcW w:w="3269" w:type="dxa"/>
          </w:tcPr>
          <w:p w14:paraId="7CC74498" w14:textId="02B04F50" w:rsidR="002D0C72" w:rsidRPr="00F11A3E" w:rsidRDefault="002D0C72" w:rsidP="00F11A3E">
            <w:pPr>
              <w:pStyle w:val="TableContents"/>
              <w:spacing w:line="276" w:lineRule="auto"/>
              <w:rPr>
                <w:rFonts w:ascii="Times New Roman" w:hAnsi="Times New Roman" w:cs="Times New Roman"/>
              </w:rPr>
            </w:pPr>
            <w:r w:rsidRPr="00F11A3E">
              <w:rPr>
                <w:rFonts w:ascii="Times New Roman" w:hAnsi="Times New Roman" w:cs="Times New Roman"/>
              </w:rPr>
              <w:t>Beta(p = 845.775, q = 49.225) (fraction)</w:t>
            </w:r>
          </w:p>
        </w:tc>
        <w:tc>
          <w:tcPr>
            <w:tcW w:w="1545" w:type="dxa"/>
          </w:tcPr>
          <w:p w14:paraId="4F4D3E23" w14:textId="48B8B92B"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fldChar w:fldCharType="begin" w:fldLock="1"/>
            </w:r>
            <w:r w:rsidR="00935C50" w:rsidRPr="00F11A3E">
              <w:rPr>
                <w:rFonts w:ascii="Times New Roman" w:hAnsi="Times New Roman" w:cs="Times New Roman"/>
              </w:rPr>
              <w:instrText>ADDIN CSL_CITATION {"citationItems":[{"id":"ITEM-1","itemData":{"DOI":"10.1016/j.lungcan.2018.01.002","ISSN":"18728332","abstract":"Introduction Although a growing list of essential genomic/immune-based biomarkers are linked to approved non-small-cell lung cancer (NSCLC) therapies worldwide, few reports have detailed the evolution of NSCLC predictive biomarker assessment in routine clinical practice. Methods We retrospectively reviewed the first one thousand plus NSCLC patient specimens from our institution analyzed for predictive biomarkers from 2004 to 2017 and evaluated patterns of testing as well as correlation with clinical-pathologic characteristics. Results The majority of 1009 NSCLC patients had advanced stages of adenocarcinoma with most tissues obtained from the lung, mediastinal/hilar nodes, or pleura. The majority of testing was performed on cytology or small biopsy specimens. All were tested for EGFR mutations, 895 for ALK rearrangement, 841 for KRAS mutation, 537 for ROS1 rearrangement, and 179 using comprehensive genomic profiling. Implementation of near-universal genomic biomarker testing at our institution for EGFR, ALK, ROS1 and PD-L1 all occurred within the first year following evidence of clinical activity or regulatory body approval of an associated inhibitor. The overall testing failure rate after use of the best specimen for the most common tests was ≤5.5%. A quarter of tumors had a driver oncogene identified (EGFR/ALK/ROS1/BRAF V600E) with an approved oral targeted therapy, with the highest prevalence in those patients with no or light (≤15 pack-years) history of tobacco use. Conclusions Tumor biomarker testing using clinical NSCLC specimens in routine oncologic care evolves rapidly following approval of targeted therapies linked to diagnostic assays. Our practice's decade plus experience highlights the rapid evolution of biomarker testing and confirms the therapeutic relevance of such testing in all patients—particularly those patients with light/no history of tobacco use.","author":[{"dropping-particle":"","family":"VanderLaan","given":"Paul A.","non-dropping-particle":"","parse-names":false,"suffix":""},{"dropping-particle":"","family":"Rangachari","given":"Deepa","non-dropping-particle":"","parse-names":false,"suffix":""},{"dropping-particle":"","family":"Majid","given":"Adnan","non-dropping-particle":"","parse-names":false,"suffix":""},{"dropping-particle":"","family":"Parikh","given":"Mihir S.","non-dropping-particle":"","parse-names":false,"suffix":""},{"dropping-particle":"","family":"Gangadharan","given":"Sidharta P.","non-dropping-particle":"","parse-names":false,"suffix":""},{"dropping-particle":"","family":"Kent","given":"Michael S.","non-dropping-particle":"","parse-names":false,"suffix":""},{"dropping-particle":"","family":"McDonald","given":"Danielle C.","non-dropping-particle":"","parse-names":false,"suffix":""},{"dropping-particle":"","family":"Huberman","given":"Mark S.","non-dropping-particle":"","parse-names":false,"suffix":""},{"dropping-particle":"","family":"Kobayashi","given":"Susumu S.","non-dropping-particle":"","parse-names":false,"suffix":""},{"dropping-particle":"","family":"Costa","given":"Daniel B.","non-dropping-particle":"","parse-names":false,"suffix":""}],"container-title":"Lung Cancer","id":"ITEM-1","issue":"December 2017","issued":{"date-parts":[["2018"]]},"page":"90-95","publisher":"Elsevier","title":"Tumor biomarker testing in non-small-cell lung cancer: A decade of change","type":"article-journal","volume":"116"},"uris":["http://www.mendeley.com/documents/?uuid=2a617aaf-4da0-48fe-96b7-083a389396e2"]}],"mendeley":{"formattedCitation":"(9)","plainTextFormattedCitation":"(9)","previouslyFormattedCitation":"[9]"},"properties":{"noteIndex":0},"schema":"https://github.com/citation-style-language/schema/raw/master/csl-citation.json"}</w:instrText>
            </w:r>
            <w:r w:rsidRPr="00F11A3E">
              <w:rPr>
                <w:rFonts w:ascii="Times New Roman" w:hAnsi="Times New Roman" w:cs="Times New Roman"/>
              </w:rPr>
              <w:fldChar w:fldCharType="separate"/>
            </w:r>
            <w:r w:rsidR="00935C50" w:rsidRPr="00F11A3E">
              <w:rPr>
                <w:rFonts w:ascii="Times New Roman" w:hAnsi="Times New Roman" w:cs="Times New Roman"/>
                <w:noProof/>
              </w:rPr>
              <w:t>(9)</w:t>
            </w:r>
            <w:r w:rsidRPr="00F11A3E">
              <w:rPr>
                <w:rFonts w:ascii="Times New Roman" w:hAnsi="Times New Roman" w:cs="Times New Roman"/>
              </w:rPr>
              <w:fldChar w:fldCharType="end"/>
            </w:r>
          </w:p>
          <w:p w14:paraId="039F83D1" w14:textId="128D4B2C" w:rsidR="002D0C72" w:rsidRPr="00F11A3E" w:rsidRDefault="002D0C72" w:rsidP="00F11A3E">
            <w:pPr>
              <w:pStyle w:val="Standard"/>
              <w:spacing w:line="276" w:lineRule="auto"/>
              <w:rPr>
                <w:rFonts w:ascii="Times New Roman" w:hAnsi="Times New Roman" w:cs="Times New Roman"/>
              </w:rPr>
            </w:pPr>
          </w:p>
        </w:tc>
      </w:tr>
      <w:tr w:rsidR="00AC1495" w:rsidRPr="00F11A3E" w14:paraId="6005ABB4" w14:textId="77777777" w:rsidTr="008C2BB2">
        <w:tc>
          <w:tcPr>
            <w:tcW w:w="1271" w:type="dxa"/>
            <w:vMerge/>
          </w:tcPr>
          <w:p w14:paraId="310EE8AE" w14:textId="77777777" w:rsidR="002D0C72" w:rsidRPr="00F11A3E" w:rsidRDefault="002D0C72" w:rsidP="00F11A3E">
            <w:pPr>
              <w:pStyle w:val="Standard"/>
              <w:spacing w:line="276" w:lineRule="auto"/>
              <w:rPr>
                <w:rFonts w:ascii="Times New Roman" w:hAnsi="Times New Roman" w:cs="Times New Roman"/>
              </w:rPr>
            </w:pPr>
          </w:p>
        </w:tc>
        <w:tc>
          <w:tcPr>
            <w:tcW w:w="1418" w:type="dxa"/>
          </w:tcPr>
          <w:p w14:paraId="240123AB" w14:textId="21CAFC22"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Cost WGS</w:t>
            </w:r>
          </w:p>
        </w:tc>
        <w:tc>
          <w:tcPr>
            <w:tcW w:w="1559" w:type="dxa"/>
          </w:tcPr>
          <w:p w14:paraId="5AC22366" w14:textId="0175808C"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The cost of conducting WGS for one patient with NSCLC</w:t>
            </w:r>
          </w:p>
        </w:tc>
        <w:tc>
          <w:tcPr>
            <w:tcW w:w="3269" w:type="dxa"/>
          </w:tcPr>
          <w:p w14:paraId="64D4D672" w14:textId="1E88F075" w:rsidR="002D0C72" w:rsidRPr="00F11A3E" w:rsidRDefault="001E41EC" w:rsidP="00F11A3E">
            <w:pPr>
              <w:pStyle w:val="TableContents"/>
              <w:spacing w:line="276" w:lineRule="auto"/>
              <w:rPr>
                <w:rFonts w:ascii="Times New Roman" w:hAnsi="Times New Roman" w:cs="Times New Roman"/>
              </w:rPr>
            </w:pPr>
            <w:r w:rsidRPr="00F11A3E">
              <w:rPr>
                <w:rFonts w:ascii="Times New Roman" w:hAnsi="Times New Roman" w:cs="Times New Roman"/>
              </w:rPr>
              <w:t>2925.25</w:t>
            </w:r>
            <w:r w:rsidR="002D0C72" w:rsidRPr="00F11A3E">
              <w:rPr>
                <w:rFonts w:ascii="Times New Roman" w:hAnsi="Times New Roman" w:cs="Times New Roman"/>
              </w:rPr>
              <w:t xml:space="preserve"> euro (continuous)</w:t>
            </w:r>
          </w:p>
        </w:tc>
        <w:tc>
          <w:tcPr>
            <w:tcW w:w="1545" w:type="dxa"/>
          </w:tcPr>
          <w:p w14:paraId="5433BDD0" w14:textId="7CEA734D"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fldChar w:fldCharType="begin" w:fldLock="1"/>
            </w:r>
            <w:r w:rsidR="00935C50" w:rsidRPr="00F11A3E">
              <w:rPr>
                <w:rFonts w:ascii="Times New Roman" w:hAnsi="Times New Roman" w:cs="Times New Roman"/>
              </w:rPr>
              <w:instrText>ADDIN CSL_CITATION {"citationItems":[{"id":"ITEM-1","itemData":{"DOI":"10.1080/14737167.2021.1917385","ISSN":"17448379","PMID":"33852815","abstract":"Purpose: Predictive diagnostics play an increasingly important role in personalized medicine for cancer treatment. Whole-genome sequencing (WGS)-based treatment selection is expected to rapidly increase worldwide. This study aimed to calculate and compare the total cost of currently used diagnostic techniques and of WGS in treatment of non-small cell lung carcinoma (NSCLC), melanoma, colorectal cancer (CRC), and gastrointestinal stromal tumor (GIST) in the Netherlands. Methods: The activity-based costing (ABC) method was conducted to calculate total cost of included diagnostic techniques based on data provided by Dutch pathology laboratories and the Dutch-centralized cancer WGS facility. Costs were allocated to four categories: capital costs, maintenance costs, software costs, and operational costs. Results: The total cost per cancer patient per technique varied from € 58 (Sanger sequencing, three amplicons) to € 2925 (paired tumor-normal WGS). The operational costs accounted for the vast majority (over 90%) of the total per cancer patient technique costs. Conclusion: This study outlined in detail all costing aspects and cost prices of current and new diagnostic modalities used in treatment of NSCLC, melanoma, CRC, and GIST in the Netherlands. Detailed cost differences and value comparisons between these diagnostic techniques enable future economic evaluations to support decision-making.","author":[{"dropping-particle":"","family":"Pasmans","given":"Clémence T.B.","non-dropping-particle":"","parse-names":false,"suffix":""},{"dropping-particle":"","family":"Tops","given":"Bastiaan B.J.","non-dropping-particle":"","parse-names":false,"suffix":""},{"dropping-particle":"","family":"Steeghs","given":"Elisabeth M.P.","non-dropping-particle":"","parse-names":false,"suffix":""},{"dropping-particle":"","family":"Coupé","given":"Veerle M.H.","non-dropping-particle":"","parse-names":false,"suffix":""},{"dropping-particle":"","family":"Grünberg","given":"Katrien","non-dropping-particle":"","parse-names":false,"suffix":""},{"dropping-particle":"","family":"Jong","given":"Eiko K.","non-dropping-particle":"de","parse-names":false,"suffix":""},{"dropping-particle":"","family":"Schuuring","given":"Ed M.D.","non-dropping-particle":"","parse-names":false,"suffix":""},{"dropping-particle":"","family":"Willems","given":"Stefan M.","non-dropping-particle":"","parse-names":false,"suffix":""},{"dropping-particle":"","family":"Ligtenberg","given":"Marjolijn J.l.","non-dropping-particle":"","parse-names":false,"suffix":""},{"dropping-particle":"","family":"Retèl","given":"Valesca P.","non-dropping-particle":"","parse-names":false,"suffix":""},{"dropping-particle":"","family":"Snellenberg","given":"Hans","non-dropping-particle":"van","parse-names":false,"suffix":""},{"dropping-particle":"","family":"Bruijn","given":"Ewart","non-dropping-particle":"de","parse-names":false,"suffix":""},{"dropping-particle":"","family":"Cuppen","given":"Edwin","non-dropping-particle":"","parse-names":false,"suffix":""},{"dropping-particle":"","family":"Frederix","given":"Geert W.J.","non-dropping-particle":"","parse-names":false,"suffix":""}],"container-title":"Expert Review of Pharmacoeconomics and Outcomes Research","id":"ITEM-1","issue":"3","issued":{"date-parts":[["2021","5","6"]]},"page":"413-414","publisher":"Taylor &amp; Francis","title":"Micro-costing diagnostics in oncology: from single-gene testing to whole- genome sequencing","type":"article-journal","volume":"21"},"uris":["http://www.mendeley.com/documents/?uuid=09afbf93-9053-4e30-a147-3ffd76c3afea"]}],"mendeley":{"formattedCitation":"(15)","plainTextFormattedCitation":"(15)","previouslyFormattedCitation":"[15]"},"properties":{"noteIndex":0},"schema":"https://github.com/citation-style-language/schema/raw/master/csl-citation.json"}</w:instrText>
            </w:r>
            <w:r w:rsidRPr="00F11A3E">
              <w:rPr>
                <w:rFonts w:ascii="Times New Roman" w:hAnsi="Times New Roman" w:cs="Times New Roman"/>
              </w:rPr>
              <w:fldChar w:fldCharType="separate"/>
            </w:r>
            <w:r w:rsidR="00935C50" w:rsidRPr="00F11A3E">
              <w:rPr>
                <w:rFonts w:ascii="Times New Roman" w:hAnsi="Times New Roman" w:cs="Times New Roman"/>
                <w:noProof/>
              </w:rPr>
              <w:t>(15)</w:t>
            </w:r>
            <w:r w:rsidRPr="00F11A3E">
              <w:rPr>
                <w:rFonts w:ascii="Times New Roman" w:hAnsi="Times New Roman" w:cs="Times New Roman"/>
              </w:rPr>
              <w:fldChar w:fldCharType="end"/>
            </w:r>
          </w:p>
        </w:tc>
      </w:tr>
      <w:tr w:rsidR="00AC1495" w:rsidRPr="00F11A3E" w14:paraId="366EA530" w14:textId="77777777" w:rsidTr="008C2BB2">
        <w:tc>
          <w:tcPr>
            <w:tcW w:w="1271" w:type="dxa"/>
            <w:vMerge/>
          </w:tcPr>
          <w:p w14:paraId="0AACBABF" w14:textId="77777777" w:rsidR="002D0C72" w:rsidRPr="00F11A3E" w:rsidRDefault="002D0C72" w:rsidP="00F11A3E">
            <w:pPr>
              <w:pStyle w:val="Standard"/>
              <w:spacing w:line="276" w:lineRule="auto"/>
              <w:rPr>
                <w:rFonts w:ascii="Times New Roman" w:hAnsi="Times New Roman" w:cs="Times New Roman"/>
              </w:rPr>
            </w:pPr>
          </w:p>
        </w:tc>
        <w:tc>
          <w:tcPr>
            <w:tcW w:w="1418" w:type="dxa"/>
          </w:tcPr>
          <w:p w14:paraId="1F84F3B3" w14:textId="5A74D264"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Cost NGS panel</w:t>
            </w:r>
          </w:p>
        </w:tc>
        <w:tc>
          <w:tcPr>
            <w:tcW w:w="1559" w:type="dxa"/>
          </w:tcPr>
          <w:p w14:paraId="4A85EA5A" w14:textId="3A99E8AB"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The cost of conducting one targeted gene panel for one patient with NSCLC.</w:t>
            </w:r>
          </w:p>
        </w:tc>
        <w:tc>
          <w:tcPr>
            <w:tcW w:w="3269" w:type="dxa"/>
          </w:tcPr>
          <w:p w14:paraId="6EA6BBA4" w14:textId="53F7C272" w:rsidR="002D0C72" w:rsidRPr="00F11A3E" w:rsidRDefault="002D0C72" w:rsidP="00F11A3E">
            <w:pPr>
              <w:pStyle w:val="TableContents"/>
              <w:spacing w:line="276" w:lineRule="auto"/>
              <w:rPr>
                <w:rFonts w:ascii="Times New Roman" w:hAnsi="Times New Roman" w:cs="Times New Roman"/>
              </w:rPr>
            </w:pPr>
            <w:r w:rsidRPr="00F11A3E">
              <w:rPr>
                <w:rFonts w:ascii="Times New Roman" w:hAnsi="Times New Roman" w:cs="Times New Roman"/>
              </w:rPr>
              <w:t xml:space="preserve">The mean of reported costs </w:t>
            </w:r>
            <w:r w:rsidR="00867291" w:rsidRPr="00F11A3E">
              <w:rPr>
                <w:rFonts w:ascii="Times New Roman" w:hAnsi="Times New Roman" w:cs="Times New Roman"/>
              </w:rPr>
              <w:t xml:space="preserve">for </w:t>
            </w:r>
            <w:r w:rsidR="001E41EC" w:rsidRPr="00F11A3E">
              <w:rPr>
                <w:rFonts w:ascii="Times New Roman" w:hAnsi="Times New Roman" w:cs="Times New Roman"/>
              </w:rPr>
              <w:t xml:space="preserve">three </w:t>
            </w:r>
            <w:r w:rsidR="00867291" w:rsidRPr="00F11A3E">
              <w:rPr>
                <w:rFonts w:ascii="Times New Roman" w:hAnsi="Times New Roman" w:cs="Times New Roman"/>
              </w:rPr>
              <w:t>different</w:t>
            </w:r>
            <w:r w:rsidRPr="00F11A3E">
              <w:rPr>
                <w:rFonts w:ascii="Times New Roman" w:hAnsi="Times New Roman" w:cs="Times New Roman"/>
              </w:rPr>
              <w:t xml:space="preserve"> NGS panels</w:t>
            </w:r>
          </w:p>
          <w:p w14:paraId="2F22D774" w14:textId="07E65D97" w:rsidR="00285950" w:rsidRPr="00F11A3E" w:rsidRDefault="00285950" w:rsidP="00F11A3E">
            <w:pPr>
              <w:pStyle w:val="TableContents"/>
              <w:spacing w:line="276" w:lineRule="auto"/>
              <w:rPr>
                <w:rFonts w:ascii="Times New Roman" w:hAnsi="Times New Roman" w:cs="Times New Roman"/>
                <w:i/>
                <w:color w:val="222222"/>
                <w:sz w:val="20"/>
                <w:szCs w:val="20"/>
                <w:shd w:val="clear" w:color="auto" w:fill="FFFFFF"/>
              </w:rPr>
            </w:pPr>
            <m:oMathPara>
              <m:oMathParaPr>
                <m:jc m:val="left"/>
              </m:oMathParaPr>
              <m:oMath>
                <m:r>
                  <w:rPr>
                    <w:rFonts w:ascii="Cambria Math" w:hAnsi="Cambria Math" w:cs="Times New Roman"/>
                    <w:sz w:val="12"/>
                    <w:szCs w:val="12"/>
                  </w:rPr>
                  <m:t>cost=</m:t>
                </m:r>
                <m:f>
                  <m:fPr>
                    <m:ctrlPr>
                      <w:rPr>
                        <w:rFonts w:ascii="Cambria Math" w:eastAsiaTheme="minorHAnsi" w:hAnsi="Cambria Math" w:cs="Times New Roman"/>
                        <w:color w:val="000000"/>
                        <w:sz w:val="12"/>
                        <w:szCs w:val="12"/>
                      </w:rPr>
                    </m:ctrlPr>
                  </m:fPr>
                  <m:num>
                    <m:r>
                      <m:rPr>
                        <m:sty m:val="p"/>
                      </m:rPr>
                      <w:rPr>
                        <w:rFonts w:ascii="Cambria Math" w:eastAsiaTheme="minorHAnsi" w:hAnsi="Cambria Math" w:cs="Times New Roman"/>
                        <w:color w:val="000000"/>
                        <w:sz w:val="12"/>
                        <w:szCs w:val="12"/>
                      </w:rPr>
                      <m:t>329.85 + 263.04 + 258.96</m:t>
                    </m:r>
                    <m:ctrlPr>
                      <w:rPr>
                        <w:rFonts w:ascii="Cambria Math" w:hAnsi="Cambria Math" w:cs="Times New Roman"/>
                        <w:i/>
                        <w:sz w:val="12"/>
                        <w:szCs w:val="12"/>
                      </w:rPr>
                    </m:ctrlPr>
                  </m:num>
                  <m:den>
                    <m:r>
                      <m:rPr>
                        <m:sty m:val="p"/>
                      </m:rPr>
                      <w:rPr>
                        <w:rFonts w:ascii="Cambria Math" w:eastAsiaTheme="minorHAnsi" w:hAnsi="Cambria Math" w:cs="Times New Roman"/>
                        <w:color w:val="000000"/>
                        <w:sz w:val="12"/>
                        <w:szCs w:val="12"/>
                      </w:rPr>
                      <m:t>3</m:t>
                    </m:r>
                  </m:den>
                </m:f>
                <m:r>
                  <w:rPr>
                    <w:rFonts w:ascii="Cambria Math" w:eastAsiaTheme="minorHAnsi" w:hAnsi="Cambria Math" w:cs="Times New Roman"/>
                    <w:color w:val="000000"/>
                    <w:sz w:val="12"/>
                    <w:szCs w:val="12"/>
                  </w:rPr>
                  <m:t>=283.95</m:t>
                </m:r>
              </m:oMath>
            </m:oMathPara>
          </w:p>
          <w:p w14:paraId="66B047EB" w14:textId="77777777" w:rsidR="00285950" w:rsidRPr="00F11A3E" w:rsidRDefault="00285950" w:rsidP="00F11A3E">
            <w:pPr>
              <w:spacing w:line="276" w:lineRule="auto"/>
              <w:rPr>
                <w:rFonts w:ascii="Times New Roman" w:hAnsi="Times New Roman" w:cs="Times New Roman"/>
              </w:rPr>
            </w:pPr>
          </w:p>
          <w:p w14:paraId="0E7C4DBF" w14:textId="05765434" w:rsidR="002D0C72" w:rsidRPr="00F11A3E" w:rsidRDefault="002D0C72" w:rsidP="00F11A3E">
            <w:pPr>
              <w:pStyle w:val="TableContents"/>
              <w:spacing w:line="276" w:lineRule="auto"/>
              <w:rPr>
                <w:rFonts w:ascii="Times New Roman" w:hAnsi="Times New Roman" w:cs="Times New Roman"/>
              </w:rPr>
            </w:pPr>
            <w:r w:rsidRPr="00F11A3E">
              <w:rPr>
                <w:rFonts w:ascii="Times New Roman" w:hAnsi="Times New Roman" w:cs="Times New Roman"/>
              </w:rPr>
              <w:t>(continuous)</w:t>
            </w:r>
          </w:p>
        </w:tc>
        <w:tc>
          <w:tcPr>
            <w:tcW w:w="1545" w:type="dxa"/>
          </w:tcPr>
          <w:p w14:paraId="51BF6410" w14:textId="3B42C595"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fldChar w:fldCharType="begin" w:fldLock="1"/>
            </w:r>
            <w:r w:rsidR="00935C50" w:rsidRPr="00F11A3E">
              <w:rPr>
                <w:rFonts w:ascii="Times New Roman" w:hAnsi="Times New Roman" w:cs="Times New Roman"/>
              </w:rPr>
              <w:instrText>ADDIN CSL_CITATION {"citationItems":[{"id":"ITEM-1","itemData":{"DOI":"10.1080/14737167.2021.1917385","ISSN":"17448379","PMID":"33852815","abstract":"Purpose: Predictive diagnostics play an increasingly important role in personalized medicine for cancer treatment. Whole-genome sequencing (WGS)-based treatment selection is expected to rapidly increase worldwide. This study aimed to calculate and compare the total cost of currently used diagnostic techniques and of WGS in treatment of non-small cell lung carcinoma (NSCLC), melanoma, colorectal cancer (CRC), and gastrointestinal stromal tumor (GIST) in the Netherlands. Methods: The activity-based costing (ABC) method was conducted to calculate total cost of included diagnostic techniques based on data provided by Dutch pathology laboratories and the Dutch-centralized cancer WGS facility. Costs were allocated to four categories: capital costs, maintenance costs, software costs, and operational costs. Results: The total cost per cancer patient per technique varied from € 58 (Sanger sequencing, three amplicons) to € 2925 (paired tumor-normal WGS). The operational costs accounted for the vast majority (over 90%) of the total per cancer patient technique costs. Conclusion: This study outlined in detail all costing aspects and cost prices of current and new diagnostic modalities used in treatment of NSCLC, melanoma, CRC, and GIST in the Netherlands. Detailed cost differences and value comparisons between these diagnostic techniques enable future economic evaluations to support decision-making.","author":[{"dropping-particle":"","family":"Pasmans","given":"Clémence T.B.","non-dropping-particle":"","parse-names":false,"suffix":""},{"dropping-particle":"","family":"Tops","given":"Bastiaan B.J.","non-dropping-particle":"","parse-names":false,"suffix":""},{"dropping-particle":"","family":"Steeghs","given":"Elisabeth M.P.","non-dropping-particle":"","parse-names":false,"suffix":""},{"dropping-particle":"","family":"Coupé","given":"Veerle M.H.","non-dropping-particle":"","parse-names":false,"suffix":""},{"dropping-particle":"","family":"Grünberg","given":"Katrien","non-dropping-particle":"","parse-names":false,"suffix":""},{"dropping-particle":"","family":"Jong","given":"Eiko K.","non-dropping-particle":"de","parse-names":false,"suffix":""},{"dropping-particle":"","family":"Schuuring","given":"Ed M.D.","non-dropping-particle":"","parse-names":false,"suffix":""},{"dropping-particle":"","family":"Willems","given":"Stefan M.","non-dropping-particle":"","parse-names":false,"suffix":""},{"dropping-particle":"","family":"Ligtenberg","given":"Marjolijn J.l.","non-dropping-particle":"","parse-names":false,"suffix":""},{"dropping-particle":"","family":"Retèl","given":"Valesca P.","non-dropping-particle":"","parse-names":false,"suffix":""},{"dropping-particle":"","family":"Snellenberg","given":"Hans","non-dropping-particle":"van","parse-names":false,"suffix":""},{"dropping-particle":"","family":"Bruijn","given":"Ewart","non-dropping-particle":"de","parse-names":false,"suffix":""},{"dropping-particle":"","family":"Cuppen","given":"Edwin","non-dropping-particle":"","parse-names":false,"suffix":""},{"dropping-particle":"","family":"Frederix","given":"Geert W.J.","non-dropping-particle":"","parse-names":false,"suffix":""}],"container-title":"Expert Review of Pharmacoeconomics and Outcomes Research","id":"ITEM-1","issue":"3","issued":{"date-parts":[["2021","5","6"]]},"page":"413-414","publisher":"Taylor &amp; Francis","title":"Micro-costing diagnostics in oncology: from single-gene testing to whole- genome sequencing","type":"article-journal","volume":"21"},"uris":["http://www.mendeley.com/documents/?uuid=09afbf93-9053-4e30-a147-3ffd76c3afea"]}],"mendeley":{"formattedCitation":"(15)","plainTextFormattedCitation":"(15)","previouslyFormattedCitation":"[15]"},"properties":{"noteIndex":0},"schema":"https://github.com/citation-style-language/schema/raw/master/csl-citation.json"}</w:instrText>
            </w:r>
            <w:r w:rsidRPr="00F11A3E">
              <w:rPr>
                <w:rFonts w:ascii="Times New Roman" w:hAnsi="Times New Roman" w:cs="Times New Roman"/>
              </w:rPr>
              <w:fldChar w:fldCharType="separate"/>
            </w:r>
            <w:r w:rsidR="00935C50" w:rsidRPr="00F11A3E">
              <w:rPr>
                <w:rFonts w:ascii="Times New Roman" w:hAnsi="Times New Roman" w:cs="Times New Roman"/>
                <w:noProof/>
              </w:rPr>
              <w:t>(15)</w:t>
            </w:r>
            <w:r w:rsidRPr="00F11A3E">
              <w:rPr>
                <w:rFonts w:ascii="Times New Roman" w:hAnsi="Times New Roman" w:cs="Times New Roman"/>
              </w:rPr>
              <w:fldChar w:fldCharType="end"/>
            </w:r>
          </w:p>
        </w:tc>
      </w:tr>
      <w:tr w:rsidR="00AC1495" w:rsidRPr="00F11A3E" w14:paraId="55F54D93" w14:textId="77777777" w:rsidTr="008C2BB2">
        <w:tc>
          <w:tcPr>
            <w:tcW w:w="1271" w:type="dxa"/>
            <w:vMerge/>
          </w:tcPr>
          <w:p w14:paraId="7BDE9B7A" w14:textId="77777777" w:rsidR="002D0C72" w:rsidRPr="00F11A3E" w:rsidRDefault="002D0C72" w:rsidP="00F11A3E">
            <w:pPr>
              <w:pStyle w:val="Standard"/>
              <w:spacing w:line="276" w:lineRule="auto"/>
              <w:rPr>
                <w:rFonts w:ascii="Times New Roman" w:hAnsi="Times New Roman" w:cs="Times New Roman"/>
              </w:rPr>
            </w:pPr>
          </w:p>
        </w:tc>
        <w:tc>
          <w:tcPr>
            <w:tcW w:w="1418" w:type="dxa"/>
          </w:tcPr>
          <w:p w14:paraId="25FF8385" w14:textId="70B0266B"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Cost test ALK with IHC</w:t>
            </w:r>
          </w:p>
        </w:tc>
        <w:tc>
          <w:tcPr>
            <w:tcW w:w="1559" w:type="dxa"/>
          </w:tcPr>
          <w:p w14:paraId="566543E1" w14:textId="03D82C6B"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The cost of conducting one IHC for an ALK rearrangement for one patient</w:t>
            </w:r>
          </w:p>
        </w:tc>
        <w:tc>
          <w:tcPr>
            <w:tcW w:w="3269" w:type="dxa"/>
          </w:tcPr>
          <w:p w14:paraId="05EA0248" w14:textId="29FF3C20" w:rsidR="002D0C72" w:rsidRPr="00F11A3E" w:rsidRDefault="002D0C72" w:rsidP="00F11A3E">
            <w:pPr>
              <w:pStyle w:val="TableContents"/>
              <w:spacing w:line="276" w:lineRule="auto"/>
              <w:rPr>
                <w:rFonts w:ascii="Times New Roman" w:hAnsi="Times New Roman" w:cs="Times New Roman"/>
              </w:rPr>
            </w:pPr>
            <w:r w:rsidRPr="00F11A3E">
              <w:rPr>
                <w:rFonts w:ascii="Times New Roman" w:hAnsi="Times New Roman" w:cs="Times New Roman"/>
              </w:rPr>
              <w:t>101.88 euro (continuous)</w:t>
            </w:r>
          </w:p>
        </w:tc>
        <w:tc>
          <w:tcPr>
            <w:tcW w:w="1545" w:type="dxa"/>
          </w:tcPr>
          <w:p w14:paraId="7D663B13" w14:textId="4F696AE6"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fldChar w:fldCharType="begin" w:fldLock="1"/>
            </w:r>
            <w:r w:rsidR="00935C50" w:rsidRPr="00F11A3E">
              <w:rPr>
                <w:rFonts w:ascii="Times New Roman" w:hAnsi="Times New Roman" w:cs="Times New Roman"/>
              </w:rPr>
              <w:instrText>ADDIN CSL_CITATION {"citationItems":[{"id":"ITEM-1","itemData":{"DOI":"10.1080/14737167.2021.1917385","ISSN":"17448379","PMID":"33852815","abstract":"Purpose: Predictive diagnostics play an increasingly important role in personalized medicine for cancer treatment. Whole-genome sequencing (WGS)-based treatment selection is expected to rapidly increase worldwide. This study aimed to calculate and compare the total cost of currently used diagnostic techniques and of WGS in treatment of non-small cell lung carcinoma (NSCLC), melanoma, colorectal cancer (CRC), and gastrointestinal stromal tumor (GIST) in the Netherlands. Methods: The activity-based costing (ABC) method was conducted to calculate total cost of included diagnostic techniques based on data provided by Dutch pathology laboratories and the Dutch-centralized cancer WGS facility. Costs were allocated to four categories: capital costs, maintenance costs, software costs, and operational costs. Results: The total cost per cancer patient per technique varied from € 58 (Sanger sequencing, three amplicons) to € 2925 (paired tumor-normal WGS). The operational costs accounted for the vast majority (over 90%) of the total per cancer patient technique costs. Conclusion: This study outlined in detail all costing aspects and cost prices of current and new diagnostic modalities used in treatment of NSCLC, melanoma, CRC, and GIST in the Netherlands. Detailed cost differences and value comparisons between these diagnostic techniques enable future economic evaluations to support decision-making.","author":[{"dropping-particle":"","family":"Pasmans","given":"Clémence T.B.","non-dropping-particle":"","parse-names":false,"suffix":""},{"dropping-particle":"","family":"Tops","given":"Bastiaan B.J.","non-dropping-particle":"","parse-names":false,"suffix":""},{"dropping-particle":"","family":"Steeghs","given":"Elisabeth M.P.","non-dropping-particle":"","parse-names":false,"suffix":""},{"dropping-particle":"","family":"Coupé","given":"Veerle M.H.","non-dropping-particle":"","parse-names":false,"suffix":""},{"dropping-particle":"","family":"Grünberg","given":"Katrien","non-dropping-particle":"","parse-names":false,"suffix":""},{"dropping-particle":"","family":"Jong","given":"Eiko K.","non-dropping-particle":"de","parse-names":false,"suffix":""},{"dropping-particle":"","family":"Schuuring","given":"Ed M.D.","non-dropping-particle":"","parse-names":false,"suffix":""},{"dropping-particle":"","family":"Willems","given":"Stefan M.","non-dropping-particle":"","parse-names":false,"suffix":""},{"dropping-particle":"","family":"Ligtenberg","given":"Marjolijn J.l.","non-dropping-particle":"","parse-names":false,"suffix":""},{"dropping-particle":"","family":"Retèl","given":"Valesca P.","non-dropping-particle":"","parse-names":false,"suffix":""},{"dropping-particle":"","family":"Snellenberg","given":"Hans","non-dropping-particle":"van","parse-names":false,"suffix":""},{"dropping-particle":"","family":"Bruijn","given":"Ewart","non-dropping-particle":"de","parse-names":false,"suffix":""},{"dropping-particle":"","family":"Cuppen","given":"Edwin","non-dropping-particle":"","parse-names":false,"suffix":""},{"dropping-particle":"","family":"Frederix","given":"Geert W.J.","non-dropping-particle":"","parse-names":false,"suffix":""}],"container-title":"Expert Review of Pharmacoeconomics and Outcomes Research","id":"ITEM-1","issue":"3","issued":{"date-parts":[["2021","5","6"]]},"page":"413-414","publisher":"Taylor &amp; Francis","title":"Micro-costing diagnostics in oncology: from single-gene testing to whole- genome sequencing","type":"article-journal","volume":"21"},"uris":["http://www.mendeley.com/documents/?uuid=09afbf93-9053-4e30-a147-3ffd76c3afea"]}],"mendeley":{"formattedCitation":"(15)","plainTextFormattedCitation":"(15)","previouslyFormattedCitation":"[15]"},"properties":{"noteIndex":0},"schema":"https://github.com/citation-style-language/schema/raw/master/csl-citation.json"}</w:instrText>
            </w:r>
            <w:r w:rsidRPr="00F11A3E">
              <w:rPr>
                <w:rFonts w:ascii="Times New Roman" w:hAnsi="Times New Roman" w:cs="Times New Roman"/>
              </w:rPr>
              <w:fldChar w:fldCharType="separate"/>
            </w:r>
            <w:r w:rsidR="00935C50" w:rsidRPr="00F11A3E">
              <w:rPr>
                <w:rFonts w:ascii="Times New Roman" w:hAnsi="Times New Roman" w:cs="Times New Roman"/>
                <w:noProof/>
              </w:rPr>
              <w:t>(15)</w:t>
            </w:r>
            <w:r w:rsidRPr="00F11A3E">
              <w:rPr>
                <w:rFonts w:ascii="Times New Roman" w:hAnsi="Times New Roman" w:cs="Times New Roman"/>
              </w:rPr>
              <w:fldChar w:fldCharType="end"/>
            </w:r>
          </w:p>
        </w:tc>
      </w:tr>
      <w:tr w:rsidR="00AC1495" w:rsidRPr="00F11A3E" w14:paraId="7AB9E3B9" w14:textId="77777777" w:rsidTr="008C2BB2">
        <w:tc>
          <w:tcPr>
            <w:tcW w:w="1271" w:type="dxa"/>
            <w:vMerge/>
          </w:tcPr>
          <w:p w14:paraId="6E4ECE3B" w14:textId="77777777" w:rsidR="002D0C72" w:rsidRPr="00F11A3E" w:rsidRDefault="002D0C72" w:rsidP="00F11A3E">
            <w:pPr>
              <w:pStyle w:val="Standard"/>
              <w:spacing w:line="276" w:lineRule="auto"/>
              <w:rPr>
                <w:rFonts w:ascii="Times New Roman" w:hAnsi="Times New Roman" w:cs="Times New Roman"/>
              </w:rPr>
            </w:pPr>
          </w:p>
        </w:tc>
        <w:tc>
          <w:tcPr>
            <w:tcW w:w="1418" w:type="dxa"/>
          </w:tcPr>
          <w:p w14:paraId="604A9BE0" w14:textId="6D9FFE92"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 xml:space="preserve">Cost test </w:t>
            </w:r>
            <w:r w:rsidR="00C21E85" w:rsidRPr="00F11A3E">
              <w:rPr>
                <w:rFonts w:ascii="Times New Roman" w:hAnsi="Times New Roman" w:cs="Times New Roman"/>
              </w:rPr>
              <w:t>PD-L1</w:t>
            </w:r>
            <w:r w:rsidRPr="00F11A3E">
              <w:rPr>
                <w:rFonts w:ascii="Times New Roman" w:hAnsi="Times New Roman" w:cs="Times New Roman"/>
              </w:rPr>
              <w:t xml:space="preserve"> with IHC</w:t>
            </w:r>
          </w:p>
        </w:tc>
        <w:tc>
          <w:tcPr>
            <w:tcW w:w="1559" w:type="dxa"/>
          </w:tcPr>
          <w:p w14:paraId="294AD6B0" w14:textId="7589BA54"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The cost of conducting one IHC for the PD-L1 expression level for one patient</w:t>
            </w:r>
          </w:p>
        </w:tc>
        <w:tc>
          <w:tcPr>
            <w:tcW w:w="3269" w:type="dxa"/>
          </w:tcPr>
          <w:p w14:paraId="371AF082" w14:textId="7CD3D085" w:rsidR="002D0C72" w:rsidRPr="00F11A3E" w:rsidRDefault="002D0C72" w:rsidP="00F11A3E">
            <w:pPr>
              <w:pStyle w:val="TableContents"/>
              <w:spacing w:line="276" w:lineRule="auto"/>
              <w:rPr>
                <w:rFonts w:ascii="Times New Roman" w:hAnsi="Times New Roman" w:cs="Times New Roman"/>
              </w:rPr>
            </w:pPr>
            <w:r w:rsidRPr="00F11A3E">
              <w:rPr>
                <w:rFonts w:ascii="Times New Roman" w:hAnsi="Times New Roman" w:cs="Times New Roman"/>
              </w:rPr>
              <w:t>93.74 euro (continuous)</w:t>
            </w:r>
          </w:p>
        </w:tc>
        <w:tc>
          <w:tcPr>
            <w:tcW w:w="1545" w:type="dxa"/>
          </w:tcPr>
          <w:p w14:paraId="1F898B83" w14:textId="450AF429"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fldChar w:fldCharType="begin" w:fldLock="1"/>
            </w:r>
            <w:r w:rsidR="00935C50" w:rsidRPr="00F11A3E">
              <w:rPr>
                <w:rFonts w:ascii="Times New Roman" w:hAnsi="Times New Roman" w:cs="Times New Roman"/>
              </w:rPr>
              <w:instrText>ADDIN CSL_CITATION {"citationItems":[{"id":"ITEM-1","itemData":{"DOI":"10.1080/14737167.2021.1917385","ISSN":"17448379","PMID":"33852815","abstract":"Purpose: Predictive diagnostics play an increasingly important role in personalized medicine for cancer treatment. Whole-genome sequencing (WGS)-based treatment selection is expected to rapidly increase worldwide. This study aimed to calculate and compare the total cost of currently used diagnostic techniques and of WGS in treatment of non-small cell lung carcinoma (NSCLC), melanoma, colorectal cancer (CRC), and gastrointestinal stromal tumor (GIST) in the Netherlands. Methods: The activity-based costing (ABC) method was conducted to calculate total cost of included diagnostic techniques based on data provided by Dutch pathology laboratories and the Dutch-centralized cancer WGS facility. Costs were allocated to four categories: capital costs, maintenance costs, software costs, and operational costs. Results: The total cost per cancer patient per technique varied from € 58 (Sanger sequencing, three amplicons) to € 2925 (paired tumor-normal WGS). The operational costs accounted for the vast majority (over 90%) of the total per cancer patient technique costs. Conclusion: This study outlined in detail all costing aspects and cost prices of current and new diagnostic modalities used in treatment of NSCLC, melanoma, CRC, and GIST in the Netherlands. Detailed cost differences and value comparisons between these diagnostic techniques enable future economic evaluations to support decision-making.","author":[{"dropping-particle":"","family":"Pasmans","given":"Clémence T.B.","non-dropping-particle":"","parse-names":false,"suffix":""},{"dropping-particle":"","family":"Tops","given":"Bastiaan B.J.","non-dropping-particle":"","parse-names":false,"suffix":""},{"dropping-particle":"","family":"Steeghs","given":"Elisabeth M.P.","non-dropping-particle":"","parse-names":false,"suffix":""},{"dropping-particle":"","family":"Coupé","given":"Veerle M.H.","non-dropping-particle":"","parse-names":false,"suffix":""},{"dropping-particle":"","family":"Grünberg","given":"Katrien","non-dropping-particle":"","parse-names":false,"suffix":""},{"dropping-particle":"","family":"Jong","given":"Eiko K.","non-dropping-particle":"de","parse-names":false,"suffix":""},{"dropping-particle":"","family":"Schuuring","given":"Ed M.D.","non-dropping-particle":"","parse-names":false,"suffix":""},{"dropping-particle":"","family":"Willems","given":"Stefan M.","non-dropping-particle":"","parse-names":false,"suffix":""},{"dropping-particle":"","family":"Ligtenberg","given":"Marjolijn J.l.","non-dropping-particle":"","parse-names":false,"suffix":""},{"dropping-particle":"","family":"Retèl","given":"Valesca P.","non-dropping-particle":"","parse-names":false,"suffix":""},{"dropping-particle":"","family":"Snellenberg","given":"Hans","non-dropping-particle":"van","parse-names":false,"suffix":""},{"dropping-particle":"","family":"Bruijn","given":"Ewart","non-dropping-particle":"de","parse-names":false,"suffix":""},{"dropping-particle":"","family":"Cuppen","given":"Edwin","non-dropping-particle":"","parse-names":false,"suffix":""},{"dropping-particle":"","family":"Frederix","given":"Geert W.J.","non-dropping-particle":"","parse-names":false,"suffix":""}],"container-title":"Expert Review of Pharmacoeconomics and Outcomes Research","id":"ITEM-1","issue":"3","issued":{"date-parts":[["2021","5","6"]]},"page":"413-414","publisher":"Taylor &amp; Francis","title":"Micro-costing diagnostics in oncology: from single-gene testing to whole- genome sequencing","type":"article-journal","volume":"21"},"uris":["http://www.mendeley.com/documents/?uuid=09afbf93-9053-4e30-a147-3ffd76c3afea"]}],"mendeley":{"formattedCitation":"(15)","plainTextFormattedCitation":"(15)","previouslyFormattedCitation":"[15]"},"properties":{"noteIndex":0},"schema":"https://github.com/citation-style-language/schema/raw/master/csl-citation.json"}</w:instrText>
            </w:r>
            <w:r w:rsidRPr="00F11A3E">
              <w:rPr>
                <w:rFonts w:ascii="Times New Roman" w:hAnsi="Times New Roman" w:cs="Times New Roman"/>
              </w:rPr>
              <w:fldChar w:fldCharType="separate"/>
            </w:r>
            <w:r w:rsidR="00935C50" w:rsidRPr="00F11A3E">
              <w:rPr>
                <w:rFonts w:ascii="Times New Roman" w:hAnsi="Times New Roman" w:cs="Times New Roman"/>
                <w:noProof/>
              </w:rPr>
              <w:t>(15)</w:t>
            </w:r>
            <w:r w:rsidRPr="00F11A3E">
              <w:rPr>
                <w:rFonts w:ascii="Times New Roman" w:hAnsi="Times New Roman" w:cs="Times New Roman"/>
              </w:rPr>
              <w:fldChar w:fldCharType="end"/>
            </w:r>
          </w:p>
        </w:tc>
      </w:tr>
      <w:tr w:rsidR="00AC1495" w:rsidRPr="00F11A3E" w14:paraId="0623BDA4" w14:textId="77777777" w:rsidTr="008C2BB2">
        <w:tc>
          <w:tcPr>
            <w:tcW w:w="1271" w:type="dxa"/>
            <w:vMerge/>
          </w:tcPr>
          <w:p w14:paraId="0E7E2CDE" w14:textId="77777777" w:rsidR="002D0C72" w:rsidRPr="00F11A3E" w:rsidRDefault="002D0C72" w:rsidP="00F11A3E">
            <w:pPr>
              <w:pStyle w:val="Standard"/>
              <w:spacing w:line="276" w:lineRule="auto"/>
              <w:rPr>
                <w:rFonts w:ascii="Times New Roman" w:hAnsi="Times New Roman" w:cs="Times New Roman"/>
              </w:rPr>
            </w:pPr>
          </w:p>
        </w:tc>
        <w:tc>
          <w:tcPr>
            <w:tcW w:w="1418" w:type="dxa"/>
          </w:tcPr>
          <w:p w14:paraId="198BF03B" w14:textId="31322088"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Cost test EGFR Sanger Sequencing</w:t>
            </w:r>
          </w:p>
        </w:tc>
        <w:tc>
          <w:tcPr>
            <w:tcW w:w="1559" w:type="dxa"/>
          </w:tcPr>
          <w:p w14:paraId="288BC806" w14:textId="0DF50EDE"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The cost of conducting one Sanger Sequencing test for EGFR for one patient</w:t>
            </w:r>
          </w:p>
        </w:tc>
        <w:tc>
          <w:tcPr>
            <w:tcW w:w="3269" w:type="dxa"/>
          </w:tcPr>
          <w:p w14:paraId="158557B0" w14:textId="33B07EE4" w:rsidR="002D0C72" w:rsidRPr="00F11A3E" w:rsidRDefault="002D0C72" w:rsidP="00F11A3E">
            <w:pPr>
              <w:pStyle w:val="TableContents"/>
              <w:spacing w:line="276" w:lineRule="auto"/>
              <w:rPr>
                <w:rFonts w:ascii="Times New Roman" w:hAnsi="Times New Roman" w:cs="Times New Roman"/>
              </w:rPr>
            </w:pPr>
            <w:r w:rsidRPr="00F11A3E">
              <w:rPr>
                <w:rFonts w:ascii="Times New Roman" w:hAnsi="Times New Roman" w:cs="Times New Roman"/>
              </w:rPr>
              <w:t>71.19 euro (continuous)</w:t>
            </w:r>
          </w:p>
        </w:tc>
        <w:tc>
          <w:tcPr>
            <w:tcW w:w="1545" w:type="dxa"/>
          </w:tcPr>
          <w:p w14:paraId="3781B5AF" w14:textId="0C0C3C74"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fldChar w:fldCharType="begin" w:fldLock="1"/>
            </w:r>
            <w:r w:rsidR="00935C50" w:rsidRPr="00F11A3E">
              <w:rPr>
                <w:rFonts w:ascii="Times New Roman" w:hAnsi="Times New Roman" w:cs="Times New Roman"/>
              </w:rPr>
              <w:instrText>ADDIN CSL_CITATION {"citationItems":[{"id":"ITEM-1","itemData":{"DOI":"10.1080/14737167.2021.1917385","ISSN":"17448379","PMID":"33852815","abstract":"Purpose: Predictive diagnostics play an increasingly important role in personalized medicine for cancer treatment. Whole-genome sequencing (WGS)-based treatment selection is expected to rapidly increase worldwide. This study aimed to calculate and compare the total cost of currently used diagnostic techniques and of WGS in treatment of non-small cell lung carcinoma (NSCLC), melanoma, colorectal cancer (CRC), and gastrointestinal stromal tumor (GIST) in the Netherlands. Methods: The activity-based costing (ABC) method was conducted to calculate total cost of included diagnostic techniques based on data provided by Dutch pathology laboratories and the Dutch-centralized cancer WGS facility. Costs were allocated to four categories: capital costs, maintenance costs, software costs, and operational costs. Results: The total cost per cancer patient per technique varied from € 58 (Sanger sequencing, three amplicons) to € 2925 (paired tumor-normal WGS). The operational costs accounted for the vast majority (over 90%) of the total per cancer patient technique costs. Conclusion: This study outlined in detail all costing aspects and cost prices of current and new diagnostic modalities used in treatment of NSCLC, melanoma, CRC, and GIST in the Netherlands. Detailed cost differences and value comparisons between these diagnostic techniques enable future economic evaluations to support decision-making.","author":[{"dropping-particle":"","family":"Pasmans","given":"Clémence T.B.","non-dropping-particle":"","parse-names":false,"suffix":""},{"dropping-particle":"","family":"Tops","given":"Bastiaan B.J.","non-dropping-particle":"","parse-names":false,"suffix":""},{"dropping-particle":"","family":"Steeghs","given":"Elisabeth M.P.","non-dropping-particle":"","parse-names":false,"suffix":""},{"dropping-particle":"","family":"Coupé","given":"Veerle M.H.","non-dropping-particle":"","parse-names":false,"suffix":""},{"dropping-particle":"","family":"Grünberg","given":"Katrien","non-dropping-particle":"","parse-names":false,"suffix":""},{"dropping-particle":"","family":"Jong","given":"Eiko K.","non-dropping-particle":"de","parse-names":false,"suffix":""},{"dropping-particle":"","family":"Schuuring","given":"Ed M.D.","non-dropping-particle":"","parse-names":false,"suffix":""},{"dropping-particle":"","family":"Willems","given":"Stefan M.","non-dropping-particle":"","parse-names":false,"suffix":""},{"dropping-particle":"","family":"Ligtenberg","given":"Marjolijn J.l.","non-dropping-particle":"","parse-names":false,"suffix":""},{"dropping-particle":"","family":"Retèl","given":"Valesca P.","non-dropping-particle":"","parse-names":false,"suffix":""},{"dropping-particle":"","family":"Snellenberg","given":"Hans","non-dropping-particle":"van","parse-names":false,"suffix":""},{"dropping-particle":"","family":"Bruijn","given":"Ewart","non-dropping-particle":"de","parse-names":false,"suffix":""},{"dropping-particle":"","family":"Cuppen","given":"Edwin","non-dropping-particle":"","parse-names":false,"suffix":""},{"dropping-particle":"","family":"Frederix","given":"Geert W.J.","non-dropping-particle":"","parse-names":false,"suffix":""}],"container-title":"Expert Review of Pharmacoeconomics and Outcomes Research","id":"ITEM-1","issue":"3","issued":{"date-parts":[["2021","5","6"]]},"page":"413-414","publisher":"Taylor &amp; Francis","title":"Micro-costing diagnostics in oncology: from single-gene testing to whole- genome sequencing","type":"article-journal","volume":"21"},"uris":["http://www.mendeley.com/documents/?uuid=09afbf93-9053-4e30-a147-3ffd76c3afea"]}],"mendeley":{"formattedCitation":"(15)","plainTextFormattedCitation":"(15)","previouslyFormattedCitation":"[15]"},"properties":{"noteIndex":0},"schema":"https://github.com/citation-style-language/schema/raw/master/csl-citation.json"}</w:instrText>
            </w:r>
            <w:r w:rsidRPr="00F11A3E">
              <w:rPr>
                <w:rFonts w:ascii="Times New Roman" w:hAnsi="Times New Roman" w:cs="Times New Roman"/>
              </w:rPr>
              <w:fldChar w:fldCharType="separate"/>
            </w:r>
            <w:r w:rsidR="00935C50" w:rsidRPr="00F11A3E">
              <w:rPr>
                <w:rFonts w:ascii="Times New Roman" w:hAnsi="Times New Roman" w:cs="Times New Roman"/>
                <w:noProof/>
              </w:rPr>
              <w:t>(15)</w:t>
            </w:r>
            <w:r w:rsidRPr="00F11A3E">
              <w:rPr>
                <w:rFonts w:ascii="Times New Roman" w:hAnsi="Times New Roman" w:cs="Times New Roman"/>
              </w:rPr>
              <w:fldChar w:fldCharType="end"/>
            </w:r>
          </w:p>
        </w:tc>
      </w:tr>
      <w:tr w:rsidR="00AC1495" w:rsidRPr="00F11A3E" w14:paraId="63039E1C" w14:textId="77777777" w:rsidTr="008C2BB2">
        <w:tc>
          <w:tcPr>
            <w:tcW w:w="1271" w:type="dxa"/>
            <w:vMerge/>
          </w:tcPr>
          <w:p w14:paraId="0C56B7A5" w14:textId="77777777" w:rsidR="002D0C72" w:rsidRPr="00F11A3E" w:rsidRDefault="002D0C72" w:rsidP="00F11A3E">
            <w:pPr>
              <w:pStyle w:val="Standard"/>
              <w:spacing w:line="276" w:lineRule="auto"/>
              <w:rPr>
                <w:rFonts w:ascii="Times New Roman" w:hAnsi="Times New Roman" w:cs="Times New Roman"/>
              </w:rPr>
            </w:pPr>
          </w:p>
        </w:tc>
        <w:tc>
          <w:tcPr>
            <w:tcW w:w="1418" w:type="dxa"/>
          </w:tcPr>
          <w:p w14:paraId="75CFF77A" w14:textId="6154C241"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Cost test KRAS Sanger Sequencing</w:t>
            </w:r>
          </w:p>
        </w:tc>
        <w:tc>
          <w:tcPr>
            <w:tcW w:w="1559" w:type="dxa"/>
          </w:tcPr>
          <w:p w14:paraId="4655E88C" w14:textId="351E8187"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t>The cost of conducting one Sanger Sequencing test for KRAS for one patient</w:t>
            </w:r>
          </w:p>
        </w:tc>
        <w:tc>
          <w:tcPr>
            <w:tcW w:w="3269" w:type="dxa"/>
          </w:tcPr>
          <w:p w14:paraId="6DF5962E" w14:textId="32464D6F" w:rsidR="00E96CB1" w:rsidRPr="00F11A3E" w:rsidRDefault="00E96CB1" w:rsidP="00F11A3E">
            <w:pPr>
              <w:pStyle w:val="TableContents"/>
              <w:spacing w:line="276" w:lineRule="auto"/>
              <w:rPr>
                <w:rFonts w:ascii="Times New Roman" w:hAnsi="Times New Roman" w:cs="Times New Roman"/>
              </w:rPr>
            </w:pPr>
            <w:r w:rsidRPr="00F11A3E">
              <w:rPr>
                <w:rFonts w:ascii="Times New Roman" w:hAnsi="Times New Roman" w:cs="Times New Roman"/>
              </w:rPr>
              <w:t xml:space="preserve">The mean of reported costs for two different </w:t>
            </w:r>
            <w:r w:rsidR="00A541A2" w:rsidRPr="00F11A3E">
              <w:rPr>
                <w:rFonts w:ascii="Times New Roman" w:hAnsi="Times New Roman" w:cs="Times New Roman"/>
              </w:rPr>
              <w:t>platforms</w:t>
            </w:r>
          </w:p>
          <w:p w14:paraId="2AA35C98" w14:textId="3015294E" w:rsidR="00A541A2" w:rsidRPr="00F11A3E" w:rsidRDefault="00A541A2" w:rsidP="00F11A3E">
            <w:pPr>
              <w:pStyle w:val="TableContents"/>
              <w:spacing w:line="276" w:lineRule="auto"/>
              <w:rPr>
                <w:rFonts w:ascii="Times New Roman" w:hAnsi="Times New Roman" w:cs="Times New Roman"/>
                <w:i/>
                <w:color w:val="222222"/>
                <w:sz w:val="20"/>
                <w:szCs w:val="20"/>
                <w:shd w:val="clear" w:color="auto" w:fill="FFFFFF"/>
              </w:rPr>
            </w:pPr>
            <m:oMathPara>
              <m:oMathParaPr>
                <m:jc m:val="left"/>
              </m:oMathParaPr>
              <m:oMath>
                <m:r>
                  <w:rPr>
                    <w:rFonts w:ascii="Cambria Math" w:hAnsi="Cambria Math" w:cs="Times New Roman"/>
                    <w:sz w:val="12"/>
                    <w:szCs w:val="12"/>
                  </w:rPr>
                  <m:t>cost=</m:t>
                </m:r>
                <m:f>
                  <m:fPr>
                    <m:ctrlPr>
                      <w:rPr>
                        <w:rFonts w:ascii="Cambria Math" w:eastAsiaTheme="minorHAnsi" w:hAnsi="Cambria Math" w:cs="Times New Roman"/>
                        <w:color w:val="000000"/>
                        <w:sz w:val="12"/>
                        <w:szCs w:val="12"/>
                      </w:rPr>
                    </m:ctrlPr>
                  </m:fPr>
                  <m:num>
                    <m:r>
                      <w:rPr>
                        <w:rFonts w:ascii="Cambria Math" w:eastAsiaTheme="minorHAnsi" w:hAnsi="Cambria Math" w:cs="Times New Roman"/>
                        <w:color w:val="000000"/>
                        <w:sz w:val="12"/>
                        <w:szCs w:val="12"/>
                      </w:rPr>
                      <m:t>71.19 + 63.47</m:t>
                    </m:r>
                    <m:ctrlPr>
                      <w:rPr>
                        <w:rFonts w:ascii="Cambria Math" w:hAnsi="Cambria Math" w:cs="Times New Roman"/>
                        <w:i/>
                        <w:sz w:val="12"/>
                        <w:szCs w:val="12"/>
                      </w:rPr>
                    </m:ctrlPr>
                  </m:num>
                  <m:den>
                    <m:r>
                      <w:rPr>
                        <w:rFonts w:ascii="Cambria Math" w:hAnsi="Cambria Math" w:cs="Times New Roman"/>
                        <w:sz w:val="12"/>
                        <w:szCs w:val="12"/>
                      </w:rPr>
                      <m:t>2</m:t>
                    </m:r>
                  </m:den>
                </m:f>
                <m:r>
                  <w:rPr>
                    <w:rFonts w:ascii="Cambria Math" w:eastAsiaTheme="minorHAnsi" w:hAnsi="Cambria Math" w:cs="Times New Roman"/>
                    <w:color w:val="000000"/>
                    <w:sz w:val="12"/>
                    <w:szCs w:val="12"/>
                  </w:rPr>
                  <m:t>=67.33</m:t>
                </m:r>
              </m:oMath>
            </m:oMathPara>
          </w:p>
          <w:p w14:paraId="68C72BFB" w14:textId="2BA11C6F" w:rsidR="002D0C72" w:rsidRPr="00F11A3E" w:rsidRDefault="002D0C72" w:rsidP="00F11A3E">
            <w:pPr>
              <w:pStyle w:val="TableContents"/>
              <w:spacing w:line="276" w:lineRule="auto"/>
              <w:rPr>
                <w:rFonts w:ascii="Times New Roman" w:hAnsi="Times New Roman" w:cs="Times New Roman"/>
              </w:rPr>
            </w:pPr>
            <w:r w:rsidRPr="00F11A3E">
              <w:rPr>
                <w:rFonts w:ascii="Times New Roman" w:hAnsi="Times New Roman" w:cs="Times New Roman"/>
              </w:rPr>
              <w:t xml:space="preserve"> (continuous)</w:t>
            </w:r>
          </w:p>
        </w:tc>
        <w:tc>
          <w:tcPr>
            <w:tcW w:w="1545" w:type="dxa"/>
          </w:tcPr>
          <w:p w14:paraId="3BEF3651" w14:textId="5933A619" w:rsidR="002D0C72" w:rsidRPr="00F11A3E" w:rsidRDefault="002D0C72" w:rsidP="00F11A3E">
            <w:pPr>
              <w:pStyle w:val="Standard"/>
              <w:spacing w:line="276" w:lineRule="auto"/>
              <w:rPr>
                <w:rFonts w:ascii="Times New Roman" w:hAnsi="Times New Roman" w:cs="Times New Roman"/>
              </w:rPr>
            </w:pPr>
            <w:r w:rsidRPr="00F11A3E">
              <w:rPr>
                <w:rFonts w:ascii="Times New Roman" w:hAnsi="Times New Roman" w:cs="Times New Roman"/>
              </w:rPr>
              <w:fldChar w:fldCharType="begin" w:fldLock="1"/>
            </w:r>
            <w:r w:rsidR="00935C50" w:rsidRPr="00F11A3E">
              <w:rPr>
                <w:rFonts w:ascii="Times New Roman" w:hAnsi="Times New Roman" w:cs="Times New Roman"/>
              </w:rPr>
              <w:instrText>ADDIN CSL_CITATION {"citationItems":[{"id":"ITEM-1","itemData":{"DOI":"10.1080/14737167.2021.1917385","ISSN":"17448379","PMID":"33852815","abstract":"Purpose: Predictive diagnostics play an increasingly important role in personalized medicine for cancer treatment. Whole-genome sequencing (WGS)-based treatment selection is expected to rapidly increase worldwide. This study aimed to calculate and compare the total cost of currently used diagnostic techniques and of WGS in treatment of non-small cell lung carcinoma (NSCLC), melanoma, colorectal cancer (CRC), and gastrointestinal stromal tumor (GIST) in the Netherlands. Methods: The activity-based costing (ABC) method was conducted to calculate total cost of included diagnostic techniques based on data provided by Dutch pathology laboratories and the Dutch-centralized cancer WGS facility. Costs were allocated to four categories: capital costs, maintenance costs, software costs, and operational costs. Results: The total cost per cancer patient per technique varied from € 58 (Sanger sequencing, three amplicons) to € 2925 (paired tumor-normal WGS). The operational costs accounted for the vast majority (over 90%) of the total per cancer patient technique costs. Conclusion: This study outlined in detail all costing aspects and cost prices of current and new diagnostic modalities used in treatment of NSCLC, melanoma, CRC, and GIST in the Netherlands. Detailed cost differences and value comparisons between these diagnostic techniques enable future economic evaluations to support decision-making.","author":[{"dropping-particle":"","family":"Pasmans","given":"Clémence T.B.","non-dropping-particle":"","parse-names":false,"suffix":""},{"dropping-particle":"","family":"Tops","given":"Bastiaan B.J.","non-dropping-particle":"","parse-names":false,"suffix":""},{"dropping-particle":"","family":"Steeghs","given":"Elisabeth M.P.","non-dropping-particle":"","parse-names":false,"suffix":""},{"dropping-particle":"","family":"Coupé","given":"Veerle M.H.","non-dropping-particle":"","parse-names":false,"suffix":""},{"dropping-particle":"","family":"Grünberg","given":"Katrien","non-dropping-particle":"","parse-names":false,"suffix":""},{"dropping-particle":"","family":"Jong","given":"Eiko K.","non-dropping-particle":"de","parse-names":false,"suffix":""},{"dropping-particle":"","family":"Schuuring","given":"Ed M.D.","non-dropping-particle":"","parse-names":false,"suffix":""},{"dropping-particle":"","family":"Willems","given":"Stefan M.","non-dropping-particle":"","parse-names":false,"suffix":""},{"dropping-particle":"","family":"Ligtenberg","given":"Marjolijn J.l.","non-dropping-particle":"","parse-names":false,"suffix":""},{"dropping-particle":"","family":"Retèl","given":"Valesca P.","non-dropping-particle":"","parse-names":false,"suffix":""},{"dropping-particle":"","family":"Snellenberg","given":"Hans","non-dropping-particle":"van","parse-names":false,"suffix":""},{"dropping-particle":"","family":"Bruijn","given":"Ewart","non-dropping-particle":"de","parse-names":false,"suffix":""},{"dropping-particle":"","family":"Cuppen","given":"Edwin","non-dropping-particle":"","parse-names":false,"suffix":""},{"dropping-particle":"","family":"Frederix","given":"Geert W.J.","non-dropping-particle":"","parse-names":false,"suffix":""}],"container-title":"Expert Review of Pharmacoeconomics and Outcomes Research","id":"ITEM-1","issue":"3","issued":{"date-parts":[["2021","5","6"]]},"page":"413-414","publisher":"Taylor &amp; Francis","title":"Micro-costing diagnostics in oncology: from single-gene testing to whole- genome sequencing","type":"article-journal","volume":"21"},"uris":["http://www.mendeley.com/documents/?uuid=09afbf93-9053-4e30-a147-3ffd76c3afea"]}],"mendeley":{"formattedCitation":"(15)","plainTextFormattedCitation":"(15)","previouslyFormattedCitation":"[15]"},"properties":{"noteIndex":0},"schema":"https://github.com/citation-style-language/schema/raw/master/csl-citation.json"}</w:instrText>
            </w:r>
            <w:r w:rsidRPr="00F11A3E">
              <w:rPr>
                <w:rFonts w:ascii="Times New Roman" w:hAnsi="Times New Roman" w:cs="Times New Roman"/>
              </w:rPr>
              <w:fldChar w:fldCharType="separate"/>
            </w:r>
            <w:r w:rsidR="00935C50" w:rsidRPr="00F11A3E">
              <w:rPr>
                <w:rFonts w:ascii="Times New Roman" w:hAnsi="Times New Roman" w:cs="Times New Roman"/>
                <w:noProof/>
              </w:rPr>
              <w:t>(15)</w:t>
            </w:r>
            <w:r w:rsidRPr="00F11A3E">
              <w:rPr>
                <w:rFonts w:ascii="Times New Roman" w:hAnsi="Times New Roman" w:cs="Times New Roman"/>
              </w:rPr>
              <w:fldChar w:fldCharType="end"/>
            </w:r>
          </w:p>
        </w:tc>
      </w:tr>
      <w:tr w:rsidR="00292CDE" w:rsidRPr="00F11A3E" w14:paraId="714252C4" w14:textId="77777777" w:rsidTr="00AC1495">
        <w:tc>
          <w:tcPr>
            <w:tcW w:w="1271" w:type="dxa"/>
            <w:vMerge/>
          </w:tcPr>
          <w:p w14:paraId="10A31BA7" w14:textId="77777777" w:rsidR="00292CDE" w:rsidRPr="00F11A3E" w:rsidRDefault="00292CDE" w:rsidP="00F11A3E">
            <w:pPr>
              <w:pStyle w:val="Standard"/>
              <w:spacing w:line="276" w:lineRule="auto"/>
              <w:rPr>
                <w:rFonts w:ascii="Times New Roman" w:hAnsi="Times New Roman" w:cs="Times New Roman"/>
              </w:rPr>
            </w:pPr>
          </w:p>
        </w:tc>
        <w:tc>
          <w:tcPr>
            <w:tcW w:w="1418" w:type="dxa"/>
          </w:tcPr>
          <w:p w14:paraId="5C68A0AB" w14:textId="0E40EEBB" w:rsidR="00292CDE" w:rsidRPr="00F11A3E" w:rsidRDefault="00292CDE" w:rsidP="00F11A3E">
            <w:pPr>
              <w:pStyle w:val="Standard"/>
              <w:spacing w:line="276" w:lineRule="auto"/>
              <w:rPr>
                <w:rFonts w:ascii="Times New Roman" w:hAnsi="Times New Roman" w:cs="Times New Roman"/>
              </w:rPr>
            </w:pPr>
            <w:r w:rsidRPr="00F11A3E">
              <w:rPr>
                <w:rFonts w:ascii="Times New Roman" w:hAnsi="Times New Roman" w:cs="Times New Roman"/>
              </w:rPr>
              <w:t xml:space="preserve">Turnaround time </w:t>
            </w:r>
            <w:r w:rsidR="00A161D4" w:rsidRPr="00F11A3E">
              <w:rPr>
                <w:rFonts w:ascii="Times New Roman" w:hAnsi="Times New Roman" w:cs="Times New Roman"/>
              </w:rPr>
              <w:t xml:space="preserve">PD-L1 test </w:t>
            </w:r>
            <w:r w:rsidRPr="00F11A3E">
              <w:rPr>
                <w:rFonts w:ascii="Times New Roman" w:hAnsi="Times New Roman" w:cs="Times New Roman"/>
              </w:rPr>
              <w:t>general hospitals</w:t>
            </w:r>
          </w:p>
        </w:tc>
        <w:tc>
          <w:tcPr>
            <w:tcW w:w="1559" w:type="dxa"/>
          </w:tcPr>
          <w:p w14:paraId="34E8B982" w14:textId="70051480" w:rsidR="00292CDE" w:rsidRPr="00F11A3E" w:rsidRDefault="00292CDE" w:rsidP="00F11A3E">
            <w:pPr>
              <w:pStyle w:val="Standard"/>
              <w:spacing w:line="276" w:lineRule="auto"/>
              <w:rPr>
                <w:rFonts w:ascii="Times New Roman" w:hAnsi="Times New Roman" w:cs="Times New Roman"/>
              </w:rPr>
            </w:pPr>
            <w:r w:rsidRPr="00F11A3E">
              <w:rPr>
                <w:rFonts w:ascii="Times New Roman" w:hAnsi="Times New Roman" w:cs="Times New Roman"/>
              </w:rPr>
              <w:t xml:space="preserve">The time in days </w:t>
            </w:r>
            <w:r w:rsidR="00A84F72" w:rsidRPr="00F11A3E">
              <w:rPr>
                <w:rFonts w:ascii="Times New Roman" w:hAnsi="Times New Roman" w:cs="Times New Roman"/>
              </w:rPr>
              <w:t>from ordering</w:t>
            </w:r>
            <w:r w:rsidRPr="00F11A3E">
              <w:rPr>
                <w:rFonts w:ascii="Times New Roman" w:hAnsi="Times New Roman" w:cs="Times New Roman"/>
              </w:rPr>
              <w:t xml:space="preserve"> </w:t>
            </w:r>
            <w:r w:rsidR="00A26B84" w:rsidRPr="00F11A3E">
              <w:rPr>
                <w:rFonts w:ascii="Times New Roman" w:hAnsi="Times New Roman" w:cs="Times New Roman"/>
              </w:rPr>
              <w:t>PD-L1 test</w:t>
            </w:r>
            <w:r w:rsidRPr="00F11A3E">
              <w:rPr>
                <w:rFonts w:ascii="Times New Roman" w:hAnsi="Times New Roman" w:cs="Times New Roman"/>
              </w:rPr>
              <w:t xml:space="preserve"> </w:t>
            </w:r>
            <w:r w:rsidR="007E70DA" w:rsidRPr="00F11A3E">
              <w:rPr>
                <w:rFonts w:ascii="Times New Roman" w:hAnsi="Times New Roman" w:cs="Times New Roman"/>
              </w:rPr>
              <w:t>until</w:t>
            </w:r>
            <w:r w:rsidR="00A84F72" w:rsidRPr="00F11A3E">
              <w:rPr>
                <w:rFonts w:ascii="Times New Roman" w:hAnsi="Times New Roman" w:cs="Times New Roman"/>
              </w:rPr>
              <w:t xml:space="preserve"> receiving results i</w:t>
            </w:r>
            <w:r w:rsidRPr="00F11A3E">
              <w:rPr>
                <w:rFonts w:ascii="Times New Roman" w:hAnsi="Times New Roman" w:cs="Times New Roman"/>
              </w:rPr>
              <w:t>n a general hospital for one patient</w:t>
            </w:r>
          </w:p>
        </w:tc>
        <w:tc>
          <w:tcPr>
            <w:tcW w:w="3269" w:type="dxa"/>
          </w:tcPr>
          <w:p w14:paraId="5F216D97" w14:textId="382FDD28" w:rsidR="00292CDE" w:rsidRPr="00F11A3E" w:rsidRDefault="00292CDE" w:rsidP="00F11A3E">
            <w:pPr>
              <w:pStyle w:val="TableContents"/>
              <w:spacing w:line="276" w:lineRule="auto"/>
              <w:rPr>
                <w:rFonts w:ascii="Times New Roman" w:hAnsi="Times New Roman" w:cs="Times New Roman"/>
              </w:rPr>
            </w:pPr>
            <w:r w:rsidRPr="00F11A3E">
              <w:rPr>
                <w:rFonts w:ascii="Times New Roman" w:hAnsi="Times New Roman" w:cs="Times New Roman"/>
              </w:rPr>
              <w:t xml:space="preserve">Discrete empirical distribution(min = </w:t>
            </w:r>
            <w:r w:rsidR="00A316E1" w:rsidRPr="00F11A3E">
              <w:rPr>
                <w:rFonts w:ascii="Times New Roman" w:hAnsi="Times New Roman" w:cs="Times New Roman"/>
              </w:rPr>
              <w:t>4</w:t>
            </w:r>
            <w:r w:rsidRPr="00F11A3E">
              <w:rPr>
                <w:rFonts w:ascii="Times New Roman" w:hAnsi="Times New Roman" w:cs="Times New Roman"/>
              </w:rPr>
              <w:t xml:space="preserve">, max = </w:t>
            </w:r>
            <w:r w:rsidR="00A161D4" w:rsidRPr="00F11A3E">
              <w:rPr>
                <w:rFonts w:ascii="Times New Roman" w:hAnsi="Times New Roman" w:cs="Times New Roman"/>
              </w:rPr>
              <w:t>1</w:t>
            </w:r>
            <w:r w:rsidR="00A316E1" w:rsidRPr="00F11A3E">
              <w:rPr>
                <w:rFonts w:ascii="Times New Roman" w:hAnsi="Times New Roman" w:cs="Times New Roman"/>
              </w:rPr>
              <w:t>0</w:t>
            </w:r>
            <w:r w:rsidRPr="00F11A3E">
              <w:rPr>
                <w:rFonts w:ascii="Times New Roman" w:hAnsi="Times New Roman" w:cs="Times New Roman"/>
              </w:rPr>
              <w:t>) (discrete)</w:t>
            </w:r>
          </w:p>
        </w:tc>
        <w:tc>
          <w:tcPr>
            <w:tcW w:w="1545" w:type="dxa"/>
          </w:tcPr>
          <w:p w14:paraId="207630FE" w14:textId="33E170EE" w:rsidR="00292CDE" w:rsidRPr="00F11A3E" w:rsidRDefault="00292CDE" w:rsidP="00F11A3E">
            <w:pPr>
              <w:pStyle w:val="Standard"/>
              <w:spacing w:line="276" w:lineRule="auto"/>
              <w:rPr>
                <w:rFonts w:ascii="Times New Roman" w:hAnsi="Times New Roman" w:cs="Times New Roman"/>
              </w:rPr>
            </w:pPr>
            <w:r w:rsidRPr="00F11A3E">
              <w:rPr>
                <w:rFonts w:ascii="Times New Roman" w:hAnsi="Times New Roman" w:cs="Times New Roman"/>
              </w:rPr>
              <w:t>Survey data, see section 1.1.3.2 and table 2.</w:t>
            </w:r>
          </w:p>
        </w:tc>
      </w:tr>
      <w:tr w:rsidR="00A161D4" w:rsidRPr="00F11A3E" w14:paraId="121D9D47" w14:textId="77777777" w:rsidTr="008C2BB2">
        <w:tc>
          <w:tcPr>
            <w:tcW w:w="1271" w:type="dxa"/>
            <w:vMerge/>
          </w:tcPr>
          <w:p w14:paraId="78387F04" w14:textId="77777777" w:rsidR="00A161D4" w:rsidRPr="00F11A3E" w:rsidRDefault="00A161D4" w:rsidP="00F11A3E">
            <w:pPr>
              <w:pStyle w:val="Standard"/>
              <w:spacing w:line="276" w:lineRule="auto"/>
              <w:rPr>
                <w:rFonts w:ascii="Times New Roman" w:hAnsi="Times New Roman" w:cs="Times New Roman"/>
              </w:rPr>
            </w:pPr>
          </w:p>
        </w:tc>
        <w:tc>
          <w:tcPr>
            <w:tcW w:w="1418" w:type="dxa"/>
          </w:tcPr>
          <w:p w14:paraId="2A6DB6D0" w14:textId="10B873D5" w:rsidR="00A161D4" w:rsidRPr="00F11A3E" w:rsidRDefault="00A161D4" w:rsidP="00F11A3E">
            <w:pPr>
              <w:pStyle w:val="Standard"/>
              <w:spacing w:line="276" w:lineRule="auto"/>
              <w:rPr>
                <w:rFonts w:ascii="Times New Roman" w:hAnsi="Times New Roman" w:cs="Times New Roman"/>
              </w:rPr>
            </w:pPr>
            <w:r w:rsidRPr="00F11A3E">
              <w:rPr>
                <w:rFonts w:ascii="Times New Roman" w:hAnsi="Times New Roman" w:cs="Times New Roman"/>
              </w:rPr>
              <w:t>Turnaround time PD-L1 test teaching hospitals</w:t>
            </w:r>
          </w:p>
        </w:tc>
        <w:tc>
          <w:tcPr>
            <w:tcW w:w="1559" w:type="dxa"/>
          </w:tcPr>
          <w:p w14:paraId="4E0B14DD" w14:textId="0A93F3B2" w:rsidR="00A161D4" w:rsidRPr="00F11A3E" w:rsidRDefault="007E70DA" w:rsidP="00F11A3E">
            <w:pPr>
              <w:pStyle w:val="Standard"/>
              <w:spacing w:line="276" w:lineRule="auto"/>
              <w:rPr>
                <w:rFonts w:ascii="Times New Roman" w:hAnsi="Times New Roman" w:cs="Times New Roman"/>
              </w:rPr>
            </w:pPr>
            <w:r w:rsidRPr="00F11A3E">
              <w:rPr>
                <w:rFonts w:ascii="Times New Roman" w:hAnsi="Times New Roman" w:cs="Times New Roman"/>
              </w:rPr>
              <w:t xml:space="preserve">The time in days from ordering PD-L1 test until receiving results in a </w:t>
            </w:r>
            <w:r w:rsidR="00A161D4" w:rsidRPr="00F11A3E">
              <w:rPr>
                <w:rFonts w:ascii="Times New Roman" w:hAnsi="Times New Roman" w:cs="Times New Roman"/>
              </w:rPr>
              <w:t>teaching hospital for one patient</w:t>
            </w:r>
          </w:p>
        </w:tc>
        <w:tc>
          <w:tcPr>
            <w:tcW w:w="3269" w:type="dxa"/>
          </w:tcPr>
          <w:p w14:paraId="1A2C512F" w14:textId="0BDDBCB6" w:rsidR="00A161D4" w:rsidRPr="00F11A3E" w:rsidRDefault="00A161D4" w:rsidP="00F11A3E">
            <w:pPr>
              <w:pStyle w:val="TableContents"/>
              <w:spacing w:line="276" w:lineRule="auto"/>
              <w:rPr>
                <w:rFonts w:ascii="Times New Roman" w:hAnsi="Times New Roman" w:cs="Times New Roman"/>
              </w:rPr>
            </w:pPr>
            <w:r w:rsidRPr="00F11A3E">
              <w:rPr>
                <w:rFonts w:ascii="Times New Roman" w:hAnsi="Times New Roman" w:cs="Times New Roman"/>
              </w:rPr>
              <w:t xml:space="preserve">Discrete empirical distribution(min = </w:t>
            </w:r>
            <w:r w:rsidR="008D2EBA" w:rsidRPr="00F11A3E">
              <w:rPr>
                <w:rFonts w:ascii="Times New Roman" w:hAnsi="Times New Roman" w:cs="Times New Roman"/>
              </w:rPr>
              <w:t>5</w:t>
            </w:r>
            <w:r w:rsidRPr="00F11A3E">
              <w:rPr>
                <w:rFonts w:ascii="Times New Roman" w:hAnsi="Times New Roman" w:cs="Times New Roman"/>
              </w:rPr>
              <w:t>, max = 15) (discrete)</w:t>
            </w:r>
          </w:p>
        </w:tc>
        <w:tc>
          <w:tcPr>
            <w:tcW w:w="1545" w:type="dxa"/>
          </w:tcPr>
          <w:p w14:paraId="313324F5" w14:textId="549D5969" w:rsidR="00A161D4" w:rsidRPr="00F11A3E" w:rsidRDefault="00A161D4" w:rsidP="00F11A3E">
            <w:pPr>
              <w:pStyle w:val="Standard"/>
              <w:spacing w:line="276" w:lineRule="auto"/>
              <w:rPr>
                <w:rFonts w:ascii="Times New Roman" w:hAnsi="Times New Roman" w:cs="Times New Roman"/>
              </w:rPr>
            </w:pPr>
            <w:r w:rsidRPr="00F11A3E">
              <w:rPr>
                <w:rFonts w:ascii="Times New Roman" w:hAnsi="Times New Roman" w:cs="Times New Roman"/>
              </w:rPr>
              <w:t>Survey data, see section 1.1.3.2 and table 2.</w:t>
            </w:r>
          </w:p>
        </w:tc>
      </w:tr>
      <w:tr w:rsidR="00245648" w:rsidRPr="00F11A3E" w14:paraId="2B6020A8" w14:textId="77777777" w:rsidTr="00AC1495">
        <w:tc>
          <w:tcPr>
            <w:tcW w:w="1271" w:type="dxa"/>
            <w:vMerge/>
          </w:tcPr>
          <w:p w14:paraId="5E744DB1" w14:textId="77777777" w:rsidR="00245648" w:rsidRPr="00F11A3E" w:rsidRDefault="00245648" w:rsidP="00F11A3E">
            <w:pPr>
              <w:pStyle w:val="Standard"/>
              <w:spacing w:line="276" w:lineRule="auto"/>
              <w:rPr>
                <w:rFonts w:ascii="Times New Roman" w:hAnsi="Times New Roman" w:cs="Times New Roman"/>
              </w:rPr>
            </w:pPr>
          </w:p>
        </w:tc>
        <w:tc>
          <w:tcPr>
            <w:tcW w:w="1418" w:type="dxa"/>
          </w:tcPr>
          <w:p w14:paraId="2ED572D7" w14:textId="3C6E19DC" w:rsidR="00245648" w:rsidRPr="00F11A3E" w:rsidRDefault="00245648" w:rsidP="00F11A3E">
            <w:pPr>
              <w:pStyle w:val="Standard"/>
              <w:spacing w:line="276" w:lineRule="auto"/>
              <w:rPr>
                <w:rFonts w:ascii="Times New Roman" w:hAnsi="Times New Roman" w:cs="Times New Roman"/>
              </w:rPr>
            </w:pPr>
            <w:r w:rsidRPr="00F11A3E">
              <w:rPr>
                <w:rFonts w:ascii="Times New Roman" w:hAnsi="Times New Roman" w:cs="Times New Roman"/>
              </w:rPr>
              <w:t>Turnaround time PD-L1 test academic hospitals</w:t>
            </w:r>
          </w:p>
        </w:tc>
        <w:tc>
          <w:tcPr>
            <w:tcW w:w="1559" w:type="dxa"/>
          </w:tcPr>
          <w:p w14:paraId="4DA37F64" w14:textId="02F833C0" w:rsidR="00245648" w:rsidRPr="00F11A3E" w:rsidRDefault="00740B4D" w:rsidP="00F11A3E">
            <w:pPr>
              <w:pStyle w:val="Standard"/>
              <w:spacing w:line="276" w:lineRule="auto"/>
              <w:rPr>
                <w:rFonts w:ascii="Times New Roman" w:hAnsi="Times New Roman" w:cs="Times New Roman"/>
              </w:rPr>
            </w:pPr>
            <w:r w:rsidRPr="00F11A3E">
              <w:rPr>
                <w:rFonts w:ascii="Times New Roman" w:hAnsi="Times New Roman" w:cs="Times New Roman"/>
              </w:rPr>
              <w:t xml:space="preserve">The time in days from ordering PD-L1 test until </w:t>
            </w:r>
            <w:r w:rsidRPr="00F11A3E">
              <w:rPr>
                <w:rFonts w:ascii="Times New Roman" w:hAnsi="Times New Roman" w:cs="Times New Roman"/>
              </w:rPr>
              <w:lastRenderedPageBreak/>
              <w:t xml:space="preserve">receiving results in an </w:t>
            </w:r>
            <w:r w:rsidR="008D2EBA" w:rsidRPr="00F11A3E">
              <w:rPr>
                <w:rFonts w:ascii="Times New Roman" w:hAnsi="Times New Roman" w:cs="Times New Roman"/>
              </w:rPr>
              <w:t>academic</w:t>
            </w:r>
            <w:r w:rsidR="00245648" w:rsidRPr="00F11A3E">
              <w:rPr>
                <w:rFonts w:ascii="Times New Roman" w:hAnsi="Times New Roman" w:cs="Times New Roman"/>
              </w:rPr>
              <w:t xml:space="preserve"> hospital for one patient</w:t>
            </w:r>
          </w:p>
        </w:tc>
        <w:tc>
          <w:tcPr>
            <w:tcW w:w="3269" w:type="dxa"/>
          </w:tcPr>
          <w:p w14:paraId="145AFEA4" w14:textId="0AAEB183" w:rsidR="00245648" w:rsidRPr="00F11A3E" w:rsidRDefault="00245648" w:rsidP="00F11A3E">
            <w:pPr>
              <w:pStyle w:val="TableContents"/>
              <w:spacing w:line="276" w:lineRule="auto"/>
              <w:rPr>
                <w:rFonts w:ascii="Times New Roman" w:hAnsi="Times New Roman" w:cs="Times New Roman"/>
              </w:rPr>
            </w:pPr>
            <w:r w:rsidRPr="00F11A3E">
              <w:rPr>
                <w:rFonts w:ascii="Times New Roman" w:hAnsi="Times New Roman" w:cs="Times New Roman"/>
              </w:rPr>
              <w:lastRenderedPageBreak/>
              <w:t>Discrete empirical distribution(min = 4, max = 15) (discrete)</w:t>
            </w:r>
          </w:p>
        </w:tc>
        <w:tc>
          <w:tcPr>
            <w:tcW w:w="1545" w:type="dxa"/>
          </w:tcPr>
          <w:p w14:paraId="01E78EDB" w14:textId="6ADCAE20" w:rsidR="00245648" w:rsidRPr="00F11A3E" w:rsidRDefault="00245648" w:rsidP="00F11A3E">
            <w:pPr>
              <w:pStyle w:val="Standard"/>
              <w:spacing w:line="276" w:lineRule="auto"/>
              <w:rPr>
                <w:rFonts w:ascii="Times New Roman" w:hAnsi="Times New Roman" w:cs="Times New Roman"/>
              </w:rPr>
            </w:pPr>
            <w:r w:rsidRPr="00F11A3E">
              <w:rPr>
                <w:rFonts w:ascii="Times New Roman" w:hAnsi="Times New Roman" w:cs="Times New Roman"/>
              </w:rPr>
              <w:t>Survey data, see section 1.1.3.2 and table 2.</w:t>
            </w:r>
          </w:p>
        </w:tc>
      </w:tr>
      <w:tr w:rsidR="008D2EBA" w:rsidRPr="00F11A3E" w14:paraId="39B38A71" w14:textId="77777777" w:rsidTr="00AC1495">
        <w:tc>
          <w:tcPr>
            <w:tcW w:w="1271" w:type="dxa"/>
            <w:vMerge/>
          </w:tcPr>
          <w:p w14:paraId="1182AE3A" w14:textId="77777777" w:rsidR="008D2EBA" w:rsidRPr="00F11A3E" w:rsidRDefault="008D2EBA" w:rsidP="00F11A3E">
            <w:pPr>
              <w:pStyle w:val="Standard"/>
              <w:spacing w:line="276" w:lineRule="auto"/>
              <w:rPr>
                <w:rFonts w:ascii="Times New Roman" w:hAnsi="Times New Roman" w:cs="Times New Roman"/>
              </w:rPr>
            </w:pPr>
          </w:p>
        </w:tc>
        <w:tc>
          <w:tcPr>
            <w:tcW w:w="1418" w:type="dxa"/>
          </w:tcPr>
          <w:p w14:paraId="5D62A496" w14:textId="1270E3A4" w:rsidR="008D2EBA" w:rsidRPr="00F11A3E" w:rsidRDefault="008D2EBA" w:rsidP="00F11A3E">
            <w:pPr>
              <w:pStyle w:val="Standard"/>
              <w:spacing w:line="276" w:lineRule="auto"/>
              <w:rPr>
                <w:rFonts w:ascii="Times New Roman" w:hAnsi="Times New Roman" w:cs="Times New Roman"/>
              </w:rPr>
            </w:pPr>
            <w:r w:rsidRPr="00F11A3E">
              <w:rPr>
                <w:rFonts w:ascii="Times New Roman" w:hAnsi="Times New Roman" w:cs="Times New Roman"/>
              </w:rPr>
              <w:t>Turnaround time molecular diagnostics general hospitals</w:t>
            </w:r>
          </w:p>
        </w:tc>
        <w:tc>
          <w:tcPr>
            <w:tcW w:w="1559" w:type="dxa"/>
          </w:tcPr>
          <w:p w14:paraId="2C50ED34" w14:textId="07A8AF68" w:rsidR="008D2EBA" w:rsidRPr="00F11A3E" w:rsidRDefault="00740B4D" w:rsidP="00F11A3E">
            <w:pPr>
              <w:pStyle w:val="Standard"/>
              <w:spacing w:line="276" w:lineRule="auto"/>
              <w:rPr>
                <w:rFonts w:ascii="Times New Roman" w:hAnsi="Times New Roman" w:cs="Times New Roman"/>
              </w:rPr>
            </w:pPr>
            <w:r w:rsidRPr="00F11A3E">
              <w:rPr>
                <w:rFonts w:ascii="Times New Roman" w:hAnsi="Times New Roman" w:cs="Times New Roman"/>
              </w:rPr>
              <w:t xml:space="preserve">The time in days from ordering </w:t>
            </w:r>
            <w:r w:rsidR="008D2EBA" w:rsidRPr="00F11A3E">
              <w:rPr>
                <w:rFonts w:ascii="Times New Roman" w:hAnsi="Times New Roman" w:cs="Times New Roman"/>
              </w:rPr>
              <w:t xml:space="preserve">molecular diagnostics </w:t>
            </w:r>
            <w:r w:rsidRPr="00F11A3E">
              <w:rPr>
                <w:rFonts w:ascii="Times New Roman" w:hAnsi="Times New Roman" w:cs="Times New Roman"/>
              </w:rPr>
              <w:t xml:space="preserve">until receiving results </w:t>
            </w:r>
            <w:r w:rsidR="008D2EBA" w:rsidRPr="00F11A3E">
              <w:rPr>
                <w:rFonts w:ascii="Times New Roman" w:hAnsi="Times New Roman" w:cs="Times New Roman"/>
              </w:rPr>
              <w:t>in a general hospital for one patient</w:t>
            </w:r>
          </w:p>
        </w:tc>
        <w:tc>
          <w:tcPr>
            <w:tcW w:w="3269" w:type="dxa"/>
          </w:tcPr>
          <w:p w14:paraId="37A8AE25" w14:textId="3AB2549C" w:rsidR="008D2EBA" w:rsidRPr="00F11A3E" w:rsidRDefault="008D2EBA" w:rsidP="00F11A3E">
            <w:pPr>
              <w:pStyle w:val="TableContents"/>
              <w:spacing w:line="276" w:lineRule="auto"/>
              <w:rPr>
                <w:rFonts w:ascii="Times New Roman" w:hAnsi="Times New Roman" w:cs="Times New Roman"/>
              </w:rPr>
            </w:pPr>
            <w:r w:rsidRPr="00F11A3E">
              <w:rPr>
                <w:rFonts w:ascii="Times New Roman" w:hAnsi="Times New Roman" w:cs="Times New Roman"/>
              </w:rPr>
              <w:t xml:space="preserve">Discrete empirical distribution(min = </w:t>
            </w:r>
            <w:r w:rsidR="0068028D" w:rsidRPr="00F11A3E">
              <w:rPr>
                <w:rFonts w:ascii="Times New Roman" w:hAnsi="Times New Roman" w:cs="Times New Roman"/>
              </w:rPr>
              <w:t>10</w:t>
            </w:r>
            <w:r w:rsidRPr="00F11A3E">
              <w:rPr>
                <w:rFonts w:ascii="Times New Roman" w:hAnsi="Times New Roman" w:cs="Times New Roman"/>
              </w:rPr>
              <w:t xml:space="preserve">, max = </w:t>
            </w:r>
            <w:r w:rsidR="0068028D" w:rsidRPr="00F11A3E">
              <w:rPr>
                <w:rFonts w:ascii="Times New Roman" w:hAnsi="Times New Roman" w:cs="Times New Roman"/>
              </w:rPr>
              <w:t>21</w:t>
            </w:r>
            <w:r w:rsidRPr="00F11A3E">
              <w:rPr>
                <w:rFonts w:ascii="Times New Roman" w:hAnsi="Times New Roman" w:cs="Times New Roman"/>
              </w:rPr>
              <w:t>) (discrete)</w:t>
            </w:r>
          </w:p>
        </w:tc>
        <w:tc>
          <w:tcPr>
            <w:tcW w:w="1545" w:type="dxa"/>
          </w:tcPr>
          <w:p w14:paraId="5D2D9B81" w14:textId="4693297B" w:rsidR="008D2EBA" w:rsidRPr="00F11A3E" w:rsidRDefault="008D2EBA" w:rsidP="00F11A3E">
            <w:pPr>
              <w:pStyle w:val="Standard"/>
              <w:spacing w:line="276" w:lineRule="auto"/>
              <w:rPr>
                <w:rFonts w:ascii="Times New Roman" w:hAnsi="Times New Roman" w:cs="Times New Roman"/>
              </w:rPr>
            </w:pPr>
            <w:r w:rsidRPr="00F11A3E">
              <w:rPr>
                <w:rFonts w:ascii="Times New Roman" w:hAnsi="Times New Roman" w:cs="Times New Roman"/>
              </w:rPr>
              <w:t>Survey data, see section 1.1.3.2 and table 2.</w:t>
            </w:r>
          </w:p>
        </w:tc>
      </w:tr>
      <w:tr w:rsidR="0068028D" w:rsidRPr="00F11A3E" w14:paraId="12D12E3E" w14:textId="77777777" w:rsidTr="00AC1495">
        <w:tc>
          <w:tcPr>
            <w:tcW w:w="1271" w:type="dxa"/>
            <w:vMerge/>
          </w:tcPr>
          <w:p w14:paraId="1ECB08F4" w14:textId="77777777" w:rsidR="0068028D" w:rsidRPr="00F11A3E" w:rsidRDefault="0068028D" w:rsidP="00F11A3E">
            <w:pPr>
              <w:pStyle w:val="Standard"/>
              <w:spacing w:line="276" w:lineRule="auto"/>
              <w:rPr>
                <w:rFonts w:ascii="Times New Roman" w:hAnsi="Times New Roman" w:cs="Times New Roman"/>
              </w:rPr>
            </w:pPr>
          </w:p>
        </w:tc>
        <w:tc>
          <w:tcPr>
            <w:tcW w:w="1418" w:type="dxa"/>
          </w:tcPr>
          <w:p w14:paraId="6E2347FD" w14:textId="0F336420" w:rsidR="0068028D" w:rsidRPr="00F11A3E" w:rsidRDefault="0068028D" w:rsidP="00F11A3E">
            <w:pPr>
              <w:pStyle w:val="Standard"/>
              <w:spacing w:line="276" w:lineRule="auto"/>
              <w:rPr>
                <w:rFonts w:ascii="Times New Roman" w:hAnsi="Times New Roman" w:cs="Times New Roman"/>
              </w:rPr>
            </w:pPr>
            <w:r w:rsidRPr="00F11A3E">
              <w:rPr>
                <w:rFonts w:ascii="Times New Roman" w:hAnsi="Times New Roman" w:cs="Times New Roman"/>
              </w:rPr>
              <w:t>Turnaround time molecular diagnostics teaching hospitals</w:t>
            </w:r>
          </w:p>
        </w:tc>
        <w:tc>
          <w:tcPr>
            <w:tcW w:w="1559" w:type="dxa"/>
          </w:tcPr>
          <w:p w14:paraId="5A8D9C76" w14:textId="6F28F4EA" w:rsidR="0068028D" w:rsidRPr="00F11A3E" w:rsidRDefault="00740B4D" w:rsidP="00F11A3E">
            <w:pPr>
              <w:pStyle w:val="Standard"/>
              <w:spacing w:line="276" w:lineRule="auto"/>
              <w:rPr>
                <w:rFonts w:ascii="Times New Roman" w:hAnsi="Times New Roman" w:cs="Times New Roman"/>
              </w:rPr>
            </w:pPr>
            <w:r w:rsidRPr="00F11A3E">
              <w:rPr>
                <w:rFonts w:ascii="Times New Roman" w:hAnsi="Times New Roman" w:cs="Times New Roman"/>
              </w:rPr>
              <w:t xml:space="preserve">The time in days from ordering molecular diagnostics until receiving results </w:t>
            </w:r>
            <w:r w:rsidR="0068028D" w:rsidRPr="00F11A3E">
              <w:rPr>
                <w:rFonts w:ascii="Times New Roman" w:hAnsi="Times New Roman" w:cs="Times New Roman"/>
              </w:rPr>
              <w:t>in a teaching hospital for one patient</w:t>
            </w:r>
          </w:p>
        </w:tc>
        <w:tc>
          <w:tcPr>
            <w:tcW w:w="3269" w:type="dxa"/>
          </w:tcPr>
          <w:p w14:paraId="05B835E9" w14:textId="78E33BCF" w:rsidR="0068028D" w:rsidRPr="00F11A3E" w:rsidRDefault="0068028D" w:rsidP="00F11A3E">
            <w:pPr>
              <w:pStyle w:val="TableContents"/>
              <w:spacing w:line="276" w:lineRule="auto"/>
              <w:rPr>
                <w:rFonts w:ascii="Times New Roman" w:hAnsi="Times New Roman" w:cs="Times New Roman"/>
              </w:rPr>
            </w:pPr>
            <w:r w:rsidRPr="00F11A3E">
              <w:rPr>
                <w:rFonts w:ascii="Times New Roman" w:hAnsi="Times New Roman" w:cs="Times New Roman"/>
              </w:rPr>
              <w:t>Discrete empirical distribution(min = 10, max = 2</w:t>
            </w:r>
            <w:r w:rsidR="00BB5F78" w:rsidRPr="00F11A3E">
              <w:rPr>
                <w:rFonts w:ascii="Times New Roman" w:hAnsi="Times New Roman" w:cs="Times New Roman"/>
              </w:rPr>
              <w:t>3</w:t>
            </w:r>
            <w:r w:rsidRPr="00F11A3E">
              <w:rPr>
                <w:rFonts w:ascii="Times New Roman" w:hAnsi="Times New Roman" w:cs="Times New Roman"/>
              </w:rPr>
              <w:t>) (discrete)</w:t>
            </w:r>
          </w:p>
        </w:tc>
        <w:tc>
          <w:tcPr>
            <w:tcW w:w="1545" w:type="dxa"/>
          </w:tcPr>
          <w:p w14:paraId="06F8D35C" w14:textId="05B34EE2" w:rsidR="0068028D" w:rsidRPr="00F11A3E" w:rsidRDefault="0068028D" w:rsidP="00F11A3E">
            <w:pPr>
              <w:pStyle w:val="Standard"/>
              <w:spacing w:line="276" w:lineRule="auto"/>
              <w:rPr>
                <w:rFonts w:ascii="Times New Roman" w:hAnsi="Times New Roman" w:cs="Times New Roman"/>
              </w:rPr>
            </w:pPr>
            <w:r w:rsidRPr="00F11A3E">
              <w:rPr>
                <w:rFonts w:ascii="Times New Roman" w:hAnsi="Times New Roman" w:cs="Times New Roman"/>
              </w:rPr>
              <w:t>Survey data, see section 1.1.3.2 and table 2.</w:t>
            </w:r>
          </w:p>
        </w:tc>
      </w:tr>
      <w:tr w:rsidR="00142EA3" w:rsidRPr="00F11A3E" w14:paraId="6CDCD10B" w14:textId="77777777" w:rsidTr="00AC1495">
        <w:tc>
          <w:tcPr>
            <w:tcW w:w="1271" w:type="dxa"/>
            <w:vMerge/>
          </w:tcPr>
          <w:p w14:paraId="3A644F3A" w14:textId="77777777" w:rsidR="00142EA3" w:rsidRPr="00F11A3E" w:rsidRDefault="00142EA3" w:rsidP="00F11A3E">
            <w:pPr>
              <w:pStyle w:val="Standard"/>
              <w:spacing w:line="276" w:lineRule="auto"/>
              <w:rPr>
                <w:rFonts w:ascii="Times New Roman" w:hAnsi="Times New Roman" w:cs="Times New Roman"/>
              </w:rPr>
            </w:pPr>
          </w:p>
        </w:tc>
        <w:tc>
          <w:tcPr>
            <w:tcW w:w="1418" w:type="dxa"/>
          </w:tcPr>
          <w:p w14:paraId="35402808" w14:textId="4D2B92D8" w:rsidR="00142EA3" w:rsidRPr="00F11A3E" w:rsidRDefault="00142EA3" w:rsidP="00F11A3E">
            <w:pPr>
              <w:pStyle w:val="Standard"/>
              <w:spacing w:line="276" w:lineRule="auto"/>
              <w:rPr>
                <w:rFonts w:ascii="Times New Roman" w:hAnsi="Times New Roman" w:cs="Times New Roman"/>
              </w:rPr>
            </w:pPr>
            <w:r w:rsidRPr="00F11A3E">
              <w:rPr>
                <w:rFonts w:ascii="Times New Roman" w:hAnsi="Times New Roman" w:cs="Times New Roman"/>
              </w:rPr>
              <w:t>Turnaround time molecular diagnostics academic hospitals</w:t>
            </w:r>
          </w:p>
        </w:tc>
        <w:tc>
          <w:tcPr>
            <w:tcW w:w="1559" w:type="dxa"/>
          </w:tcPr>
          <w:p w14:paraId="794C8B14" w14:textId="2F0B9393" w:rsidR="00142EA3" w:rsidRPr="00F11A3E" w:rsidRDefault="00740B4D" w:rsidP="00F11A3E">
            <w:pPr>
              <w:pStyle w:val="Standard"/>
              <w:spacing w:line="276" w:lineRule="auto"/>
              <w:rPr>
                <w:rFonts w:ascii="Times New Roman" w:hAnsi="Times New Roman" w:cs="Times New Roman"/>
              </w:rPr>
            </w:pPr>
            <w:r w:rsidRPr="00F11A3E">
              <w:rPr>
                <w:rFonts w:ascii="Times New Roman" w:hAnsi="Times New Roman" w:cs="Times New Roman"/>
              </w:rPr>
              <w:t xml:space="preserve">The time in days from ordering molecular diagnostics until receiving results </w:t>
            </w:r>
            <w:r w:rsidR="00142EA3" w:rsidRPr="00F11A3E">
              <w:rPr>
                <w:rFonts w:ascii="Times New Roman" w:hAnsi="Times New Roman" w:cs="Times New Roman"/>
              </w:rPr>
              <w:t>in an academic hospital for one patient</w:t>
            </w:r>
          </w:p>
        </w:tc>
        <w:tc>
          <w:tcPr>
            <w:tcW w:w="3269" w:type="dxa"/>
          </w:tcPr>
          <w:p w14:paraId="088065BF" w14:textId="4E504FD8" w:rsidR="00142EA3" w:rsidRPr="00F11A3E" w:rsidRDefault="00142EA3" w:rsidP="00F11A3E">
            <w:pPr>
              <w:pStyle w:val="TableContents"/>
              <w:spacing w:line="276" w:lineRule="auto"/>
              <w:rPr>
                <w:rFonts w:ascii="Times New Roman" w:hAnsi="Times New Roman" w:cs="Times New Roman"/>
              </w:rPr>
            </w:pPr>
            <w:r w:rsidRPr="00F11A3E">
              <w:rPr>
                <w:rFonts w:ascii="Times New Roman" w:hAnsi="Times New Roman" w:cs="Times New Roman"/>
              </w:rPr>
              <w:t>Discrete empirical distribution(min = 10, max = 2</w:t>
            </w:r>
            <w:r w:rsidR="00BB5F78" w:rsidRPr="00F11A3E">
              <w:rPr>
                <w:rFonts w:ascii="Times New Roman" w:hAnsi="Times New Roman" w:cs="Times New Roman"/>
              </w:rPr>
              <w:t>1</w:t>
            </w:r>
            <w:r w:rsidRPr="00F11A3E">
              <w:rPr>
                <w:rFonts w:ascii="Times New Roman" w:hAnsi="Times New Roman" w:cs="Times New Roman"/>
              </w:rPr>
              <w:t>) (discrete)</w:t>
            </w:r>
          </w:p>
        </w:tc>
        <w:tc>
          <w:tcPr>
            <w:tcW w:w="1545" w:type="dxa"/>
          </w:tcPr>
          <w:p w14:paraId="40CBFE05" w14:textId="0303EEBD" w:rsidR="00142EA3" w:rsidRPr="00F11A3E" w:rsidRDefault="00142EA3" w:rsidP="00F11A3E">
            <w:pPr>
              <w:pStyle w:val="Standard"/>
              <w:spacing w:line="276" w:lineRule="auto"/>
              <w:rPr>
                <w:rFonts w:ascii="Times New Roman" w:hAnsi="Times New Roman" w:cs="Times New Roman"/>
              </w:rPr>
            </w:pPr>
            <w:r w:rsidRPr="00F11A3E">
              <w:rPr>
                <w:rFonts w:ascii="Times New Roman" w:hAnsi="Times New Roman" w:cs="Times New Roman"/>
              </w:rPr>
              <w:t>Survey data, see section 1.1.3.2 and table 2.</w:t>
            </w:r>
          </w:p>
        </w:tc>
      </w:tr>
      <w:tr w:rsidR="00142EA3" w:rsidRPr="00F11A3E" w14:paraId="76DA3041" w14:textId="77777777" w:rsidTr="008C2BB2">
        <w:tc>
          <w:tcPr>
            <w:tcW w:w="1271" w:type="dxa"/>
            <w:vMerge/>
          </w:tcPr>
          <w:p w14:paraId="36463667" w14:textId="77777777" w:rsidR="00142EA3" w:rsidRPr="00F11A3E" w:rsidRDefault="00142EA3" w:rsidP="00F11A3E">
            <w:pPr>
              <w:pStyle w:val="Standard"/>
              <w:spacing w:line="276" w:lineRule="auto"/>
              <w:rPr>
                <w:rFonts w:ascii="Times New Roman" w:hAnsi="Times New Roman" w:cs="Times New Roman"/>
              </w:rPr>
            </w:pPr>
          </w:p>
        </w:tc>
        <w:tc>
          <w:tcPr>
            <w:tcW w:w="1418" w:type="dxa"/>
          </w:tcPr>
          <w:p w14:paraId="3EA1F0EC" w14:textId="302A187D" w:rsidR="00142EA3" w:rsidRPr="00F11A3E" w:rsidRDefault="00142EA3" w:rsidP="00F11A3E">
            <w:pPr>
              <w:pStyle w:val="Standard"/>
              <w:spacing w:line="276" w:lineRule="auto"/>
              <w:rPr>
                <w:rFonts w:ascii="Times New Roman" w:hAnsi="Times New Roman" w:cs="Times New Roman"/>
              </w:rPr>
            </w:pPr>
            <w:r w:rsidRPr="00F11A3E">
              <w:rPr>
                <w:rFonts w:ascii="Times New Roman" w:hAnsi="Times New Roman" w:cs="Times New Roman"/>
              </w:rPr>
              <w:t>Treatment delay general hospitals</w:t>
            </w:r>
          </w:p>
        </w:tc>
        <w:tc>
          <w:tcPr>
            <w:tcW w:w="1559" w:type="dxa"/>
          </w:tcPr>
          <w:p w14:paraId="65A46FF7" w14:textId="6B48EB0E" w:rsidR="00142EA3" w:rsidRPr="00F11A3E" w:rsidRDefault="00142EA3" w:rsidP="00F11A3E">
            <w:pPr>
              <w:pStyle w:val="Standard"/>
              <w:spacing w:line="276" w:lineRule="auto"/>
              <w:rPr>
                <w:rFonts w:ascii="Times New Roman" w:hAnsi="Times New Roman" w:cs="Times New Roman"/>
              </w:rPr>
            </w:pPr>
            <w:r w:rsidRPr="00F11A3E">
              <w:rPr>
                <w:rFonts w:ascii="Times New Roman" w:hAnsi="Times New Roman" w:cs="Times New Roman"/>
              </w:rPr>
              <w:t xml:space="preserve">The time in days after concluding diagnostics and between treatment </w:t>
            </w:r>
            <w:r w:rsidR="00CF6EE1" w:rsidRPr="00F11A3E">
              <w:rPr>
                <w:rFonts w:ascii="Times New Roman" w:hAnsi="Times New Roman" w:cs="Times New Roman"/>
              </w:rPr>
              <w:t>initiation</w:t>
            </w:r>
            <w:r w:rsidRPr="00F11A3E">
              <w:rPr>
                <w:rFonts w:ascii="Times New Roman" w:hAnsi="Times New Roman" w:cs="Times New Roman"/>
              </w:rPr>
              <w:t xml:space="preserve"> in a general hospital for one patient</w:t>
            </w:r>
          </w:p>
        </w:tc>
        <w:tc>
          <w:tcPr>
            <w:tcW w:w="3269" w:type="dxa"/>
          </w:tcPr>
          <w:p w14:paraId="70683596" w14:textId="3BE878E8" w:rsidR="00142EA3" w:rsidRPr="00F11A3E" w:rsidRDefault="00142EA3" w:rsidP="00F11A3E">
            <w:pPr>
              <w:pStyle w:val="TableContents"/>
              <w:spacing w:line="276" w:lineRule="auto"/>
              <w:rPr>
                <w:rFonts w:ascii="Times New Roman" w:hAnsi="Times New Roman" w:cs="Times New Roman"/>
              </w:rPr>
            </w:pPr>
            <w:r w:rsidRPr="00F11A3E">
              <w:rPr>
                <w:rFonts w:ascii="Times New Roman" w:hAnsi="Times New Roman" w:cs="Times New Roman"/>
              </w:rPr>
              <w:t>Discrete empirical distribution(min =</w:t>
            </w:r>
            <w:r w:rsidR="004A1709" w:rsidRPr="00F11A3E">
              <w:rPr>
                <w:rFonts w:ascii="Times New Roman" w:hAnsi="Times New Roman" w:cs="Times New Roman"/>
              </w:rPr>
              <w:t xml:space="preserve"> 1</w:t>
            </w:r>
            <w:r w:rsidRPr="00F11A3E">
              <w:rPr>
                <w:rFonts w:ascii="Times New Roman" w:hAnsi="Times New Roman" w:cs="Times New Roman"/>
              </w:rPr>
              <w:t xml:space="preserve"> , max = </w:t>
            </w:r>
            <w:r w:rsidR="004A1709" w:rsidRPr="00F11A3E">
              <w:rPr>
                <w:rFonts w:ascii="Times New Roman" w:hAnsi="Times New Roman" w:cs="Times New Roman"/>
              </w:rPr>
              <w:t>5</w:t>
            </w:r>
            <w:r w:rsidRPr="00F11A3E">
              <w:rPr>
                <w:rFonts w:ascii="Times New Roman" w:hAnsi="Times New Roman" w:cs="Times New Roman"/>
              </w:rPr>
              <w:t>)  (discrete)</w:t>
            </w:r>
          </w:p>
        </w:tc>
        <w:tc>
          <w:tcPr>
            <w:tcW w:w="1545" w:type="dxa"/>
          </w:tcPr>
          <w:p w14:paraId="68DCBA0B" w14:textId="660AE3D0" w:rsidR="00142EA3" w:rsidRPr="00F11A3E" w:rsidRDefault="00142EA3" w:rsidP="00F11A3E">
            <w:pPr>
              <w:pStyle w:val="Standard"/>
              <w:spacing w:line="276" w:lineRule="auto"/>
              <w:rPr>
                <w:rFonts w:ascii="Times New Roman" w:hAnsi="Times New Roman" w:cs="Times New Roman"/>
              </w:rPr>
            </w:pPr>
            <w:r w:rsidRPr="00F11A3E">
              <w:rPr>
                <w:rFonts w:ascii="Times New Roman" w:hAnsi="Times New Roman" w:cs="Times New Roman"/>
              </w:rPr>
              <w:t>Survey data, see section 1.1.3.2 and table 2.</w:t>
            </w:r>
          </w:p>
        </w:tc>
      </w:tr>
      <w:tr w:rsidR="00142EA3" w:rsidRPr="00F11A3E" w14:paraId="2BCC3031" w14:textId="77777777" w:rsidTr="008C2BB2">
        <w:tc>
          <w:tcPr>
            <w:tcW w:w="1271" w:type="dxa"/>
            <w:vMerge/>
          </w:tcPr>
          <w:p w14:paraId="74B644B9" w14:textId="77777777" w:rsidR="00142EA3" w:rsidRPr="00F11A3E" w:rsidRDefault="00142EA3" w:rsidP="00F11A3E">
            <w:pPr>
              <w:pStyle w:val="Standard"/>
              <w:spacing w:line="276" w:lineRule="auto"/>
              <w:rPr>
                <w:rFonts w:ascii="Times New Roman" w:hAnsi="Times New Roman" w:cs="Times New Roman"/>
              </w:rPr>
            </w:pPr>
          </w:p>
        </w:tc>
        <w:tc>
          <w:tcPr>
            <w:tcW w:w="1418" w:type="dxa"/>
          </w:tcPr>
          <w:p w14:paraId="0F7756A2" w14:textId="797872E8" w:rsidR="00142EA3" w:rsidRPr="00F11A3E" w:rsidRDefault="00142EA3" w:rsidP="00F11A3E">
            <w:pPr>
              <w:pStyle w:val="Standard"/>
              <w:spacing w:line="276" w:lineRule="auto"/>
              <w:rPr>
                <w:rFonts w:ascii="Times New Roman" w:hAnsi="Times New Roman" w:cs="Times New Roman"/>
              </w:rPr>
            </w:pPr>
            <w:r w:rsidRPr="00F11A3E">
              <w:rPr>
                <w:rFonts w:ascii="Times New Roman" w:hAnsi="Times New Roman" w:cs="Times New Roman"/>
              </w:rPr>
              <w:t>Treatment delay teaching hospitals</w:t>
            </w:r>
          </w:p>
        </w:tc>
        <w:tc>
          <w:tcPr>
            <w:tcW w:w="1559" w:type="dxa"/>
          </w:tcPr>
          <w:p w14:paraId="70434E34" w14:textId="11D8F9C7" w:rsidR="00142EA3" w:rsidRPr="00F11A3E" w:rsidRDefault="00142EA3" w:rsidP="00F11A3E">
            <w:pPr>
              <w:pStyle w:val="Standard"/>
              <w:spacing w:line="276" w:lineRule="auto"/>
              <w:rPr>
                <w:rFonts w:ascii="Times New Roman" w:hAnsi="Times New Roman" w:cs="Times New Roman"/>
              </w:rPr>
            </w:pPr>
            <w:r w:rsidRPr="00F11A3E">
              <w:rPr>
                <w:rFonts w:ascii="Times New Roman" w:hAnsi="Times New Roman" w:cs="Times New Roman"/>
              </w:rPr>
              <w:t xml:space="preserve">The time in days after concluding diagnostics and between treatment </w:t>
            </w:r>
            <w:r w:rsidR="00CF6EE1" w:rsidRPr="00F11A3E">
              <w:rPr>
                <w:rFonts w:ascii="Times New Roman" w:hAnsi="Times New Roman" w:cs="Times New Roman"/>
              </w:rPr>
              <w:t>initiation</w:t>
            </w:r>
            <w:r w:rsidRPr="00F11A3E">
              <w:rPr>
                <w:rFonts w:ascii="Times New Roman" w:hAnsi="Times New Roman" w:cs="Times New Roman"/>
              </w:rPr>
              <w:t xml:space="preserve"> in a teaching hospital for one patient</w:t>
            </w:r>
          </w:p>
        </w:tc>
        <w:tc>
          <w:tcPr>
            <w:tcW w:w="3269" w:type="dxa"/>
          </w:tcPr>
          <w:p w14:paraId="611C1A6C" w14:textId="53D9E567" w:rsidR="00142EA3" w:rsidRPr="00F11A3E" w:rsidRDefault="00142EA3" w:rsidP="00F11A3E">
            <w:pPr>
              <w:pStyle w:val="TableContents"/>
              <w:spacing w:line="276" w:lineRule="auto"/>
              <w:rPr>
                <w:rFonts w:ascii="Times New Roman" w:hAnsi="Times New Roman" w:cs="Times New Roman"/>
              </w:rPr>
            </w:pPr>
            <w:r w:rsidRPr="00F11A3E">
              <w:rPr>
                <w:rFonts w:ascii="Times New Roman" w:hAnsi="Times New Roman" w:cs="Times New Roman"/>
              </w:rPr>
              <w:t xml:space="preserve">Discrete empirical distribution(min = </w:t>
            </w:r>
            <w:r w:rsidR="00DA20C9" w:rsidRPr="00F11A3E">
              <w:rPr>
                <w:rFonts w:ascii="Times New Roman" w:hAnsi="Times New Roman" w:cs="Times New Roman"/>
              </w:rPr>
              <w:t>4</w:t>
            </w:r>
            <w:r w:rsidRPr="00F11A3E">
              <w:rPr>
                <w:rFonts w:ascii="Times New Roman" w:hAnsi="Times New Roman" w:cs="Times New Roman"/>
              </w:rPr>
              <w:t xml:space="preserve">, max = </w:t>
            </w:r>
            <w:r w:rsidR="00DA20C9" w:rsidRPr="00F11A3E">
              <w:rPr>
                <w:rFonts w:ascii="Times New Roman" w:hAnsi="Times New Roman" w:cs="Times New Roman"/>
              </w:rPr>
              <w:t>9</w:t>
            </w:r>
            <w:r w:rsidRPr="00F11A3E">
              <w:rPr>
                <w:rFonts w:ascii="Times New Roman" w:hAnsi="Times New Roman" w:cs="Times New Roman"/>
              </w:rPr>
              <w:t>) (discrete)</w:t>
            </w:r>
          </w:p>
        </w:tc>
        <w:tc>
          <w:tcPr>
            <w:tcW w:w="1545" w:type="dxa"/>
          </w:tcPr>
          <w:p w14:paraId="0E2E930E" w14:textId="130E2F75" w:rsidR="00142EA3" w:rsidRPr="00F11A3E" w:rsidRDefault="00142EA3" w:rsidP="00F11A3E">
            <w:pPr>
              <w:pStyle w:val="Standard"/>
              <w:spacing w:line="276" w:lineRule="auto"/>
              <w:rPr>
                <w:rFonts w:ascii="Times New Roman" w:hAnsi="Times New Roman" w:cs="Times New Roman"/>
              </w:rPr>
            </w:pPr>
            <w:r w:rsidRPr="00F11A3E">
              <w:rPr>
                <w:rFonts w:ascii="Times New Roman" w:hAnsi="Times New Roman" w:cs="Times New Roman"/>
              </w:rPr>
              <w:t>Survey data, see section 1.1.3.2 and table 2.</w:t>
            </w:r>
          </w:p>
        </w:tc>
      </w:tr>
      <w:tr w:rsidR="00142EA3" w:rsidRPr="00F11A3E" w14:paraId="1FC66BE3" w14:textId="77777777" w:rsidTr="008C2BB2">
        <w:tc>
          <w:tcPr>
            <w:tcW w:w="1271" w:type="dxa"/>
            <w:vMerge/>
          </w:tcPr>
          <w:p w14:paraId="43D34A5C" w14:textId="77777777" w:rsidR="00142EA3" w:rsidRPr="00F11A3E" w:rsidRDefault="00142EA3" w:rsidP="00F11A3E">
            <w:pPr>
              <w:pStyle w:val="Standard"/>
              <w:spacing w:line="276" w:lineRule="auto"/>
              <w:rPr>
                <w:rFonts w:ascii="Times New Roman" w:hAnsi="Times New Roman" w:cs="Times New Roman"/>
              </w:rPr>
            </w:pPr>
          </w:p>
        </w:tc>
        <w:tc>
          <w:tcPr>
            <w:tcW w:w="1418" w:type="dxa"/>
          </w:tcPr>
          <w:p w14:paraId="1BD872AE" w14:textId="2057E61A" w:rsidR="00142EA3" w:rsidRPr="00F11A3E" w:rsidRDefault="00142EA3" w:rsidP="00F11A3E">
            <w:pPr>
              <w:pStyle w:val="Standard"/>
              <w:spacing w:line="276" w:lineRule="auto"/>
              <w:rPr>
                <w:rFonts w:ascii="Times New Roman" w:hAnsi="Times New Roman" w:cs="Times New Roman"/>
              </w:rPr>
            </w:pPr>
            <w:r w:rsidRPr="00F11A3E">
              <w:rPr>
                <w:rFonts w:ascii="Times New Roman" w:hAnsi="Times New Roman" w:cs="Times New Roman"/>
              </w:rPr>
              <w:t>Treatment delay academic hospitals</w:t>
            </w:r>
          </w:p>
        </w:tc>
        <w:tc>
          <w:tcPr>
            <w:tcW w:w="1559" w:type="dxa"/>
          </w:tcPr>
          <w:p w14:paraId="59B44D15" w14:textId="432C4D82" w:rsidR="00142EA3" w:rsidRPr="00F11A3E" w:rsidRDefault="00142EA3" w:rsidP="00F11A3E">
            <w:pPr>
              <w:pStyle w:val="Standard"/>
              <w:spacing w:line="276" w:lineRule="auto"/>
              <w:rPr>
                <w:rFonts w:ascii="Times New Roman" w:hAnsi="Times New Roman" w:cs="Times New Roman"/>
              </w:rPr>
            </w:pPr>
            <w:r w:rsidRPr="00F11A3E">
              <w:rPr>
                <w:rFonts w:ascii="Times New Roman" w:hAnsi="Times New Roman" w:cs="Times New Roman"/>
              </w:rPr>
              <w:t xml:space="preserve">The time in days after concluding diagnostics and between treatment </w:t>
            </w:r>
            <w:r w:rsidR="00CF6EE1" w:rsidRPr="00F11A3E">
              <w:rPr>
                <w:rFonts w:ascii="Times New Roman" w:hAnsi="Times New Roman" w:cs="Times New Roman"/>
              </w:rPr>
              <w:t>initiation</w:t>
            </w:r>
            <w:r w:rsidRPr="00F11A3E">
              <w:rPr>
                <w:rFonts w:ascii="Times New Roman" w:hAnsi="Times New Roman" w:cs="Times New Roman"/>
              </w:rPr>
              <w:t xml:space="preserve"> in an academic hospital for one patient</w:t>
            </w:r>
          </w:p>
        </w:tc>
        <w:tc>
          <w:tcPr>
            <w:tcW w:w="3269" w:type="dxa"/>
          </w:tcPr>
          <w:p w14:paraId="74FE1098" w14:textId="64BDD994" w:rsidR="00142EA3" w:rsidRPr="00F11A3E" w:rsidRDefault="00142EA3" w:rsidP="00F11A3E">
            <w:pPr>
              <w:pStyle w:val="TableContents"/>
              <w:spacing w:line="276" w:lineRule="auto"/>
              <w:rPr>
                <w:rFonts w:ascii="Times New Roman" w:hAnsi="Times New Roman" w:cs="Times New Roman"/>
              </w:rPr>
            </w:pPr>
            <w:r w:rsidRPr="00F11A3E">
              <w:rPr>
                <w:rFonts w:ascii="Times New Roman" w:hAnsi="Times New Roman" w:cs="Times New Roman"/>
              </w:rPr>
              <w:t xml:space="preserve">Discrete empirical distribution(min = </w:t>
            </w:r>
            <w:r w:rsidR="00DA20C9" w:rsidRPr="00F11A3E">
              <w:rPr>
                <w:rFonts w:ascii="Times New Roman" w:hAnsi="Times New Roman" w:cs="Times New Roman"/>
              </w:rPr>
              <w:t>0</w:t>
            </w:r>
            <w:r w:rsidRPr="00F11A3E">
              <w:rPr>
                <w:rFonts w:ascii="Times New Roman" w:hAnsi="Times New Roman" w:cs="Times New Roman"/>
              </w:rPr>
              <w:t xml:space="preserve">, max = </w:t>
            </w:r>
            <w:r w:rsidR="00DA20C9" w:rsidRPr="00F11A3E">
              <w:rPr>
                <w:rFonts w:ascii="Times New Roman" w:hAnsi="Times New Roman" w:cs="Times New Roman"/>
              </w:rPr>
              <w:t>10</w:t>
            </w:r>
            <w:r w:rsidRPr="00F11A3E">
              <w:rPr>
                <w:rFonts w:ascii="Times New Roman" w:hAnsi="Times New Roman" w:cs="Times New Roman"/>
              </w:rPr>
              <w:t>)  (discrete)</w:t>
            </w:r>
          </w:p>
        </w:tc>
        <w:tc>
          <w:tcPr>
            <w:tcW w:w="1545" w:type="dxa"/>
          </w:tcPr>
          <w:p w14:paraId="51CF7B9F" w14:textId="364D9B46" w:rsidR="00142EA3" w:rsidRPr="00F11A3E" w:rsidRDefault="00142EA3" w:rsidP="00F11A3E">
            <w:pPr>
              <w:pStyle w:val="Standard"/>
              <w:spacing w:line="276" w:lineRule="auto"/>
              <w:rPr>
                <w:rFonts w:ascii="Times New Roman" w:hAnsi="Times New Roman" w:cs="Times New Roman"/>
              </w:rPr>
            </w:pPr>
            <w:r w:rsidRPr="00F11A3E">
              <w:rPr>
                <w:rFonts w:ascii="Times New Roman" w:hAnsi="Times New Roman" w:cs="Times New Roman"/>
              </w:rPr>
              <w:t>Survey data, see section 1.1.3.2 and table 2.</w:t>
            </w:r>
          </w:p>
        </w:tc>
      </w:tr>
      <w:tr w:rsidR="00142EA3" w:rsidRPr="00F11A3E" w14:paraId="457D821B" w14:textId="77777777" w:rsidTr="008C2BB2">
        <w:tc>
          <w:tcPr>
            <w:tcW w:w="1271" w:type="dxa"/>
            <w:vMerge/>
          </w:tcPr>
          <w:p w14:paraId="779890FB" w14:textId="77777777" w:rsidR="00142EA3" w:rsidRPr="00F11A3E" w:rsidRDefault="00142EA3" w:rsidP="00F11A3E">
            <w:pPr>
              <w:pStyle w:val="Standard"/>
              <w:spacing w:line="276" w:lineRule="auto"/>
              <w:rPr>
                <w:rFonts w:ascii="Times New Roman" w:hAnsi="Times New Roman" w:cs="Times New Roman"/>
              </w:rPr>
            </w:pPr>
          </w:p>
        </w:tc>
        <w:tc>
          <w:tcPr>
            <w:tcW w:w="1418" w:type="dxa"/>
          </w:tcPr>
          <w:p w14:paraId="32FED2B6" w14:textId="2BC9CCB8" w:rsidR="00142EA3" w:rsidRPr="00F11A3E" w:rsidRDefault="00142EA3" w:rsidP="00F11A3E">
            <w:pPr>
              <w:pStyle w:val="Standard"/>
              <w:spacing w:line="276" w:lineRule="auto"/>
              <w:rPr>
                <w:rFonts w:ascii="Times New Roman" w:hAnsi="Times New Roman" w:cs="Times New Roman"/>
              </w:rPr>
            </w:pPr>
            <w:r w:rsidRPr="00F11A3E">
              <w:rPr>
                <w:rFonts w:ascii="Times New Roman" w:hAnsi="Times New Roman" w:cs="Times New Roman"/>
              </w:rPr>
              <w:t>Sufficient Tumor cells in WGS biopsy</w:t>
            </w:r>
          </w:p>
        </w:tc>
        <w:tc>
          <w:tcPr>
            <w:tcW w:w="1559" w:type="dxa"/>
          </w:tcPr>
          <w:p w14:paraId="74E66EC0" w14:textId="0667BBBB" w:rsidR="00142EA3" w:rsidRPr="00F11A3E" w:rsidRDefault="00142EA3" w:rsidP="00F11A3E">
            <w:pPr>
              <w:pStyle w:val="Standard"/>
              <w:spacing w:line="276" w:lineRule="auto"/>
              <w:rPr>
                <w:rFonts w:ascii="Times New Roman" w:hAnsi="Times New Roman" w:cs="Times New Roman"/>
              </w:rPr>
            </w:pPr>
            <w:r w:rsidRPr="00F11A3E">
              <w:rPr>
                <w:rFonts w:ascii="Times New Roman" w:hAnsi="Times New Roman" w:cs="Times New Roman"/>
              </w:rPr>
              <w:t xml:space="preserve">Probability that any of the biopsies taken for WGS contain enough tumor cells </w:t>
            </w:r>
          </w:p>
        </w:tc>
        <w:tc>
          <w:tcPr>
            <w:tcW w:w="3269" w:type="dxa"/>
          </w:tcPr>
          <w:p w14:paraId="4733A566" w14:textId="797AEC79" w:rsidR="00142EA3" w:rsidRPr="00F11A3E" w:rsidRDefault="00142EA3" w:rsidP="00F11A3E">
            <w:pPr>
              <w:pStyle w:val="TableContents"/>
              <w:spacing w:line="276" w:lineRule="auto"/>
              <w:rPr>
                <w:rFonts w:ascii="Times New Roman" w:hAnsi="Times New Roman" w:cs="Times New Roman"/>
              </w:rPr>
            </w:pPr>
            <w:r w:rsidRPr="00F11A3E">
              <w:rPr>
                <w:rFonts w:ascii="Times New Roman" w:hAnsi="Times New Roman" w:cs="Times New Roman"/>
              </w:rPr>
              <w:t>Beta(p = 570, q = 297) (fraction)</w:t>
            </w:r>
          </w:p>
        </w:tc>
        <w:tc>
          <w:tcPr>
            <w:tcW w:w="1545" w:type="dxa"/>
          </w:tcPr>
          <w:p w14:paraId="235D1864" w14:textId="029510C9" w:rsidR="00142EA3" w:rsidRPr="00F11A3E" w:rsidRDefault="00142EA3" w:rsidP="00F11A3E">
            <w:pPr>
              <w:pStyle w:val="Standard"/>
              <w:spacing w:line="276" w:lineRule="auto"/>
              <w:rPr>
                <w:rFonts w:ascii="Times New Roman" w:hAnsi="Times New Roman" w:cs="Times New Roman"/>
              </w:rPr>
            </w:pPr>
            <w:r w:rsidRPr="00F11A3E">
              <w:rPr>
                <w:rFonts w:ascii="Times New Roman" w:hAnsi="Times New Roman" w:cs="Times New Roman"/>
              </w:rPr>
              <w:fldChar w:fldCharType="begin" w:fldLock="1"/>
            </w:r>
            <w:r w:rsidR="00935C50" w:rsidRPr="00F11A3E">
              <w:rPr>
                <w:rFonts w:ascii="Times New Roman" w:hAnsi="Times New Roman" w:cs="Times New Roman"/>
              </w:rPr>
              <w:instrText>ADDIN CSL_CITATION {"citationItems":[{"id":"ITEM-1","itemData":{"DOI":"10.1016/j.annonc.2020.08.083","author":[{"dropping-particle":"","family":"Monkhorst","given":"Kim","non-dropping-particle":"","parse-names":false,"suffix":""},{"dropping-particle":"","family":"Samsom","given":"K.","non-dropping-particle":"","parse-names":false,"suffix":""},{"dropping-particle":"","family":"Schipper","given":"L.","non-dropping-particle":"","parse-names":false,"suffix":""},{"dropping-particle":"","family":"Roepman","given":"P.","non-dropping-particle":"","parse-names":false,"suffix":""},{"dropping-particle":"","family":"Bosch","given":"L.","non-dropping-particle":"","parse-names":false,"suffix":""},{"dropping-particle":"de","family":"Bruijn","given":"E.","non-dropping-particle":"","parse-names":false,"suffix":""},{"dropping-particle":"","family":"Hoes","given":"L.R.","non-dropping-particle":"","parse-names":false,"suffix":""},{"dropping-particle":"","family":"Riethorst","given":"I.","non-dropping-particle":"","parse-names":false,"suffix":""},{"dropping-particle":"","family":"Schoenmaker","given":"L.","non-dropping-particle":"","parse-names":false,"suffix":""},{"dropping-particle":"van der","family":"Kolk","given":"L.","non-dropping-particle":"","parse-names":false,"suffix":""},{"dropping-particle":"","family":"Buffart","given":"T.","non-dropping-particle":"","parse-names":false,"suffix":""},{"dropping-particle":"van der","family":"Hoeven","given":"K.","non-dropping-particle":"","parse-names":false,"suffix":""},{"dropping-particle":"","family":"Voest","given":"E.E.","non-dropping-particle":"","parse-names":false,"suffix":""},{"dropping-particle":"","family":"Cuppen","given":"E.","non-dropping-particle":"","parse-names":false,"suffix":""},{"dropping-particle":"","family":"Meijer","given":"G.","non-dropping-particle":"","parse-names":false,"suffix":""}],"container-title":"ESMO Annual Meeting","id":"ITEM-1","issued":{"date-parts":[["2020"]]},"page":"1189O","title":"Validation of whole genome sequencing in routine clinical practice","type":"article-journal","volume":"31"},"uris":["http://www.mendeley.com/documents/?uuid=de8fe664-2e60-316e-acf2-150035de92b6"]}],"mendeley":{"formattedCitation":"(14)","plainTextFormattedCitation":"(14)","previouslyFormattedCitation":"[14]"},"properties":{"noteIndex":0},"schema":"https://github.com/citation-style-language/schema/raw/master/csl-citation.json"}</w:instrText>
            </w:r>
            <w:r w:rsidRPr="00F11A3E">
              <w:rPr>
                <w:rFonts w:ascii="Times New Roman" w:hAnsi="Times New Roman" w:cs="Times New Roman"/>
              </w:rPr>
              <w:fldChar w:fldCharType="separate"/>
            </w:r>
            <w:r w:rsidR="00935C50" w:rsidRPr="00F11A3E">
              <w:rPr>
                <w:rFonts w:ascii="Times New Roman" w:hAnsi="Times New Roman" w:cs="Times New Roman"/>
                <w:noProof/>
              </w:rPr>
              <w:t>(14)</w:t>
            </w:r>
            <w:r w:rsidRPr="00F11A3E">
              <w:rPr>
                <w:rFonts w:ascii="Times New Roman" w:hAnsi="Times New Roman" w:cs="Times New Roman"/>
              </w:rPr>
              <w:fldChar w:fldCharType="end"/>
            </w:r>
          </w:p>
        </w:tc>
      </w:tr>
      <w:tr w:rsidR="00142EA3" w:rsidRPr="00F11A3E" w14:paraId="41D4C2D2" w14:textId="77777777" w:rsidTr="008C2BB2">
        <w:tc>
          <w:tcPr>
            <w:tcW w:w="1271" w:type="dxa"/>
          </w:tcPr>
          <w:p w14:paraId="50E14E2B" w14:textId="77777777" w:rsidR="00142EA3" w:rsidRPr="00F11A3E" w:rsidRDefault="00142EA3" w:rsidP="00F11A3E">
            <w:pPr>
              <w:pStyle w:val="Standard"/>
              <w:spacing w:line="276" w:lineRule="auto"/>
              <w:rPr>
                <w:rFonts w:ascii="Times New Roman" w:hAnsi="Times New Roman" w:cs="Times New Roman"/>
              </w:rPr>
            </w:pPr>
          </w:p>
        </w:tc>
        <w:tc>
          <w:tcPr>
            <w:tcW w:w="1418" w:type="dxa"/>
          </w:tcPr>
          <w:p w14:paraId="6E809B2A" w14:textId="62325586" w:rsidR="00142EA3" w:rsidRPr="00F11A3E" w:rsidRDefault="00142EA3" w:rsidP="00F11A3E">
            <w:pPr>
              <w:pStyle w:val="Standard"/>
              <w:spacing w:line="276" w:lineRule="auto"/>
              <w:rPr>
                <w:rFonts w:ascii="Times New Roman" w:hAnsi="Times New Roman" w:cs="Times New Roman"/>
              </w:rPr>
            </w:pPr>
            <w:r w:rsidRPr="00F11A3E">
              <w:rPr>
                <w:rFonts w:ascii="Times New Roman" w:hAnsi="Times New Roman" w:cs="Times New Roman"/>
              </w:rPr>
              <w:t>Referral error</w:t>
            </w:r>
          </w:p>
        </w:tc>
        <w:tc>
          <w:tcPr>
            <w:tcW w:w="1559" w:type="dxa"/>
          </w:tcPr>
          <w:p w14:paraId="56CD8867" w14:textId="7344E8E4" w:rsidR="00142EA3" w:rsidRPr="00F11A3E" w:rsidRDefault="00142EA3" w:rsidP="00F11A3E">
            <w:pPr>
              <w:pStyle w:val="Standard"/>
              <w:spacing w:line="276" w:lineRule="auto"/>
              <w:rPr>
                <w:rFonts w:ascii="Times New Roman" w:hAnsi="Times New Roman" w:cs="Times New Roman"/>
              </w:rPr>
            </w:pPr>
            <w:r w:rsidRPr="00F11A3E">
              <w:rPr>
                <w:rFonts w:ascii="Times New Roman" w:hAnsi="Times New Roman" w:cs="Times New Roman"/>
              </w:rPr>
              <w:t>Probability that a patient for whom no biomarker was identified in the current hospital is not referred to either a teaching or academic hospital for further testing</w:t>
            </w:r>
          </w:p>
        </w:tc>
        <w:tc>
          <w:tcPr>
            <w:tcW w:w="3269" w:type="dxa"/>
          </w:tcPr>
          <w:p w14:paraId="25F6B1DC" w14:textId="08AE081E" w:rsidR="00142EA3" w:rsidRPr="00F11A3E" w:rsidRDefault="00142EA3" w:rsidP="00F11A3E">
            <w:pPr>
              <w:pStyle w:val="TableContents"/>
              <w:spacing w:line="276" w:lineRule="auto"/>
              <w:rPr>
                <w:rFonts w:ascii="Times New Roman" w:hAnsi="Times New Roman" w:cs="Times New Roman"/>
              </w:rPr>
            </w:pPr>
            <w:r w:rsidRPr="00F11A3E">
              <w:rPr>
                <w:rFonts w:ascii="Times New Roman" w:hAnsi="Times New Roman" w:cs="Times New Roman"/>
              </w:rPr>
              <w:t>0 (fraction)</w:t>
            </w:r>
          </w:p>
        </w:tc>
        <w:tc>
          <w:tcPr>
            <w:tcW w:w="1545" w:type="dxa"/>
          </w:tcPr>
          <w:p w14:paraId="0412019E" w14:textId="4688266B" w:rsidR="00142EA3" w:rsidRPr="00F11A3E" w:rsidRDefault="00142EA3" w:rsidP="00F11A3E">
            <w:pPr>
              <w:pStyle w:val="Standard"/>
              <w:spacing w:line="276" w:lineRule="auto"/>
              <w:rPr>
                <w:rFonts w:ascii="Times New Roman" w:hAnsi="Times New Roman" w:cs="Times New Roman"/>
              </w:rPr>
            </w:pPr>
            <w:r w:rsidRPr="00F11A3E">
              <w:rPr>
                <w:rFonts w:ascii="Times New Roman" w:hAnsi="Times New Roman" w:cs="Times New Roman"/>
              </w:rPr>
              <w:t>Assumption</w:t>
            </w:r>
          </w:p>
        </w:tc>
      </w:tr>
    </w:tbl>
    <w:p w14:paraId="78969E69" w14:textId="45482AE4" w:rsidR="00B865BE" w:rsidRPr="00F11A3E" w:rsidRDefault="00B865BE" w:rsidP="00F11A3E">
      <w:pPr>
        <w:pStyle w:val="Table"/>
        <w:keepNext/>
        <w:spacing w:line="276" w:lineRule="auto"/>
        <w:rPr>
          <w:rFonts w:ascii="Times New Roman" w:hAnsi="Times New Roman" w:cs="Times New Roman"/>
          <w:i w:val="0"/>
          <w:iCs w:val="0"/>
          <w:color w:val="auto"/>
          <w:sz w:val="22"/>
          <w:szCs w:val="22"/>
        </w:rPr>
      </w:pPr>
    </w:p>
    <w:p w14:paraId="7CA24A43" w14:textId="482469B4" w:rsidR="00B865BE" w:rsidRPr="00F11A3E" w:rsidRDefault="00B865BE" w:rsidP="00F11A3E">
      <w:pPr>
        <w:pStyle w:val="Heading2"/>
        <w:spacing w:line="276" w:lineRule="auto"/>
        <w:rPr>
          <w:rFonts w:ascii="Times New Roman" w:hAnsi="Times New Roman" w:cs="Times New Roman"/>
        </w:rPr>
      </w:pPr>
      <w:r w:rsidRPr="00F11A3E">
        <w:rPr>
          <w:rFonts w:ascii="Times New Roman" w:hAnsi="Times New Roman" w:cs="Times New Roman"/>
        </w:rPr>
        <w:t>Outcome stability</w:t>
      </w:r>
    </w:p>
    <w:p w14:paraId="67459472" w14:textId="77777777" w:rsidR="00394F31" w:rsidRPr="00F11A3E" w:rsidRDefault="00394F31" w:rsidP="00F11A3E">
      <w:pPr>
        <w:pStyle w:val="Standard"/>
        <w:keepNext/>
        <w:spacing w:line="276" w:lineRule="auto"/>
      </w:pPr>
      <w:r w:rsidRPr="00F11A3E">
        <w:rPr>
          <w:noProof/>
          <w:lang w:eastAsia="nl-NL"/>
        </w:rPr>
        <w:drawing>
          <wp:inline distT="0" distB="0" distL="0" distR="0" wp14:anchorId="19D9B391" wp14:editId="6760EE10">
            <wp:extent cx="5756910" cy="431736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56910" cy="4317365"/>
                    </a:xfrm>
                    <a:prstGeom prst="rect">
                      <a:avLst/>
                    </a:prstGeom>
                    <a:noFill/>
                    <a:ln>
                      <a:noFill/>
                    </a:ln>
                  </pic:spPr>
                </pic:pic>
              </a:graphicData>
            </a:graphic>
          </wp:inline>
        </w:drawing>
      </w:r>
    </w:p>
    <w:p w14:paraId="37F7FA8E" w14:textId="60E93C75" w:rsidR="00B865BE" w:rsidRPr="00F11A3E" w:rsidRDefault="00394F31" w:rsidP="00F11A3E">
      <w:pPr>
        <w:pStyle w:val="Caption"/>
        <w:spacing w:line="276" w:lineRule="auto"/>
      </w:pPr>
      <w:r w:rsidRPr="00F11A3E">
        <w:t xml:space="preserve">Figure </w:t>
      </w:r>
      <w:r w:rsidRPr="00F11A3E">
        <w:fldChar w:fldCharType="begin"/>
      </w:r>
      <w:r w:rsidRPr="00F11A3E">
        <w:instrText xml:space="preserve"> SEQ Figure \* ARABIC </w:instrText>
      </w:r>
      <w:r w:rsidRPr="00F11A3E">
        <w:fldChar w:fldCharType="separate"/>
      </w:r>
      <w:r w:rsidRPr="00F11A3E">
        <w:rPr>
          <w:noProof/>
        </w:rPr>
        <w:t>8</w:t>
      </w:r>
      <w:r w:rsidRPr="00F11A3E">
        <w:fldChar w:fldCharType="end"/>
      </w:r>
      <w:r w:rsidRPr="00F11A3E">
        <w:t>. The duration of the diagnostic pathway for patients generated at different simulation times based on 500 simulation runs.</w:t>
      </w:r>
    </w:p>
    <w:p w14:paraId="79C14590" w14:textId="77777777" w:rsidR="00834D66" w:rsidRPr="00F11A3E" w:rsidRDefault="00834D66" w:rsidP="00F11A3E">
      <w:pPr>
        <w:pStyle w:val="Standard"/>
        <w:spacing w:line="276" w:lineRule="auto"/>
        <w:rPr>
          <w:rFonts w:ascii="Times New Roman" w:hAnsi="Times New Roman" w:cs="Times New Roman"/>
        </w:rPr>
      </w:pPr>
    </w:p>
    <w:p w14:paraId="57EE8ED4" w14:textId="1A0CD0DB" w:rsidR="00BD57E8" w:rsidRPr="00F11A3E" w:rsidRDefault="00BD57E8" w:rsidP="00F11A3E">
      <w:pPr>
        <w:pStyle w:val="Heading2"/>
        <w:spacing w:line="276" w:lineRule="auto"/>
        <w:rPr>
          <w:rFonts w:ascii="Times New Roman" w:hAnsi="Times New Roman" w:cs="Times New Roman"/>
        </w:rPr>
      </w:pPr>
      <w:r w:rsidRPr="00F11A3E">
        <w:rPr>
          <w:rFonts w:ascii="Times New Roman" w:hAnsi="Times New Roman" w:cs="Times New Roman"/>
        </w:rPr>
        <w:t>Appendix bibliography</w:t>
      </w:r>
    </w:p>
    <w:p w14:paraId="4669028F" w14:textId="16AE4E01" w:rsidR="00935C50" w:rsidRPr="00F11A3E" w:rsidRDefault="00BD57E8" w:rsidP="00F11A3E">
      <w:pPr>
        <w:autoSpaceDE w:val="0"/>
        <w:adjustRightInd w:val="0"/>
        <w:spacing w:line="276" w:lineRule="auto"/>
        <w:ind w:left="640" w:hanging="640"/>
        <w:rPr>
          <w:rFonts w:ascii="Times New Roman" w:hAnsi="Times New Roman" w:cs="Times New Roman"/>
          <w:noProof/>
          <w:szCs w:val="24"/>
        </w:rPr>
      </w:pPr>
      <w:r w:rsidRPr="00F11A3E">
        <w:rPr>
          <w:rFonts w:ascii="Times New Roman" w:hAnsi="Times New Roman" w:cs="Times New Roman"/>
        </w:rPr>
        <w:fldChar w:fldCharType="begin" w:fldLock="1"/>
      </w:r>
      <w:r w:rsidRPr="00F11A3E">
        <w:rPr>
          <w:rFonts w:ascii="Times New Roman" w:hAnsi="Times New Roman" w:cs="Times New Roman"/>
        </w:rPr>
        <w:instrText xml:space="preserve">ADDIN Mendeley Bibliography CSL_BIBLIOGRAPHY </w:instrText>
      </w:r>
      <w:r w:rsidRPr="00F11A3E">
        <w:rPr>
          <w:rFonts w:ascii="Times New Roman" w:hAnsi="Times New Roman" w:cs="Times New Roman"/>
        </w:rPr>
        <w:fldChar w:fldCharType="separate"/>
      </w:r>
      <w:r w:rsidR="00935C50" w:rsidRPr="00F11A3E">
        <w:rPr>
          <w:rFonts w:ascii="Times New Roman" w:hAnsi="Times New Roman" w:cs="Times New Roman"/>
          <w:noProof/>
          <w:szCs w:val="24"/>
        </w:rPr>
        <w:t xml:space="preserve">1. </w:t>
      </w:r>
      <w:r w:rsidR="00935C50" w:rsidRPr="00F11A3E">
        <w:rPr>
          <w:rFonts w:ascii="Times New Roman" w:hAnsi="Times New Roman" w:cs="Times New Roman"/>
          <w:noProof/>
          <w:szCs w:val="24"/>
        </w:rPr>
        <w:tab/>
        <w:t>Ven M van de, IJzerman M, Retèl V, Harten W van, Koffijberg H. The nationwide implementation of Whole Genome Sequencing in oncoloy in the Netherlands [Internet]. AnyLogic Cloud. 2021 [cited 2021 Jan 26]. Available from: https://cloud.anylogic.com/model/6f5c67f2-1423-422a-be35-63f0f664cc77?mode=SETTINGS</w:t>
      </w:r>
    </w:p>
    <w:p w14:paraId="4593FC78" w14:textId="77777777" w:rsidR="00935C50" w:rsidRPr="00F11A3E" w:rsidRDefault="00935C50" w:rsidP="00F11A3E">
      <w:pPr>
        <w:autoSpaceDE w:val="0"/>
        <w:adjustRightInd w:val="0"/>
        <w:spacing w:line="276" w:lineRule="auto"/>
        <w:ind w:left="640" w:hanging="640"/>
        <w:rPr>
          <w:rFonts w:ascii="Times New Roman" w:hAnsi="Times New Roman" w:cs="Times New Roman"/>
          <w:noProof/>
          <w:szCs w:val="24"/>
        </w:rPr>
      </w:pPr>
      <w:r w:rsidRPr="0049167F">
        <w:rPr>
          <w:rFonts w:ascii="Times New Roman" w:hAnsi="Times New Roman" w:cs="Times New Roman"/>
          <w:noProof/>
          <w:szCs w:val="24"/>
          <w:lang w:val="nl-NL"/>
        </w:rPr>
        <w:t xml:space="preserve">2. </w:t>
      </w:r>
      <w:r w:rsidRPr="0049167F">
        <w:rPr>
          <w:rFonts w:ascii="Times New Roman" w:hAnsi="Times New Roman" w:cs="Times New Roman"/>
          <w:noProof/>
          <w:szCs w:val="24"/>
          <w:lang w:val="nl-NL"/>
        </w:rPr>
        <w:tab/>
        <w:t xml:space="preserve">Nederlandse Kankerregistratie [Netherlands Cancer Registry]. </w:t>
      </w:r>
      <w:r w:rsidRPr="00F11A3E">
        <w:rPr>
          <w:rFonts w:ascii="Times New Roman" w:hAnsi="Times New Roman" w:cs="Times New Roman"/>
          <w:noProof/>
          <w:szCs w:val="24"/>
        </w:rPr>
        <w:t>Incidentie, Niet-kleincellig longcarcinoom, 2017, Aantal [Incidence, Non-small cell lung cancer, 2017, Amount] [Internet]. Available from: https://www.iknl.nl/nkr-cijfers?fs%7Cepidemiologie_id=6&amp;fs%7Ctumor_id=260&amp;fs%7Cregio_id=161%2C159%2C157%2C164%2C158%2C160%2C165%2C163%2C167%2C166%2C156%2C162&amp;fs%7Cperiode_id=106&amp;fs%7Cgeslacht_id=15&amp;fs%7Cleeftijdsgroep_id=67&amp;fs%7Cjaren_na_diagnose_id=16&amp;fs</w:t>
      </w:r>
    </w:p>
    <w:p w14:paraId="59495D3C" w14:textId="77777777" w:rsidR="00935C50" w:rsidRPr="00F11A3E" w:rsidRDefault="00935C50" w:rsidP="00F11A3E">
      <w:pPr>
        <w:autoSpaceDE w:val="0"/>
        <w:adjustRightInd w:val="0"/>
        <w:spacing w:line="276" w:lineRule="auto"/>
        <w:ind w:left="640" w:hanging="640"/>
        <w:rPr>
          <w:rFonts w:ascii="Times New Roman" w:hAnsi="Times New Roman" w:cs="Times New Roman"/>
          <w:noProof/>
          <w:szCs w:val="24"/>
        </w:rPr>
      </w:pPr>
      <w:r w:rsidRPr="00F11A3E">
        <w:rPr>
          <w:rFonts w:ascii="Times New Roman" w:hAnsi="Times New Roman" w:cs="Times New Roman"/>
          <w:noProof/>
          <w:szCs w:val="24"/>
        </w:rPr>
        <w:t xml:space="preserve">3. </w:t>
      </w:r>
      <w:r w:rsidRPr="00F11A3E">
        <w:rPr>
          <w:rFonts w:ascii="Times New Roman" w:hAnsi="Times New Roman" w:cs="Times New Roman"/>
          <w:noProof/>
          <w:szCs w:val="24"/>
        </w:rPr>
        <w:tab/>
        <w:t>National Comprehensive Cancer Network. Non-Small Cell Lung Cancer (version 6.2020) [Internet]. 2020. Available from: https://www.nccn.org/professionals/physician_gls/pdf/nscl.pdf</w:t>
      </w:r>
    </w:p>
    <w:p w14:paraId="6E8AB83C" w14:textId="77777777" w:rsidR="00935C50" w:rsidRPr="00F11A3E" w:rsidRDefault="00935C50" w:rsidP="00F11A3E">
      <w:pPr>
        <w:autoSpaceDE w:val="0"/>
        <w:adjustRightInd w:val="0"/>
        <w:spacing w:line="276" w:lineRule="auto"/>
        <w:ind w:left="640" w:hanging="640"/>
        <w:rPr>
          <w:rFonts w:ascii="Times New Roman" w:hAnsi="Times New Roman" w:cs="Times New Roman"/>
          <w:noProof/>
          <w:szCs w:val="24"/>
        </w:rPr>
      </w:pPr>
      <w:r w:rsidRPr="0049167F">
        <w:rPr>
          <w:rFonts w:ascii="Times New Roman" w:hAnsi="Times New Roman" w:cs="Times New Roman"/>
          <w:noProof/>
          <w:szCs w:val="24"/>
          <w:lang w:val="nl-NL"/>
        </w:rPr>
        <w:t xml:space="preserve">4. </w:t>
      </w:r>
      <w:r w:rsidRPr="0049167F">
        <w:rPr>
          <w:rFonts w:ascii="Times New Roman" w:hAnsi="Times New Roman" w:cs="Times New Roman"/>
          <w:noProof/>
          <w:szCs w:val="24"/>
          <w:lang w:val="nl-NL"/>
        </w:rPr>
        <w:tab/>
        <w:t xml:space="preserve">van de Ven M, Retèl VP, Koffijberg H, van Harten WH, IJzerman MJ. </w:t>
      </w:r>
      <w:r w:rsidRPr="00F11A3E">
        <w:rPr>
          <w:rFonts w:ascii="Times New Roman" w:hAnsi="Times New Roman" w:cs="Times New Roman"/>
          <w:noProof/>
          <w:szCs w:val="24"/>
        </w:rPr>
        <w:t xml:space="preserve">Variation in the time to treatment for stage III and IV non-small cell lung cancer patients for hospitals in the </w:t>
      </w:r>
      <w:r w:rsidRPr="00F11A3E">
        <w:rPr>
          <w:rFonts w:ascii="Times New Roman" w:hAnsi="Times New Roman" w:cs="Times New Roman"/>
          <w:noProof/>
          <w:szCs w:val="24"/>
        </w:rPr>
        <w:lastRenderedPageBreak/>
        <w:t xml:space="preserve">Netherlands. Lung Cancer. 2019;134(May):34–41. </w:t>
      </w:r>
    </w:p>
    <w:p w14:paraId="5ACAD626" w14:textId="77777777" w:rsidR="00935C50" w:rsidRPr="00F11A3E" w:rsidRDefault="00935C50" w:rsidP="00F11A3E">
      <w:pPr>
        <w:autoSpaceDE w:val="0"/>
        <w:adjustRightInd w:val="0"/>
        <w:spacing w:line="276" w:lineRule="auto"/>
        <w:ind w:left="640" w:hanging="640"/>
        <w:rPr>
          <w:rFonts w:ascii="Times New Roman" w:hAnsi="Times New Roman" w:cs="Times New Roman"/>
          <w:noProof/>
          <w:szCs w:val="24"/>
        </w:rPr>
      </w:pPr>
      <w:r w:rsidRPr="00F11A3E">
        <w:rPr>
          <w:rFonts w:ascii="Times New Roman" w:hAnsi="Times New Roman" w:cs="Times New Roman"/>
          <w:noProof/>
          <w:szCs w:val="24"/>
        </w:rPr>
        <w:t xml:space="preserve">5. </w:t>
      </w:r>
      <w:r w:rsidRPr="00F11A3E">
        <w:rPr>
          <w:rFonts w:ascii="Times New Roman" w:hAnsi="Times New Roman" w:cs="Times New Roman"/>
          <w:noProof/>
          <w:szCs w:val="24"/>
        </w:rPr>
        <w:tab/>
        <w:t>PATH. Moleculaire tumor boards [Molecular tumor boards] [Internet]. [cited 2020 Jun 17]. Available from: https://www.netwerk-path.nl/index.php/tumor-boards</w:t>
      </w:r>
    </w:p>
    <w:p w14:paraId="32864F7D" w14:textId="77777777" w:rsidR="00935C50" w:rsidRPr="0049167F" w:rsidRDefault="00935C50" w:rsidP="00F11A3E">
      <w:pPr>
        <w:autoSpaceDE w:val="0"/>
        <w:adjustRightInd w:val="0"/>
        <w:spacing w:line="276" w:lineRule="auto"/>
        <w:ind w:left="640" w:hanging="640"/>
        <w:rPr>
          <w:rFonts w:ascii="Times New Roman" w:hAnsi="Times New Roman" w:cs="Times New Roman"/>
          <w:noProof/>
          <w:szCs w:val="24"/>
          <w:lang w:val="nl-NL"/>
        </w:rPr>
      </w:pPr>
      <w:r w:rsidRPr="0049167F">
        <w:rPr>
          <w:rFonts w:ascii="Times New Roman" w:hAnsi="Times New Roman" w:cs="Times New Roman"/>
          <w:noProof/>
          <w:szCs w:val="24"/>
          <w:lang w:val="nl-NL"/>
        </w:rPr>
        <w:t xml:space="preserve">6. </w:t>
      </w:r>
      <w:r w:rsidRPr="0049167F">
        <w:rPr>
          <w:rFonts w:ascii="Times New Roman" w:hAnsi="Times New Roman" w:cs="Times New Roman"/>
          <w:noProof/>
          <w:szCs w:val="24"/>
          <w:lang w:val="nl-NL"/>
        </w:rPr>
        <w:tab/>
        <w:t xml:space="preserve">Kuijpers CCHJ, Hendriks LEL, Derks JL, Dingemans AMC, van Lindert ASR, van den Heuvel MM, et al. </w:t>
      </w:r>
      <w:r w:rsidRPr="00F11A3E">
        <w:rPr>
          <w:rFonts w:ascii="Times New Roman" w:hAnsi="Times New Roman" w:cs="Times New Roman"/>
          <w:noProof/>
          <w:szCs w:val="24"/>
        </w:rPr>
        <w:t xml:space="preserve">Association of molecular status and metastatic organs at diagnosis in patients with stage IV non-squamous non-small cell lung cancer. </w:t>
      </w:r>
      <w:r w:rsidRPr="0049167F">
        <w:rPr>
          <w:rFonts w:ascii="Times New Roman" w:hAnsi="Times New Roman" w:cs="Times New Roman"/>
          <w:noProof/>
          <w:szCs w:val="24"/>
          <w:lang w:val="nl-NL"/>
        </w:rPr>
        <w:t xml:space="preserve">Lung Cancer. 2018 Jul 1;121:76–81. </w:t>
      </w:r>
    </w:p>
    <w:p w14:paraId="65A44686" w14:textId="77777777" w:rsidR="00935C50" w:rsidRPr="00F11A3E" w:rsidRDefault="00935C50" w:rsidP="00F11A3E">
      <w:pPr>
        <w:autoSpaceDE w:val="0"/>
        <w:adjustRightInd w:val="0"/>
        <w:spacing w:line="276" w:lineRule="auto"/>
        <w:ind w:left="640" w:hanging="640"/>
        <w:rPr>
          <w:rFonts w:ascii="Times New Roman" w:hAnsi="Times New Roman" w:cs="Times New Roman"/>
          <w:noProof/>
          <w:szCs w:val="24"/>
        </w:rPr>
      </w:pPr>
      <w:r w:rsidRPr="0049167F">
        <w:rPr>
          <w:rFonts w:ascii="Times New Roman" w:hAnsi="Times New Roman" w:cs="Times New Roman"/>
          <w:noProof/>
          <w:szCs w:val="24"/>
          <w:lang w:val="nl-NL"/>
        </w:rPr>
        <w:t xml:space="preserve">7. </w:t>
      </w:r>
      <w:r w:rsidRPr="0049167F">
        <w:rPr>
          <w:rFonts w:ascii="Times New Roman" w:hAnsi="Times New Roman" w:cs="Times New Roman"/>
          <w:noProof/>
          <w:szCs w:val="24"/>
          <w:lang w:val="nl-NL"/>
        </w:rPr>
        <w:tab/>
        <w:t xml:space="preserve">Kerner GSMA, Schuuring E, Sietsma J, Hiltermann TJN, Pieterman RM, de Leede GPJ, et al. </w:t>
      </w:r>
      <w:r w:rsidRPr="00F11A3E">
        <w:rPr>
          <w:rFonts w:ascii="Times New Roman" w:hAnsi="Times New Roman" w:cs="Times New Roman"/>
          <w:noProof/>
          <w:szCs w:val="24"/>
        </w:rPr>
        <w:t>Common and Rare EGFR and KRAS Mutations in a Dutch Non-Small-Cell Lung Cancer Population and Their Clinical Outcome. Batra SK, editor. PLoS One [Internet]. 2013 Jul 29 [cited 2020 Sep 29];8(7):e70346. Available from: https://dx.plos.org/10.1371/journal.pone.0070346</w:t>
      </w:r>
    </w:p>
    <w:p w14:paraId="6A3273E5" w14:textId="77777777" w:rsidR="00935C50" w:rsidRPr="00F11A3E" w:rsidRDefault="00935C50" w:rsidP="00F11A3E">
      <w:pPr>
        <w:autoSpaceDE w:val="0"/>
        <w:adjustRightInd w:val="0"/>
        <w:spacing w:line="276" w:lineRule="auto"/>
        <w:ind w:left="640" w:hanging="640"/>
        <w:rPr>
          <w:rFonts w:ascii="Times New Roman" w:hAnsi="Times New Roman" w:cs="Times New Roman"/>
          <w:noProof/>
          <w:szCs w:val="24"/>
        </w:rPr>
      </w:pPr>
      <w:r w:rsidRPr="00F11A3E">
        <w:rPr>
          <w:rFonts w:ascii="Times New Roman" w:hAnsi="Times New Roman" w:cs="Times New Roman"/>
          <w:noProof/>
          <w:szCs w:val="24"/>
        </w:rPr>
        <w:t xml:space="preserve">8. </w:t>
      </w:r>
      <w:r w:rsidRPr="00F11A3E">
        <w:rPr>
          <w:rFonts w:ascii="Times New Roman" w:hAnsi="Times New Roman" w:cs="Times New Roman"/>
          <w:noProof/>
          <w:szCs w:val="24"/>
        </w:rPr>
        <w:tab/>
        <w:t xml:space="preserve">Dietel M, Savelov N, Salanova R, Micke P, Bigras G, Hida T, et al. Real-world prevalence of programmed death ligand 1 expression in locally advanced or metastatic non–small-cell lung cancer: The global, multicenter EXPRESS study. Lung Cancer. 2019;134(February):174–9. </w:t>
      </w:r>
    </w:p>
    <w:p w14:paraId="2C9503A4" w14:textId="77777777" w:rsidR="00935C50" w:rsidRPr="00F11A3E" w:rsidRDefault="00935C50" w:rsidP="00F11A3E">
      <w:pPr>
        <w:autoSpaceDE w:val="0"/>
        <w:adjustRightInd w:val="0"/>
        <w:spacing w:line="276" w:lineRule="auto"/>
        <w:ind w:left="640" w:hanging="640"/>
        <w:rPr>
          <w:rFonts w:ascii="Times New Roman" w:hAnsi="Times New Roman" w:cs="Times New Roman"/>
          <w:noProof/>
          <w:szCs w:val="24"/>
        </w:rPr>
      </w:pPr>
      <w:r w:rsidRPr="00F11A3E">
        <w:rPr>
          <w:rFonts w:ascii="Times New Roman" w:hAnsi="Times New Roman" w:cs="Times New Roman"/>
          <w:noProof/>
          <w:szCs w:val="24"/>
        </w:rPr>
        <w:t xml:space="preserve">9. </w:t>
      </w:r>
      <w:r w:rsidRPr="00F11A3E">
        <w:rPr>
          <w:rFonts w:ascii="Times New Roman" w:hAnsi="Times New Roman" w:cs="Times New Roman"/>
          <w:noProof/>
          <w:szCs w:val="24"/>
        </w:rPr>
        <w:tab/>
        <w:t>VanderLaan PA, Rangachari D, Majid A, Parikh MS, Gangadharan SP, Kent MS, et al. Tumor biomarker testing in non-small-cell lung cancer: A decade of change. Lung Cancer [Internet]. 2018;116(December 2017):90–5. Available from: https://doi.org/10.1016/j.lungcan.2018.01.002</w:t>
      </w:r>
    </w:p>
    <w:p w14:paraId="6BB9702F" w14:textId="77777777" w:rsidR="00935C50" w:rsidRPr="00F11A3E" w:rsidRDefault="00935C50" w:rsidP="00F11A3E">
      <w:pPr>
        <w:autoSpaceDE w:val="0"/>
        <w:adjustRightInd w:val="0"/>
        <w:spacing w:line="276" w:lineRule="auto"/>
        <w:ind w:left="640" w:hanging="640"/>
        <w:rPr>
          <w:rFonts w:ascii="Times New Roman" w:hAnsi="Times New Roman" w:cs="Times New Roman"/>
          <w:noProof/>
          <w:szCs w:val="24"/>
        </w:rPr>
      </w:pPr>
      <w:r w:rsidRPr="00F11A3E">
        <w:rPr>
          <w:rFonts w:ascii="Times New Roman" w:hAnsi="Times New Roman" w:cs="Times New Roman"/>
          <w:noProof/>
          <w:szCs w:val="24"/>
        </w:rPr>
        <w:t xml:space="preserve">10. </w:t>
      </w:r>
      <w:r w:rsidRPr="00F11A3E">
        <w:rPr>
          <w:rFonts w:ascii="Times New Roman" w:hAnsi="Times New Roman" w:cs="Times New Roman"/>
          <w:noProof/>
          <w:szCs w:val="24"/>
        </w:rPr>
        <w:tab/>
        <w:t xml:space="preserve">Hirsch FR, Scagliotti G V., Mulshine JL, Kwon R, Curran WJ, Wu YL, et al. Lung cancer: current therapies and new targeted treatments. Lancet. 2017;389(10066):299–311. </w:t>
      </w:r>
    </w:p>
    <w:p w14:paraId="4411B176" w14:textId="77777777" w:rsidR="00935C50" w:rsidRPr="00F11A3E" w:rsidRDefault="00935C50" w:rsidP="00F11A3E">
      <w:pPr>
        <w:autoSpaceDE w:val="0"/>
        <w:adjustRightInd w:val="0"/>
        <w:spacing w:line="276" w:lineRule="auto"/>
        <w:ind w:left="640" w:hanging="640"/>
        <w:rPr>
          <w:rFonts w:ascii="Times New Roman" w:hAnsi="Times New Roman" w:cs="Times New Roman"/>
          <w:noProof/>
          <w:szCs w:val="24"/>
        </w:rPr>
      </w:pPr>
      <w:r w:rsidRPr="00F11A3E">
        <w:rPr>
          <w:rFonts w:ascii="Times New Roman" w:hAnsi="Times New Roman" w:cs="Times New Roman"/>
          <w:noProof/>
          <w:szCs w:val="24"/>
        </w:rPr>
        <w:t xml:space="preserve">11. </w:t>
      </w:r>
      <w:r w:rsidRPr="00F11A3E">
        <w:rPr>
          <w:rFonts w:ascii="Times New Roman" w:hAnsi="Times New Roman" w:cs="Times New Roman"/>
          <w:noProof/>
          <w:szCs w:val="24"/>
        </w:rPr>
        <w:tab/>
        <w:t>Michels S, Scheel AH, Scheffler M, Schultheis AM, Gautschi O, Aebersold F, et al. Clinicopathological characteristics of RET rearranged lung cancer in European patients. J Thorac Oncol [Internet]. 2016 Jan 1 [cited 2020 Sep 29];11(1):122–7. Available from: http://dx.doi.org/10.1016/j.jtho.2015.09.016</w:t>
      </w:r>
    </w:p>
    <w:p w14:paraId="75D1D567" w14:textId="77777777" w:rsidR="00935C50" w:rsidRPr="00F11A3E" w:rsidRDefault="00935C50" w:rsidP="00F11A3E">
      <w:pPr>
        <w:autoSpaceDE w:val="0"/>
        <w:adjustRightInd w:val="0"/>
        <w:spacing w:line="276" w:lineRule="auto"/>
        <w:ind w:left="640" w:hanging="640"/>
        <w:rPr>
          <w:rFonts w:ascii="Times New Roman" w:hAnsi="Times New Roman" w:cs="Times New Roman"/>
          <w:noProof/>
          <w:szCs w:val="24"/>
        </w:rPr>
      </w:pPr>
      <w:r w:rsidRPr="00F11A3E">
        <w:rPr>
          <w:rFonts w:ascii="Times New Roman" w:hAnsi="Times New Roman" w:cs="Times New Roman"/>
          <w:noProof/>
          <w:szCs w:val="24"/>
        </w:rPr>
        <w:t xml:space="preserve">12. </w:t>
      </w:r>
      <w:r w:rsidRPr="00F11A3E">
        <w:rPr>
          <w:rFonts w:ascii="Times New Roman" w:hAnsi="Times New Roman" w:cs="Times New Roman"/>
          <w:noProof/>
          <w:szCs w:val="24"/>
        </w:rPr>
        <w:tab/>
        <w:t>Simmons CP, Koinis F, Fallon MT, Fearon KC, Bowden J, Solheim TS, et al. Prognosis in advanced lung cancer - A prospective study examining key clinicopathological factors. Lung Cancer [Internet]. 2015 [cited 2020 Jun 16];88(3):304–9. Available from: http://dx.doi.org/10.1016/j.lungcan.2015.03.020</w:t>
      </w:r>
    </w:p>
    <w:p w14:paraId="0DF4D2F2" w14:textId="77777777" w:rsidR="00935C50" w:rsidRPr="0049167F" w:rsidRDefault="00935C50" w:rsidP="00F11A3E">
      <w:pPr>
        <w:autoSpaceDE w:val="0"/>
        <w:adjustRightInd w:val="0"/>
        <w:spacing w:line="276" w:lineRule="auto"/>
        <w:ind w:left="640" w:hanging="640"/>
        <w:rPr>
          <w:rFonts w:ascii="Times New Roman" w:hAnsi="Times New Roman" w:cs="Times New Roman"/>
          <w:noProof/>
          <w:szCs w:val="24"/>
          <w:lang w:val="nl-NL"/>
        </w:rPr>
      </w:pPr>
      <w:r w:rsidRPr="00F11A3E">
        <w:rPr>
          <w:rFonts w:ascii="Times New Roman" w:hAnsi="Times New Roman" w:cs="Times New Roman"/>
          <w:noProof/>
          <w:szCs w:val="24"/>
        </w:rPr>
        <w:t xml:space="preserve">13. </w:t>
      </w:r>
      <w:r w:rsidRPr="00F11A3E">
        <w:rPr>
          <w:rFonts w:ascii="Times New Roman" w:hAnsi="Times New Roman" w:cs="Times New Roman"/>
          <w:noProof/>
          <w:szCs w:val="24"/>
        </w:rPr>
        <w:tab/>
        <w:t xml:space="preserve">Mok TSK, Wu YL, Kudaba I, Kowalski DM, Cho BC, Turna HZ, et al. Pembrolizumab versus chemotherapy for previously untreated, PD-L1-expressing, locally advanced or metastatic non-small-cell lung cancer (KEYNOTE-042): a randomised, open-label, controlled, phase 3 trial. </w:t>
      </w:r>
      <w:r w:rsidRPr="0049167F">
        <w:rPr>
          <w:rFonts w:ascii="Times New Roman" w:hAnsi="Times New Roman" w:cs="Times New Roman"/>
          <w:noProof/>
          <w:szCs w:val="24"/>
          <w:lang w:val="nl-NL"/>
        </w:rPr>
        <w:t xml:space="preserve">Lancet. 2019;393(10183):1819–30. </w:t>
      </w:r>
    </w:p>
    <w:p w14:paraId="044D5194" w14:textId="77777777" w:rsidR="00935C50" w:rsidRPr="00F11A3E" w:rsidRDefault="00935C50" w:rsidP="00F11A3E">
      <w:pPr>
        <w:autoSpaceDE w:val="0"/>
        <w:adjustRightInd w:val="0"/>
        <w:spacing w:line="276" w:lineRule="auto"/>
        <w:ind w:left="640" w:hanging="640"/>
        <w:rPr>
          <w:rFonts w:ascii="Times New Roman" w:hAnsi="Times New Roman" w:cs="Times New Roman"/>
          <w:noProof/>
          <w:szCs w:val="24"/>
        </w:rPr>
      </w:pPr>
      <w:r w:rsidRPr="0049167F">
        <w:rPr>
          <w:rFonts w:ascii="Times New Roman" w:hAnsi="Times New Roman" w:cs="Times New Roman"/>
          <w:noProof/>
          <w:szCs w:val="24"/>
          <w:lang w:val="nl-NL"/>
        </w:rPr>
        <w:t xml:space="preserve">14. </w:t>
      </w:r>
      <w:r w:rsidRPr="0049167F">
        <w:rPr>
          <w:rFonts w:ascii="Times New Roman" w:hAnsi="Times New Roman" w:cs="Times New Roman"/>
          <w:noProof/>
          <w:szCs w:val="24"/>
          <w:lang w:val="nl-NL"/>
        </w:rPr>
        <w:tab/>
        <w:t xml:space="preserve">Monkhorst K, Samsom K, Schipper L, Roepman P, Bosch L, Bruijn E de, et al. </w:t>
      </w:r>
      <w:r w:rsidRPr="00F11A3E">
        <w:rPr>
          <w:rFonts w:ascii="Times New Roman" w:hAnsi="Times New Roman" w:cs="Times New Roman"/>
          <w:noProof/>
          <w:szCs w:val="24"/>
        </w:rPr>
        <w:t>Validation of whole genome sequencing in routine clinical practice. ESMO Annu Meet [Internet]. 2020 [cited 2020 Sep 29];31:1189O. Available from: https://doi.org/10.1016/j.annonc.2020.08.083</w:t>
      </w:r>
    </w:p>
    <w:p w14:paraId="253F4F11" w14:textId="77777777" w:rsidR="00935C50" w:rsidRPr="00F11A3E" w:rsidRDefault="00935C50" w:rsidP="00F11A3E">
      <w:pPr>
        <w:autoSpaceDE w:val="0"/>
        <w:adjustRightInd w:val="0"/>
        <w:spacing w:line="276" w:lineRule="auto"/>
        <w:ind w:left="640" w:hanging="640"/>
        <w:rPr>
          <w:rFonts w:ascii="Times New Roman" w:hAnsi="Times New Roman" w:cs="Times New Roman"/>
          <w:noProof/>
        </w:rPr>
      </w:pPr>
      <w:r w:rsidRPr="0049167F">
        <w:rPr>
          <w:rFonts w:ascii="Times New Roman" w:hAnsi="Times New Roman" w:cs="Times New Roman"/>
          <w:noProof/>
          <w:szCs w:val="24"/>
          <w:lang w:val="nl-NL"/>
        </w:rPr>
        <w:t xml:space="preserve">15. </w:t>
      </w:r>
      <w:r w:rsidRPr="0049167F">
        <w:rPr>
          <w:rFonts w:ascii="Times New Roman" w:hAnsi="Times New Roman" w:cs="Times New Roman"/>
          <w:noProof/>
          <w:szCs w:val="24"/>
          <w:lang w:val="nl-NL"/>
        </w:rPr>
        <w:tab/>
        <w:t xml:space="preserve">Pasmans CTB, Tops BBJ, Steeghs EMP, Coupé VMH, Grünberg K, de Jong EK, et al. </w:t>
      </w:r>
      <w:r w:rsidRPr="00F11A3E">
        <w:rPr>
          <w:rFonts w:ascii="Times New Roman" w:hAnsi="Times New Roman" w:cs="Times New Roman"/>
          <w:noProof/>
          <w:szCs w:val="24"/>
        </w:rPr>
        <w:t>Micro-costing diagnostics in oncology: from single-gene testing to whole- genome sequencing. Expert Rev Pharmacoeconomics Outcomes Res [Internet]. 2021 May 6;21(3):413–4. Available from: https://doi.org/10.1080/14737167.2021.1917385</w:t>
      </w:r>
    </w:p>
    <w:p w14:paraId="13950365" w14:textId="08076DA4" w:rsidR="00925C33" w:rsidRPr="00F11A3E" w:rsidRDefault="00BD57E8" w:rsidP="00F11A3E">
      <w:pPr>
        <w:spacing w:line="276" w:lineRule="auto"/>
        <w:rPr>
          <w:rFonts w:ascii="Times New Roman" w:hAnsi="Times New Roman" w:cs="Times New Roman"/>
        </w:rPr>
      </w:pPr>
      <w:r w:rsidRPr="00F11A3E">
        <w:rPr>
          <w:rFonts w:ascii="Times New Roman" w:hAnsi="Times New Roman" w:cs="Times New Roman"/>
        </w:rPr>
        <w:fldChar w:fldCharType="end"/>
      </w:r>
    </w:p>
    <w:sectPr w:rsidR="00925C33" w:rsidRPr="00F11A3E" w:rsidSect="00394F31">
      <w:pgSz w:w="11906" w:h="16838"/>
      <w:pgMar w:top="1417" w:right="1417" w:bottom="1417" w:left="1417"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F54F66" w14:textId="77777777" w:rsidR="00FC6786" w:rsidRDefault="00FC6786">
      <w:r>
        <w:separator/>
      </w:r>
    </w:p>
  </w:endnote>
  <w:endnote w:type="continuationSeparator" w:id="0">
    <w:p w14:paraId="51EDDAFF" w14:textId="77777777" w:rsidR="00FC6786" w:rsidRDefault="00FC6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jaVu Sans">
    <w:altName w:val="Verdan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A08435" w14:textId="77777777" w:rsidR="00FC6786" w:rsidRDefault="00FC6786">
      <w:r>
        <w:separator/>
      </w:r>
    </w:p>
  </w:footnote>
  <w:footnote w:type="continuationSeparator" w:id="0">
    <w:p w14:paraId="4094BDDF" w14:textId="77777777" w:rsidR="00FC6786" w:rsidRDefault="00FC67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124BF3"/>
    <w:multiLevelType w:val="hybridMultilevel"/>
    <w:tmpl w:val="4998D4B8"/>
    <w:lvl w:ilvl="0" w:tplc="7A9AFD4E">
      <w:start w:val="2"/>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4894EB2"/>
    <w:multiLevelType w:val="hybridMultilevel"/>
    <w:tmpl w:val="A0F080C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 w15:restartNumberingAfterBreak="0">
    <w:nsid w:val="2A042195"/>
    <w:multiLevelType w:val="hybridMultilevel"/>
    <w:tmpl w:val="4EF6A140"/>
    <w:lvl w:ilvl="0" w:tplc="363C2DB8">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83B6670"/>
    <w:multiLevelType w:val="multilevel"/>
    <w:tmpl w:val="3E1E8F7C"/>
    <w:styleLink w:val="Outlin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4F106A44"/>
    <w:multiLevelType w:val="hybridMultilevel"/>
    <w:tmpl w:val="DDDCE9CA"/>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 w15:restartNumberingAfterBreak="0">
    <w:nsid w:val="52607C64"/>
    <w:multiLevelType w:val="hybridMultilevel"/>
    <w:tmpl w:val="F1DC3F80"/>
    <w:lvl w:ilvl="0" w:tplc="A5CE7474">
      <w:numFmt w:val="bullet"/>
      <w:lvlText w:val="-"/>
      <w:lvlJc w:val="left"/>
      <w:pPr>
        <w:ind w:left="720" w:hanging="360"/>
      </w:pPr>
      <w:rPr>
        <w:rFonts w:ascii="Calibri" w:eastAsia="Calibri"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6" w15:restartNumberingAfterBreak="0">
    <w:nsid w:val="63DC2FD5"/>
    <w:multiLevelType w:val="hybridMultilevel"/>
    <w:tmpl w:val="BFFA5748"/>
    <w:lvl w:ilvl="0" w:tplc="E858F580">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1"/>
  </w:num>
  <w:num w:numId="5">
    <w:abstractNumId w:val="6"/>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O3MDcxNzQwszC0NLVU0lEKTi0uzszPAykwMqwFAOSJnQwtAAAA"/>
  </w:docVars>
  <w:rsids>
    <w:rsidRoot w:val="00BD57E8"/>
    <w:rsid w:val="00001F3C"/>
    <w:rsid w:val="000032C6"/>
    <w:rsid w:val="000037A8"/>
    <w:rsid w:val="00006646"/>
    <w:rsid w:val="00010535"/>
    <w:rsid w:val="0001107C"/>
    <w:rsid w:val="0001253B"/>
    <w:rsid w:val="00017B33"/>
    <w:rsid w:val="00023975"/>
    <w:rsid w:val="00025292"/>
    <w:rsid w:val="000264EF"/>
    <w:rsid w:val="00030EB1"/>
    <w:rsid w:val="00031018"/>
    <w:rsid w:val="0003403D"/>
    <w:rsid w:val="0003553E"/>
    <w:rsid w:val="0003610A"/>
    <w:rsid w:val="00037704"/>
    <w:rsid w:val="00044546"/>
    <w:rsid w:val="0004766F"/>
    <w:rsid w:val="0005102C"/>
    <w:rsid w:val="0005176F"/>
    <w:rsid w:val="00051FCF"/>
    <w:rsid w:val="00054121"/>
    <w:rsid w:val="00060216"/>
    <w:rsid w:val="0006442B"/>
    <w:rsid w:val="00064A7D"/>
    <w:rsid w:val="00065E3B"/>
    <w:rsid w:val="000662A9"/>
    <w:rsid w:val="000715E8"/>
    <w:rsid w:val="00072B17"/>
    <w:rsid w:val="00072B46"/>
    <w:rsid w:val="00080910"/>
    <w:rsid w:val="00081959"/>
    <w:rsid w:val="0008288E"/>
    <w:rsid w:val="000848F3"/>
    <w:rsid w:val="00084CAD"/>
    <w:rsid w:val="000868E0"/>
    <w:rsid w:val="00087F69"/>
    <w:rsid w:val="00091E78"/>
    <w:rsid w:val="000A0FA4"/>
    <w:rsid w:val="000A2B00"/>
    <w:rsid w:val="000A3A36"/>
    <w:rsid w:val="000A5F92"/>
    <w:rsid w:val="000B0E4F"/>
    <w:rsid w:val="000B121D"/>
    <w:rsid w:val="000B381A"/>
    <w:rsid w:val="000B4A8D"/>
    <w:rsid w:val="000B6026"/>
    <w:rsid w:val="000B6CAA"/>
    <w:rsid w:val="000B7079"/>
    <w:rsid w:val="000C15B3"/>
    <w:rsid w:val="000C1ECB"/>
    <w:rsid w:val="000D1774"/>
    <w:rsid w:val="000D1941"/>
    <w:rsid w:val="000D234D"/>
    <w:rsid w:val="000D301E"/>
    <w:rsid w:val="000D5DB7"/>
    <w:rsid w:val="000D6E58"/>
    <w:rsid w:val="000D7BC1"/>
    <w:rsid w:val="000E2AB4"/>
    <w:rsid w:val="000E5315"/>
    <w:rsid w:val="000E5EFB"/>
    <w:rsid w:val="000E75F0"/>
    <w:rsid w:val="000F1F5E"/>
    <w:rsid w:val="000F1F90"/>
    <w:rsid w:val="000F22A0"/>
    <w:rsid w:val="000F576C"/>
    <w:rsid w:val="000F6284"/>
    <w:rsid w:val="000F79BD"/>
    <w:rsid w:val="0010082F"/>
    <w:rsid w:val="00101532"/>
    <w:rsid w:val="001015D5"/>
    <w:rsid w:val="001025C9"/>
    <w:rsid w:val="00104438"/>
    <w:rsid w:val="00111868"/>
    <w:rsid w:val="00113079"/>
    <w:rsid w:val="00115A20"/>
    <w:rsid w:val="00116AF5"/>
    <w:rsid w:val="00116B63"/>
    <w:rsid w:val="001222F1"/>
    <w:rsid w:val="00131218"/>
    <w:rsid w:val="00133B05"/>
    <w:rsid w:val="00134F17"/>
    <w:rsid w:val="00140696"/>
    <w:rsid w:val="00142EA3"/>
    <w:rsid w:val="00144554"/>
    <w:rsid w:val="00145D2B"/>
    <w:rsid w:val="00147E53"/>
    <w:rsid w:val="001547BE"/>
    <w:rsid w:val="001549E7"/>
    <w:rsid w:val="001554D3"/>
    <w:rsid w:val="00155519"/>
    <w:rsid w:val="001605C7"/>
    <w:rsid w:val="001732B0"/>
    <w:rsid w:val="00180805"/>
    <w:rsid w:val="00180873"/>
    <w:rsid w:val="00182330"/>
    <w:rsid w:val="0018555C"/>
    <w:rsid w:val="00187B0D"/>
    <w:rsid w:val="00196DB6"/>
    <w:rsid w:val="001A1103"/>
    <w:rsid w:val="001A1E7B"/>
    <w:rsid w:val="001A241C"/>
    <w:rsid w:val="001A4573"/>
    <w:rsid w:val="001A5FE8"/>
    <w:rsid w:val="001B3D66"/>
    <w:rsid w:val="001B4263"/>
    <w:rsid w:val="001B57A4"/>
    <w:rsid w:val="001C0186"/>
    <w:rsid w:val="001C4449"/>
    <w:rsid w:val="001C4C50"/>
    <w:rsid w:val="001C5FB1"/>
    <w:rsid w:val="001D7891"/>
    <w:rsid w:val="001E163B"/>
    <w:rsid w:val="001E20FF"/>
    <w:rsid w:val="001E41EC"/>
    <w:rsid w:val="001F4F33"/>
    <w:rsid w:val="001F7C2B"/>
    <w:rsid w:val="001F7C43"/>
    <w:rsid w:val="00203C31"/>
    <w:rsid w:val="00211C4B"/>
    <w:rsid w:val="002128DD"/>
    <w:rsid w:val="00212FD4"/>
    <w:rsid w:val="002167A0"/>
    <w:rsid w:val="002218C3"/>
    <w:rsid w:val="00226D6B"/>
    <w:rsid w:val="002318BF"/>
    <w:rsid w:val="002344E2"/>
    <w:rsid w:val="00237177"/>
    <w:rsid w:val="002376C2"/>
    <w:rsid w:val="00237961"/>
    <w:rsid w:val="0024452E"/>
    <w:rsid w:val="00245648"/>
    <w:rsid w:val="002525C0"/>
    <w:rsid w:val="0025519F"/>
    <w:rsid w:val="002565BD"/>
    <w:rsid w:val="00260570"/>
    <w:rsid w:val="00271B36"/>
    <w:rsid w:val="00273190"/>
    <w:rsid w:val="00285950"/>
    <w:rsid w:val="002923E9"/>
    <w:rsid w:val="00292CDE"/>
    <w:rsid w:val="00295E5E"/>
    <w:rsid w:val="002A5035"/>
    <w:rsid w:val="002A7A8C"/>
    <w:rsid w:val="002B16ED"/>
    <w:rsid w:val="002B42AC"/>
    <w:rsid w:val="002B6ADB"/>
    <w:rsid w:val="002B6FB2"/>
    <w:rsid w:val="002C0F9C"/>
    <w:rsid w:val="002C18A6"/>
    <w:rsid w:val="002C4063"/>
    <w:rsid w:val="002C45FD"/>
    <w:rsid w:val="002D0C72"/>
    <w:rsid w:val="002D1703"/>
    <w:rsid w:val="002D2659"/>
    <w:rsid w:val="002D295A"/>
    <w:rsid w:val="002D4574"/>
    <w:rsid w:val="002E1970"/>
    <w:rsid w:val="002E6A25"/>
    <w:rsid w:val="002F0110"/>
    <w:rsid w:val="002F3DD1"/>
    <w:rsid w:val="002F42DC"/>
    <w:rsid w:val="002F6DB1"/>
    <w:rsid w:val="00303F9A"/>
    <w:rsid w:val="003061D8"/>
    <w:rsid w:val="00307D94"/>
    <w:rsid w:val="0031008F"/>
    <w:rsid w:val="003130D4"/>
    <w:rsid w:val="00313A6E"/>
    <w:rsid w:val="0031656E"/>
    <w:rsid w:val="003216B4"/>
    <w:rsid w:val="00325967"/>
    <w:rsid w:val="003318E3"/>
    <w:rsid w:val="00332FC0"/>
    <w:rsid w:val="00333A7E"/>
    <w:rsid w:val="00336D64"/>
    <w:rsid w:val="003417CF"/>
    <w:rsid w:val="0034270C"/>
    <w:rsid w:val="00342874"/>
    <w:rsid w:val="00345B2B"/>
    <w:rsid w:val="003466F6"/>
    <w:rsid w:val="003542CE"/>
    <w:rsid w:val="003558C8"/>
    <w:rsid w:val="003608A9"/>
    <w:rsid w:val="00361C54"/>
    <w:rsid w:val="00361ED9"/>
    <w:rsid w:val="003632A8"/>
    <w:rsid w:val="00364F1F"/>
    <w:rsid w:val="0036518D"/>
    <w:rsid w:val="00372339"/>
    <w:rsid w:val="00374744"/>
    <w:rsid w:val="00376EE6"/>
    <w:rsid w:val="00377143"/>
    <w:rsid w:val="0037753D"/>
    <w:rsid w:val="00380935"/>
    <w:rsid w:val="00392EDC"/>
    <w:rsid w:val="00393846"/>
    <w:rsid w:val="00394F31"/>
    <w:rsid w:val="003965E4"/>
    <w:rsid w:val="00396D92"/>
    <w:rsid w:val="003A2F06"/>
    <w:rsid w:val="003A433C"/>
    <w:rsid w:val="003A685B"/>
    <w:rsid w:val="003B0B32"/>
    <w:rsid w:val="003B1025"/>
    <w:rsid w:val="003B445C"/>
    <w:rsid w:val="003B4859"/>
    <w:rsid w:val="003C0350"/>
    <w:rsid w:val="003C7738"/>
    <w:rsid w:val="003D19FC"/>
    <w:rsid w:val="003D246E"/>
    <w:rsid w:val="003D338B"/>
    <w:rsid w:val="003D64D8"/>
    <w:rsid w:val="003D7F86"/>
    <w:rsid w:val="003E1D50"/>
    <w:rsid w:val="003E7EB0"/>
    <w:rsid w:val="003F1130"/>
    <w:rsid w:val="003F21D5"/>
    <w:rsid w:val="003F35FE"/>
    <w:rsid w:val="003F552D"/>
    <w:rsid w:val="003F663C"/>
    <w:rsid w:val="003F66B8"/>
    <w:rsid w:val="00406ADF"/>
    <w:rsid w:val="00414C17"/>
    <w:rsid w:val="00423C33"/>
    <w:rsid w:val="00425622"/>
    <w:rsid w:val="00425A9C"/>
    <w:rsid w:val="00431104"/>
    <w:rsid w:val="00431180"/>
    <w:rsid w:val="00434376"/>
    <w:rsid w:val="00434AC4"/>
    <w:rsid w:val="00437C40"/>
    <w:rsid w:val="00441986"/>
    <w:rsid w:val="00441E5D"/>
    <w:rsid w:val="0044670C"/>
    <w:rsid w:val="00446BF0"/>
    <w:rsid w:val="00463287"/>
    <w:rsid w:val="00464402"/>
    <w:rsid w:val="00464614"/>
    <w:rsid w:val="00471504"/>
    <w:rsid w:val="00472B14"/>
    <w:rsid w:val="00473371"/>
    <w:rsid w:val="004804C3"/>
    <w:rsid w:val="00481E7A"/>
    <w:rsid w:val="00482F97"/>
    <w:rsid w:val="004855CA"/>
    <w:rsid w:val="00485B4E"/>
    <w:rsid w:val="004904D4"/>
    <w:rsid w:val="0049167F"/>
    <w:rsid w:val="0049586F"/>
    <w:rsid w:val="004A0E70"/>
    <w:rsid w:val="004A10DA"/>
    <w:rsid w:val="004A1179"/>
    <w:rsid w:val="004A1709"/>
    <w:rsid w:val="004A2F2E"/>
    <w:rsid w:val="004A38B0"/>
    <w:rsid w:val="004A46DA"/>
    <w:rsid w:val="004A6BE3"/>
    <w:rsid w:val="004A722A"/>
    <w:rsid w:val="004A75AF"/>
    <w:rsid w:val="004B49A7"/>
    <w:rsid w:val="004B7CDF"/>
    <w:rsid w:val="004C0944"/>
    <w:rsid w:val="004C11F5"/>
    <w:rsid w:val="004C6F1F"/>
    <w:rsid w:val="004D1824"/>
    <w:rsid w:val="004D1833"/>
    <w:rsid w:val="004D1DB5"/>
    <w:rsid w:val="004D5576"/>
    <w:rsid w:val="004D5E7D"/>
    <w:rsid w:val="004E01B8"/>
    <w:rsid w:val="004E3C15"/>
    <w:rsid w:val="004E4738"/>
    <w:rsid w:val="004E61B8"/>
    <w:rsid w:val="004E691A"/>
    <w:rsid w:val="004E6D31"/>
    <w:rsid w:val="004F2E20"/>
    <w:rsid w:val="004F2E37"/>
    <w:rsid w:val="004F5041"/>
    <w:rsid w:val="005016C8"/>
    <w:rsid w:val="0050334F"/>
    <w:rsid w:val="00504DDF"/>
    <w:rsid w:val="00507A27"/>
    <w:rsid w:val="005118F4"/>
    <w:rsid w:val="00515F86"/>
    <w:rsid w:val="00516379"/>
    <w:rsid w:val="00521AB5"/>
    <w:rsid w:val="00526AF2"/>
    <w:rsid w:val="00526B46"/>
    <w:rsid w:val="005278A3"/>
    <w:rsid w:val="0053174E"/>
    <w:rsid w:val="00534DAF"/>
    <w:rsid w:val="00544F1D"/>
    <w:rsid w:val="00552B89"/>
    <w:rsid w:val="00554E1E"/>
    <w:rsid w:val="00561C2A"/>
    <w:rsid w:val="00562000"/>
    <w:rsid w:val="00562569"/>
    <w:rsid w:val="0057062A"/>
    <w:rsid w:val="00573128"/>
    <w:rsid w:val="00576A81"/>
    <w:rsid w:val="0058176F"/>
    <w:rsid w:val="00582B4B"/>
    <w:rsid w:val="005846E4"/>
    <w:rsid w:val="00590F24"/>
    <w:rsid w:val="005A653B"/>
    <w:rsid w:val="005B0B6E"/>
    <w:rsid w:val="005C070C"/>
    <w:rsid w:val="005C196E"/>
    <w:rsid w:val="005C1AB8"/>
    <w:rsid w:val="005C2AE2"/>
    <w:rsid w:val="005C3048"/>
    <w:rsid w:val="005C7C82"/>
    <w:rsid w:val="005D548D"/>
    <w:rsid w:val="005E2A07"/>
    <w:rsid w:val="005E2B0B"/>
    <w:rsid w:val="005E5BB0"/>
    <w:rsid w:val="005E7269"/>
    <w:rsid w:val="005E7409"/>
    <w:rsid w:val="005F26A7"/>
    <w:rsid w:val="005F659F"/>
    <w:rsid w:val="005F7D7F"/>
    <w:rsid w:val="00603DA9"/>
    <w:rsid w:val="00610F66"/>
    <w:rsid w:val="0061396D"/>
    <w:rsid w:val="00620E8F"/>
    <w:rsid w:val="00622FCB"/>
    <w:rsid w:val="0063348B"/>
    <w:rsid w:val="00636050"/>
    <w:rsid w:val="006369F7"/>
    <w:rsid w:val="00640E4D"/>
    <w:rsid w:val="006526BF"/>
    <w:rsid w:val="00652E97"/>
    <w:rsid w:val="0065411F"/>
    <w:rsid w:val="00657836"/>
    <w:rsid w:val="00661985"/>
    <w:rsid w:val="006622AC"/>
    <w:rsid w:val="006634F7"/>
    <w:rsid w:val="006638E2"/>
    <w:rsid w:val="00664100"/>
    <w:rsid w:val="00665626"/>
    <w:rsid w:val="00671CE5"/>
    <w:rsid w:val="006800FD"/>
    <w:rsid w:val="0068028D"/>
    <w:rsid w:val="00686E5F"/>
    <w:rsid w:val="006873B9"/>
    <w:rsid w:val="006910C4"/>
    <w:rsid w:val="00691B9C"/>
    <w:rsid w:val="006944CC"/>
    <w:rsid w:val="00697377"/>
    <w:rsid w:val="006A6514"/>
    <w:rsid w:val="006B0421"/>
    <w:rsid w:val="006B0896"/>
    <w:rsid w:val="006B0EFD"/>
    <w:rsid w:val="006C087D"/>
    <w:rsid w:val="006C155E"/>
    <w:rsid w:val="006C1B61"/>
    <w:rsid w:val="006C487E"/>
    <w:rsid w:val="006C546A"/>
    <w:rsid w:val="006C5A16"/>
    <w:rsid w:val="006D0AB6"/>
    <w:rsid w:val="006D0DC9"/>
    <w:rsid w:val="006D0FEB"/>
    <w:rsid w:val="006D78C0"/>
    <w:rsid w:val="006E01D8"/>
    <w:rsid w:val="006E3281"/>
    <w:rsid w:val="006F1526"/>
    <w:rsid w:val="006F7D8F"/>
    <w:rsid w:val="006F7FD8"/>
    <w:rsid w:val="00701B07"/>
    <w:rsid w:val="00702886"/>
    <w:rsid w:val="00703961"/>
    <w:rsid w:val="007056DE"/>
    <w:rsid w:val="00705E22"/>
    <w:rsid w:val="00706DA3"/>
    <w:rsid w:val="00711603"/>
    <w:rsid w:val="00721FE9"/>
    <w:rsid w:val="00722502"/>
    <w:rsid w:val="00725593"/>
    <w:rsid w:val="007265E7"/>
    <w:rsid w:val="0073415C"/>
    <w:rsid w:val="00740B4D"/>
    <w:rsid w:val="00742CD7"/>
    <w:rsid w:val="00744666"/>
    <w:rsid w:val="00745962"/>
    <w:rsid w:val="00752640"/>
    <w:rsid w:val="0075413A"/>
    <w:rsid w:val="00754DF7"/>
    <w:rsid w:val="00755A14"/>
    <w:rsid w:val="00762225"/>
    <w:rsid w:val="0076269D"/>
    <w:rsid w:val="00763361"/>
    <w:rsid w:val="0076485A"/>
    <w:rsid w:val="00765100"/>
    <w:rsid w:val="007659F1"/>
    <w:rsid w:val="007664EA"/>
    <w:rsid w:val="007667F3"/>
    <w:rsid w:val="00774D6E"/>
    <w:rsid w:val="00775BC4"/>
    <w:rsid w:val="00776BD2"/>
    <w:rsid w:val="00787BC4"/>
    <w:rsid w:val="007958D2"/>
    <w:rsid w:val="00796B35"/>
    <w:rsid w:val="00796C01"/>
    <w:rsid w:val="00796C72"/>
    <w:rsid w:val="007A234E"/>
    <w:rsid w:val="007A4586"/>
    <w:rsid w:val="007A613A"/>
    <w:rsid w:val="007B126A"/>
    <w:rsid w:val="007B5725"/>
    <w:rsid w:val="007B57E4"/>
    <w:rsid w:val="007C34AF"/>
    <w:rsid w:val="007C3AA7"/>
    <w:rsid w:val="007C51C9"/>
    <w:rsid w:val="007C5F2B"/>
    <w:rsid w:val="007D35CA"/>
    <w:rsid w:val="007D61DF"/>
    <w:rsid w:val="007E0F64"/>
    <w:rsid w:val="007E3604"/>
    <w:rsid w:val="007E574A"/>
    <w:rsid w:val="007E6430"/>
    <w:rsid w:val="007E70DA"/>
    <w:rsid w:val="007F6135"/>
    <w:rsid w:val="007F6EDC"/>
    <w:rsid w:val="00801113"/>
    <w:rsid w:val="0080419E"/>
    <w:rsid w:val="00805DB5"/>
    <w:rsid w:val="00805FC1"/>
    <w:rsid w:val="0080615C"/>
    <w:rsid w:val="00811630"/>
    <w:rsid w:val="00821449"/>
    <w:rsid w:val="0082247D"/>
    <w:rsid w:val="00823E14"/>
    <w:rsid w:val="008269D7"/>
    <w:rsid w:val="0083165A"/>
    <w:rsid w:val="0083391F"/>
    <w:rsid w:val="00834700"/>
    <w:rsid w:val="00834D66"/>
    <w:rsid w:val="0084585D"/>
    <w:rsid w:val="00845CD4"/>
    <w:rsid w:val="00853906"/>
    <w:rsid w:val="00853E88"/>
    <w:rsid w:val="00861152"/>
    <w:rsid w:val="00862D8D"/>
    <w:rsid w:val="00862F00"/>
    <w:rsid w:val="00867291"/>
    <w:rsid w:val="008700BE"/>
    <w:rsid w:val="00873417"/>
    <w:rsid w:val="00873889"/>
    <w:rsid w:val="00873939"/>
    <w:rsid w:val="00873D79"/>
    <w:rsid w:val="0088116E"/>
    <w:rsid w:val="00885C60"/>
    <w:rsid w:val="00892CC1"/>
    <w:rsid w:val="00892D31"/>
    <w:rsid w:val="00893466"/>
    <w:rsid w:val="008A1C84"/>
    <w:rsid w:val="008A3DD6"/>
    <w:rsid w:val="008B7223"/>
    <w:rsid w:val="008C2BB2"/>
    <w:rsid w:val="008D2AD5"/>
    <w:rsid w:val="008D2EBA"/>
    <w:rsid w:val="008D705F"/>
    <w:rsid w:val="008E5E8D"/>
    <w:rsid w:val="008F5E4C"/>
    <w:rsid w:val="009042A8"/>
    <w:rsid w:val="009054EE"/>
    <w:rsid w:val="009076B8"/>
    <w:rsid w:val="0092113A"/>
    <w:rsid w:val="00922A34"/>
    <w:rsid w:val="00925C33"/>
    <w:rsid w:val="00935C50"/>
    <w:rsid w:val="00935E82"/>
    <w:rsid w:val="0094477A"/>
    <w:rsid w:val="0094669C"/>
    <w:rsid w:val="009467DD"/>
    <w:rsid w:val="009523E8"/>
    <w:rsid w:val="00956281"/>
    <w:rsid w:val="00972E27"/>
    <w:rsid w:val="00973513"/>
    <w:rsid w:val="00982948"/>
    <w:rsid w:val="00984892"/>
    <w:rsid w:val="00985ACB"/>
    <w:rsid w:val="00985B0C"/>
    <w:rsid w:val="0098733D"/>
    <w:rsid w:val="009876C7"/>
    <w:rsid w:val="00987E66"/>
    <w:rsid w:val="00997DE1"/>
    <w:rsid w:val="009A002F"/>
    <w:rsid w:val="009A082B"/>
    <w:rsid w:val="009A5C83"/>
    <w:rsid w:val="009A6B43"/>
    <w:rsid w:val="009A74D6"/>
    <w:rsid w:val="009B0E8F"/>
    <w:rsid w:val="009B120C"/>
    <w:rsid w:val="009B6000"/>
    <w:rsid w:val="009B71E9"/>
    <w:rsid w:val="009C03BA"/>
    <w:rsid w:val="009C1838"/>
    <w:rsid w:val="009C199E"/>
    <w:rsid w:val="009C3425"/>
    <w:rsid w:val="009C59BA"/>
    <w:rsid w:val="009C7D4D"/>
    <w:rsid w:val="009D0EDB"/>
    <w:rsid w:val="009D2204"/>
    <w:rsid w:val="009D2838"/>
    <w:rsid w:val="009D3D31"/>
    <w:rsid w:val="009D67E6"/>
    <w:rsid w:val="009E00B0"/>
    <w:rsid w:val="009E2A06"/>
    <w:rsid w:val="009E3B69"/>
    <w:rsid w:val="009F3601"/>
    <w:rsid w:val="009F462E"/>
    <w:rsid w:val="00A02756"/>
    <w:rsid w:val="00A130ED"/>
    <w:rsid w:val="00A13220"/>
    <w:rsid w:val="00A14B3C"/>
    <w:rsid w:val="00A14B87"/>
    <w:rsid w:val="00A157B8"/>
    <w:rsid w:val="00A161D4"/>
    <w:rsid w:val="00A16EFF"/>
    <w:rsid w:val="00A222B1"/>
    <w:rsid w:val="00A24266"/>
    <w:rsid w:val="00A24401"/>
    <w:rsid w:val="00A259F6"/>
    <w:rsid w:val="00A26B84"/>
    <w:rsid w:val="00A27AB0"/>
    <w:rsid w:val="00A311F7"/>
    <w:rsid w:val="00A316E1"/>
    <w:rsid w:val="00A31BCB"/>
    <w:rsid w:val="00A372F9"/>
    <w:rsid w:val="00A37458"/>
    <w:rsid w:val="00A37E93"/>
    <w:rsid w:val="00A40397"/>
    <w:rsid w:val="00A4065D"/>
    <w:rsid w:val="00A47C1B"/>
    <w:rsid w:val="00A50D3C"/>
    <w:rsid w:val="00A541A2"/>
    <w:rsid w:val="00A57185"/>
    <w:rsid w:val="00A57336"/>
    <w:rsid w:val="00A62294"/>
    <w:rsid w:val="00A658EB"/>
    <w:rsid w:val="00A7152A"/>
    <w:rsid w:val="00A71E15"/>
    <w:rsid w:val="00A72199"/>
    <w:rsid w:val="00A7475E"/>
    <w:rsid w:val="00A81DB3"/>
    <w:rsid w:val="00A84F72"/>
    <w:rsid w:val="00A96E34"/>
    <w:rsid w:val="00AA384D"/>
    <w:rsid w:val="00AA501C"/>
    <w:rsid w:val="00AA55A9"/>
    <w:rsid w:val="00AB16C3"/>
    <w:rsid w:val="00AB1E0F"/>
    <w:rsid w:val="00AB1EA6"/>
    <w:rsid w:val="00AB2960"/>
    <w:rsid w:val="00AB3DE4"/>
    <w:rsid w:val="00AC0876"/>
    <w:rsid w:val="00AC1495"/>
    <w:rsid w:val="00AC1A78"/>
    <w:rsid w:val="00AC60E2"/>
    <w:rsid w:val="00AC7346"/>
    <w:rsid w:val="00AD014A"/>
    <w:rsid w:val="00AD1DE0"/>
    <w:rsid w:val="00AD49B9"/>
    <w:rsid w:val="00AD4C08"/>
    <w:rsid w:val="00AD7332"/>
    <w:rsid w:val="00AD784C"/>
    <w:rsid w:val="00AE07BE"/>
    <w:rsid w:val="00AE41EF"/>
    <w:rsid w:val="00AF008A"/>
    <w:rsid w:val="00AF0DBF"/>
    <w:rsid w:val="00AF18C1"/>
    <w:rsid w:val="00B10EF0"/>
    <w:rsid w:val="00B12E41"/>
    <w:rsid w:val="00B13D1A"/>
    <w:rsid w:val="00B21561"/>
    <w:rsid w:val="00B2518F"/>
    <w:rsid w:val="00B25DA4"/>
    <w:rsid w:val="00B34535"/>
    <w:rsid w:val="00B3533B"/>
    <w:rsid w:val="00B35A25"/>
    <w:rsid w:val="00B3600E"/>
    <w:rsid w:val="00B40EFE"/>
    <w:rsid w:val="00B45DF9"/>
    <w:rsid w:val="00B501CF"/>
    <w:rsid w:val="00B60A33"/>
    <w:rsid w:val="00B63C64"/>
    <w:rsid w:val="00B64388"/>
    <w:rsid w:val="00B6612E"/>
    <w:rsid w:val="00B71DBA"/>
    <w:rsid w:val="00B74E46"/>
    <w:rsid w:val="00B75384"/>
    <w:rsid w:val="00B76047"/>
    <w:rsid w:val="00B76894"/>
    <w:rsid w:val="00B76F87"/>
    <w:rsid w:val="00B80837"/>
    <w:rsid w:val="00B83EB8"/>
    <w:rsid w:val="00B84C8D"/>
    <w:rsid w:val="00B865BE"/>
    <w:rsid w:val="00B87E35"/>
    <w:rsid w:val="00B9031D"/>
    <w:rsid w:val="00B91A04"/>
    <w:rsid w:val="00B93179"/>
    <w:rsid w:val="00B94631"/>
    <w:rsid w:val="00B95EC0"/>
    <w:rsid w:val="00BA363F"/>
    <w:rsid w:val="00BA37F6"/>
    <w:rsid w:val="00BA51F2"/>
    <w:rsid w:val="00BB55DB"/>
    <w:rsid w:val="00BB5977"/>
    <w:rsid w:val="00BB5F78"/>
    <w:rsid w:val="00BB7B83"/>
    <w:rsid w:val="00BC60D6"/>
    <w:rsid w:val="00BC6C7A"/>
    <w:rsid w:val="00BD11ED"/>
    <w:rsid w:val="00BD14CD"/>
    <w:rsid w:val="00BD444C"/>
    <w:rsid w:val="00BD4F2D"/>
    <w:rsid w:val="00BD57E8"/>
    <w:rsid w:val="00BD6237"/>
    <w:rsid w:val="00BD680A"/>
    <w:rsid w:val="00BD6BDC"/>
    <w:rsid w:val="00BE1948"/>
    <w:rsid w:val="00BE21D9"/>
    <w:rsid w:val="00BE4B7F"/>
    <w:rsid w:val="00BE5048"/>
    <w:rsid w:val="00BF3123"/>
    <w:rsid w:val="00BF5E37"/>
    <w:rsid w:val="00BF6422"/>
    <w:rsid w:val="00BF65B0"/>
    <w:rsid w:val="00BF6B1D"/>
    <w:rsid w:val="00BF77D3"/>
    <w:rsid w:val="00C02B38"/>
    <w:rsid w:val="00C05370"/>
    <w:rsid w:val="00C05DA0"/>
    <w:rsid w:val="00C0713B"/>
    <w:rsid w:val="00C07AFD"/>
    <w:rsid w:val="00C11907"/>
    <w:rsid w:val="00C15C72"/>
    <w:rsid w:val="00C2108A"/>
    <w:rsid w:val="00C21E85"/>
    <w:rsid w:val="00C226CE"/>
    <w:rsid w:val="00C2284D"/>
    <w:rsid w:val="00C33578"/>
    <w:rsid w:val="00C40702"/>
    <w:rsid w:val="00C427E2"/>
    <w:rsid w:val="00C43E62"/>
    <w:rsid w:val="00C46BEE"/>
    <w:rsid w:val="00C4753C"/>
    <w:rsid w:val="00C47C16"/>
    <w:rsid w:val="00C574D4"/>
    <w:rsid w:val="00C5793F"/>
    <w:rsid w:val="00C649DA"/>
    <w:rsid w:val="00C67080"/>
    <w:rsid w:val="00C67718"/>
    <w:rsid w:val="00C67837"/>
    <w:rsid w:val="00C70488"/>
    <w:rsid w:val="00C76B63"/>
    <w:rsid w:val="00C8390A"/>
    <w:rsid w:val="00C8493F"/>
    <w:rsid w:val="00C8706A"/>
    <w:rsid w:val="00C87BBA"/>
    <w:rsid w:val="00C87D6C"/>
    <w:rsid w:val="00C95ED5"/>
    <w:rsid w:val="00C96ACD"/>
    <w:rsid w:val="00CA6DEB"/>
    <w:rsid w:val="00CB72E2"/>
    <w:rsid w:val="00CC0393"/>
    <w:rsid w:val="00CC1684"/>
    <w:rsid w:val="00CC1B15"/>
    <w:rsid w:val="00CC259E"/>
    <w:rsid w:val="00CC5464"/>
    <w:rsid w:val="00CD3FA1"/>
    <w:rsid w:val="00CD565E"/>
    <w:rsid w:val="00CE42EC"/>
    <w:rsid w:val="00CE618B"/>
    <w:rsid w:val="00CE7585"/>
    <w:rsid w:val="00CF17CF"/>
    <w:rsid w:val="00CF1F1B"/>
    <w:rsid w:val="00CF2C79"/>
    <w:rsid w:val="00CF40EA"/>
    <w:rsid w:val="00CF41C8"/>
    <w:rsid w:val="00CF42BF"/>
    <w:rsid w:val="00CF6EE1"/>
    <w:rsid w:val="00CF75AE"/>
    <w:rsid w:val="00D0123E"/>
    <w:rsid w:val="00D018ED"/>
    <w:rsid w:val="00D05B54"/>
    <w:rsid w:val="00D112EA"/>
    <w:rsid w:val="00D13049"/>
    <w:rsid w:val="00D134A4"/>
    <w:rsid w:val="00D14C6B"/>
    <w:rsid w:val="00D15889"/>
    <w:rsid w:val="00D15959"/>
    <w:rsid w:val="00D22704"/>
    <w:rsid w:val="00D22CB1"/>
    <w:rsid w:val="00D30954"/>
    <w:rsid w:val="00D317D8"/>
    <w:rsid w:val="00D318EF"/>
    <w:rsid w:val="00D34A37"/>
    <w:rsid w:val="00D34D21"/>
    <w:rsid w:val="00D4296D"/>
    <w:rsid w:val="00D42D8D"/>
    <w:rsid w:val="00D435DE"/>
    <w:rsid w:val="00D51454"/>
    <w:rsid w:val="00D55E11"/>
    <w:rsid w:val="00D638E6"/>
    <w:rsid w:val="00D65B13"/>
    <w:rsid w:val="00D70282"/>
    <w:rsid w:val="00D7263C"/>
    <w:rsid w:val="00D74737"/>
    <w:rsid w:val="00D80FED"/>
    <w:rsid w:val="00D81859"/>
    <w:rsid w:val="00D848BB"/>
    <w:rsid w:val="00D85B08"/>
    <w:rsid w:val="00D87294"/>
    <w:rsid w:val="00D910B6"/>
    <w:rsid w:val="00D96AAD"/>
    <w:rsid w:val="00D971CF"/>
    <w:rsid w:val="00DA0474"/>
    <w:rsid w:val="00DA14D2"/>
    <w:rsid w:val="00DA20C9"/>
    <w:rsid w:val="00DA3A3A"/>
    <w:rsid w:val="00DA4D57"/>
    <w:rsid w:val="00DA53FF"/>
    <w:rsid w:val="00DB01AD"/>
    <w:rsid w:val="00DB25B5"/>
    <w:rsid w:val="00DB7507"/>
    <w:rsid w:val="00DC473A"/>
    <w:rsid w:val="00DC57D3"/>
    <w:rsid w:val="00DC5BFF"/>
    <w:rsid w:val="00DC61A9"/>
    <w:rsid w:val="00DC7BEE"/>
    <w:rsid w:val="00DD10F9"/>
    <w:rsid w:val="00DD2153"/>
    <w:rsid w:val="00DD3381"/>
    <w:rsid w:val="00DE2754"/>
    <w:rsid w:val="00DE2B0D"/>
    <w:rsid w:val="00DE2FF9"/>
    <w:rsid w:val="00DE7AC1"/>
    <w:rsid w:val="00DF7773"/>
    <w:rsid w:val="00E04258"/>
    <w:rsid w:val="00E049CB"/>
    <w:rsid w:val="00E05732"/>
    <w:rsid w:val="00E05DF2"/>
    <w:rsid w:val="00E06C4D"/>
    <w:rsid w:val="00E07A35"/>
    <w:rsid w:val="00E11BE2"/>
    <w:rsid w:val="00E13A24"/>
    <w:rsid w:val="00E243C4"/>
    <w:rsid w:val="00E26799"/>
    <w:rsid w:val="00E326F5"/>
    <w:rsid w:val="00E35728"/>
    <w:rsid w:val="00E44CBD"/>
    <w:rsid w:val="00E469E4"/>
    <w:rsid w:val="00E50E0F"/>
    <w:rsid w:val="00E5608C"/>
    <w:rsid w:val="00E67F19"/>
    <w:rsid w:val="00E71937"/>
    <w:rsid w:val="00E74E0F"/>
    <w:rsid w:val="00E75542"/>
    <w:rsid w:val="00E758B8"/>
    <w:rsid w:val="00E75C23"/>
    <w:rsid w:val="00E76D8F"/>
    <w:rsid w:val="00E81083"/>
    <w:rsid w:val="00E84809"/>
    <w:rsid w:val="00E90EB1"/>
    <w:rsid w:val="00E910E7"/>
    <w:rsid w:val="00E94109"/>
    <w:rsid w:val="00E96CB1"/>
    <w:rsid w:val="00EA0A8C"/>
    <w:rsid w:val="00EA6B56"/>
    <w:rsid w:val="00EB189A"/>
    <w:rsid w:val="00EB1F29"/>
    <w:rsid w:val="00EB6651"/>
    <w:rsid w:val="00EB6D9C"/>
    <w:rsid w:val="00EB7CCF"/>
    <w:rsid w:val="00EC051E"/>
    <w:rsid w:val="00EC06A7"/>
    <w:rsid w:val="00EC4749"/>
    <w:rsid w:val="00EC6680"/>
    <w:rsid w:val="00EC6C13"/>
    <w:rsid w:val="00ED1365"/>
    <w:rsid w:val="00ED1A0D"/>
    <w:rsid w:val="00ED2BFC"/>
    <w:rsid w:val="00ED3219"/>
    <w:rsid w:val="00ED3813"/>
    <w:rsid w:val="00EE46B3"/>
    <w:rsid w:val="00EE7133"/>
    <w:rsid w:val="00EE7AE7"/>
    <w:rsid w:val="00EF6A99"/>
    <w:rsid w:val="00F02A19"/>
    <w:rsid w:val="00F03F58"/>
    <w:rsid w:val="00F04705"/>
    <w:rsid w:val="00F06F6D"/>
    <w:rsid w:val="00F11A3E"/>
    <w:rsid w:val="00F158AE"/>
    <w:rsid w:val="00F15B98"/>
    <w:rsid w:val="00F169DC"/>
    <w:rsid w:val="00F2078E"/>
    <w:rsid w:val="00F216B9"/>
    <w:rsid w:val="00F2661C"/>
    <w:rsid w:val="00F26B49"/>
    <w:rsid w:val="00F2705C"/>
    <w:rsid w:val="00F33ADB"/>
    <w:rsid w:val="00F37214"/>
    <w:rsid w:val="00F37DC5"/>
    <w:rsid w:val="00F41E1C"/>
    <w:rsid w:val="00F42A44"/>
    <w:rsid w:val="00F45945"/>
    <w:rsid w:val="00F471DC"/>
    <w:rsid w:val="00F47B8B"/>
    <w:rsid w:val="00F50A21"/>
    <w:rsid w:val="00F51AD7"/>
    <w:rsid w:val="00F52F28"/>
    <w:rsid w:val="00F55662"/>
    <w:rsid w:val="00F67AE2"/>
    <w:rsid w:val="00F7059F"/>
    <w:rsid w:val="00F74D35"/>
    <w:rsid w:val="00F76280"/>
    <w:rsid w:val="00F843DA"/>
    <w:rsid w:val="00F96BB6"/>
    <w:rsid w:val="00FA2DC2"/>
    <w:rsid w:val="00FA5CFC"/>
    <w:rsid w:val="00FB1946"/>
    <w:rsid w:val="00FB3B62"/>
    <w:rsid w:val="00FC061B"/>
    <w:rsid w:val="00FC1F13"/>
    <w:rsid w:val="00FC35FD"/>
    <w:rsid w:val="00FC4BCB"/>
    <w:rsid w:val="00FC6786"/>
    <w:rsid w:val="00FD0371"/>
    <w:rsid w:val="00FD0C0B"/>
    <w:rsid w:val="00FD2684"/>
    <w:rsid w:val="00FD310B"/>
    <w:rsid w:val="00FD36B7"/>
    <w:rsid w:val="00FD49B6"/>
    <w:rsid w:val="00FD74A9"/>
    <w:rsid w:val="00FE3FA6"/>
    <w:rsid w:val="00FE43C9"/>
    <w:rsid w:val="00FE6B13"/>
    <w:rsid w:val="00FF26EE"/>
    <w:rsid w:val="00FF44BA"/>
    <w:rsid w:val="00FF51B6"/>
    <w:rsid w:val="00FF64C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53BC707"/>
  <w15:chartTrackingRefBased/>
  <w15:docId w15:val="{FC297C24-8956-4462-AECC-051AA5A95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7E8"/>
    <w:pPr>
      <w:widowControl w:val="0"/>
      <w:suppressAutoHyphens/>
      <w:autoSpaceDN w:val="0"/>
      <w:spacing w:after="0" w:line="240" w:lineRule="auto"/>
      <w:textAlignment w:val="baseline"/>
    </w:pPr>
    <w:rPr>
      <w:rFonts w:ascii="Calibri" w:eastAsia="Calibri" w:hAnsi="Calibri" w:cs="DejaVu Sans"/>
      <w:lang w:val="en-US"/>
    </w:rPr>
  </w:style>
  <w:style w:type="paragraph" w:styleId="Heading1">
    <w:name w:val="heading 1"/>
    <w:basedOn w:val="Standard"/>
    <w:next w:val="Standard"/>
    <w:link w:val="Heading1Char"/>
    <w:uiPriority w:val="9"/>
    <w:qFormat/>
    <w:rsid w:val="00BD57E8"/>
    <w:pPr>
      <w:keepNext/>
      <w:keepLines/>
      <w:numPr>
        <w:numId w:val="1"/>
      </w:numPr>
      <w:spacing w:before="240" w:after="0"/>
      <w:outlineLvl w:val="0"/>
    </w:pPr>
    <w:rPr>
      <w:rFonts w:ascii="Calibri Light" w:hAnsi="Calibri Light"/>
      <w:color w:val="2E74B5"/>
      <w:sz w:val="32"/>
      <w:szCs w:val="32"/>
    </w:rPr>
  </w:style>
  <w:style w:type="paragraph" w:styleId="Heading2">
    <w:name w:val="heading 2"/>
    <w:basedOn w:val="Standard"/>
    <w:next w:val="Standard"/>
    <w:link w:val="Heading2Char"/>
    <w:uiPriority w:val="9"/>
    <w:unhideWhenUsed/>
    <w:qFormat/>
    <w:rsid w:val="00BD57E8"/>
    <w:pPr>
      <w:keepNext/>
      <w:keepLines/>
      <w:numPr>
        <w:ilvl w:val="1"/>
        <w:numId w:val="1"/>
      </w:numPr>
      <w:spacing w:before="40" w:after="0"/>
      <w:outlineLvl w:val="1"/>
    </w:pPr>
    <w:rPr>
      <w:rFonts w:ascii="Calibri Light" w:hAnsi="Calibri Light"/>
      <w:color w:val="2E74B5"/>
      <w:sz w:val="26"/>
      <w:szCs w:val="26"/>
    </w:rPr>
  </w:style>
  <w:style w:type="paragraph" w:styleId="Heading3">
    <w:name w:val="heading 3"/>
    <w:basedOn w:val="Standard"/>
    <w:next w:val="Standard"/>
    <w:link w:val="Heading3Char"/>
    <w:uiPriority w:val="9"/>
    <w:unhideWhenUsed/>
    <w:qFormat/>
    <w:rsid w:val="00BD57E8"/>
    <w:pPr>
      <w:keepNext/>
      <w:keepLines/>
      <w:numPr>
        <w:ilvl w:val="2"/>
        <w:numId w:val="1"/>
      </w:numPr>
      <w:spacing w:before="40" w:after="0"/>
      <w:outlineLvl w:val="2"/>
    </w:pPr>
    <w:rPr>
      <w:rFonts w:ascii="Calibri Light" w:hAnsi="Calibri Light"/>
      <w:color w:val="1F4D78"/>
      <w:sz w:val="24"/>
      <w:szCs w:val="24"/>
    </w:rPr>
  </w:style>
  <w:style w:type="paragraph" w:styleId="Heading4">
    <w:name w:val="heading 4"/>
    <w:basedOn w:val="Standard"/>
    <w:next w:val="Standard"/>
    <w:link w:val="Heading4Char"/>
    <w:uiPriority w:val="9"/>
    <w:unhideWhenUsed/>
    <w:qFormat/>
    <w:rsid w:val="00BD57E8"/>
    <w:pPr>
      <w:keepNext/>
      <w:keepLines/>
      <w:numPr>
        <w:ilvl w:val="3"/>
        <w:numId w:val="1"/>
      </w:numPr>
      <w:spacing w:before="40" w:after="0"/>
      <w:outlineLvl w:val="3"/>
    </w:pPr>
    <w:rPr>
      <w:rFonts w:ascii="Calibri Light" w:hAnsi="Calibri Light"/>
      <w:i/>
      <w:iCs/>
      <w:color w:val="2E74B5"/>
    </w:rPr>
  </w:style>
  <w:style w:type="paragraph" w:styleId="Heading5">
    <w:name w:val="heading 5"/>
    <w:basedOn w:val="Standard"/>
    <w:next w:val="Standard"/>
    <w:link w:val="Heading5Char"/>
    <w:uiPriority w:val="9"/>
    <w:semiHidden/>
    <w:unhideWhenUsed/>
    <w:qFormat/>
    <w:rsid w:val="00BD57E8"/>
    <w:pPr>
      <w:keepNext/>
      <w:keepLines/>
      <w:numPr>
        <w:ilvl w:val="4"/>
        <w:numId w:val="1"/>
      </w:numPr>
      <w:spacing w:before="40" w:after="0"/>
      <w:outlineLvl w:val="4"/>
    </w:pPr>
    <w:rPr>
      <w:rFonts w:ascii="Calibri Light" w:hAnsi="Calibri Light"/>
      <w:color w:val="2E74B5"/>
    </w:rPr>
  </w:style>
  <w:style w:type="paragraph" w:styleId="Heading6">
    <w:name w:val="heading 6"/>
    <w:basedOn w:val="Standard"/>
    <w:next w:val="Standard"/>
    <w:link w:val="Heading6Char"/>
    <w:uiPriority w:val="9"/>
    <w:semiHidden/>
    <w:unhideWhenUsed/>
    <w:qFormat/>
    <w:rsid w:val="00BD57E8"/>
    <w:pPr>
      <w:keepNext/>
      <w:keepLines/>
      <w:numPr>
        <w:ilvl w:val="5"/>
        <w:numId w:val="1"/>
      </w:numPr>
      <w:spacing w:before="40" w:after="0"/>
      <w:outlineLvl w:val="5"/>
    </w:pPr>
    <w:rPr>
      <w:rFonts w:ascii="Calibri Light" w:hAnsi="Calibri Light"/>
      <w:color w:val="1F4D78"/>
    </w:rPr>
  </w:style>
  <w:style w:type="paragraph" w:styleId="Heading7">
    <w:name w:val="heading 7"/>
    <w:basedOn w:val="Standard"/>
    <w:next w:val="Standard"/>
    <w:link w:val="Heading7Char"/>
    <w:rsid w:val="00BD57E8"/>
    <w:pPr>
      <w:keepNext/>
      <w:keepLines/>
      <w:numPr>
        <w:ilvl w:val="6"/>
        <w:numId w:val="1"/>
      </w:numPr>
      <w:spacing w:before="40" w:after="0"/>
      <w:outlineLvl w:val="6"/>
    </w:pPr>
    <w:rPr>
      <w:rFonts w:ascii="Calibri Light" w:hAnsi="Calibri Light"/>
      <w:i/>
      <w:iCs/>
      <w:color w:val="1F4D78"/>
    </w:rPr>
  </w:style>
  <w:style w:type="paragraph" w:styleId="Heading8">
    <w:name w:val="heading 8"/>
    <w:basedOn w:val="Standard"/>
    <w:next w:val="Standard"/>
    <w:link w:val="Heading8Char"/>
    <w:rsid w:val="00BD57E8"/>
    <w:pPr>
      <w:keepNext/>
      <w:keepLines/>
      <w:numPr>
        <w:ilvl w:val="7"/>
        <w:numId w:val="1"/>
      </w:numPr>
      <w:spacing w:before="40" w:after="0"/>
      <w:outlineLvl w:val="7"/>
    </w:pPr>
    <w:rPr>
      <w:rFonts w:ascii="Calibri Light" w:hAnsi="Calibri Light"/>
      <w:color w:val="272727"/>
      <w:sz w:val="21"/>
      <w:szCs w:val="21"/>
    </w:rPr>
  </w:style>
  <w:style w:type="paragraph" w:styleId="Heading9">
    <w:name w:val="heading 9"/>
    <w:basedOn w:val="Standard"/>
    <w:next w:val="Standard"/>
    <w:link w:val="Heading9Char"/>
    <w:rsid w:val="00BD57E8"/>
    <w:pPr>
      <w:keepNext/>
      <w:keepLines/>
      <w:numPr>
        <w:ilvl w:val="8"/>
        <w:numId w:val="1"/>
      </w:numPr>
      <w:spacing w:before="40" w:after="0"/>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57E8"/>
    <w:rPr>
      <w:rFonts w:ascii="Calibri Light" w:eastAsia="Calibri" w:hAnsi="Calibri Light" w:cs="DejaVu Sans"/>
      <w:color w:val="2E74B5"/>
      <w:sz w:val="32"/>
      <w:szCs w:val="32"/>
      <w:lang w:val="en-US"/>
    </w:rPr>
  </w:style>
  <w:style w:type="character" w:customStyle="1" w:styleId="Heading2Char">
    <w:name w:val="Heading 2 Char"/>
    <w:basedOn w:val="DefaultParagraphFont"/>
    <w:link w:val="Heading2"/>
    <w:uiPriority w:val="9"/>
    <w:rsid w:val="00BD57E8"/>
    <w:rPr>
      <w:rFonts w:ascii="Calibri Light" w:eastAsia="Calibri" w:hAnsi="Calibri Light" w:cs="DejaVu Sans"/>
      <w:color w:val="2E74B5"/>
      <w:sz w:val="26"/>
      <w:szCs w:val="26"/>
      <w:lang w:val="en-US"/>
    </w:rPr>
  </w:style>
  <w:style w:type="character" w:customStyle="1" w:styleId="Heading3Char">
    <w:name w:val="Heading 3 Char"/>
    <w:basedOn w:val="DefaultParagraphFont"/>
    <w:link w:val="Heading3"/>
    <w:uiPriority w:val="9"/>
    <w:rsid w:val="00BD57E8"/>
    <w:rPr>
      <w:rFonts w:ascii="Calibri Light" w:eastAsia="Calibri" w:hAnsi="Calibri Light" w:cs="DejaVu Sans"/>
      <w:color w:val="1F4D78"/>
      <w:sz w:val="24"/>
      <w:szCs w:val="24"/>
      <w:lang w:val="en-US"/>
    </w:rPr>
  </w:style>
  <w:style w:type="character" w:customStyle="1" w:styleId="Heading4Char">
    <w:name w:val="Heading 4 Char"/>
    <w:basedOn w:val="DefaultParagraphFont"/>
    <w:link w:val="Heading4"/>
    <w:uiPriority w:val="9"/>
    <w:rsid w:val="00BD57E8"/>
    <w:rPr>
      <w:rFonts w:ascii="Calibri Light" w:eastAsia="Calibri" w:hAnsi="Calibri Light" w:cs="DejaVu Sans"/>
      <w:i/>
      <w:iCs/>
      <w:color w:val="2E74B5"/>
      <w:lang w:val="en-US"/>
    </w:rPr>
  </w:style>
  <w:style w:type="character" w:customStyle="1" w:styleId="Heading5Char">
    <w:name w:val="Heading 5 Char"/>
    <w:basedOn w:val="DefaultParagraphFont"/>
    <w:link w:val="Heading5"/>
    <w:uiPriority w:val="9"/>
    <w:semiHidden/>
    <w:rsid w:val="00BD57E8"/>
    <w:rPr>
      <w:rFonts w:ascii="Calibri Light" w:eastAsia="Calibri" w:hAnsi="Calibri Light" w:cs="DejaVu Sans"/>
      <w:color w:val="2E74B5"/>
      <w:lang w:val="en-US"/>
    </w:rPr>
  </w:style>
  <w:style w:type="character" w:customStyle="1" w:styleId="Heading6Char">
    <w:name w:val="Heading 6 Char"/>
    <w:basedOn w:val="DefaultParagraphFont"/>
    <w:link w:val="Heading6"/>
    <w:uiPriority w:val="9"/>
    <w:semiHidden/>
    <w:rsid w:val="00BD57E8"/>
    <w:rPr>
      <w:rFonts w:ascii="Calibri Light" w:eastAsia="Calibri" w:hAnsi="Calibri Light" w:cs="DejaVu Sans"/>
      <w:color w:val="1F4D78"/>
      <w:lang w:val="en-US"/>
    </w:rPr>
  </w:style>
  <w:style w:type="character" w:customStyle="1" w:styleId="Heading7Char">
    <w:name w:val="Heading 7 Char"/>
    <w:basedOn w:val="DefaultParagraphFont"/>
    <w:link w:val="Heading7"/>
    <w:rsid w:val="00BD57E8"/>
    <w:rPr>
      <w:rFonts w:ascii="Calibri Light" w:eastAsia="Calibri" w:hAnsi="Calibri Light" w:cs="DejaVu Sans"/>
      <w:i/>
      <w:iCs/>
      <w:color w:val="1F4D78"/>
      <w:lang w:val="en-US"/>
    </w:rPr>
  </w:style>
  <w:style w:type="character" w:customStyle="1" w:styleId="Heading8Char">
    <w:name w:val="Heading 8 Char"/>
    <w:basedOn w:val="DefaultParagraphFont"/>
    <w:link w:val="Heading8"/>
    <w:rsid w:val="00BD57E8"/>
    <w:rPr>
      <w:rFonts w:ascii="Calibri Light" w:eastAsia="Calibri" w:hAnsi="Calibri Light" w:cs="DejaVu Sans"/>
      <w:color w:val="272727"/>
      <w:sz w:val="21"/>
      <w:szCs w:val="21"/>
      <w:lang w:val="en-US"/>
    </w:rPr>
  </w:style>
  <w:style w:type="character" w:customStyle="1" w:styleId="Heading9Char">
    <w:name w:val="Heading 9 Char"/>
    <w:basedOn w:val="DefaultParagraphFont"/>
    <w:link w:val="Heading9"/>
    <w:rsid w:val="00BD57E8"/>
    <w:rPr>
      <w:rFonts w:ascii="Calibri Light" w:eastAsia="Calibri" w:hAnsi="Calibri Light" w:cs="DejaVu Sans"/>
      <w:i/>
      <w:iCs/>
      <w:color w:val="272727"/>
      <w:sz w:val="21"/>
      <w:szCs w:val="21"/>
      <w:lang w:val="en-US"/>
    </w:rPr>
  </w:style>
  <w:style w:type="numbering" w:customStyle="1" w:styleId="Outline">
    <w:name w:val="Outline"/>
    <w:basedOn w:val="NoList"/>
    <w:rsid w:val="00BD57E8"/>
    <w:pPr>
      <w:numPr>
        <w:numId w:val="1"/>
      </w:numPr>
    </w:pPr>
  </w:style>
  <w:style w:type="paragraph" w:customStyle="1" w:styleId="Standard">
    <w:name w:val="Standard"/>
    <w:rsid w:val="00BD57E8"/>
    <w:pPr>
      <w:suppressAutoHyphens/>
      <w:autoSpaceDN w:val="0"/>
      <w:spacing w:line="254" w:lineRule="auto"/>
      <w:textAlignment w:val="baseline"/>
    </w:pPr>
    <w:rPr>
      <w:rFonts w:ascii="Calibri" w:eastAsia="Calibri" w:hAnsi="Calibri" w:cs="DejaVu Sans"/>
      <w:lang w:val="en-US"/>
    </w:rPr>
  </w:style>
  <w:style w:type="paragraph" w:styleId="Caption">
    <w:name w:val="caption"/>
    <w:basedOn w:val="Standard"/>
    <w:next w:val="Standard"/>
    <w:rsid w:val="00BD57E8"/>
    <w:pPr>
      <w:spacing w:after="200" w:line="240" w:lineRule="auto"/>
    </w:pPr>
    <w:rPr>
      <w:i/>
      <w:iCs/>
      <w:color w:val="44546A"/>
      <w:sz w:val="18"/>
      <w:szCs w:val="18"/>
    </w:rPr>
  </w:style>
  <w:style w:type="paragraph" w:styleId="CommentText">
    <w:name w:val="annotation text"/>
    <w:basedOn w:val="Standard"/>
    <w:link w:val="CommentTextChar"/>
    <w:rsid w:val="00BD57E8"/>
    <w:pPr>
      <w:spacing w:line="240" w:lineRule="auto"/>
    </w:pPr>
    <w:rPr>
      <w:sz w:val="20"/>
      <w:szCs w:val="20"/>
    </w:rPr>
  </w:style>
  <w:style w:type="character" w:customStyle="1" w:styleId="CommentTextChar">
    <w:name w:val="Comment Text Char"/>
    <w:basedOn w:val="DefaultParagraphFont"/>
    <w:link w:val="CommentText"/>
    <w:rsid w:val="00BD57E8"/>
    <w:rPr>
      <w:rFonts w:ascii="Calibri" w:eastAsia="Calibri" w:hAnsi="Calibri" w:cs="DejaVu Sans"/>
      <w:sz w:val="20"/>
      <w:szCs w:val="20"/>
      <w:lang w:val="en-US"/>
    </w:rPr>
  </w:style>
  <w:style w:type="paragraph" w:customStyle="1" w:styleId="TableContents">
    <w:name w:val="Table Contents"/>
    <w:basedOn w:val="Standard"/>
    <w:rsid w:val="00BD57E8"/>
    <w:pPr>
      <w:suppressLineNumbers/>
    </w:pPr>
  </w:style>
  <w:style w:type="paragraph" w:customStyle="1" w:styleId="Table">
    <w:name w:val="Table"/>
    <w:basedOn w:val="Caption"/>
    <w:rsid w:val="00BD57E8"/>
  </w:style>
  <w:style w:type="character" w:styleId="CommentReference">
    <w:name w:val="annotation reference"/>
    <w:basedOn w:val="DefaultParagraphFont"/>
    <w:rsid w:val="00BD57E8"/>
    <w:rPr>
      <w:sz w:val="16"/>
      <w:szCs w:val="16"/>
    </w:rPr>
  </w:style>
  <w:style w:type="paragraph" w:styleId="BalloonText">
    <w:name w:val="Balloon Text"/>
    <w:basedOn w:val="Normal"/>
    <w:link w:val="BalloonTextChar"/>
    <w:uiPriority w:val="99"/>
    <w:semiHidden/>
    <w:unhideWhenUsed/>
    <w:rsid w:val="00BD57E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57E8"/>
    <w:rPr>
      <w:rFonts w:ascii="Segoe UI" w:eastAsia="Calibri" w:hAnsi="Segoe UI" w:cs="Segoe UI"/>
      <w:sz w:val="18"/>
      <w:szCs w:val="18"/>
      <w:lang w:val="en-US"/>
    </w:rPr>
  </w:style>
  <w:style w:type="paragraph" w:styleId="CommentSubject">
    <w:name w:val="annotation subject"/>
    <w:basedOn w:val="CommentText"/>
    <w:next w:val="CommentText"/>
    <w:link w:val="CommentSubjectChar"/>
    <w:uiPriority w:val="99"/>
    <w:semiHidden/>
    <w:unhideWhenUsed/>
    <w:rsid w:val="007E574A"/>
    <w:pPr>
      <w:widowControl w:val="0"/>
      <w:spacing w:after="0"/>
    </w:pPr>
    <w:rPr>
      <w:b/>
      <w:bCs/>
    </w:rPr>
  </w:style>
  <w:style w:type="character" w:customStyle="1" w:styleId="CommentSubjectChar">
    <w:name w:val="Comment Subject Char"/>
    <w:basedOn w:val="CommentTextChar"/>
    <w:link w:val="CommentSubject"/>
    <w:uiPriority w:val="99"/>
    <w:semiHidden/>
    <w:rsid w:val="007E574A"/>
    <w:rPr>
      <w:rFonts w:ascii="Calibri" w:eastAsia="Calibri" w:hAnsi="Calibri" w:cs="DejaVu Sans"/>
      <w:b/>
      <w:bCs/>
      <w:sz w:val="20"/>
      <w:szCs w:val="20"/>
      <w:lang w:val="en-US"/>
    </w:rPr>
  </w:style>
  <w:style w:type="table" w:styleId="TableGrid">
    <w:name w:val="Table Grid"/>
    <w:basedOn w:val="TableNormal"/>
    <w:uiPriority w:val="39"/>
    <w:rsid w:val="007958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F2E3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757329">
      <w:bodyDiv w:val="1"/>
      <w:marLeft w:val="0"/>
      <w:marRight w:val="0"/>
      <w:marTop w:val="0"/>
      <w:marBottom w:val="0"/>
      <w:divBdr>
        <w:top w:val="none" w:sz="0" w:space="0" w:color="auto"/>
        <w:left w:val="none" w:sz="0" w:space="0" w:color="auto"/>
        <w:bottom w:val="none" w:sz="0" w:space="0" w:color="auto"/>
        <w:right w:val="none" w:sz="0" w:space="0" w:color="auto"/>
      </w:divBdr>
    </w:div>
    <w:div w:id="1054351378">
      <w:bodyDiv w:val="1"/>
      <w:marLeft w:val="0"/>
      <w:marRight w:val="0"/>
      <w:marTop w:val="0"/>
      <w:marBottom w:val="0"/>
      <w:divBdr>
        <w:top w:val="none" w:sz="0" w:space="0" w:color="auto"/>
        <w:left w:val="none" w:sz="0" w:space="0" w:color="auto"/>
        <w:bottom w:val="none" w:sz="0" w:space="0" w:color="auto"/>
        <w:right w:val="none" w:sz="0" w:space="0" w:color="auto"/>
      </w:divBdr>
    </w:div>
    <w:div w:id="1400591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tif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130A801A775C3469AFF4B007FB27024" ma:contentTypeVersion="12" ma:contentTypeDescription="Een nieuw document maken." ma:contentTypeScope="" ma:versionID="70156ac9fb72eec80de1e79e59e3f4ab">
  <xsd:schema xmlns:xsd="http://www.w3.org/2001/XMLSchema" xmlns:xs="http://www.w3.org/2001/XMLSchema" xmlns:p="http://schemas.microsoft.com/office/2006/metadata/properties" xmlns:ns3="b7319938-06ad-4ac7-8489-f9bb05216ef9" xmlns:ns4="74fec184-c201-4f30-bdd6-5edd4b117197" targetNamespace="http://schemas.microsoft.com/office/2006/metadata/properties" ma:root="true" ma:fieldsID="e71e5d174853111985527cca006018a9" ns3:_="" ns4:_="">
    <xsd:import namespace="b7319938-06ad-4ac7-8489-f9bb05216ef9"/>
    <xsd:import namespace="74fec184-c201-4f30-bdd6-5edd4b11719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319938-06ad-4ac7-8489-f9bb05216ef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4fec184-c201-4f30-bdd6-5edd4b117197"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SharingHintHash" ma:index="19"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6AAF54-ECC4-46F8-B307-D82833A506F9}">
  <ds:schemaRefs>
    <ds:schemaRef ds:uri="http://schemas.openxmlformats.org/officeDocument/2006/bibliography"/>
  </ds:schemaRefs>
</ds:datastoreItem>
</file>

<file path=customXml/itemProps2.xml><?xml version="1.0" encoding="utf-8"?>
<ds:datastoreItem xmlns:ds="http://schemas.openxmlformats.org/officeDocument/2006/customXml" ds:itemID="{72CD70EC-6A66-441F-AD5E-BB19DDAA71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319938-06ad-4ac7-8489-f9bb05216ef9"/>
    <ds:schemaRef ds:uri="74fec184-c201-4f30-bdd6-5edd4b1171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F71858-9EA8-4135-A2A4-6179AEB68EB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B79C4D4-105C-4289-8031-8279E23D83D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18</Pages>
  <Words>24079</Words>
  <Characters>137252</Characters>
  <Application>Microsoft Office Word</Application>
  <DocSecurity>0</DocSecurity>
  <Lines>1143</Lines>
  <Paragraphs>322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Ven, M. van de (BMS)</dc:creator>
  <cp:keywords/>
  <dc:description/>
  <cp:lastModifiedBy>Ven, M. van de (BMS)</cp:lastModifiedBy>
  <cp:revision>45</cp:revision>
  <dcterms:created xsi:type="dcterms:W3CDTF">2021-07-11T13:27:00Z</dcterms:created>
  <dcterms:modified xsi:type="dcterms:W3CDTF">2021-08-09T06:48:00Z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7th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http://www.zotero.org/styles/elsevier-with-titles</vt:lpwstr>
  </property>
  <property fmtid="{D5CDD505-2E9C-101B-9397-08002B2CF9AE}" pid="11" name="Mendeley Recent Style Name 4_1">
    <vt:lpwstr>Elsevier (numeric, with titles)</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283811f7-b9a5-3438-a918-1e7257e95f99</vt:lpwstr>
  </property>
  <property fmtid="{D5CDD505-2E9C-101B-9397-08002B2CF9AE}" pid="24" name="Mendeley Citation Style_1">
    <vt:lpwstr>http://www.zotero.org/styles/vancouver</vt:lpwstr>
  </property>
  <property fmtid="{D5CDD505-2E9C-101B-9397-08002B2CF9AE}" pid="25" name="ContentTypeId">
    <vt:lpwstr>0x010100F130A801A775C3469AFF4B007FB27024</vt:lpwstr>
  </property>
</Properties>
</file>