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60" w:type="dxa"/>
        <w:tblInd w:w="5" w:type="dxa"/>
        <w:tblCellMar>
          <w:left w:w="70" w:type="dxa"/>
          <w:right w:w="70" w:type="dxa"/>
        </w:tblCellMar>
        <w:tblLook w:val="04A0" w:firstRow="1" w:lastRow="0" w:firstColumn="1" w:lastColumn="0" w:noHBand="0" w:noVBand="1"/>
      </w:tblPr>
      <w:tblGrid>
        <w:gridCol w:w="1819"/>
        <w:gridCol w:w="848"/>
        <w:gridCol w:w="875"/>
        <w:gridCol w:w="790"/>
        <w:gridCol w:w="785"/>
        <w:gridCol w:w="877"/>
        <w:gridCol w:w="976"/>
        <w:gridCol w:w="885"/>
        <w:gridCol w:w="932"/>
        <w:gridCol w:w="1073"/>
      </w:tblGrid>
      <w:tr w:rsidR="0073341F" w:rsidRPr="00021F10" w14:paraId="7AB1F410" w14:textId="77777777" w:rsidTr="001D6547">
        <w:trPr>
          <w:trHeight w:val="533"/>
        </w:trPr>
        <w:tc>
          <w:tcPr>
            <w:tcW w:w="9860" w:type="dxa"/>
            <w:gridSpan w:val="10"/>
            <w:tcBorders>
              <w:top w:val="nil"/>
            </w:tcBorders>
            <w:vAlign w:val="center"/>
          </w:tcPr>
          <w:p w14:paraId="2FB070D8" w14:textId="77777777" w:rsidR="001D6547" w:rsidRDefault="0073341F" w:rsidP="0073341F">
            <w:pPr>
              <w:spacing w:after="0" w:line="240" w:lineRule="auto"/>
              <w:jc w:val="both"/>
              <w:rPr>
                <w:rFonts w:ascii="Times New Roman" w:eastAsia="Times New Roman" w:hAnsi="Times New Roman" w:cs="Times New Roman"/>
                <w:b/>
                <w:sz w:val="20"/>
                <w:szCs w:val="20"/>
                <w:lang w:val="en-GB" w:eastAsia="it-IT"/>
              </w:rPr>
            </w:pPr>
            <w:r>
              <w:rPr>
                <w:rFonts w:ascii="Times New Roman" w:eastAsia="Times New Roman" w:hAnsi="Times New Roman" w:cs="Times New Roman"/>
                <w:b/>
                <w:sz w:val="20"/>
                <w:szCs w:val="20"/>
                <w:lang w:val="en-GB" w:eastAsia="it-IT"/>
              </w:rPr>
              <w:t>A</w:t>
            </w:r>
            <w:r w:rsidR="00E344DE">
              <w:rPr>
                <w:rFonts w:ascii="Times New Roman" w:eastAsia="Times New Roman" w:hAnsi="Times New Roman" w:cs="Times New Roman"/>
                <w:b/>
                <w:sz w:val="20"/>
                <w:szCs w:val="20"/>
                <w:lang w:val="en-GB" w:eastAsia="it-IT"/>
              </w:rPr>
              <w:t xml:space="preserve">DDITIONAL FILE </w:t>
            </w:r>
            <w:r w:rsidR="006F1E02">
              <w:rPr>
                <w:rFonts w:ascii="Times New Roman" w:eastAsia="Times New Roman" w:hAnsi="Times New Roman" w:cs="Times New Roman"/>
                <w:b/>
                <w:sz w:val="20"/>
                <w:szCs w:val="20"/>
                <w:lang w:val="en-GB" w:eastAsia="it-IT"/>
              </w:rPr>
              <w:t>2</w:t>
            </w:r>
            <w:r w:rsidRPr="0073341F">
              <w:rPr>
                <w:rFonts w:ascii="Times New Roman" w:eastAsia="Times New Roman" w:hAnsi="Times New Roman" w:cs="Times New Roman"/>
                <w:b/>
                <w:sz w:val="20"/>
                <w:szCs w:val="20"/>
                <w:lang w:val="en-GB" w:eastAsia="it-IT"/>
              </w:rPr>
              <w:t xml:space="preserve">. </w:t>
            </w:r>
          </w:p>
          <w:p w14:paraId="419456F8" w14:textId="77777777" w:rsidR="001D6547" w:rsidRDefault="001D6547" w:rsidP="0073341F">
            <w:pPr>
              <w:spacing w:after="0" w:line="240" w:lineRule="auto"/>
              <w:jc w:val="both"/>
              <w:rPr>
                <w:rFonts w:ascii="Times New Roman" w:eastAsia="Times New Roman" w:hAnsi="Times New Roman" w:cs="Times New Roman"/>
                <w:b/>
                <w:sz w:val="20"/>
                <w:szCs w:val="20"/>
                <w:lang w:val="en-GB" w:eastAsia="it-IT"/>
              </w:rPr>
            </w:pPr>
          </w:p>
          <w:p w14:paraId="70484755" w14:textId="77777777" w:rsidR="001D6547" w:rsidRDefault="001D6547" w:rsidP="0073341F">
            <w:pPr>
              <w:spacing w:after="0" w:line="240" w:lineRule="auto"/>
              <w:jc w:val="both"/>
              <w:rPr>
                <w:rFonts w:ascii="Times New Roman" w:eastAsia="Times New Roman" w:hAnsi="Times New Roman" w:cs="Times New Roman"/>
                <w:b/>
                <w:sz w:val="20"/>
                <w:szCs w:val="20"/>
                <w:lang w:val="en-GB" w:eastAsia="it-IT"/>
              </w:rPr>
            </w:pPr>
          </w:p>
          <w:p w14:paraId="08F8E799" w14:textId="1D06F9F8" w:rsidR="0073341F" w:rsidRDefault="0073341F" w:rsidP="0073341F">
            <w:pPr>
              <w:spacing w:after="0" w:line="240" w:lineRule="auto"/>
              <w:jc w:val="both"/>
              <w:rPr>
                <w:rFonts w:ascii="Times New Roman" w:eastAsia="Times New Roman" w:hAnsi="Times New Roman" w:cs="Times New Roman"/>
                <w:bCs/>
                <w:sz w:val="20"/>
                <w:szCs w:val="20"/>
                <w:lang w:val="en-GB" w:eastAsia="it-IT"/>
              </w:rPr>
            </w:pPr>
            <w:r w:rsidRPr="0073341F">
              <w:rPr>
                <w:rFonts w:ascii="Times New Roman" w:eastAsia="Times New Roman" w:hAnsi="Times New Roman" w:cs="Times New Roman"/>
                <w:bCs/>
                <w:sz w:val="20"/>
                <w:szCs w:val="20"/>
                <w:lang w:val="en-GB" w:eastAsia="it-IT"/>
              </w:rPr>
              <w:t>Description of piloting</w:t>
            </w:r>
            <w:r w:rsidRPr="0073341F">
              <w:rPr>
                <w:rFonts w:ascii="Times New Roman" w:eastAsia="Times New Roman" w:hAnsi="Times New Roman" w:cs="Times New Roman"/>
                <w:b/>
                <w:sz w:val="20"/>
                <w:szCs w:val="20"/>
                <w:lang w:val="en-GB" w:eastAsia="it-IT"/>
              </w:rPr>
              <w:t xml:space="preserve"> </w:t>
            </w:r>
            <w:r w:rsidRPr="0073341F">
              <w:rPr>
                <w:rFonts w:ascii="Times New Roman" w:eastAsia="Times New Roman" w:hAnsi="Times New Roman" w:cs="Times New Roman"/>
                <w:bCs/>
                <w:sz w:val="20"/>
                <w:szCs w:val="20"/>
                <w:lang w:val="en-GB" w:eastAsia="it-IT"/>
              </w:rPr>
              <w:t xml:space="preserve">guideline evaluations </w:t>
            </w:r>
          </w:p>
          <w:p w14:paraId="4C9E9474" w14:textId="05221E81" w:rsidR="002D768E" w:rsidRPr="0073341F" w:rsidRDefault="002D768E" w:rsidP="0073341F">
            <w:pPr>
              <w:spacing w:after="0" w:line="240" w:lineRule="auto"/>
              <w:jc w:val="both"/>
              <w:rPr>
                <w:rFonts w:ascii="Times New Roman" w:eastAsia="Times New Roman" w:hAnsi="Times New Roman" w:cs="Times New Roman"/>
                <w:b/>
                <w:sz w:val="20"/>
                <w:szCs w:val="20"/>
                <w:lang w:val="en-GB" w:eastAsia="it-IT"/>
              </w:rPr>
            </w:pPr>
          </w:p>
        </w:tc>
      </w:tr>
      <w:tr w:rsidR="0073341F" w:rsidRPr="0073341F" w14:paraId="15314E44" w14:textId="77777777" w:rsidTr="008E63C8">
        <w:trPr>
          <w:trHeight w:val="533"/>
        </w:trPr>
        <w:tc>
          <w:tcPr>
            <w:tcW w:w="1819" w:type="dxa"/>
            <w:vMerge w:val="restart"/>
            <w:tcBorders>
              <w:top w:val="single" w:sz="4" w:space="0" w:color="auto"/>
              <w:left w:val="single" w:sz="4" w:space="0" w:color="auto"/>
              <w:right w:val="single" w:sz="4" w:space="0" w:color="auto"/>
            </w:tcBorders>
            <w:vAlign w:val="center"/>
          </w:tcPr>
          <w:p w14:paraId="17ED066C" w14:textId="77777777" w:rsidR="0073341F" w:rsidRPr="0073341F" w:rsidRDefault="0073341F" w:rsidP="0073341F">
            <w:pPr>
              <w:spacing w:after="0" w:line="240" w:lineRule="auto"/>
              <w:rPr>
                <w:rFonts w:ascii="Times New Roman" w:eastAsia="Times New Roman" w:hAnsi="Times New Roman" w:cs="Times New Roman"/>
                <w:b/>
                <w:sz w:val="16"/>
                <w:szCs w:val="16"/>
                <w:lang w:val="en-GB" w:eastAsia="it-IT"/>
              </w:rPr>
            </w:pPr>
            <w:r w:rsidRPr="0073341F">
              <w:rPr>
                <w:rFonts w:ascii="Times New Roman" w:eastAsia="Times New Roman" w:hAnsi="Times New Roman" w:cs="Times New Roman"/>
                <w:b/>
                <w:sz w:val="16"/>
                <w:szCs w:val="16"/>
                <w:lang w:val="en-GB" w:eastAsia="it-IT"/>
              </w:rPr>
              <w:t xml:space="preserve">Guideline reference </w:t>
            </w:r>
          </w:p>
        </w:tc>
        <w:tc>
          <w:tcPr>
            <w:tcW w:w="4175" w:type="dxa"/>
            <w:gridSpan w:val="5"/>
            <w:tcBorders>
              <w:top w:val="single" w:sz="4" w:space="0" w:color="auto"/>
              <w:left w:val="nil"/>
              <w:bottom w:val="single" w:sz="4" w:space="0" w:color="auto"/>
              <w:right w:val="single" w:sz="4" w:space="0" w:color="auto"/>
            </w:tcBorders>
            <w:vAlign w:val="center"/>
          </w:tcPr>
          <w:p w14:paraId="7B1C1367" w14:textId="77777777" w:rsidR="0073341F" w:rsidRPr="0073341F" w:rsidRDefault="0073341F" w:rsidP="0073341F">
            <w:pPr>
              <w:spacing w:after="0" w:line="240" w:lineRule="auto"/>
              <w:jc w:val="center"/>
              <w:rPr>
                <w:rFonts w:ascii="Times New Roman" w:eastAsia="Times New Roman" w:hAnsi="Times New Roman" w:cs="Times New Roman"/>
                <w:b/>
                <w:sz w:val="16"/>
                <w:szCs w:val="16"/>
                <w:lang w:val="en-GB" w:eastAsia="it-IT"/>
              </w:rPr>
            </w:pPr>
            <w:r w:rsidRPr="0073341F">
              <w:rPr>
                <w:rFonts w:ascii="Times New Roman" w:eastAsia="Times New Roman" w:hAnsi="Times New Roman" w:cs="Times New Roman"/>
                <w:b/>
                <w:sz w:val="16"/>
                <w:szCs w:val="16"/>
                <w:lang w:val="en-GB" w:eastAsia="it-IT"/>
              </w:rPr>
              <w:t>Preliminary conditions</w:t>
            </w:r>
          </w:p>
          <w:p w14:paraId="7F216321" w14:textId="77777777" w:rsidR="0073341F" w:rsidRPr="0073341F" w:rsidRDefault="0073341F" w:rsidP="0073341F">
            <w:pPr>
              <w:spacing w:after="0" w:line="240" w:lineRule="auto"/>
              <w:jc w:val="center"/>
              <w:rPr>
                <w:rFonts w:ascii="Times New Roman" w:eastAsia="Times New Roman" w:hAnsi="Times New Roman" w:cs="Times New Roman"/>
                <w:b/>
                <w:sz w:val="16"/>
                <w:szCs w:val="16"/>
                <w:lang w:val="en-GB" w:eastAsia="it-IT"/>
              </w:rPr>
            </w:pPr>
          </w:p>
        </w:tc>
        <w:tc>
          <w:tcPr>
            <w:tcW w:w="976" w:type="dxa"/>
            <w:tcBorders>
              <w:top w:val="single" w:sz="4" w:space="0" w:color="auto"/>
              <w:left w:val="nil"/>
              <w:bottom w:val="single" w:sz="4" w:space="0" w:color="auto"/>
              <w:right w:val="single" w:sz="4" w:space="0" w:color="auto"/>
            </w:tcBorders>
            <w:vAlign w:val="center"/>
          </w:tcPr>
          <w:p w14:paraId="3EE4EDFD" w14:textId="77777777" w:rsidR="0073341F" w:rsidRPr="0073341F" w:rsidRDefault="0073341F" w:rsidP="0073341F">
            <w:pPr>
              <w:spacing w:after="0" w:line="240" w:lineRule="auto"/>
              <w:jc w:val="center"/>
              <w:rPr>
                <w:rFonts w:ascii="Times New Roman" w:eastAsia="Times New Roman" w:hAnsi="Times New Roman" w:cs="Times New Roman"/>
                <w:b/>
                <w:sz w:val="16"/>
                <w:szCs w:val="16"/>
                <w:lang w:val="en-GB" w:eastAsia="it-IT"/>
              </w:rPr>
            </w:pPr>
            <w:r w:rsidRPr="0073341F">
              <w:rPr>
                <w:rFonts w:ascii="Times New Roman" w:eastAsia="Times New Roman" w:hAnsi="Times New Roman" w:cs="Times New Roman"/>
                <w:b/>
                <w:sz w:val="16"/>
                <w:szCs w:val="16"/>
                <w:lang w:val="en-GB" w:eastAsia="it-IT"/>
              </w:rPr>
              <w:t>Dimension 1</w:t>
            </w:r>
          </w:p>
        </w:tc>
        <w:tc>
          <w:tcPr>
            <w:tcW w:w="885" w:type="dxa"/>
            <w:tcBorders>
              <w:top w:val="single" w:sz="4" w:space="0" w:color="auto"/>
              <w:left w:val="nil"/>
              <w:bottom w:val="single" w:sz="4" w:space="0" w:color="auto"/>
              <w:right w:val="single" w:sz="4" w:space="0" w:color="auto"/>
            </w:tcBorders>
            <w:vAlign w:val="center"/>
          </w:tcPr>
          <w:p w14:paraId="6F8AC645" w14:textId="77777777" w:rsidR="0073341F" w:rsidRPr="0073341F" w:rsidRDefault="0073341F" w:rsidP="0073341F">
            <w:pPr>
              <w:spacing w:after="0" w:line="240" w:lineRule="auto"/>
              <w:jc w:val="center"/>
              <w:rPr>
                <w:rFonts w:ascii="Times New Roman" w:eastAsia="Times New Roman" w:hAnsi="Times New Roman" w:cs="Times New Roman"/>
                <w:b/>
                <w:sz w:val="16"/>
                <w:szCs w:val="16"/>
                <w:lang w:val="en-GB" w:eastAsia="it-IT"/>
              </w:rPr>
            </w:pPr>
            <w:r w:rsidRPr="0073341F">
              <w:rPr>
                <w:rFonts w:ascii="Times New Roman" w:eastAsia="Times New Roman" w:hAnsi="Times New Roman" w:cs="Times New Roman"/>
                <w:b/>
                <w:sz w:val="16"/>
                <w:szCs w:val="16"/>
                <w:lang w:val="en-GB" w:eastAsia="it-IT"/>
              </w:rPr>
              <w:t>Dimension 2</w:t>
            </w:r>
          </w:p>
        </w:tc>
        <w:tc>
          <w:tcPr>
            <w:tcW w:w="932" w:type="dxa"/>
            <w:tcBorders>
              <w:top w:val="single" w:sz="4" w:space="0" w:color="auto"/>
              <w:left w:val="nil"/>
              <w:bottom w:val="single" w:sz="4" w:space="0" w:color="auto"/>
              <w:right w:val="single" w:sz="4" w:space="0" w:color="auto"/>
            </w:tcBorders>
            <w:vAlign w:val="center"/>
          </w:tcPr>
          <w:p w14:paraId="39E52A38" w14:textId="77777777" w:rsidR="0073341F" w:rsidRPr="0073341F" w:rsidRDefault="0073341F" w:rsidP="0073341F">
            <w:pPr>
              <w:spacing w:after="0" w:line="240" w:lineRule="auto"/>
              <w:jc w:val="center"/>
              <w:rPr>
                <w:rFonts w:ascii="Times New Roman" w:eastAsia="Times New Roman" w:hAnsi="Times New Roman" w:cs="Times New Roman"/>
                <w:b/>
                <w:sz w:val="16"/>
                <w:szCs w:val="16"/>
                <w:lang w:val="en-GB" w:eastAsia="it-IT"/>
              </w:rPr>
            </w:pPr>
            <w:r w:rsidRPr="0073341F">
              <w:rPr>
                <w:rFonts w:ascii="Times New Roman" w:eastAsia="Times New Roman" w:hAnsi="Times New Roman" w:cs="Times New Roman"/>
                <w:b/>
                <w:sz w:val="16"/>
                <w:szCs w:val="16"/>
                <w:lang w:val="en-GB" w:eastAsia="it-IT"/>
              </w:rPr>
              <w:t>Dimension 3</w:t>
            </w:r>
          </w:p>
        </w:tc>
        <w:tc>
          <w:tcPr>
            <w:tcW w:w="1073" w:type="dxa"/>
            <w:tcBorders>
              <w:top w:val="single" w:sz="4" w:space="0" w:color="auto"/>
              <w:left w:val="nil"/>
              <w:bottom w:val="single" w:sz="4" w:space="0" w:color="auto"/>
              <w:right w:val="single" w:sz="4" w:space="0" w:color="auto"/>
            </w:tcBorders>
          </w:tcPr>
          <w:p w14:paraId="27918894" w14:textId="77777777" w:rsidR="0073341F" w:rsidRPr="0073341F" w:rsidRDefault="0073341F" w:rsidP="0073341F">
            <w:pPr>
              <w:spacing w:after="0" w:line="240" w:lineRule="auto"/>
              <w:jc w:val="center"/>
              <w:rPr>
                <w:rFonts w:ascii="Times New Roman" w:eastAsia="Times New Roman" w:hAnsi="Times New Roman" w:cs="Times New Roman"/>
                <w:b/>
                <w:sz w:val="16"/>
                <w:szCs w:val="16"/>
                <w:lang w:val="en-GB" w:eastAsia="it-IT"/>
              </w:rPr>
            </w:pPr>
          </w:p>
        </w:tc>
      </w:tr>
      <w:tr w:rsidR="00C050CF" w:rsidRPr="0073341F" w14:paraId="23747098" w14:textId="77777777" w:rsidTr="008E63C8">
        <w:trPr>
          <w:trHeight w:val="900"/>
        </w:trPr>
        <w:tc>
          <w:tcPr>
            <w:tcW w:w="1819" w:type="dxa"/>
            <w:vMerge/>
            <w:tcBorders>
              <w:left w:val="single" w:sz="4" w:space="0" w:color="auto"/>
              <w:bottom w:val="single" w:sz="4" w:space="0" w:color="auto"/>
              <w:right w:val="single" w:sz="4" w:space="0" w:color="auto"/>
            </w:tcBorders>
            <w:vAlign w:val="center"/>
          </w:tcPr>
          <w:p w14:paraId="1F943888"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p>
        </w:tc>
        <w:tc>
          <w:tcPr>
            <w:tcW w:w="848" w:type="dxa"/>
            <w:tcBorders>
              <w:top w:val="single" w:sz="4" w:space="0" w:color="auto"/>
              <w:left w:val="nil"/>
              <w:bottom w:val="single" w:sz="4" w:space="0" w:color="auto"/>
              <w:right w:val="single" w:sz="4" w:space="0" w:color="auto"/>
            </w:tcBorders>
            <w:vAlign w:val="center"/>
          </w:tcPr>
          <w:p w14:paraId="14498B3B" w14:textId="77777777" w:rsidR="0073341F" w:rsidRPr="0073341F" w:rsidRDefault="0073341F" w:rsidP="0073341F">
            <w:pPr>
              <w:spacing w:after="0" w:line="240" w:lineRule="auto"/>
              <w:rPr>
                <w:rFonts w:ascii="Times New Roman" w:eastAsia="Times New Roman" w:hAnsi="Times New Roman" w:cs="Times New Roman"/>
                <w:bCs/>
                <w:sz w:val="16"/>
                <w:szCs w:val="16"/>
                <w:lang w:val="en-GB" w:eastAsia="it-IT"/>
              </w:rPr>
            </w:pPr>
            <w:r w:rsidRPr="0073341F">
              <w:rPr>
                <w:rFonts w:ascii="Times New Roman" w:eastAsia="Times New Roman" w:hAnsi="Times New Roman" w:cs="Times New Roman"/>
                <w:bCs/>
                <w:sz w:val="16"/>
                <w:szCs w:val="16"/>
                <w:lang w:val="en-GB" w:eastAsia="it-IT"/>
              </w:rPr>
              <w:t xml:space="preserve">Financial COI disclosure </w:t>
            </w:r>
          </w:p>
        </w:tc>
        <w:tc>
          <w:tcPr>
            <w:tcW w:w="875" w:type="dxa"/>
            <w:tcBorders>
              <w:top w:val="single" w:sz="4" w:space="0" w:color="auto"/>
              <w:left w:val="nil"/>
              <w:bottom w:val="single" w:sz="4" w:space="0" w:color="auto"/>
              <w:right w:val="single" w:sz="4" w:space="0" w:color="auto"/>
            </w:tcBorders>
            <w:vAlign w:val="center"/>
          </w:tcPr>
          <w:p w14:paraId="646F1765" w14:textId="77777777" w:rsidR="0073341F" w:rsidRPr="0073341F" w:rsidRDefault="0073341F" w:rsidP="0073341F">
            <w:pPr>
              <w:spacing w:after="0" w:line="240" w:lineRule="auto"/>
              <w:rPr>
                <w:rFonts w:ascii="Times New Roman" w:eastAsia="Times New Roman" w:hAnsi="Times New Roman" w:cs="Times New Roman"/>
                <w:bCs/>
                <w:sz w:val="16"/>
                <w:szCs w:val="16"/>
                <w:lang w:val="en-GB" w:eastAsia="it-IT"/>
              </w:rPr>
            </w:pPr>
            <w:r w:rsidRPr="0073341F">
              <w:rPr>
                <w:rFonts w:ascii="Times New Roman" w:eastAsia="Times New Roman" w:hAnsi="Times New Roman" w:cs="Times New Roman"/>
                <w:bCs/>
                <w:sz w:val="16"/>
                <w:szCs w:val="16"/>
                <w:lang w:val="en-GB" w:eastAsia="it-IT"/>
              </w:rPr>
              <w:t xml:space="preserve"> Systematic review strategy</w:t>
            </w:r>
          </w:p>
        </w:tc>
        <w:tc>
          <w:tcPr>
            <w:tcW w:w="790" w:type="dxa"/>
            <w:tcBorders>
              <w:top w:val="single" w:sz="4" w:space="0" w:color="auto"/>
              <w:left w:val="nil"/>
              <w:bottom w:val="single" w:sz="4" w:space="0" w:color="auto"/>
              <w:right w:val="single" w:sz="4" w:space="0" w:color="auto"/>
            </w:tcBorders>
            <w:vAlign w:val="center"/>
          </w:tcPr>
          <w:p w14:paraId="14E16A0A" w14:textId="77777777" w:rsidR="0073341F" w:rsidRPr="0073341F" w:rsidRDefault="0073341F" w:rsidP="0073341F">
            <w:pPr>
              <w:spacing w:after="0" w:line="240" w:lineRule="auto"/>
              <w:rPr>
                <w:rFonts w:ascii="Times New Roman" w:eastAsia="Times New Roman" w:hAnsi="Times New Roman" w:cs="Times New Roman"/>
                <w:bCs/>
                <w:sz w:val="16"/>
                <w:szCs w:val="16"/>
                <w:lang w:val="en-GB" w:eastAsia="it-IT"/>
              </w:rPr>
            </w:pPr>
            <w:r w:rsidRPr="0073341F">
              <w:rPr>
                <w:rFonts w:ascii="Times New Roman" w:eastAsia="Times New Roman" w:hAnsi="Times New Roman" w:cs="Times New Roman"/>
                <w:bCs/>
                <w:sz w:val="16"/>
                <w:szCs w:val="16"/>
                <w:lang w:val="en-GB" w:eastAsia="it-IT"/>
              </w:rPr>
              <w:t>Panelists’</w:t>
            </w:r>
          </w:p>
          <w:p w14:paraId="26ADCE23" w14:textId="77777777" w:rsidR="0073341F" w:rsidRPr="0073341F" w:rsidRDefault="0073341F" w:rsidP="0073341F">
            <w:pPr>
              <w:spacing w:after="0" w:line="240" w:lineRule="auto"/>
              <w:rPr>
                <w:rFonts w:ascii="Times New Roman" w:eastAsia="Times New Roman" w:hAnsi="Times New Roman" w:cs="Times New Roman"/>
                <w:bCs/>
                <w:sz w:val="16"/>
                <w:szCs w:val="16"/>
                <w:lang w:val="en-GB" w:eastAsia="it-IT"/>
              </w:rPr>
            </w:pPr>
            <w:r w:rsidRPr="0073341F">
              <w:rPr>
                <w:rFonts w:ascii="Times New Roman" w:eastAsia="Times New Roman" w:hAnsi="Times New Roman" w:cs="Times New Roman"/>
                <w:bCs/>
                <w:sz w:val="16"/>
                <w:szCs w:val="16"/>
                <w:lang w:val="en-GB" w:eastAsia="it-IT"/>
              </w:rPr>
              <w:t>profile</w:t>
            </w:r>
          </w:p>
        </w:tc>
        <w:tc>
          <w:tcPr>
            <w:tcW w:w="785" w:type="dxa"/>
            <w:tcBorders>
              <w:top w:val="single" w:sz="4" w:space="0" w:color="auto"/>
              <w:left w:val="nil"/>
              <w:bottom w:val="single" w:sz="4" w:space="0" w:color="auto"/>
              <w:right w:val="single" w:sz="4" w:space="0" w:color="auto"/>
            </w:tcBorders>
            <w:vAlign w:val="center"/>
          </w:tcPr>
          <w:p w14:paraId="74C9D9A5" w14:textId="77777777" w:rsidR="0073341F" w:rsidRPr="0073341F" w:rsidRDefault="0073341F" w:rsidP="0073341F">
            <w:pPr>
              <w:spacing w:after="0" w:line="240" w:lineRule="auto"/>
              <w:jc w:val="center"/>
              <w:rPr>
                <w:rFonts w:ascii="Times New Roman" w:eastAsia="Times New Roman" w:hAnsi="Times New Roman" w:cs="Times New Roman"/>
                <w:bCs/>
                <w:sz w:val="16"/>
                <w:szCs w:val="16"/>
                <w:lang w:val="en-GB" w:eastAsia="it-IT"/>
              </w:rPr>
            </w:pPr>
            <w:r w:rsidRPr="0073341F">
              <w:rPr>
                <w:rFonts w:ascii="Times New Roman" w:eastAsia="Times New Roman" w:hAnsi="Times New Roman" w:cs="Times New Roman"/>
                <w:bCs/>
                <w:sz w:val="16"/>
                <w:szCs w:val="16"/>
                <w:lang w:val="en-GB" w:eastAsia="it-IT"/>
              </w:rPr>
              <w:t>External review</w:t>
            </w:r>
          </w:p>
        </w:tc>
        <w:tc>
          <w:tcPr>
            <w:tcW w:w="877" w:type="dxa"/>
            <w:tcBorders>
              <w:top w:val="single" w:sz="4" w:space="0" w:color="auto"/>
              <w:left w:val="nil"/>
              <w:bottom w:val="single" w:sz="4" w:space="0" w:color="auto"/>
              <w:right w:val="single" w:sz="4" w:space="0" w:color="auto"/>
            </w:tcBorders>
            <w:vAlign w:val="center"/>
          </w:tcPr>
          <w:p w14:paraId="7EAF9356" w14:textId="77777777" w:rsidR="0073341F" w:rsidRPr="0073341F" w:rsidRDefault="0073341F" w:rsidP="0073341F">
            <w:pPr>
              <w:spacing w:after="0" w:line="240" w:lineRule="auto"/>
              <w:jc w:val="center"/>
              <w:rPr>
                <w:rFonts w:ascii="Times New Roman" w:eastAsia="Times New Roman" w:hAnsi="Times New Roman" w:cs="Times New Roman"/>
                <w:bCs/>
                <w:i/>
                <w:iCs/>
                <w:sz w:val="16"/>
                <w:szCs w:val="16"/>
                <w:lang w:val="en-GB" w:eastAsia="it-IT"/>
              </w:rPr>
            </w:pPr>
            <w:r w:rsidRPr="0073341F">
              <w:rPr>
                <w:rFonts w:ascii="Times New Roman" w:eastAsia="Times New Roman" w:hAnsi="Times New Roman" w:cs="Times New Roman"/>
                <w:bCs/>
                <w:i/>
                <w:iCs/>
                <w:sz w:val="16"/>
                <w:szCs w:val="16"/>
                <w:lang w:val="en-GB" w:eastAsia="it-IT"/>
              </w:rPr>
              <w:t>Final Evaluation</w:t>
            </w:r>
          </w:p>
        </w:tc>
        <w:tc>
          <w:tcPr>
            <w:tcW w:w="976" w:type="dxa"/>
            <w:tcBorders>
              <w:top w:val="single" w:sz="4" w:space="0" w:color="auto"/>
              <w:left w:val="nil"/>
              <w:bottom w:val="single" w:sz="4" w:space="0" w:color="auto"/>
              <w:right w:val="single" w:sz="4" w:space="0" w:color="auto"/>
            </w:tcBorders>
            <w:vAlign w:val="center"/>
          </w:tcPr>
          <w:p w14:paraId="30B448F2" w14:textId="77777777" w:rsidR="0073341F" w:rsidRPr="0073341F" w:rsidRDefault="0073341F" w:rsidP="0073341F">
            <w:pPr>
              <w:spacing w:after="0" w:line="240" w:lineRule="auto"/>
              <w:jc w:val="center"/>
              <w:rPr>
                <w:rFonts w:ascii="Times New Roman" w:eastAsia="Times New Roman" w:hAnsi="Times New Roman" w:cs="Times New Roman"/>
                <w:bCs/>
                <w:sz w:val="16"/>
                <w:szCs w:val="16"/>
                <w:lang w:val="en-GB" w:eastAsia="it-IT"/>
              </w:rPr>
            </w:pPr>
            <w:r w:rsidRPr="0073341F">
              <w:rPr>
                <w:rFonts w:ascii="Times New Roman" w:eastAsia="Times New Roman" w:hAnsi="Times New Roman" w:cs="Times New Roman"/>
                <w:bCs/>
                <w:sz w:val="16"/>
                <w:szCs w:val="16"/>
                <w:lang w:val="en-GB" w:eastAsia="it-IT"/>
              </w:rPr>
              <w:t>Management of COI</w:t>
            </w:r>
          </w:p>
        </w:tc>
        <w:tc>
          <w:tcPr>
            <w:tcW w:w="885" w:type="dxa"/>
            <w:tcBorders>
              <w:top w:val="single" w:sz="4" w:space="0" w:color="auto"/>
              <w:left w:val="nil"/>
              <w:bottom w:val="single" w:sz="4" w:space="0" w:color="auto"/>
              <w:right w:val="single" w:sz="4" w:space="0" w:color="auto"/>
            </w:tcBorders>
            <w:vAlign w:val="center"/>
          </w:tcPr>
          <w:p w14:paraId="0F5F4BC0" w14:textId="77777777" w:rsidR="0073341F" w:rsidRPr="0073341F" w:rsidRDefault="0073341F" w:rsidP="0073341F">
            <w:pPr>
              <w:spacing w:after="0" w:line="240" w:lineRule="auto"/>
              <w:jc w:val="center"/>
              <w:rPr>
                <w:rFonts w:ascii="Times New Roman" w:eastAsia="Times New Roman" w:hAnsi="Times New Roman" w:cs="Times New Roman"/>
                <w:bCs/>
                <w:sz w:val="16"/>
                <w:szCs w:val="16"/>
                <w:lang w:val="en-GB" w:eastAsia="it-IT"/>
              </w:rPr>
            </w:pPr>
            <w:r w:rsidRPr="0073341F">
              <w:rPr>
                <w:rFonts w:ascii="Times New Roman" w:eastAsia="Times New Roman" w:hAnsi="Times New Roman" w:cs="Times New Roman"/>
                <w:bCs/>
                <w:sz w:val="16"/>
                <w:szCs w:val="16"/>
                <w:lang w:val="en-GB" w:eastAsia="it-IT"/>
              </w:rPr>
              <w:t>Quality of evidence</w:t>
            </w:r>
          </w:p>
        </w:tc>
        <w:tc>
          <w:tcPr>
            <w:tcW w:w="932" w:type="dxa"/>
            <w:tcBorders>
              <w:top w:val="single" w:sz="4" w:space="0" w:color="auto"/>
              <w:left w:val="nil"/>
              <w:bottom w:val="single" w:sz="4" w:space="0" w:color="auto"/>
              <w:right w:val="single" w:sz="4" w:space="0" w:color="auto"/>
            </w:tcBorders>
            <w:vAlign w:val="center"/>
          </w:tcPr>
          <w:p w14:paraId="55E9C470" w14:textId="77777777" w:rsidR="0073341F" w:rsidRPr="0073341F" w:rsidRDefault="0073341F" w:rsidP="0073341F">
            <w:pPr>
              <w:spacing w:after="0" w:line="240" w:lineRule="auto"/>
              <w:jc w:val="center"/>
              <w:rPr>
                <w:rFonts w:ascii="Times New Roman" w:eastAsia="Times New Roman" w:hAnsi="Times New Roman" w:cs="Times New Roman"/>
                <w:bCs/>
                <w:sz w:val="16"/>
                <w:szCs w:val="16"/>
                <w:lang w:val="en-GB" w:eastAsia="it-IT"/>
              </w:rPr>
            </w:pPr>
            <w:r w:rsidRPr="0073341F">
              <w:rPr>
                <w:rFonts w:ascii="Times New Roman" w:eastAsia="Times New Roman" w:hAnsi="Times New Roman" w:cs="Times New Roman"/>
                <w:bCs/>
                <w:sz w:val="16"/>
                <w:szCs w:val="16"/>
                <w:lang w:val="en-GB" w:eastAsia="it-IT"/>
              </w:rPr>
              <w:t>Panel composition</w:t>
            </w:r>
          </w:p>
        </w:tc>
        <w:tc>
          <w:tcPr>
            <w:tcW w:w="1073" w:type="dxa"/>
            <w:tcBorders>
              <w:top w:val="single" w:sz="4" w:space="0" w:color="auto"/>
              <w:left w:val="nil"/>
              <w:bottom w:val="single" w:sz="4" w:space="0" w:color="auto"/>
              <w:right w:val="single" w:sz="4" w:space="0" w:color="auto"/>
            </w:tcBorders>
            <w:vAlign w:val="center"/>
          </w:tcPr>
          <w:p w14:paraId="0421E5AA" w14:textId="77777777" w:rsidR="0073341F" w:rsidRPr="0073341F" w:rsidRDefault="0073341F" w:rsidP="0073341F">
            <w:pPr>
              <w:spacing w:after="0" w:line="240" w:lineRule="auto"/>
              <w:jc w:val="center"/>
              <w:rPr>
                <w:rFonts w:ascii="Times New Roman" w:eastAsia="Times New Roman" w:hAnsi="Times New Roman" w:cs="Times New Roman"/>
                <w:bCs/>
                <w:i/>
                <w:iCs/>
                <w:sz w:val="16"/>
                <w:szCs w:val="16"/>
                <w:lang w:val="en-GB" w:eastAsia="it-IT"/>
              </w:rPr>
            </w:pPr>
            <w:r w:rsidRPr="0073341F">
              <w:rPr>
                <w:rFonts w:ascii="Times New Roman" w:eastAsia="Times New Roman" w:hAnsi="Times New Roman" w:cs="Times New Roman"/>
                <w:bCs/>
                <w:i/>
                <w:iCs/>
                <w:sz w:val="16"/>
                <w:szCs w:val="16"/>
                <w:lang w:val="en-GB" w:eastAsia="it-IT"/>
              </w:rPr>
              <w:t>Recommended adaptation</w:t>
            </w:r>
          </w:p>
        </w:tc>
      </w:tr>
      <w:tr w:rsidR="00C050CF" w:rsidRPr="0073341F" w14:paraId="418094A0" w14:textId="77777777" w:rsidTr="000D66C0">
        <w:trPr>
          <w:cantSplit/>
          <w:trHeight w:val="2664"/>
        </w:trPr>
        <w:tc>
          <w:tcPr>
            <w:tcW w:w="1819" w:type="dxa"/>
            <w:tcBorders>
              <w:top w:val="single" w:sz="4" w:space="0" w:color="auto"/>
              <w:left w:val="single" w:sz="4" w:space="0" w:color="auto"/>
              <w:bottom w:val="single" w:sz="4" w:space="0" w:color="auto"/>
              <w:right w:val="single" w:sz="4" w:space="0" w:color="auto"/>
            </w:tcBorders>
          </w:tcPr>
          <w:p w14:paraId="451035C9" w14:textId="61CBF678" w:rsidR="0073341F" w:rsidRPr="0073341F" w:rsidRDefault="0036759F" w:rsidP="00AA7A2C">
            <w:pPr>
              <w:rPr>
                <w:rFonts w:ascii="Times New Roman" w:eastAsia="Calibri" w:hAnsi="Times New Roman" w:cs="Times New Roman"/>
                <w:sz w:val="16"/>
                <w:szCs w:val="16"/>
                <w:lang w:val="en-GB"/>
              </w:rPr>
            </w:pPr>
            <w:r w:rsidRPr="0036759F">
              <w:rPr>
                <w:rFonts w:ascii="Times New Roman" w:eastAsia="Calibri" w:hAnsi="Times New Roman" w:cs="Times New Roman"/>
                <w:sz w:val="16"/>
                <w:szCs w:val="16"/>
                <w:lang w:val="en-GB"/>
              </w:rPr>
              <w:t>Belyaev I, Dean A, Eger H, Hubmann G, Jandrisovits R, Kern M, Kundi M, Moshammer H, Lercher P, Müller K et al: EUROPAEM EMF Guideline 2016 for the prevention, diagnosis and treatment of EMF-related health problems and illnesses. Reviews on environmental health 2016, 31(3):363-397.</w:t>
            </w:r>
          </w:p>
        </w:tc>
        <w:tc>
          <w:tcPr>
            <w:tcW w:w="848" w:type="dxa"/>
            <w:tcBorders>
              <w:top w:val="single" w:sz="4" w:space="0" w:color="auto"/>
              <w:left w:val="nil"/>
              <w:bottom w:val="single" w:sz="4" w:space="0" w:color="auto"/>
              <w:right w:val="single" w:sz="4" w:space="0" w:color="auto"/>
            </w:tcBorders>
            <w:vAlign w:val="center"/>
          </w:tcPr>
          <w:p w14:paraId="19EC2D33"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875" w:type="dxa"/>
            <w:tcBorders>
              <w:top w:val="single" w:sz="4" w:space="0" w:color="auto"/>
              <w:left w:val="nil"/>
              <w:bottom w:val="single" w:sz="4" w:space="0" w:color="auto"/>
              <w:right w:val="single" w:sz="4" w:space="0" w:color="auto"/>
            </w:tcBorders>
            <w:vAlign w:val="center"/>
          </w:tcPr>
          <w:p w14:paraId="148EB474"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N</w:t>
            </w:r>
          </w:p>
        </w:tc>
        <w:tc>
          <w:tcPr>
            <w:tcW w:w="790" w:type="dxa"/>
            <w:tcBorders>
              <w:top w:val="single" w:sz="4" w:space="0" w:color="auto"/>
              <w:left w:val="nil"/>
              <w:bottom w:val="single" w:sz="4" w:space="0" w:color="auto"/>
              <w:right w:val="single" w:sz="4" w:space="0" w:color="auto"/>
            </w:tcBorders>
            <w:vAlign w:val="center"/>
          </w:tcPr>
          <w:p w14:paraId="41AD7F16"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N</w:t>
            </w:r>
          </w:p>
        </w:tc>
        <w:tc>
          <w:tcPr>
            <w:tcW w:w="785" w:type="dxa"/>
            <w:tcBorders>
              <w:top w:val="single" w:sz="4" w:space="0" w:color="auto"/>
              <w:left w:val="nil"/>
              <w:bottom w:val="single" w:sz="4" w:space="0" w:color="auto"/>
              <w:right w:val="single" w:sz="4" w:space="0" w:color="auto"/>
            </w:tcBorders>
            <w:vAlign w:val="center"/>
          </w:tcPr>
          <w:p w14:paraId="37F14AA1"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N</w:t>
            </w:r>
          </w:p>
        </w:tc>
        <w:tc>
          <w:tcPr>
            <w:tcW w:w="877" w:type="dxa"/>
            <w:tcBorders>
              <w:top w:val="single" w:sz="4" w:space="0" w:color="auto"/>
              <w:left w:val="nil"/>
              <w:bottom w:val="single" w:sz="4" w:space="0" w:color="auto"/>
              <w:right w:val="single" w:sz="4" w:space="0" w:color="auto"/>
            </w:tcBorders>
            <w:vAlign w:val="center"/>
          </w:tcPr>
          <w:p w14:paraId="3EC8E1F3"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 xml:space="preserve">Rejected </w:t>
            </w:r>
          </w:p>
        </w:tc>
        <w:tc>
          <w:tcPr>
            <w:tcW w:w="3866" w:type="dxa"/>
            <w:gridSpan w:val="4"/>
            <w:tcBorders>
              <w:top w:val="single" w:sz="4" w:space="0" w:color="auto"/>
              <w:left w:val="nil"/>
              <w:bottom w:val="single" w:sz="4" w:space="0" w:color="auto"/>
              <w:right w:val="single" w:sz="4" w:space="0" w:color="auto"/>
            </w:tcBorders>
            <w:vAlign w:val="center"/>
          </w:tcPr>
          <w:p w14:paraId="3B90EA7D"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p>
        </w:tc>
      </w:tr>
      <w:tr w:rsidR="00C050CF" w:rsidRPr="0073341F" w14:paraId="70CC775D" w14:textId="77777777" w:rsidTr="008E63C8">
        <w:trPr>
          <w:cantSplit/>
          <w:trHeight w:val="731"/>
        </w:trPr>
        <w:tc>
          <w:tcPr>
            <w:tcW w:w="1819" w:type="dxa"/>
            <w:tcBorders>
              <w:top w:val="nil"/>
              <w:left w:val="single" w:sz="4" w:space="0" w:color="auto"/>
              <w:bottom w:val="single" w:sz="4" w:space="0" w:color="auto"/>
              <w:right w:val="single" w:sz="4" w:space="0" w:color="auto"/>
            </w:tcBorders>
          </w:tcPr>
          <w:p w14:paraId="7CD2A872" w14:textId="00F026A3" w:rsidR="0073341F" w:rsidRPr="0073341F" w:rsidRDefault="00795AA8" w:rsidP="0073341F">
            <w:pPr>
              <w:spacing w:after="0" w:line="240" w:lineRule="auto"/>
              <w:rPr>
                <w:rFonts w:ascii="Times New Roman" w:eastAsia="Calibri" w:hAnsi="Times New Roman" w:cs="Times New Roman"/>
                <w:sz w:val="16"/>
                <w:szCs w:val="16"/>
                <w:lang w:val="en-GB"/>
              </w:rPr>
            </w:pPr>
            <w:r w:rsidRPr="00795AA8">
              <w:rPr>
                <w:rFonts w:ascii="Times New Roman" w:eastAsia="Calibri" w:hAnsi="Times New Roman" w:cs="Times New Roman"/>
                <w:sz w:val="16"/>
                <w:szCs w:val="16"/>
                <w:lang w:val="en-GB"/>
              </w:rPr>
              <w:t>Warner JJ, Harrington RA, Sacco RL, Elkind MSV: Guidelines for the Early Management of Patients With Acute Ischemic Stroke: 2019 Update to the 2018 Guidelines for the Early Management of Acute Ischemic Stroke. Stroke 2019, 50(12):3331-3332.</w:t>
            </w:r>
          </w:p>
        </w:tc>
        <w:tc>
          <w:tcPr>
            <w:tcW w:w="848" w:type="dxa"/>
            <w:tcBorders>
              <w:top w:val="nil"/>
              <w:left w:val="nil"/>
              <w:bottom w:val="single" w:sz="4" w:space="0" w:color="auto"/>
              <w:right w:val="single" w:sz="4" w:space="0" w:color="auto"/>
            </w:tcBorders>
            <w:vAlign w:val="center"/>
          </w:tcPr>
          <w:p w14:paraId="389513F4"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875" w:type="dxa"/>
            <w:tcBorders>
              <w:top w:val="nil"/>
              <w:left w:val="nil"/>
              <w:bottom w:val="single" w:sz="4" w:space="0" w:color="auto"/>
              <w:right w:val="single" w:sz="4" w:space="0" w:color="auto"/>
            </w:tcBorders>
            <w:vAlign w:val="center"/>
          </w:tcPr>
          <w:p w14:paraId="4A2B38E7"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790" w:type="dxa"/>
            <w:tcBorders>
              <w:top w:val="nil"/>
              <w:left w:val="nil"/>
              <w:bottom w:val="single" w:sz="4" w:space="0" w:color="auto"/>
              <w:right w:val="single" w:sz="4" w:space="0" w:color="auto"/>
            </w:tcBorders>
            <w:vAlign w:val="center"/>
          </w:tcPr>
          <w:p w14:paraId="7732D7C5"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785" w:type="dxa"/>
            <w:tcBorders>
              <w:top w:val="nil"/>
              <w:left w:val="nil"/>
              <w:bottom w:val="single" w:sz="4" w:space="0" w:color="auto"/>
              <w:right w:val="single" w:sz="4" w:space="0" w:color="auto"/>
            </w:tcBorders>
            <w:vAlign w:val="center"/>
          </w:tcPr>
          <w:p w14:paraId="748CA94F"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877" w:type="dxa"/>
            <w:tcBorders>
              <w:top w:val="single" w:sz="4" w:space="0" w:color="auto"/>
              <w:left w:val="nil"/>
              <w:bottom w:val="single" w:sz="4" w:space="0" w:color="auto"/>
              <w:right w:val="single" w:sz="4" w:space="0" w:color="auto"/>
            </w:tcBorders>
            <w:vAlign w:val="center"/>
          </w:tcPr>
          <w:p w14:paraId="53482892"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Accepted</w:t>
            </w:r>
          </w:p>
        </w:tc>
        <w:tc>
          <w:tcPr>
            <w:tcW w:w="976" w:type="dxa"/>
            <w:tcBorders>
              <w:top w:val="single" w:sz="4" w:space="0" w:color="auto"/>
              <w:left w:val="nil"/>
              <w:bottom w:val="single" w:sz="4" w:space="0" w:color="auto"/>
              <w:right w:val="single" w:sz="4" w:space="0" w:color="auto"/>
            </w:tcBorders>
            <w:vAlign w:val="center"/>
          </w:tcPr>
          <w:p w14:paraId="12494009"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G</w:t>
            </w:r>
          </w:p>
        </w:tc>
        <w:tc>
          <w:tcPr>
            <w:tcW w:w="885" w:type="dxa"/>
            <w:tcBorders>
              <w:top w:val="single" w:sz="4" w:space="0" w:color="auto"/>
              <w:left w:val="nil"/>
              <w:bottom w:val="single" w:sz="4" w:space="0" w:color="auto"/>
              <w:right w:val="single" w:sz="4" w:space="0" w:color="auto"/>
            </w:tcBorders>
            <w:vAlign w:val="center"/>
          </w:tcPr>
          <w:p w14:paraId="1F2A4854"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G</w:t>
            </w:r>
          </w:p>
        </w:tc>
        <w:tc>
          <w:tcPr>
            <w:tcW w:w="932" w:type="dxa"/>
            <w:tcBorders>
              <w:top w:val="single" w:sz="4" w:space="0" w:color="auto"/>
              <w:left w:val="nil"/>
              <w:bottom w:val="single" w:sz="4" w:space="0" w:color="auto"/>
              <w:right w:val="single" w:sz="4" w:space="0" w:color="auto"/>
            </w:tcBorders>
            <w:vAlign w:val="center"/>
          </w:tcPr>
          <w:p w14:paraId="342574B1"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F</w:t>
            </w:r>
          </w:p>
        </w:tc>
        <w:tc>
          <w:tcPr>
            <w:tcW w:w="1073" w:type="dxa"/>
            <w:tcBorders>
              <w:top w:val="single" w:sz="4" w:space="0" w:color="auto"/>
              <w:left w:val="nil"/>
              <w:bottom w:val="single" w:sz="4" w:space="0" w:color="auto"/>
              <w:right w:val="single" w:sz="4" w:space="0" w:color="auto"/>
            </w:tcBorders>
            <w:vAlign w:val="center"/>
          </w:tcPr>
          <w:p w14:paraId="1BFA6A4B"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Yes</w:t>
            </w:r>
          </w:p>
        </w:tc>
      </w:tr>
      <w:tr w:rsidR="00C050CF" w:rsidRPr="0073341F" w14:paraId="57A1ED25" w14:textId="77777777" w:rsidTr="008E63C8">
        <w:trPr>
          <w:cantSplit/>
          <w:trHeight w:val="717"/>
        </w:trPr>
        <w:tc>
          <w:tcPr>
            <w:tcW w:w="1819" w:type="dxa"/>
            <w:tcBorders>
              <w:top w:val="nil"/>
              <w:left w:val="single" w:sz="4" w:space="0" w:color="auto"/>
              <w:bottom w:val="single" w:sz="4" w:space="0" w:color="auto"/>
              <w:right w:val="single" w:sz="4" w:space="0" w:color="auto"/>
            </w:tcBorders>
          </w:tcPr>
          <w:p w14:paraId="6F0C2CDC" w14:textId="1806DC43" w:rsidR="0073341F" w:rsidRPr="0073341F" w:rsidRDefault="007134EC" w:rsidP="0073341F">
            <w:pPr>
              <w:spacing w:after="0" w:line="240" w:lineRule="auto"/>
              <w:rPr>
                <w:rFonts w:ascii="Times New Roman" w:eastAsia="Calibri" w:hAnsi="Times New Roman" w:cs="Times New Roman"/>
                <w:sz w:val="16"/>
                <w:szCs w:val="16"/>
                <w:lang w:val="en-GB"/>
              </w:rPr>
            </w:pPr>
            <w:r w:rsidRPr="007134EC">
              <w:rPr>
                <w:rFonts w:ascii="Times New Roman" w:eastAsia="Calibri" w:hAnsi="Times New Roman" w:cs="Times New Roman"/>
                <w:sz w:val="16"/>
                <w:szCs w:val="16"/>
                <w:lang w:val="en-GB"/>
              </w:rPr>
              <w:t>Fowler KJ, Kaur H, Cash BD, Feig BW, Gage KL, Garcia EM, Hara AK, Herman JM, Kim DH, Lambert DL et al: ACR Appropriateness Criteria(®) Pretreatment Staging of Colorectal Cancer. Journal of the American College of Radiology : JACR 2017, 14(5s):S234-s244.</w:t>
            </w:r>
          </w:p>
        </w:tc>
        <w:tc>
          <w:tcPr>
            <w:tcW w:w="848" w:type="dxa"/>
            <w:tcBorders>
              <w:top w:val="nil"/>
              <w:left w:val="nil"/>
              <w:bottom w:val="single" w:sz="4" w:space="0" w:color="auto"/>
              <w:right w:val="single" w:sz="4" w:space="0" w:color="auto"/>
            </w:tcBorders>
            <w:vAlign w:val="center"/>
          </w:tcPr>
          <w:p w14:paraId="4121DA59"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875" w:type="dxa"/>
            <w:tcBorders>
              <w:top w:val="nil"/>
              <w:left w:val="nil"/>
              <w:bottom w:val="single" w:sz="4" w:space="0" w:color="auto"/>
              <w:right w:val="single" w:sz="4" w:space="0" w:color="auto"/>
            </w:tcBorders>
            <w:vAlign w:val="center"/>
          </w:tcPr>
          <w:p w14:paraId="4AC26DDC"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790" w:type="dxa"/>
            <w:tcBorders>
              <w:top w:val="nil"/>
              <w:left w:val="nil"/>
              <w:bottom w:val="single" w:sz="4" w:space="0" w:color="auto"/>
              <w:right w:val="single" w:sz="4" w:space="0" w:color="auto"/>
            </w:tcBorders>
            <w:vAlign w:val="center"/>
          </w:tcPr>
          <w:p w14:paraId="1FFD6F7C"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785" w:type="dxa"/>
            <w:tcBorders>
              <w:top w:val="nil"/>
              <w:left w:val="nil"/>
              <w:bottom w:val="single" w:sz="4" w:space="0" w:color="auto"/>
              <w:right w:val="single" w:sz="4" w:space="0" w:color="auto"/>
            </w:tcBorders>
            <w:vAlign w:val="center"/>
          </w:tcPr>
          <w:p w14:paraId="58AAA45D"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N</w:t>
            </w:r>
          </w:p>
        </w:tc>
        <w:tc>
          <w:tcPr>
            <w:tcW w:w="877" w:type="dxa"/>
            <w:tcBorders>
              <w:top w:val="nil"/>
              <w:left w:val="nil"/>
              <w:bottom w:val="single" w:sz="4" w:space="0" w:color="auto"/>
              <w:right w:val="single" w:sz="4" w:space="0" w:color="auto"/>
            </w:tcBorders>
            <w:vAlign w:val="center"/>
          </w:tcPr>
          <w:p w14:paraId="25706618"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 xml:space="preserve">Rejected </w:t>
            </w:r>
          </w:p>
        </w:tc>
        <w:tc>
          <w:tcPr>
            <w:tcW w:w="3866" w:type="dxa"/>
            <w:gridSpan w:val="4"/>
            <w:tcBorders>
              <w:top w:val="nil"/>
              <w:left w:val="nil"/>
              <w:bottom w:val="single" w:sz="4" w:space="0" w:color="auto"/>
              <w:right w:val="single" w:sz="4" w:space="0" w:color="auto"/>
            </w:tcBorders>
            <w:vAlign w:val="center"/>
          </w:tcPr>
          <w:p w14:paraId="6409662E"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p>
        </w:tc>
      </w:tr>
      <w:tr w:rsidR="00C050CF" w:rsidRPr="0073341F" w14:paraId="471747F2" w14:textId="77777777" w:rsidTr="008E63C8">
        <w:trPr>
          <w:cantSplit/>
          <w:trHeight w:val="690"/>
        </w:trPr>
        <w:tc>
          <w:tcPr>
            <w:tcW w:w="1819" w:type="dxa"/>
            <w:tcBorders>
              <w:top w:val="nil"/>
              <w:left w:val="single" w:sz="4" w:space="0" w:color="auto"/>
              <w:bottom w:val="single" w:sz="4" w:space="0" w:color="auto"/>
              <w:right w:val="single" w:sz="4" w:space="0" w:color="auto"/>
            </w:tcBorders>
          </w:tcPr>
          <w:p w14:paraId="7A1376A2" w14:textId="2449E1AB" w:rsidR="0073341F" w:rsidRPr="0073341F" w:rsidRDefault="002C63A9" w:rsidP="0073341F">
            <w:pPr>
              <w:spacing w:after="0" w:line="240" w:lineRule="auto"/>
              <w:rPr>
                <w:rFonts w:ascii="Times New Roman" w:eastAsia="Calibri" w:hAnsi="Times New Roman" w:cs="Times New Roman"/>
                <w:sz w:val="16"/>
                <w:szCs w:val="16"/>
                <w:lang w:val="en-GB"/>
              </w:rPr>
            </w:pPr>
            <w:r w:rsidRPr="002C63A9">
              <w:rPr>
                <w:rFonts w:ascii="Times New Roman" w:eastAsia="Calibri" w:hAnsi="Times New Roman" w:cs="Times New Roman"/>
                <w:sz w:val="16"/>
                <w:szCs w:val="16"/>
                <w:lang w:val="en-GB"/>
              </w:rPr>
              <w:t>Smith CH, Jabbar-Lopez ZK, Yiu ZZ, Bale T, Burden AD, Coates LC, Cruickshank M, Hadoke T, MacMahon E, Murphy R et al: British Association of Dermatologists guidelines for biologic therapy for psoriasis 2017. The British journal of dermatology 2017, 177(3):628-636.</w:t>
            </w:r>
          </w:p>
        </w:tc>
        <w:tc>
          <w:tcPr>
            <w:tcW w:w="848" w:type="dxa"/>
            <w:tcBorders>
              <w:top w:val="nil"/>
              <w:left w:val="nil"/>
              <w:bottom w:val="single" w:sz="4" w:space="0" w:color="auto"/>
              <w:right w:val="single" w:sz="4" w:space="0" w:color="auto"/>
            </w:tcBorders>
            <w:vAlign w:val="center"/>
          </w:tcPr>
          <w:p w14:paraId="57BB2F05"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875" w:type="dxa"/>
            <w:tcBorders>
              <w:top w:val="nil"/>
              <w:left w:val="nil"/>
              <w:bottom w:val="single" w:sz="4" w:space="0" w:color="auto"/>
              <w:right w:val="single" w:sz="4" w:space="0" w:color="auto"/>
            </w:tcBorders>
            <w:vAlign w:val="center"/>
          </w:tcPr>
          <w:p w14:paraId="4307AA8F"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790" w:type="dxa"/>
            <w:tcBorders>
              <w:top w:val="nil"/>
              <w:left w:val="nil"/>
              <w:bottom w:val="single" w:sz="4" w:space="0" w:color="auto"/>
              <w:right w:val="single" w:sz="4" w:space="0" w:color="auto"/>
            </w:tcBorders>
            <w:vAlign w:val="center"/>
          </w:tcPr>
          <w:p w14:paraId="1826FE54"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785" w:type="dxa"/>
            <w:tcBorders>
              <w:top w:val="nil"/>
              <w:left w:val="nil"/>
              <w:bottom w:val="single" w:sz="4" w:space="0" w:color="auto"/>
              <w:right w:val="single" w:sz="4" w:space="0" w:color="auto"/>
            </w:tcBorders>
            <w:vAlign w:val="center"/>
          </w:tcPr>
          <w:p w14:paraId="2AF78FD8"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877" w:type="dxa"/>
            <w:tcBorders>
              <w:top w:val="nil"/>
              <w:left w:val="nil"/>
              <w:bottom w:val="single" w:sz="4" w:space="0" w:color="auto"/>
              <w:right w:val="single" w:sz="4" w:space="0" w:color="auto"/>
            </w:tcBorders>
            <w:vAlign w:val="center"/>
          </w:tcPr>
          <w:p w14:paraId="76561533"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Accepted</w:t>
            </w:r>
          </w:p>
        </w:tc>
        <w:tc>
          <w:tcPr>
            <w:tcW w:w="976" w:type="dxa"/>
            <w:tcBorders>
              <w:top w:val="nil"/>
              <w:left w:val="nil"/>
              <w:bottom w:val="single" w:sz="4" w:space="0" w:color="auto"/>
              <w:right w:val="single" w:sz="4" w:space="0" w:color="auto"/>
            </w:tcBorders>
            <w:vAlign w:val="center"/>
          </w:tcPr>
          <w:p w14:paraId="5F784D85"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G</w:t>
            </w:r>
          </w:p>
        </w:tc>
        <w:tc>
          <w:tcPr>
            <w:tcW w:w="885" w:type="dxa"/>
            <w:tcBorders>
              <w:top w:val="nil"/>
              <w:left w:val="nil"/>
              <w:bottom w:val="single" w:sz="4" w:space="0" w:color="auto"/>
              <w:right w:val="single" w:sz="4" w:space="0" w:color="auto"/>
            </w:tcBorders>
            <w:vAlign w:val="center"/>
          </w:tcPr>
          <w:p w14:paraId="2542DB3C"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E</w:t>
            </w:r>
          </w:p>
        </w:tc>
        <w:tc>
          <w:tcPr>
            <w:tcW w:w="932" w:type="dxa"/>
            <w:tcBorders>
              <w:top w:val="nil"/>
              <w:left w:val="nil"/>
              <w:bottom w:val="single" w:sz="4" w:space="0" w:color="auto"/>
              <w:right w:val="single" w:sz="4" w:space="0" w:color="auto"/>
            </w:tcBorders>
            <w:vAlign w:val="center"/>
          </w:tcPr>
          <w:p w14:paraId="10E14033"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F</w:t>
            </w:r>
          </w:p>
        </w:tc>
        <w:tc>
          <w:tcPr>
            <w:tcW w:w="1073" w:type="dxa"/>
            <w:tcBorders>
              <w:top w:val="nil"/>
              <w:left w:val="nil"/>
              <w:bottom w:val="single" w:sz="4" w:space="0" w:color="auto"/>
              <w:right w:val="single" w:sz="4" w:space="0" w:color="auto"/>
            </w:tcBorders>
            <w:vAlign w:val="center"/>
          </w:tcPr>
          <w:p w14:paraId="2C68AF3B"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Yes</w:t>
            </w:r>
          </w:p>
        </w:tc>
      </w:tr>
      <w:tr w:rsidR="00C050CF" w:rsidRPr="0073341F" w14:paraId="2EB95404" w14:textId="77777777" w:rsidTr="008E63C8">
        <w:trPr>
          <w:cantSplit/>
          <w:trHeight w:val="933"/>
        </w:trPr>
        <w:tc>
          <w:tcPr>
            <w:tcW w:w="1819" w:type="dxa"/>
            <w:tcBorders>
              <w:top w:val="nil"/>
              <w:left w:val="single" w:sz="4" w:space="0" w:color="auto"/>
              <w:bottom w:val="single" w:sz="4" w:space="0" w:color="auto"/>
              <w:right w:val="single" w:sz="4" w:space="0" w:color="auto"/>
            </w:tcBorders>
          </w:tcPr>
          <w:p w14:paraId="632FDCC3" w14:textId="155A5763" w:rsidR="0073341F" w:rsidRPr="0073341F" w:rsidRDefault="00060890" w:rsidP="0073341F">
            <w:pPr>
              <w:spacing w:after="0" w:line="240" w:lineRule="auto"/>
              <w:rPr>
                <w:rFonts w:ascii="Times New Roman" w:eastAsia="Calibri" w:hAnsi="Times New Roman" w:cs="Times New Roman"/>
                <w:sz w:val="16"/>
                <w:szCs w:val="16"/>
                <w:lang w:val="en-GB"/>
              </w:rPr>
            </w:pPr>
            <w:r w:rsidRPr="00060890">
              <w:rPr>
                <w:rFonts w:ascii="Times New Roman" w:eastAsia="Calibri" w:hAnsi="Times New Roman" w:cs="Times New Roman"/>
                <w:sz w:val="16"/>
                <w:szCs w:val="16"/>
                <w:lang w:val="en-GB"/>
              </w:rPr>
              <w:lastRenderedPageBreak/>
              <w:t>Puligandla PS, Skarsgard ED, Offringa M, Adatia I, Baird R, Bailey M, Brindle M, Chiu P, Cogswell A, Dakshinamurti S et al: Diagnosis and management of congenital diaphragmatic hernia: a clinical practice guideline. CMAJ : Canadian Medical Association journal = journal de l'Association medicale canadienne 2018, 190(4):E103-e112.</w:t>
            </w:r>
          </w:p>
        </w:tc>
        <w:tc>
          <w:tcPr>
            <w:tcW w:w="848" w:type="dxa"/>
            <w:tcBorders>
              <w:top w:val="nil"/>
              <w:left w:val="nil"/>
              <w:bottom w:val="single" w:sz="4" w:space="0" w:color="auto"/>
              <w:right w:val="single" w:sz="4" w:space="0" w:color="auto"/>
            </w:tcBorders>
            <w:vAlign w:val="center"/>
          </w:tcPr>
          <w:p w14:paraId="3E351A7A"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875" w:type="dxa"/>
            <w:tcBorders>
              <w:top w:val="nil"/>
              <w:left w:val="nil"/>
              <w:bottom w:val="single" w:sz="4" w:space="0" w:color="auto"/>
              <w:right w:val="single" w:sz="4" w:space="0" w:color="auto"/>
            </w:tcBorders>
            <w:vAlign w:val="center"/>
          </w:tcPr>
          <w:p w14:paraId="16459AE8"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790" w:type="dxa"/>
            <w:tcBorders>
              <w:top w:val="nil"/>
              <w:left w:val="nil"/>
              <w:bottom w:val="single" w:sz="4" w:space="0" w:color="auto"/>
              <w:right w:val="single" w:sz="4" w:space="0" w:color="auto"/>
            </w:tcBorders>
            <w:vAlign w:val="center"/>
          </w:tcPr>
          <w:p w14:paraId="07546EEE"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785" w:type="dxa"/>
            <w:tcBorders>
              <w:top w:val="nil"/>
              <w:left w:val="nil"/>
              <w:bottom w:val="single" w:sz="4" w:space="0" w:color="auto"/>
              <w:right w:val="single" w:sz="4" w:space="0" w:color="auto"/>
            </w:tcBorders>
            <w:vAlign w:val="center"/>
          </w:tcPr>
          <w:p w14:paraId="4D306039"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877" w:type="dxa"/>
            <w:tcBorders>
              <w:top w:val="nil"/>
              <w:left w:val="nil"/>
              <w:bottom w:val="single" w:sz="4" w:space="0" w:color="auto"/>
              <w:right w:val="single" w:sz="4" w:space="0" w:color="auto"/>
            </w:tcBorders>
            <w:vAlign w:val="center"/>
          </w:tcPr>
          <w:p w14:paraId="53E85AA6"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Accepted</w:t>
            </w:r>
          </w:p>
        </w:tc>
        <w:tc>
          <w:tcPr>
            <w:tcW w:w="976" w:type="dxa"/>
            <w:tcBorders>
              <w:top w:val="nil"/>
              <w:left w:val="nil"/>
              <w:bottom w:val="single" w:sz="4" w:space="0" w:color="auto"/>
              <w:right w:val="single" w:sz="4" w:space="0" w:color="auto"/>
            </w:tcBorders>
            <w:vAlign w:val="center"/>
          </w:tcPr>
          <w:p w14:paraId="13EA7A62"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G</w:t>
            </w:r>
          </w:p>
        </w:tc>
        <w:tc>
          <w:tcPr>
            <w:tcW w:w="885" w:type="dxa"/>
            <w:tcBorders>
              <w:top w:val="nil"/>
              <w:left w:val="nil"/>
              <w:bottom w:val="single" w:sz="4" w:space="0" w:color="auto"/>
              <w:right w:val="single" w:sz="4" w:space="0" w:color="auto"/>
            </w:tcBorders>
            <w:vAlign w:val="center"/>
          </w:tcPr>
          <w:p w14:paraId="2565C08B"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G</w:t>
            </w:r>
          </w:p>
        </w:tc>
        <w:tc>
          <w:tcPr>
            <w:tcW w:w="932" w:type="dxa"/>
            <w:tcBorders>
              <w:top w:val="nil"/>
              <w:left w:val="nil"/>
              <w:bottom w:val="single" w:sz="4" w:space="0" w:color="auto"/>
              <w:right w:val="single" w:sz="4" w:space="0" w:color="auto"/>
            </w:tcBorders>
            <w:vAlign w:val="center"/>
          </w:tcPr>
          <w:p w14:paraId="4B985E26"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G</w:t>
            </w:r>
          </w:p>
        </w:tc>
        <w:tc>
          <w:tcPr>
            <w:tcW w:w="1073" w:type="dxa"/>
            <w:tcBorders>
              <w:top w:val="nil"/>
              <w:left w:val="nil"/>
              <w:bottom w:val="single" w:sz="4" w:space="0" w:color="auto"/>
              <w:right w:val="single" w:sz="4" w:space="0" w:color="auto"/>
            </w:tcBorders>
            <w:vAlign w:val="center"/>
          </w:tcPr>
          <w:p w14:paraId="2F60C6DA"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Yes</w:t>
            </w:r>
          </w:p>
        </w:tc>
      </w:tr>
      <w:tr w:rsidR="00C050CF" w:rsidRPr="0073341F" w14:paraId="3EDBD710" w14:textId="77777777" w:rsidTr="008E63C8">
        <w:trPr>
          <w:cantSplit/>
          <w:trHeight w:val="1068"/>
        </w:trPr>
        <w:tc>
          <w:tcPr>
            <w:tcW w:w="1819" w:type="dxa"/>
            <w:tcBorders>
              <w:top w:val="nil"/>
              <w:left w:val="single" w:sz="4" w:space="0" w:color="auto"/>
              <w:bottom w:val="single" w:sz="4" w:space="0" w:color="auto"/>
              <w:right w:val="single" w:sz="4" w:space="0" w:color="auto"/>
            </w:tcBorders>
          </w:tcPr>
          <w:p w14:paraId="16D8E77C" w14:textId="6CF66E2E" w:rsidR="0073341F" w:rsidRPr="0073341F" w:rsidRDefault="002E55E0" w:rsidP="0073341F">
            <w:pPr>
              <w:spacing w:after="0" w:line="240" w:lineRule="auto"/>
              <w:rPr>
                <w:rFonts w:ascii="Times New Roman" w:eastAsia="Calibri" w:hAnsi="Times New Roman" w:cs="Times New Roman"/>
                <w:sz w:val="16"/>
                <w:szCs w:val="16"/>
                <w:lang w:val="en-GB"/>
              </w:rPr>
            </w:pPr>
            <w:r w:rsidRPr="002E55E0">
              <w:rPr>
                <w:rFonts w:ascii="Times New Roman" w:eastAsia="Calibri" w:hAnsi="Times New Roman" w:cs="Times New Roman"/>
                <w:sz w:val="16"/>
                <w:szCs w:val="16"/>
                <w:lang w:val="en-GB"/>
              </w:rPr>
              <w:t>Tremblay MS, Chaput JP, Adamo KB, Aubert S, Barnes JD, Choquette L, Duggan M, Faulkner G, Goldfield GS, Gray CE et al: Canadian 24-Hour Movement Guidelines for the Early Years (0-4 years): An Integration of Physical Activity, Sedentary Behaviour, and Sleep. BMC public health 2017, 17(Suppl 5):874.</w:t>
            </w:r>
          </w:p>
        </w:tc>
        <w:tc>
          <w:tcPr>
            <w:tcW w:w="848" w:type="dxa"/>
            <w:tcBorders>
              <w:top w:val="nil"/>
              <w:left w:val="nil"/>
              <w:bottom w:val="single" w:sz="4" w:space="0" w:color="auto"/>
              <w:right w:val="single" w:sz="4" w:space="0" w:color="auto"/>
            </w:tcBorders>
            <w:vAlign w:val="center"/>
          </w:tcPr>
          <w:p w14:paraId="1A354535"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875" w:type="dxa"/>
            <w:tcBorders>
              <w:top w:val="nil"/>
              <w:left w:val="nil"/>
              <w:bottom w:val="single" w:sz="4" w:space="0" w:color="auto"/>
              <w:right w:val="single" w:sz="4" w:space="0" w:color="auto"/>
            </w:tcBorders>
            <w:vAlign w:val="center"/>
          </w:tcPr>
          <w:p w14:paraId="08ACCED6"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790" w:type="dxa"/>
            <w:tcBorders>
              <w:top w:val="nil"/>
              <w:left w:val="nil"/>
              <w:bottom w:val="single" w:sz="4" w:space="0" w:color="auto"/>
              <w:right w:val="single" w:sz="4" w:space="0" w:color="auto"/>
            </w:tcBorders>
            <w:vAlign w:val="center"/>
          </w:tcPr>
          <w:p w14:paraId="68878D47"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785" w:type="dxa"/>
            <w:tcBorders>
              <w:top w:val="nil"/>
              <w:left w:val="nil"/>
              <w:bottom w:val="single" w:sz="4" w:space="0" w:color="auto"/>
              <w:right w:val="single" w:sz="4" w:space="0" w:color="auto"/>
            </w:tcBorders>
            <w:vAlign w:val="center"/>
          </w:tcPr>
          <w:p w14:paraId="3343DD12"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877" w:type="dxa"/>
            <w:tcBorders>
              <w:top w:val="nil"/>
              <w:left w:val="nil"/>
              <w:bottom w:val="single" w:sz="4" w:space="0" w:color="auto"/>
              <w:right w:val="single" w:sz="4" w:space="0" w:color="auto"/>
            </w:tcBorders>
            <w:vAlign w:val="center"/>
          </w:tcPr>
          <w:p w14:paraId="4D84D42E"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 xml:space="preserve">Accepted </w:t>
            </w:r>
          </w:p>
        </w:tc>
        <w:tc>
          <w:tcPr>
            <w:tcW w:w="976" w:type="dxa"/>
            <w:tcBorders>
              <w:top w:val="nil"/>
              <w:left w:val="nil"/>
              <w:bottom w:val="single" w:sz="4" w:space="0" w:color="auto"/>
              <w:right w:val="single" w:sz="4" w:space="0" w:color="auto"/>
            </w:tcBorders>
            <w:vAlign w:val="center"/>
          </w:tcPr>
          <w:p w14:paraId="7BCCBDFA"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P</w:t>
            </w:r>
          </w:p>
        </w:tc>
        <w:tc>
          <w:tcPr>
            <w:tcW w:w="885" w:type="dxa"/>
            <w:tcBorders>
              <w:top w:val="nil"/>
              <w:left w:val="nil"/>
              <w:bottom w:val="single" w:sz="4" w:space="0" w:color="auto"/>
              <w:right w:val="single" w:sz="4" w:space="0" w:color="auto"/>
            </w:tcBorders>
            <w:vAlign w:val="center"/>
          </w:tcPr>
          <w:p w14:paraId="78A114C8"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E</w:t>
            </w:r>
          </w:p>
        </w:tc>
        <w:tc>
          <w:tcPr>
            <w:tcW w:w="932" w:type="dxa"/>
            <w:tcBorders>
              <w:top w:val="nil"/>
              <w:left w:val="nil"/>
              <w:bottom w:val="single" w:sz="4" w:space="0" w:color="auto"/>
              <w:right w:val="single" w:sz="4" w:space="0" w:color="auto"/>
            </w:tcBorders>
            <w:vAlign w:val="center"/>
          </w:tcPr>
          <w:p w14:paraId="56A72B53"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E</w:t>
            </w:r>
          </w:p>
        </w:tc>
        <w:tc>
          <w:tcPr>
            <w:tcW w:w="1073" w:type="dxa"/>
            <w:tcBorders>
              <w:top w:val="nil"/>
              <w:left w:val="nil"/>
              <w:bottom w:val="single" w:sz="4" w:space="0" w:color="auto"/>
              <w:right w:val="single" w:sz="4" w:space="0" w:color="auto"/>
            </w:tcBorders>
            <w:vAlign w:val="center"/>
          </w:tcPr>
          <w:p w14:paraId="6635F3EE"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No</w:t>
            </w:r>
          </w:p>
        </w:tc>
      </w:tr>
      <w:tr w:rsidR="00C050CF" w:rsidRPr="0073341F" w14:paraId="260D3B4B" w14:textId="77777777" w:rsidTr="008E63C8">
        <w:trPr>
          <w:cantSplit/>
          <w:trHeight w:val="1068"/>
        </w:trPr>
        <w:tc>
          <w:tcPr>
            <w:tcW w:w="1819" w:type="dxa"/>
            <w:tcBorders>
              <w:top w:val="single" w:sz="4" w:space="0" w:color="auto"/>
              <w:left w:val="single" w:sz="4" w:space="0" w:color="auto"/>
              <w:bottom w:val="single" w:sz="4" w:space="0" w:color="auto"/>
              <w:right w:val="single" w:sz="4" w:space="0" w:color="auto"/>
            </w:tcBorders>
          </w:tcPr>
          <w:p w14:paraId="12D66658" w14:textId="73D1964E" w:rsidR="0073341F" w:rsidRPr="0073341F" w:rsidRDefault="000D66C0" w:rsidP="0073341F">
            <w:pPr>
              <w:spacing w:after="0" w:line="240" w:lineRule="auto"/>
              <w:rPr>
                <w:rFonts w:ascii="Times New Roman" w:eastAsia="Calibri" w:hAnsi="Times New Roman" w:cs="Times New Roman"/>
                <w:sz w:val="16"/>
                <w:szCs w:val="16"/>
                <w:lang w:val="en-GB"/>
              </w:rPr>
            </w:pPr>
            <w:r w:rsidRPr="000D66C0">
              <w:rPr>
                <w:rFonts w:ascii="Times New Roman" w:eastAsia="Calibri" w:hAnsi="Times New Roman" w:cs="Times New Roman"/>
                <w:sz w:val="16"/>
                <w:szCs w:val="16"/>
                <w:lang w:val="en-GB"/>
              </w:rPr>
              <w:t>Yancy CW, Jessup M, Bozkurt B, Butler J, Casey DE, Jr., Colvin MM, Drazner MH, Filippatos GS, Fonarow GC, Givertz MM et al: 2017 ACC/AHA/HFSA Focused Update of the 2013 ACCF/AHA Guideline for the Management of Heart Failure: A Report of the American College of Cardiology/American Heart Association Task Force on Clinical Practice Guidelines and the Heart Failure Society of America. Journal of cardiac failure 2017, 23(8):628-651.</w:t>
            </w:r>
          </w:p>
        </w:tc>
        <w:tc>
          <w:tcPr>
            <w:tcW w:w="848" w:type="dxa"/>
            <w:tcBorders>
              <w:top w:val="single" w:sz="4" w:space="0" w:color="auto"/>
              <w:left w:val="nil"/>
              <w:bottom w:val="single" w:sz="4" w:space="0" w:color="auto"/>
              <w:right w:val="single" w:sz="4" w:space="0" w:color="auto"/>
            </w:tcBorders>
            <w:vAlign w:val="center"/>
          </w:tcPr>
          <w:p w14:paraId="4620F62A"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875" w:type="dxa"/>
            <w:tcBorders>
              <w:top w:val="single" w:sz="4" w:space="0" w:color="auto"/>
              <w:left w:val="nil"/>
              <w:bottom w:val="single" w:sz="4" w:space="0" w:color="auto"/>
              <w:right w:val="single" w:sz="4" w:space="0" w:color="auto"/>
            </w:tcBorders>
            <w:vAlign w:val="center"/>
          </w:tcPr>
          <w:p w14:paraId="79908BEF"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790" w:type="dxa"/>
            <w:tcBorders>
              <w:top w:val="single" w:sz="4" w:space="0" w:color="auto"/>
              <w:left w:val="nil"/>
              <w:bottom w:val="single" w:sz="4" w:space="0" w:color="auto"/>
              <w:right w:val="single" w:sz="4" w:space="0" w:color="auto"/>
            </w:tcBorders>
            <w:vAlign w:val="center"/>
          </w:tcPr>
          <w:p w14:paraId="3955587F"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785" w:type="dxa"/>
            <w:tcBorders>
              <w:top w:val="single" w:sz="4" w:space="0" w:color="auto"/>
              <w:left w:val="nil"/>
              <w:bottom w:val="single" w:sz="4" w:space="0" w:color="auto"/>
              <w:right w:val="single" w:sz="4" w:space="0" w:color="auto"/>
            </w:tcBorders>
            <w:vAlign w:val="center"/>
          </w:tcPr>
          <w:p w14:paraId="1A30BF9B"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w:t>
            </w:r>
          </w:p>
        </w:tc>
        <w:tc>
          <w:tcPr>
            <w:tcW w:w="877" w:type="dxa"/>
            <w:tcBorders>
              <w:top w:val="single" w:sz="4" w:space="0" w:color="auto"/>
              <w:left w:val="nil"/>
              <w:bottom w:val="single" w:sz="4" w:space="0" w:color="auto"/>
              <w:right w:val="single" w:sz="4" w:space="0" w:color="auto"/>
            </w:tcBorders>
            <w:vAlign w:val="center"/>
          </w:tcPr>
          <w:p w14:paraId="5B334B03"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Accepted</w:t>
            </w:r>
          </w:p>
        </w:tc>
        <w:tc>
          <w:tcPr>
            <w:tcW w:w="976" w:type="dxa"/>
            <w:tcBorders>
              <w:top w:val="single" w:sz="4" w:space="0" w:color="auto"/>
              <w:left w:val="nil"/>
              <w:bottom w:val="single" w:sz="4" w:space="0" w:color="auto"/>
              <w:right w:val="single" w:sz="4" w:space="0" w:color="auto"/>
            </w:tcBorders>
            <w:vAlign w:val="center"/>
          </w:tcPr>
          <w:p w14:paraId="59D1AAA6"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E</w:t>
            </w:r>
          </w:p>
        </w:tc>
        <w:tc>
          <w:tcPr>
            <w:tcW w:w="885" w:type="dxa"/>
            <w:tcBorders>
              <w:top w:val="single" w:sz="4" w:space="0" w:color="auto"/>
              <w:left w:val="nil"/>
              <w:bottom w:val="single" w:sz="4" w:space="0" w:color="auto"/>
              <w:right w:val="single" w:sz="4" w:space="0" w:color="auto"/>
            </w:tcBorders>
            <w:vAlign w:val="center"/>
          </w:tcPr>
          <w:p w14:paraId="5B8C861C"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G</w:t>
            </w:r>
          </w:p>
        </w:tc>
        <w:tc>
          <w:tcPr>
            <w:tcW w:w="932" w:type="dxa"/>
            <w:tcBorders>
              <w:top w:val="single" w:sz="4" w:space="0" w:color="auto"/>
              <w:left w:val="nil"/>
              <w:bottom w:val="single" w:sz="4" w:space="0" w:color="auto"/>
              <w:right w:val="single" w:sz="4" w:space="0" w:color="auto"/>
            </w:tcBorders>
            <w:vAlign w:val="center"/>
          </w:tcPr>
          <w:p w14:paraId="3901B7EA"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F</w:t>
            </w:r>
          </w:p>
        </w:tc>
        <w:tc>
          <w:tcPr>
            <w:tcW w:w="1073" w:type="dxa"/>
            <w:tcBorders>
              <w:top w:val="single" w:sz="4" w:space="0" w:color="auto"/>
              <w:left w:val="nil"/>
              <w:bottom w:val="single" w:sz="4" w:space="0" w:color="auto"/>
              <w:right w:val="single" w:sz="4" w:space="0" w:color="auto"/>
            </w:tcBorders>
            <w:vAlign w:val="center"/>
          </w:tcPr>
          <w:p w14:paraId="11F95A63" w14:textId="77777777" w:rsidR="0073341F" w:rsidRPr="0073341F" w:rsidRDefault="0073341F" w:rsidP="0073341F">
            <w:pPr>
              <w:spacing w:after="0" w:line="240" w:lineRule="auto"/>
              <w:jc w:val="center"/>
              <w:rPr>
                <w:rFonts w:ascii="Times New Roman" w:eastAsia="Times New Roman" w:hAnsi="Times New Roman" w:cs="Times New Roman"/>
                <w:sz w:val="16"/>
                <w:szCs w:val="16"/>
                <w:lang w:val="en-GB" w:eastAsia="it-IT"/>
              </w:rPr>
            </w:pPr>
            <w:r w:rsidRPr="0073341F">
              <w:rPr>
                <w:rFonts w:ascii="Times New Roman" w:eastAsia="Times New Roman" w:hAnsi="Times New Roman" w:cs="Times New Roman"/>
                <w:sz w:val="16"/>
                <w:szCs w:val="16"/>
                <w:lang w:val="en-GB" w:eastAsia="it-IT"/>
              </w:rPr>
              <w:t>Yes</w:t>
            </w:r>
          </w:p>
        </w:tc>
      </w:tr>
    </w:tbl>
    <w:p w14:paraId="03AC634F" w14:textId="77777777" w:rsidR="00B80CB0" w:rsidRPr="00C25955" w:rsidRDefault="00537654" w:rsidP="00B80CB0">
      <w:pPr>
        <w:spacing w:after="0" w:line="240" w:lineRule="auto"/>
        <w:contextualSpacing/>
        <w:rPr>
          <w:rFonts w:ascii="Times New Roman" w:hAnsi="Times New Roman" w:cs="Times New Roman"/>
          <w:sz w:val="16"/>
          <w:szCs w:val="16"/>
          <w:lang w:val="en-US"/>
        </w:rPr>
      </w:pPr>
      <w:r w:rsidRPr="00C25955">
        <w:rPr>
          <w:rFonts w:ascii="Times New Roman" w:hAnsi="Times New Roman" w:cs="Times New Roman"/>
          <w:sz w:val="16"/>
          <w:szCs w:val="16"/>
          <w:lang w:val="en-US"/>
        </w:rPr>
        <w:t>Legend</w:t>
      </w:r>
      <w:r w:rsidR="00026465" w:rsidRPr="00C25955">
        <w:rPr>
          <w:rFonts w:ascii="Times New Roman" w:hAnsi="Times New Roman" w:cs="Times New Roman"/>
          <w:sz w:val="16"/>
          <w:szCs w:val="16"/>
          <w:lang w:val="en-US"/>
        </w:rPr>
        <w:t xml:space="preserve">: Y (yes) N (no) </w:t>
      </w:r>
    </w:p>
    <w:p w14:paraId="04AB69B2" w14:textId="24EBC334" w:rsidR="00537654" w:rsidRPr="00C25955" w:rsidRDefault="00191F18" w:rsidP="00B80CB0">
      <w:pPr>
        <w:spacing w:after="0" w:line="240" w:lineRule="auto"/>
        <w:contextualSpacing/>
        <w:rPr>
          <w:rFonts w:ascii="Times New Roman" w:hAnsi="Times New Roman" w:cs="Times New Roman"/>
          <w:sz w:val="16"/>
          <w:szCs w:val="16"/>
          <w:lang w:val="en-US"/>
        </w:rPr>
      </w:pPr>
      <w:r w:rsidRPr="00C25955">
        <w:rPr>
          <w:rFonts w:ascii="Times New Roman" w:hAnsi="Times New Roman" w:cs="Times New Roman"/>
          <w:sz w:val="16"/>
          <w:szCs w:val="16"/>
          <w:lang w:val="en-US"/>
        </w:rPr>
        <w:t>P (poor</w:t>
      </w:r>
      <w:r w:rsidR="00B80CB0" w:rsidRPr="00C25955">
        <w:rPr>
          <w:rFonts w:ascii="Times New Roman" w:hAnsi="Times New Roman" w:cs="Times New Roman"/>
          <w:sz w:val="16"/>
          <w:szCs w:val="16"/>
          <w:lang w:val="en-US"/>
        </w:rPr>
        <w:t xml:space="preserve">) F (fair) </w:t>
      </w:r>
      <w:r w:rsidR="005D18F0" w:rsidRPr="00C25955">
        <w:rPr>
          <w:rFonts w:ascii="Times New Roman" w:hAnsi="Times New Roman" w:cs="Times New Roman"/>
          <w:sz w:val="16"/>
          <w:szCs w:val="16"/>
          <w:lang w:val="en-US"/>
        </w:rPr>
        <w:t>G (good) E (excellent)</w:t>
      </w:r>
    </w:p>
    <w:p w14:paraId="2CBFE7FE" w14:textId="1E1747D4" w:rsidR="00D94719" w:rsidRDefault="00D94719">
      <w:pPr>
        <w:rPr>
          <w:lang w:val="en-GB"/>
        </w:rPr>
      </w:pPr>
    </w:p>
    <w:p w14:paraId="30701A27" w14:textId="77777777" w:rsidR="00D94719" w:rsidRDefault="00D94719">
      <w:pPr>
        <w:rPr>
          <w:lang w:val="en-GB"/>
        </w:rPr>
      </w:pPr>
    </w:p>
    <w:tbl>
      <w:tblPr>
        <w:tblStyle w:val="Grigliatabella"/>
        <w:tblW w:w="9776" w:type="dxa"/>
        <w:tblInd w:w="5" w:type="dxa"/>
        <w:tblLayout w:type="fixed"/>
        <w:tblLook w:val="04A0" w:firstRow="1" w:lastRow="0" w:firstColumn="1" w:lastColumn="0" w:noHBand="0" w:noVBand="1"/>
      </w:tblPr>
      <w:tblGrid>
        <w:gridCol w:w="1696"/>
        <w:gridCol w:w="993"/>
        <w:gridCol w:w="850"/>
        <w:gridCol w:w="1134"/>
        <w:gridCol w:w="1559"/>
        <w:gridCol w:w="1570"/>
        <w:gridCol w:w="1974"/>
      </w:tblGrid>
      <w:tr w:rsidR="007E521E" w:rsidRPr="00647D25" w14:paraId="4B9FA5D6" w14:textId="77777777" w:rsidTr="00B81B0D">
        <w:tc>
          <w:tcPr>
            <w:tcW w:w="9776" w:type="dxa"/>
            <w:gridSpan w:val="7"/>
            <w:tcBorders>
              <w:top w:val="nil"/>
              <w:left w:val="nil"/>
              <w:right w:val="nil"/>
            </w:tcBorders>
          </w:tcPr>
          <w:p w14:paraId="746FD440" w14:textId="77777777" w:rsidR="007E521E" w:rsidRDefault="009E06F9" w:rsidP="00B81B0D">
            <w:pPr>
              <w:pStyle w:val="EndNoteBibliography"/>
              <w:ind w:hanging="112"/>
              <w:rPr>
                <w:rFonts w:ascii="Times New Roman" w:hAnsi="Times New Roman" w:cs="Times New Roman"/>
                <w:noProof w:val="0"/>
                <w:lang w:val="en-GB"/>
              </w:rPr>
            </w:pPr>
            <w:r>
              <w:rPr>
                <w:rFonts w:ascii="Times New Roman" w:hAnsi="Times New Roman" w:cs="Times New Roman"/>
                <w:noProof w:val="0"/>
                <w:lang w:val="en-GB"/>
              </w:rPr>
              <w:t>C</w:t>
            </w:r>
            <w:r w:rsidR="007E521E" w:rsidRPr="009E06F9">
              <w:rPr>
                <w:rFonts w:ascii="Times New Roman" w:hAnsi="Times New Roman" w:cs="Times New Roman"/>
                <w:noProof w:val="0"/>
                <w:lang w:val="en-GB"/>
              </w:rPr>
              <w:t xml:space="preserve">linical practice guidelines </w:t>
            </w:r>
            <w:r w:rsidR="00B81B0D">
              <w:rPr>
                <w:rFonts w:ascii="Times New Roman" w:hAnsi="Times New Roman" w:cs="Times New Roman"/>
                <w:noProof w:val="0"/>
                <w:lang w:val="en-GB"/>
              </w:rPr>
              <w:t>c</w:t>
            </w:r>
            <w:r w:rsidR="006D11E8" w:rsidRPr="009E06F9">
              <w:rPr>
                <w:rFonts w:ascii="Times New Roman" w:hAnsi="Times New Roman" w:cs="Times New Roman"/>
                <w:noProof w:val="0"/>
                <w:lang w:val="en-GB"/>
              </w:rPr>
              <w:t>haracteristic</w:t>
            </w:r>
            <w:r w:rsidR="00B81B0D">
              <w:rPr>
                <w:rFonts w:ascii="Times New Roman" w:hAnsi="Times New Roman" w:cs="Times New Roman"/>
                <w:noProof w:val="0"/>
                <w:lang w:val="en-GB"/>
              </w:rPr>
              <w:t>s</w:t>
            </w:r>
          </w:p>
          <w:p w14:paraId="38631168" w14:textId="2E2FA23D" w:rsidR="00B81B0D" w:rsidRPr="009E06F9" w:rsidRDefault="00B81B0D" w:rsidP="00B81B0D">
            <w:pPr>
              <w:pStyle w:val="EndNoteBibliography"/>
              <w:ind w:hanging="112"/>
              <w:rPr>
                <w:rFonts w:ascii="Times New Roman" w:hAnsi="Times New Roman" w:cs="Times New Roman"/>
                <w:noProof w:val="0"/>
                <w:lang w:val="en-GB"/>
              </w:rPr>
            </w:pPr>
          </w:p>
        </w:tc>
      </w:tr>
      <w:tr w:rsidR="00781205" w:rsidRPr="00781205" w14:paraId="7F600B58" w14:textId="77777777" w:rsidTr="00346420">
        <w:trPr>
          <w:trHeight w:val="170"/>
        </w:trPr>
        <w:tc>
          <w:tcPr>
            <w:tcW w:w="1696" w:type="dxa"/>
            <w:vAlign w:val="center"/>
          </w:tcPr>
          <w:p w14:paraId="6838BC26" w14:textId="3F5A94B3" w:rsidR="007E521E" w:rsidRPr="00781205" w:rsidRDefault="007E521E" w:rsidP="00781205">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Guideline title</w:t>
            </w:r>
          </w:p>
        </w:tc>
        <w:tc>
          <w:tcPr>
            <w:tcW w:w="993" w:type="dxa"/>
            <w:vAlign w:val="center"/>
          </w:tcPr>
          <w:p w14:paraId="6396E91A" w14:textId="77777777" w:rsidR="007E521E" w:rsidRPr="00781205" w:rsidRDefault="007E521E" w:rsidP="00781205">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Publication year</w:t>
            </w:r>
          </w:p>
        </w:tc>
        <w:tc>
          <w:tcPr>
            <w:tcW w:w="850" w:type="dxa"/>
            <w:vAlign w:val="center"/>
          </w:tcPr>
          <w:p w14:paraId="2F79687B" w14:textId="18F01E1C" w:rsidR="007E521E" w:rsidRPr="00781205" w:rsidRDefault="00021F10" w:rsidP="00781205">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Region</w:t>
            </w:r>
          </w:p>
        </w:tc>
        <w:tc>
          <w:tcPr>
            <w:tcW w:w="1134" w:type="dxa"/>
            <w:vAlign w:val="center"/>
          </w:tcPr>
          <w:p w14:paraId="5FAA0EF3" w14:textId="77777777" w:rsidR="007E521E" w:rsidRPr="00781205" w:rsidRDefault="007E521E" w:rsidP="00781205">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Specialty area</w:t>
            </w:r>
          </w:p>
        </w:tc>
        <w:tc>
          <w:tcPr>
            <w:tcW w:w="1559" w:type="dxa"/>
            <w:vAlign w:val="center"/>
          </w:tcPr>
          <w:p w14:paraId="1A0C5912" w14:textId="71ABFF69" w:rsidR="007E521E" w:rsidRPr="00781205" w:rsidRDefault="007E521E" w:rsidP="00781205">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Method</w:t>
            </w:r>
          </w:p>
        </w:tc>
        <w:tc>
          <w:tcPr>
            <w:tcW w:w="1570" w:type="dxa"/>
            <w:vAlign w:val="center"/>
          </w:tcPr>
          <w:p w14:paraId="66C1C461" w14:textId="77777777" w:rsidR="007E521E" w:rsidRPr="00781205" w:rsidRDefault="007E521E" w:rsidP="00781205">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Topic</w:t>
            </w:r>
          </w:p>
        </w:tc>
        <w:tc>
          <w:tcPr>
            <w:tcW w:w="1974" w:type="dxa"/>
            <w:vAlign w:val="center"/>
          </w:tcPr>
          <w:p w14:paraId="3297A9F6" w14:textId="5BB63767" w:rsidR="007E521E" w:rsidRPr="00781205" w:rsidRDefault="00781205" w:rsidP="00781205">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N°</w:t>
            </w:r>
            <w:r w:rsidR="007E521E" w:rsidRPr="00781205">
              <w:rPr>
                <w:rFonts w:ascii="Times New Roman" w:hAnsi="Times New Roman" w:cs="Times New Roman"/>
                <w:sz w:val="16"/>
                <w:szCs w:val="16"/>
                <w:lang w:val="en-GB"/>
              </w:rPr>
              <w:t xml:space="preserve"> of recommendations </w:t>
            </w:r>
          </w:p>
        </w:tc>
      </w:tr>
      <w:tr w:rsidR="009F005B" w:rsidRPr="00781205" w14:paraId="48B1D555" w14:textId="77777777" w:rsidTr="006504E1">
        <w:tc>
          <w:tcPr>
            <w:tcW w:w="1696" w:type="dxa"/>
          </w:tcPr>
          <w:p w14:paraId="22A02C07" w14:textId="7A816FC7" w:rsidR="007E521E" w:rsidRPr="00781205" w:rsidRDefault="007E521E" w:rsidP="007E521E">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EUROPAEM EMF Guideline 2016 for the prevention, diagnosis and treatment of EMF-related health problems and illnesses</w:t>
            </w:r>
          </w:p>
        </w:tc>
        <w:tc>
          <w:tcPr>
            <w:tcW w:w="993" w:type="dxa"/>
          </w:tcPr>
          <w:p w14:paraId="75C5C229" w14:textId="77777777" w:rsidR="007E521E" w:rsidRPr="00781205" w:rsidRDefault="007E521E" w:rsidP="006504E1">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2016</w:t>
            </w:r>
          </w:p>
        </w:tc>
        <w:tc>
          <w:tcPr>
            <w:tcW w:w="850" w:type="dxa"/>
          </w:tcPr>
          <w:p w14:paraId="3EB692E2" w14:textId="77777777" w:rsidR="007E521E" w:rsidRPr="00781205" w:rsidRDefault="007E521E" w:rsidP="006504E1">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Europe</w:t>
            </w:r>
          </w:p>
        </w:tc>
        <w:tc>
          <w:tcPr>
            <w:tcW w:w="1134" w:type="dxa"/>
          </w:tcPr>
          <w:p w14:paraId="7D2DC8D5" w14:textId="28BDB5DA" w:rsidR="007E521E" w:rsidRPr="00781205" w:rsidRDefault="00781205"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P</w:t>
            </w:r>
            <w:r w:rsidR="007E521E" w:rsidRPr="00781205">
              <w:rPr>
                <w:rFonts w:ascii="Times New Roman" w:hAnsi="Times New Roman" w:cs="Times New Roman"/>
                <w:sz w:val="16"/>
                <w:szCs w:val="16"/>
                <w:lang w:val="en-GB"/>
              </w:rPr>
              <w:t>ublic health</w:t>
            </w:r>
          </w:p>
        </w:tc>
        <w:tc>
          <w:tcPr>
            <w:tcW w:w="1559" w:type="dxa"/>
          </w:tcPr>
          <w:p w14:paraId="607E8053" w14:textId="268C2408" w:rsidR="007E521E" w:rsidRPr="00781205" w:rsidRDefault="00781205"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Not specified</w:t>
            </w:r>
          </w:p>
        </w:tc>
        <w:tc>
          <w:tcPr>
            <w:tcW w:w="1570" w:type="dxa"/>
          </w:tcPr>
          <w:p w14:paraId="700DCE2F" w14:textId="64FFE45C" w:rsidR="007E521E" w:rsidRPr="00781205" w:rsidRDefault="007E521E" w:rsidP="006504E1">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 xml:space="preserve">EMF (electromagnetic field) exposure </w:t>
            </w:r>
            <w:r w:rsidR="00346420" w:rsidRPr="00781205">
              <w:rPr>
                <w:rFonts w:ascii="Times New Roman" w:hAnsi="Times New Roman" w:cs="Times New Roman"/>
                <w:sz w:val="16"/>
                <w:szCs w:val="16"/>
                <w:lang w:val="en-GB"/>
              </w:rPr>
              <w:t>and related</w:t>
            </w:r>
            <w:r w:rsidRPr="00781205">
              <w:rPr>
                <w:rFonts w:ascii="Times New Roman" w:hAnsi="Times New Roman" w:cs="Times New Roman"/>
                <w:sz w:val="16"/>
                <w:szCs w:val="16"/>
                <w:lang w:val="en-GB"/>
              </w:rPr>
              <w:t xml:space="preserve"> health risks</w:t>
            </w:r>
          </w:p>
        </w:tc>
        <w:tc>
          <w:tcPr>
            <w:tcW w:w="1974" w:type="dxa"/>
          </w:tcPr>
          <w:p w14:paraId="5CABDFB4" w14:textId="014B5961" w:rsidR="007E521E" w:rsidRPr="00781205" w:rsidRDefault="00781205" w:rsidP="006504E1">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7</w:t>
            </w:r>
          </w:p>
        </w:tc>
      </w:tr>
      <w:tr w:rsidR="009F005B" w:rsidRPr="00781205" w14:paraId="2DCF61D4" w14:textId="77777777" w:rsidTr="006504E1">
        <w:tc>
          <w:tcPr>
            <w:tcW w:w="1696" w:type="dxa"/>
          </w:tcPr>
          <w:p w14:paraId="6951E8A8" w14:textId="77777777" w:rsidR="007E521E" w:rsidRPr="00781205" w:rsidRDefault="007E521E" w:rsidP="007E521E">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Guidelines for the Early Management of Patients with Acute Ischemic Stroke</w:t>
            </w:r>
          </w:p>
        </w:tc>
        <w:tc>
          <w:tcPr>
            <w:tcW w:w="993" w:type="dxa"/>
          </w:tcPr>
          <w:p w14:paraId="06575984" w14:textId="77777777" w:rsidR="007E521E" w:rsidRPr="00781205" w:rsidRDefault="007E521E" w:rsidP="006504E1">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2019</w:t>
            </w:r>
          </w:p>
        </w:tc>
        <w:tc>
          <w:tcPr>
            <w:tcW w:w="850" w:type="dxa"/>
          </w:tcPr>
          <w:p w14:paraId="6011C051" w14:textId="68E7C46B" w:rsidR="007E521E" w:rsidRPr="00781205" w:rsidRDefault="00196001" w:rsidP="006504E1">
            <w:pPr>
              <w:spacing w:after="160" w:line="259" w:lineRule="auto"/>
              <w:rPr>
                <w:rFonts w:ascii="Times New Roman" w:hAnsi="Times New Roman" w:cs="Times New Roman"/>
                <w:sz w:val="16"/>
                <w:szCs w:val="16"/>
                <w:lang w:val="en-GB"/>
              </w:rPr>
            </w:pPr>
            <w:r w:rsidRPr="00196001">
              <w:rPr>
                <w:rFonts w:ascii="Times New Roman" w:hAnsi="Times New Roman" w:cs="Times New Roman"/>
                <w:sz w:val="16"/>
                <w:szCs w:val="16"/>
                <w:lang w:val="en-GB"/>
              </w:rPr>
              <w:t>United States of America</w:t>
            </w:r>
          </w:p>
        </w:tc>
        <w:tc>
          <w:tcPr>
            <w:tcW w:w="1134" w:type="dxa"/>
          </w:tcPr>
          <w:p w14:paraId="240BD971" w14:textId="4CA005C3" w:rsidR="007E521E" w:rsidRPr="00781205" w:rsidRDefault="00781205"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N</w:t>
            </w:r>
            <w:r w:rsidR="007E521E" w:rsidRPr="00781205">
              <w:rPr>
                <w:rFonts w:ascii="Times New Roman" w:hAnsi="Times New Roman" w:cs="Times New Roman"/>
                <w:sz w:val="16"/>
                <w:szCs w:val="16"/>
                <w:lang w:val="en-GB"/>
              </w:rPr>
              <w:t>eurology</w:t>
            </w:r>
          </w:p>
        </w:tc>
        <w:tc>
          <w:tcPr>
            <w:tcW w:w="1559" w:type="dxa"/>
          </w:tcPr>
          <w:p w14:paraId="543A470E" w14:textId="77777777" w:rsidR="009F005B" w:rsidRPr="009F005B" w:rsidRDefault="009F005B" w:rsidP="006504E1">
            <w:pPr>
              <w:rPr>
                <w:rFonts w:ascii="Times New Roman" w:hAnsi="Times New Roman" w:cs="Times New Roman"/>
                <w:sz w:val="16"/>
                <w:szCs w:val="16"/>
                <w:lang w:val="en-GB"/>
              </w:rPr>
            </w:pPr>
            <w:r w:rsidRPr="009F005B">
              <w:rPr>
                <w:rFonts w:ascii="Times New Roman" w:hAnsi="Times New Roman" w:cs="Times New Roman"/>
                <w:sz w:val="16"/>
                <w:szCs w:val="16"/>
                <w:lang w:val="en-GB"/>
              </w:rPr>
              <w:t>American College of Cardiology/</w:t>
            </w:r>
          </w:p>
          <w:p w14:paraId="5AC4D321" w14:textId="77777777" w:rsidR="009F005B" w:rsidRPr="009F005B" w:rsidRDefault="009F005B" w:rsidP="006504E1">
            <w:pPr>
              <w:rPr>
                <w:rFonts w:ascii="Times New Roman" w:hAnsi="Times New Roman" w:cs="Times New Roman"/>
                <w:sz w:val="16"/>
                <w:szCs w:val="16"/>
                <w:lang w:val="en-GB"/>
              </w:rPr>
            </w:pPr>
            <w:r w:rsidRPr="009F005B">
              <w:rPr>
                <w:rFonts w:ascii="Times New Roman" w:hAnsi="Times New Roman" w:cs="Times New Roman"/>
                <w:sz w:val="16"/>
                <w:szCs w:val="16"/>
                <w:lang w:val="en-GB"/>
              </w:rPr>
              <w:t xml:space="preserve">American Heart Association 2015 Class of Recommendations and Levels of </w:t>
            </w:r>
            <w:r w:rsidRPr="009F005B">
              <w:rPr>
                <w:rFonts w:ascii="Times New Roman" w:hAnsi="Times New Roman" w:cs="Times New Roman"/>
                <w:sz w:val="16"/>
                <w:szCs w:val="16"/>
                <w:lang w:val="en-GB"/>
              </w:rPr>
              <w:lastRenderedPageBreak/>
              <w:t>Evidence and the new American Heart</w:t>
            </w:r>
          </w:p>
          <w:p w14:paraId="75A17ABF" w14:textId="161EF0D2" w:rsidR="007E521E" w:rsidRPr="00781205" w:rsidRDefault="009F005B"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Association guidelines format</w:t>
            </w:r>
          </w:p>
        </w:tc>
        <w:tc>
          <w:tcPr>
            <w:tcW w:w="1570" w:type="dxa"/>
          </w:tcPr>
          <w:p w14:paraId="14F9080B" w14:textId="77777777" w:rsidR="009F005B" w:rsidRPr="009F005B" w:rsidRDefault="009F005B" w:rsidP="006504E1">
            <w:pPr>
              <w:rPr>
                <w:rFonts w:ascii="Times New Roman" w:hAnsi="Times New Roman" w:cs="Times New Roman"/>
                <w:sz w:val="16"/>
                <w:szCs w:val="16"/>
                <w:lang w:val="en-GB"/>
              </w:rPr>
            </w:pPr>
            <w:r w:rsidRPr="009F005B">
              <w:rPr>
                <w:rFonts w:ascii="Times New Roman" w:hAnsi="Times New Roman" w:cs="Times New Roman"/>
                <w:sz w:val="16"/>
                <w:szCs w:val="16"/>
                <w:lang w:val="en-GB"/>
              </w:rPr>
              <w:lastRenderedPageBreak/>
              <w:t>Early Management of Patients</w:t>
            </w:r>
          </w:p>
          <w:p w14:paraId="4EEEE227" w14:textId="30B642BF" w:rsidR="007E521E" w:rsidRPr="00781205" w:rsidRDefault="009F005B" w:rsidP="006504E1">
            <w:pPr>
              <w:spacing w:after="160" w:line="259" w:lineRule="auto"/>
              <w:rPr>
                <w:rFonts w:ascii="Times New Roman" w:hAnsi="Times New Roman" w:cs="Times New Roman"/>
                <w:sz w:val="16"/>
                <w:szCs w:val="16"/>
                <w:lang w:val="en-GB"/>
              </w:rPr>
            </w:pPr>
            <w:r w:rsidRPr="009F005B">
              <w:rPr>
                <w:rFonts w:ascii="Times New Roman" w:hAnsi="Times New Roman" w:cs="Times New Roman"/>
                <w:sz w:val="16"/>
                <w:szCs w:val="16"/>
                <w:lang w:val="en-GB"/>
              </w:rPr>
              <w:t>With Acute Ischemic Stroke</w:t>
            </w:r>
          </w:p>
        </w:tc>
        <w:tc>
          <w:tcPr>
            <w:tcW w:w="1974" w:type="dxa"/>
          </w:tcPr>
          <w:p w14:paraId="3D66DA3E" w14:textId="6ED4090A" w:rsidR="007E521E" w:rsidRPr="00781205" w:rsidRDefault="009F005B"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170</w:t>
            </w:r>
          </w:p>
        </w:tc>
      </w:tr>
      <w:tr w:rsidR="009F005B" w:rsidRPr="00781205" w14:paraId="0728E3FC" w14:textId="77777777" w:rsidTr="006504E1">
        <w:tc>
          <w:tcPr>
            <w:tcW w:w="1696" w:type="dxa"/>
          </w:tcPr>
          <w:p w14:paraId="07E8CBAD" w14:textId="743D12EE" w:rsidR="007E521E" w:rsidRPr="00781205" w:rsidRDefault="007E521E" w:rsidP="007E521E">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 xml:space="preserve">ACR Appropriateness Criteria (®) Pretreatment Staging of Colorectal Cancer </w:t>
            </w:r>
          </w:p>
        </w:tc>
        <w:tc>
          <w:tcPr>
            <w:tcW w:w="993" w:type="dxa"/>
          </w:tcPr>
          <w:p w14:paraId="08DA4E2B" w14:textId="77777777" w:rsidR="007E521E" w:rsidRPr="00781205" w:rsidRDefault="007E521E" w:rsidP="006504E1">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2017</w:t>
            </w:r>
          </w:p>
        </w:tc>
        <w:tc>
          <w:tcPr>
            <w:tcW w:w="850" w:type="dxa"/>
          </w:tcPr>
          <w:p w14:paraId="39F58271" w14:textId="5D7EAF97" w:rsidR="007E521E" w:rsidRPr="00781205" w:rsidRDefault="00196001" w:rsidP="006504E1">
            <w:pPr>
              <w:spacing w:after="160" w:line="259" w:lineRule="auto"/>
              <w:rPr>
                <w:rFonts w:ascii="Times New Roman" w:hAnsi="Times New Roman" w:cs="Times New Roman"/>
                <w:sz w:val="16"/>
                <w:szCs w:val="16"/>
                <w:lang w:val="en-GB"/>
              </w:rPr>
            </w:pPr>
            <w:r w:rsidRPr="00196001">
              <w:rPr>
                <w:rFonts w:ascii="Times New Roman" w:hAnsi="Times New Roman" w:cs="Times New Roman"/>
                <w:sz w:val="16"/>
                <w:szCs w:val="16"/>
                <w:lang w:val="en-GB"/>
              </w:rPr>
              <w:t>United States of America</w:t>
            </w:r>
          </w:p>
        </w:tc>
        <w:tc>
          <w:tcPr>
            <w:tcW w:w="1134" w:type="dxa"/>
          </w:tcPr>
          <w:p w14:paraId="1A99F315" w14:textId="18D62D61" w:rsidR="007E521E" w:rsidRPr="00781205" w:rsidRDefault="009F005B"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O</w:t>
            </w:r>
            <w:r w:rsidR="007E521E" w:rsidRPr="00781205">
              <w:rPr>
                <w:rFonts w:ascii="Times New Roman" w:hAnsi="Times New Roman" w:cs="Times New Roman"/>
                <w:sz w:val="16"/>
                <w:szCs w:val="16"/>
                <w:lang w:val="en-GB"/>
              </w:rPr>
              <w:t>ncology</w:t>
            </w:r>
          </w:p>
        </w:tc>
        <w:tc>
          <w:tcPr>
            <w:tcW w:w="1559" w:type="dxa"/>
          </w:tcPr>
          <w:p w14:paraId="23E67A39" w14:textId="77777777" w:rsidR="009F005B" w:rsidRPr="009F005B" w:rsidRDefault="009F005B" w:rsidP="006504E1">
            <w:pPr>
              <w:rPr>
                <w:rFonts w:ascii="Times New Roman" w:hAnsi="Times New Roman" w:cs="Times New Roman"/>
                <w:sz w:val="16"/>
                <w:szCs w:val="16"/>
                <w:lang w:val="en-GB"/>
              </w:rPr>
            </w:pPr>
            <w:r w:rsidRPr="009F005B">
              <w:rPr>
                <w:rFonts w:ascii="Times New Roman" w:hAnsi="Times New Roman" w:cs="Times New Roman"/>
                <w:sz w:val="16"/>
                <w:szCs w:val="16"/>
                <w:lang w:val="en-GB"/>
              </w:rPr>
              <w:t>RAND/UCLA Appropriateness</w:t>
            </w:r>
          </w:p>
          <w:p w14:paraId="1F0F31CA" w14:textId="03AA644C" w:rsidR="007E521E" w:rsidRPr="00781205" w:rsidRDefault="009F005B" w:rsidP="006504E1">
            <w:pPr>
              <w:spacing w:after="160" w:line="259" w:lineRule="auto"/>
              <w:rPr>
                <w:rFonts w:ascii="Times New Roman" w:hAnsi="Times New Roman" w:cs="Times New Roman"/>
                <w:sz w:val="16"/>
                <w:szCs w:val="16"/>
                <w:lang w:val="en-GB"/>
              </w:rPr>
            </w:pPr>
            <w:r w:rsidRPr="009F005B">
              <w:rPr>
                <w:rFonts w:ascii="Times New Roman" w:hAnsi="Times New Roman" w:cs="Times New Roman"/>
                <w:sz w:val="16"/>
                <w:szCs w:val="16"/>
                <w:lang w:val="en-GB"/>
              </w:rPr>
              <w:t>Method and Grading of Recommendations Assessment, Devel</w:t>
            </w:r>
            <w:r>
              <w:rPr>
                <w:rFonts w:ascii="Times New Roman" w:hAnsi="Times New Roman" w:cs="Times New Roman"/>
                <w:sz w:val="16"/>
                <w:szCs w:val="16"/>
                <w:lang w:val="en-GB"/>
              </w:rPr>
              <w:t>opment, and Evaluation or GRADE</w:t>
            </w:r>
          </w:p>
        </w:tc>
        <w:tc>
          <w:tcPr>
            <w:tcW w:w="1570" w:type="dxa"/>
          </w:tcPr>
          <w:p w14:paraId="24F5DEF6" w14:textId="4AA9709F" w:rsidR="007E521E" w:rsidRPr="00781205" w:rsidRDefault="009F005B" w:rsidP="006504E1">
            <w:pPr>
              <w:spacing w:after="160" w:line="259" w:lineRule="auto"/>
              <w:rPr>
                <w:rFonts w:ascii="Times New Roman" w:hAnsi="Times New Roman" w:cs="Times New Roman"/>
                <w:sz w:val="16"/>
                <w:szCs w:val="16"/>
                <w:lang w:val="en-GB"/>
              </w:rPr>
            </w:pPr>
            <w:r w:rsidRPr="009F005B">
              <w:rPr>
                <w:rFonts w:ascii="Times New Roman" w:hAnsi="Times New Roman" w:cs="Times New Roman"/>
                <w:sz w:val="16"/>
                <w:szCs w:val="16"/>
                <w:lang w:val="en-GB"/>
              </w:rPr>
              <w:t>Gastrointestinal Imaging</w:t>
            </w:r>
          </w:p>
        </w:tc>
        <w:tc>
          <w:tcPr>
            <w:tcW w:w="1974" w:type="dxa"/>
          </w:tcPr>
          <w:p w14:paraId="07774F46" w14:textId="3AD679FF" w:rsidR="007E521E" w:rsidRPr="00781205" w:rsidRDefault="009F005B"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2</w:t>
            </w:r>
          </w:p>
        </w:tc>
      </w:tr>
      <w:tr w:rsidR="009F005B" w:rsidRPr="00781205" w14:paraId="5B12BF21" w14:textId="77777777" w:rsidTr="006504E1">
        <w:tc>
          <w:tcPr>
            <w:tcW w:w="1696" w:type="dxa"/>
          </w:tcPr>
          <w:p w14:paraId="46BEECD3" w14:textId="37989947" w:rsidR="007E521E" w:rsidRPr="00781205" w:rsidRDefault="007E521E" w:rsidP="007E521E">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British Association of Dermatologists guidelines for biologic therapy for psoriasis</w:t>
            </w:r>
          </w:p>
        </w:tc>
        <w:tc>
          <w:tcPr>
            <w:tcW w:w="993" w:type="dxa"/>
          </w:tcPr>
          <w:p w14:paraId="25902FEC" w14:textId="77777777" w:rsidR="007E521E" w:rsidRPr="00781205" w:rsidRDefault="007E521E" w:rsidP="006504E1">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2017</w:t>
            </w:r>
          </w:p>
        </w:tc>
        <w:tc>
          <w:tcPr>
            <w:tcW w:w="850" w:type="dxa"/>
          </w:tcPr>
          <w:p w14:paraId="278B3F56" w14:textId="5F7D0221" w:rsidR="007E521E" w:rsidRPr="00781205" w:rsidRDefault="009F005B"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UK</w:t>
            </w:r>
          </w:p>
        </w:tc>
        <w:tc>
          <w:tcPr>
            <w:tcW w:w="1134" w:type="dxa"/>
          </w:tcPr>
          <w:p w14:paraId="24098E7A" w14:textId="78AAD947" w:rsidR="007E521E" w:rsidRPr="00781205" w:rsidRDefault="009F005B"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D</w:t>
            </w:r>
            <w:r w:rsidR="007E521E" w:rsidRPr="00781205">
              <w:rPr>
                <w:rFonts w:ascii="Times New Roman" w:hAnsi="Times New Roman" w:cs="Times New Roman"/>
                <w:sz w:val="16"/>
                <w:szCs w:val="16"/>
                <w:lang w:val="en-GB"/>
              </w:rPr>
              <w:t>ermatology</w:t>
            </w:r>
          </w:p>
        </w:tc>
        <w:tc>
          <w:tcPr>
            <w:tcW w:w="1559" w:type="dxa"/>
          </w:tcPr>
          <w:p w14:paraId="3C4362CA" w14:textId="77777777" w:rsidR="009F005B" w:rsidRPr="009F005B" w:rsidRDefault="009F005B" w:rsidP="006504E1">
            <w:pPr>
              <w:rPr>
                <w:rFonts w:ascii="Times New Roman" w:hAnsi="Times New Roman" w:cs="Times New Roman"/>
                <w:sz w:val="16"/>
                <w:szCs w:val="16"/>
                <w:lang w:val="en-GB"/>
              </w:rPr>
            </w:pPr>
            <w:r w:rsidRPr="009F005B">
              <w:rPr>
                <w:rFonts w:ascii="Times New Roman" w:hAnsi="Times New Roman" w:cs="Times New Roman"/>
                <w:sz w:val="16"/>
                <w:szCs w:val="16"/>
                <w:lang w:val="en-GB"/>
              </w:rPr>
              <w:t>Grading of Recommendations Assessment, Development</w:t>
            </w:r>
          </w:p>
          <w:p w14:paraId="1DAB95B2" w14:textId="77C01086" w:rsidR="007E521E" w:rsidRPr="00781205" w:rsidRDefault="009F005B" w:rsidP="006504E1">
            <w:pPr>
              <w:spacing w:after="160" w:line="259" w:lineRule="auto"/>
              <w:rPr>
                <w:rFonts w:ascii="Times New Roman" w:hAnsi="Times New Roman" w:cs="Times New Roman"/>
                <w:sz w:val="16"/>
                <w:szCs w:val="16"/>
                <w:lang w:val="en-GB"/>
              </w:rPr>
            </w:pPr>
            <w:r w:rsidRPr="009F005B">
              <w:rPr>
                <w:rFonts w:ascii="Times New Roman" w:hAnsi="Times New Roman" w:cs="Times New Roman"/>
                <w:sz w:val="16"/>
                <w:szCs w:val="16"/>
                <w:lang w:val="en-GB"/>
              </w:rPr>
              <w:t>and Evaluation (GRADE)</w:t>
            </w:r>
          </w:p>
        </w:tc>
        <w:tc>
          <w:tcPr>
            <w:tcW w:w="1570" w:type="dxa"/>
          </w:tcPr>
          <w:p w14:paraId="5A9A8A0E" w14:textId="5D814962" w:rsidR="007E521E" w:rsidRPr="00781205" w:rsidRDefault="009F005B"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T</w:t>
            </w:r>
            <w:r w:rsidRPr="009F005B">
              <w:rPr>
                <w:rFonts w:ascii="Times New Roman" w:hAnsi="Times New Roman" w:cs="Times New Roman"/>
                <w:sz w:val="16"/>
                <w:szCs w:val="16"/>
                <w:lang w:val="en-GB"/>
              </w:rPr>
              <w:t>reatment of psoriasis</w:t>
            </w:r>
          </w:p>
        </w:tc>
        <w:tc>
          <w:tcPr>
            <w:tcW w:w="1974" w:type="dxa"/>
          </w:tcPr>
          <w:p w14:paraId="75AF245B" w14:textId="561F4DD5" w:rsidR="007E521E" w:rsidRPr="00781205" w:rsidRDefault="009F005B"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57</w:t>
            </w:r>
          </w:p>
        </w:tc>
      </w:tr>
      <w:tr w:rsidR="009F005B" w:rsidRPr="00781205" w14:paraId="68432B83" w14:textId="77777777" w:rsidTr="006504E1">
        <w:tc>
          <w:tcPr>
            <w:tcW w:w="1696" w:type="dxa"/>
          </w:tcPr>
          <w:p w14:paraId="793B296E" w14:textId="0CF53FAD" w:rsidR="007E521E" w:rsidRPr="00781205" w:rsidRDefault="007E521E" w:rsidP="007E521E">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Diagnosis and management of congenital diaphragmatic hernia: a clinical practice guideline</w:t>
            </w:r>
          </w:p>
        </w:tc>
        <w:tc>
          <w:tcPr>
            <w:tcW w:w="993" w:type="dxa"/>
          </w:tcPr>
          <w:p w14:paraId="6DB155FF" w14:textId="77777777" w:rsidR="007E521E" w:rsidRPr="00781205" w:rsidRDefault="007E521E" w:rsidP="006504E1">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2018</w:t>
            </w:r>
          </w:p>
        </w:tc>
        <w:tc>
          <w:tcPr>
            <w:tcW w:w="850" w:type="dxa"/>
          </w:tcPr>
          <w:p w14:paraId="473D0D59" w14:textId="44138717" w:rsidR="007E521E" w:rsidRPr="00781205" w:rsidRDefault="005F66F2"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Canada</w:t>
            </w:r>
          </w:p>
        </w:tc>
        <w:tc>
          <w:tcPr>
            <w:tcW w:w="1134" w:type="dxa"/>
          </w:tcPr>
          <w:p w14:paraId="0C35F6F6" w14:textId="560AFA60" w:rsidR="007E521E" w:rsidRPr="00781205" w:rsidRDefault="005F66F2"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S</w:t>
            </w:r>
            <w:r w:rsidR="007E521E" w:rsidRPr="00781205">
              <w:rPr>
                <w:rFonts w:ascii="Times New Roman" w:hAnsi="Times New Roman" w:cs="Times New Roman"/>
                <w:sz w:val="16"/>
                <w:szCs w:val="16"/>
                <w:lang w:val="en-GB"/>
              </w:rPr>
              <w:t>urgery</w:t>
            </w:r>
          </w:p>
        </w:tc>
        <w:tc>
          <w:tcPr>
            <w:tcW w:w="1559" w:type="dxa"/>
          </w:tcPr>
          <w:p w14:paraId="401495DC" w14:textId="77777777" w:rsidR="005F66F2" w:rsidRDefault="005F66F2" w:rsidP="006504E1">
            <w:pPr>
              <w:spacing w:after="160" w:line="259" w:lineRule="auto"/>
              <w:rPr>
                <w:rFonts w:ascii="Times New Roman" w:hAnsi="Times New Roman" w:cs="Times New Roman"/>
                <w:sz w:val="16"/>
                <w:szCs w:val="16"/>
                <w:lang w:val="en-GB"/>
              </w:rPr>
            </w:pPr>
            <w:r w:rsidRPr="005F66F2">
              <w:rPr>
                <w:rFonts w:ascii="Times New Roman" w:hAnsi="Times New Roman" w:cs="Times New Roman"/>
                <w:sz w:val="16"/>
                <w:szCs w:val="16"/>
                <w:lang w:val="en-GB"/>
              </w:rPr>
              <w:t>Taxonomy</w:t>
            </w:r>
            <w:r>
              <w:rPr>
                <w:rFonts w:ascii="Times New Roman" w:hAnsi="Times New Roman" w:cs="Times New Roman"/>
                <w:sz w:val="16"/>
                <w:szCs w:val="16"/>
                <w:lang w:val="en-GB"/>
              </w:rPr>
              <w:t xml:space="preserve"> scheme for grading of evidence.</w:t>
            </w:r>
          </w:p>
          <w:p w14:paraId="0D4FF6DD" w14:textId="4DFCBA11" w:rsidR="007E521E" w:rsidRPr="00781205" w:rsidRDefault="005F66F2" w:rsidP="006504E1">
            <w:pPr>
              <w:spacing w:after="160" w:line="259" w:lineRule="auto"/>
              <w:rPr>
                <w:rFonts w:ascii="Times New Roman" w:hAnsi="Times New Roman" w:cs="Times New Roman"/>
                <w:sz w:val="16"/>
                <w:szCs w:val="16"/>
                <w:lang w:val="en-GB"/>
              </w:rPr>
            </w:pPr>
            <w:r w:rsidRPr="005F66F2">
              <w:rPr>
                <w:rFonts w:ascii="Times New Roman" w:hAnsi="Times New Roman" w:cs="Times New Roman"/>
                <w:sz w:val="16"/>
                <w:szCs w:val="16"/>
                <w:lang w:val="en-GB"/>
              </w:rPr>
              <w:t>Modified Delphi consensus framework</w:t>
            </w:r>
          </w:p>
        </w:tc>
        <w:tc>
          <w:tcPr>
            <w:tcW w:w="1570" w:type="dxa"/>
          </w:tcPr>
          <w:p w14:paraId="3651E6E9" w14:textId="77039E24" w:rsidR="005F66F2" w:rsidRPr="005F66F2" w:rsidRDefault="005F66F2" w:rsidP="006504E1">
            <w:pPr>
              <w:rPr>
                <w:rFonts w:ascii="Times New Roman" w:hAnsi="Times New Roman" w:cs="Times New Roman"/>
                <w:sz w:val="16"/>
                <w:szCs w:val="16"/>
                <w:lang w:val="en-GB"/>
              </w:rPr>
            </w:pPr>
            <w:r>
              <w:rPr>
                <w:rFonts w:ascii="Times New Roman" w:hAnsi="Times New Roman" w:cs="Times New Roman"/>
                <w:sz w:val="16"/>
                <w:szCs w:val="16"/>
                <w:lang w:val="en-GB"/>
              </w:rPr>
              <w:t>C</w:t>
            </w:r>
            <w:r w:rsidRPr="005F66F2">
              <w:rPr>
                <w:rFonts w:ascii="Times New Roman" w:hAnsi="Times New Roman" w:cs="Times New Roman"/>
                <w:sz w:val="16"/>
                <w:szCs w:val="16"/>
                <w:lang w:val="en-GB"/>
              </w:rPr>
              <w:t>ongenital</w:t>
            </w:r>
          </w:p>
          <w:p w14:paraId="4FBE384D" w14:textId="7F14466B" w:rsidR="007E521E" w:rsidRPr="00781205" w:rsidRDefault="005F66F2" w:rsidP="006504E1">
            <w:pPr>
              <w:spacing w:after="160" w:line="259" w:lineRule="auto"/>
              <w:rPr>
                <w:rFonts w:ascii="Times New Roman" w:hAnsi="Times New Roman" w:cs="Times New Roman"/>
                <w:sz w:val="16"/>
                <w:szCs w:val="16"/>
                <w:lang w:val="en-GB"/>
              </w:rPr>
            </w:pPr>
            <w:r w:rsidRPr="005F66F2">
              <w:rPr>
                <w:rFonts w:ascii="Times New Roman" w:hAnsi="Times New Roman" w:cs="Times New Roman"/>
                <w:sz w:val="16"/>
                <w:szCs w:val="16"/>
                <w:lang w:val="en-GB"/>
              </w:rPr>
              <w:t>diaphragmatic hernia</w:t>
            </w:r>
          </w:p>
        </w:tc>
        <w:tc>
          <w:tcPr>
            <w:tcW w:w="1974" w:type="dxa"/>
          </w:tcPr>
          <w:p w14:paraId="4F82CEC5" w14:textId="46149BE6" w:rsidR="007E521E" w:rsidRPr="00781205" w:rsidRDefault="005F66F2"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22</w:t>
            </w:r>
          </w:p>
        </w:tc>
      </w:tr>
      <w:tr w:rsidR="009F005B" w:rsidRPr="00781205" w14:paraId="054D4A51" w14:textId="77777777" w:rsidTr="006504E1">
        <w:tc>
          <w:tcPr>
            <w:tcW w:w="1696" w:type="dxa"/>
          </w:tcPr>
          <w:p w14:paraId="73E93985" w14:textId="1E382156" w:rsidR="007E521E" w:rsidRPr="00781205" w:rsidRDefault="007E521E" w:rsidP="007E521E">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Canadian 24-Hour Movement Guidelines for the Early Years (0-4 years): An Integration of Physical Activity, Sedentary Behaviour, and Sleep</w:t>
            </w:r>
          </w:p>
        </w:tc>
        <w:tc>
          <w:tcPr>
            <w:tcW w:w="993" w:type="dxa"/>
          </w:tcPr>
          <w:p w14:paraId="5550A9F6" w14:textId="77777777" w:rsidR="007E521E" w:rsidRPr="00781205" w:rsidRDefault="007E521E" w:rsidP="006504E1">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2017</w:t>
            </w:r>
          </w:p>
        </w:tc>
        <w:tc>
          <w:tcPr>
            <w:tcW w:w="850" w:type="dxa"/>
          </w:tcPr>
          <w:p w14:paraId="12952BF2" w14:textId="112115D8" w:rsidR="007E521E" w:rsidRPr="00781205" w:rsidRDefault="005F66F2"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Canada</w:t>
            </w:r>
          </w:p>
        </w:tc>
        <w:tc>
          <w:tcPr>
            <w:tcW w:w="1134" w:type="dxa"/>
          </w:tcPr>
          <w:p w14:paraId="7FC393C4" w14:textId="69FCF21F" w:rsidR="007E521E" w:rsidRPr="00781205" w:rsidRDefault="005F66F2"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P</w:t>
            </w:r>
            <w:r w:rsidR="007E521E" w:rsidRPr="00781205">
              <w:rPr>
                <w:rFonts w:ascii="Times New Roman" w:hAnsi="Times New Roman" w:cs="Times New Roman"/>
                <w:sz w:val="16"/>
                <w:szCs w:val="16"/>
                <w:lang w:val="en-GB"/>
              </w:rPr>
              <w:t>ublic health</w:t>
            </w:r>
          </w:p>
        </w:tc>
        <w:tc>
          <w:tcPr>
            <w:tcW w:w="1559" w:type="dxa"/>
          </w:tcPr>
          <w:p w14:paraId="67CF918E" w14:textId="77777777" w:rsidR="005F66F2" w:rsidRPr="005F66F2" w:rsidRDefault="005F66F2" w:rsidP="006504E1">
            <w:pPr>
              <w:rPr>
                <w:rFonts w:ascii="Times New Roman" w:hAnsi="Times New Roman" w:cs="Times New Roman"/>
                <w:sz w:val="16"/>
                <w:szCs w:val="16"/>
                <w:lang w:val="en-GB"/>
              </w:rPr>
            </w:pPr>
            <w:r w:rsidRPr="005F66F2">
              <w:rPr>
                <w:rFonts w:ascii="Times New Roman" w:hAnsi="Times New Roman" w:cs="Times New Roman"/>
                <w:sz w:val="16"/>
                <w:szCs w:val="16"/>
                <w:lang w:val="en-GB"/>
              </w:rPr>
              <w:t>Grading of</w:t>
            </w:r>
          </w:p>
          <w:p w14:paraId="0D08B088" w14:textId="210FF5EA" w:rsidR="007E521E" w:rsidRPr="00781205" w:rsidRDefault="005F66F2" w:rsidP="006504E1">
            <w:pPr>
              <w:spacing w:after="160" w:line="259" w:lineRule="auto"/>
              <w:rPr>
                <w:rFonts w:ascii="Times New Roman" w:hAnsi="Times New Roman" w:cs="Times New Roman"/>
                <w:sz w:val="16"/>
                <w:szCs w:val="16"/>
                <w:lang w:val="en-GB"/>
              </w:rPr>
            </w:pPr>
            <w:r w:rsidRPr="005F66F2">
              <w:rPr>
                <w:rFonts w:ascii="Times New Roman" w:hAnsi="Times New Roman" w:cs="Times New Roman"/>
                <w:sz w:val="16"/>
                <w:szCs w:val="16"/>
                <w:lang w:val="en-GB"/>
              </w:rPr>
              <w:t>Recommendations Assessment, Development, and Evaluation (GRADE)</w:t>
            </w:r>
          </w:p>
        </w:tc>
        <w:tc>
          <w:tcPr>
            <w:tcW w:w="1570" w:type="dxa"/>
          </w:tcPr>
          <w:p w14:paraId="2168FB4B" w14:textId="6E7F56AE" w:rsidR="007E521E" w:rsidRPr="00781205" w:rsidRDefault="005F66F2"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T</w:t>
            </w:r>
            <w:r w:rsidRPr="005F66F2">
              <w:rPr>
                <w:rFonts w:ascii="Times New Roman" w:hAnsi="Times New Roman" w:cs="Times New Roman"/>
                <w:sz w:val="16"/>
                <w:szCs w:val="16"/>
                <w:lang w:val="en-GB"/>
              </w:rPr>
              <w:t>he balance of movement behaviours across the whole day</w:t>
            </w:r>
            <w:r>
              <w:rPr>
                <w:rFonts w:ascii="Times New Roman" w:hAnsi="Times New Roman" w:cs="Times New Roman"/>
                <w:sz w:val="16"/>
                <w:szCs w:val="16"/>
                <w:lang w:val="en-GB"/>
              </w:rPr>
              <w:t xml:space="preserve"> for </w:t>
            </w:r>
            <w:r w:rsidR="00424E65">
              <w:rPr>
                <w:rFonts w:ascii="Times New Roman" w:hAnsi="Times New Roman" w:cs="Times New Roman"/>
                <w:sz w:val="16"/>
                <w:szCs w:val="16"/>
                <w:lang w:val="en-GB"/>
              </w:rPr>
              <w:t>children (0-4)</w:t>
            </w:r>
          </w:p>
        </w:tc>
        <w:tc>
          <w:tcPr>
            <w:tcW w:w="1974" w:type="dxa"/>
          </w:tcPr>
          <w:p w14:paraId="537D3454" w14:textId="262D41FB" w:rsidR="007E521E" w:rsidRPr="00781205" w:rsidRDefault="00424E65"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8</w:t>
            </w:r>
          </w:p>
        </w:tc>
      </w:tr>
      <w:tr w:rsidR="009F005B" w:rsidRPr="00781205" w14:paraId="593FEC31" w14:textId="77777777" w:rsidTr="006504E1">
        <w:tc>
          <w:tcPr>
            <w:tcW w:w="1696" w:type="dxa"/>
          </w:tcPr>
          <w:p w14:paraId="0128CA10" w14:textId="50A8814E" w:rsidR="007E521E" w:rsidRPr="00781205" w:rsidRDefault="007E521E" w:rsidP="007E521E">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ACCF/AHA Guideline for the Management of Heart Failure: A Report of the American College of Cardiology/American Heart Association Task Force on Clinical Practice Guidelines and the Heart Failure Society of America</w:t>
            </w:r>
          </w:p>
        </w:tc>
        <w:tc>
          <w:tcPr>
            <w:tcW w:w="993" w:type="dxa"/>
          </w:tcPr>
          <w:p w14:paraId="14DC89FA" w14:textId="77777777" w:rsidR="007E521E" w:rsidRPr="00781205" w:rsidRDefault="007E521E" w:rsidP="006504E1">
            <w:pPr>
              <w:spacing w:after="160" w:line="259" w:lineRule="auto"/>
              <w:rPr>
                <w:rFonts w:ascii="Times New Roman" w:hAnsi="Times New Roman" w:cs="Times New Roman"/>
                <w:sz w:val="16"/>
                <w:szCs w:val="16"/>
                <w:lang w:val="en-GB"/>
              </w:rPr>
            </w:pPr>
            <w:r w:rsidRPr="00781205">
              <w:rPr>
                <w:rFonts w:ascii="Times New Roman" w:hAnsi="Times New Roman" w:cs="Times New Roman"/>
                <w:sz w:val="16"/>
                <w:szCs w:val="16"/>
                <w:lang w:val="en-GB"/>
              </w:rPr>
              <w:t>2017</w:t>
            </w:r>
          </w:p>
        </w:tc>
        <w:tc>
          <w:tcPr>
            <w:tcW w:w="850" w:type="dxa"/>
          </w:tcPr>
          <w:p w14:paraId="6BA5FE35" w14:textId="436CAC2E" w:rsidR="007E521E" w:rsidRPr="00781205" w:rsidRDefault="00196001" w:rsidP="006504E1">
            <w:pPr>
              <w:spacing w:after="160" w:line="259" w:lineRule="auto"/>
              <w:rPr>
                <w:rFonts w:ascii="Times New Roman" w:hAnsi="Times New Roman" w:cs="Times New Roman"/>
                <w:sz w:val="16"/>
                <w:szCs w:val="16"/>
                <w:lang w:val="en-GB"/>
              </w:rPr>
            </w:pPr>
            <w:r w:rsidRPr="00196001">
              <w:rPr>
                <w:rFonts w:ascii="Times New Roman" w:hAnsi="Times New Roman" w:cs="Times New Roman"/>
                <w:sz w:val="16"/>
                <w:szCs w:val="16"/>
                <w:lang w:val="en-GB"/>
              </w:rPr>
              <w:t>United States of America</w:t>
            </w:r>
          </w:p>
        </w:tc>
        <w:tc>
          <w:tcPr>
            <w:tcW w:w="1134" w:type="dxa"/>
          </w:tcPr>
          <w:p w14:paraId="5A161A0C" w14:textId="109CAB30" w:rsidR="007E521E" w:rsidRPr="00781205" w:rsidRDefault="00B03ED7"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C</w:t>
            </w:r>
            <w:r w:rsidR="007E521E" w:rsidRPr="00781205">
              <w:rPr>
                <w:rFonts w:ascii="Times New Roman" w:hAnsi="Times New Roman" w:cs="Times New Roman"/>
                <w:sz w:val="16"/>
                <w:szCs w:val="16"/>
                <w:lang w:val="en-GB"/>
              </w:rPr>
              <w:t>ardiology</w:t>
            </w:r>
          </w:p>
        </w:tc>
        <w:tc>
          <w:tcPr>
            <w:tcW w:w="1559" w:type="dxa"/>
          </w:tcPr>
          <w:p w14:paraId="1CF2180D" w14:textId="5A12C1A5" w:rsidR="007E521E" w:rsidRPr="00781205" w:rsidRDefault="00424E65" w:rsidP="006504E1">
            <w:pPr>
              <w:spacing w:after="160" w:line="259" w:lineRule="auto"/>
              <w:rPr>
                <w:rFonts w:ascii="Times New Roman" w:hAnsi="Times New Roman" w:cs="Times New Roman"/>
                <w:sz w:val="16"/>
                <w:szCs w:val="16"/>
                <w:lang w:val="en-GB"/>
              </w:rPr>
            </w:pPr>
            <w:r w:rsidRPr="00424E65">
              <w:rPr>
                <w:rFonts w:ascii="Times New Roman" w:hAnsi="Times New Roman" w:cs="Times New Roman"/>
                <w:sz w:val="16"/>
                <w:szCs w:val="16"/>
                <w:lang w:val="en-GB"/>
              </w:rPr>
              <w:t>The Class of Recommendation (COR) indicates the strength of the recommendation, encompassing the estimated magnitude and certainty of benefit in proportion to risk. The Level of Evidence (LOE) rates the quality of scientific evidence</w:t>
            </w:r>
          </w:p>
        </w:tc>
        <w:tc>
          <w:tcPr>
            <w:tcW w:w="1570" w:type="dxa"/>
          </w:tcPr>
          <w:p w14:paraId="0E916E76" w14:textId="57FC14AA" w:rsidR="007E521E" w:rsidRPr="00781205" w:rsidRDefault="00424E65" w:rsidP="006504E1">
            <w:pPr>
              <w:spacing w:after="160" w:line="259" w:lineRule="auto"/>
              <w:rPr>
                <w:rFonts w:ascii="Times New Roman" w:hAnsi="Times New Roman" w:cs="Times New Roman"/>
                <w:sz w:val="16"/>
                <w:szCs w:val="16"/>
                <w:lang w:val="en-GB"/>
              </w:rPr>
            </w:pPr>
            <w:r w:rsidRPr="00424E65">
              <w:rPr>
                <w:rFonts w:ascii="Times New Roman" w:hAnsi="Times New Roman" w:cs="Times New Roman"/>
                <w:sz w:val="16"/>
                <w:szCs w:val="16"/>
                <w:lang w:val="en-GB"/>
              </w:rPr>
              <w:t>Management of Heart Failure</w:t>
            </w:r>
          </w:p>
        </w:tc>
        <w:tc>
          <w:tcPr>
            <w:tcW w:w="1974" w:type="dxa"/>
          </w:tcPr>
          <w:p w14:paraId="7C476022" w14:textId="10F62525" w:rsidR="007E521E" w:rsidRPr="00781205" w:rsidRDefault="00424E65" w:rsidP="006504E1">
            <w:pPr>
              <w:spacing w:after="160" w:line="259" w:lineRule="auto"/>
              <w:rPr>
                <w:rFonts w:ascii="Times New Roman" w:hAnsi="Times New Roman" w:cs="Times New Roman"/>
                <w:sz w:val="16"/>
                <w:szCs w:val="16"/>
                <w:lang w:val="en-GB"/>
              </w:rPr>
            </w:pPr>
            <w:r>
              <w:rPr>
                <w:rFonts w:ascii="Times New Roman" w:hAnsi="Times New Roman" w:cs="Times New Roman"/>
                <w:sz w:val="16"/>
                <w:szCs w:val="16"/>
                <w:lang w:val="en-GB"/>
              </w:rPr>
              <w:t>28</w:t>
            </w:r>
          </w:p>
        </w:tc>
      </w:tr>
    </w:tbl>
    <w:p w14:paraId="1260429C" w14:textId="77777777" w:rsidR="00C050CF" w:rsidRDefault="00C050CF">
      <w:pPr>
        <w:rPr>
          <w:lang w:val="en-GB"/>
        </w:rPr>
      </w:pPr>
    </w:p>
    <w:p w14:paraId="11B813D9" w14:textId="77777777" w:rsidR="00C050CF" w:rsidRDefault="00C050CF">
      <w:pPr>
        <w:rPr>
          <w:lang w:val="en-GB"/>
        </w:rPr>
      </w:pPr>
    </w:p>
    <w:p w14:paraId="6279DFFF" w14:textId="66F1CE40" w:rsidR="00151833" w:rsidRPr="00026465" w:rsidRDefault="00C050CF">
      <w:pPr>
        <w:rPr>
          <w:lang w:val="en-GB"/>
        </w:rPr>
      </w:pPr>
      <w:r>
        <w:rPr>
          <w:lang w:val="en-GB"/>
        </w:rPr>
        <w:fldChar w:fldCharType="begin"/>
      </w:r>
      <w:r>
        <w:rPr>
          <w:lang w:val="en-GB"/>
        </w:rPr>
        <w:instrText xml:space="preserve"> ADDIN EN.REFLIST </w:instrText>
      </w:r>
      <w:r>
        <w:rPr>
          <w:lang w:val="en-GB"/>
        </w:rPr>
        <w:fldChar w:fldCharType="end"/>
      </w:r>
    </w:p>
    <w:sectPr w:rsidR="00151833" w:rsidRPr="0002646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edical Res Metho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dfps09topsdp0edv9mp0vx4p5d2r2vzwrfz&quot;&gt;IGEST&lt;record-ids&gt;&lt;item&gt;63&lt;/item&gt;&lt;item&gt;64&lt;/item&gt;&lt;item&gt;65&lt;/item&gt;&lt;item&gt;66&lt;/item&gt;&lt;/record-ids&gt;&lt;/item&gt;&lt;/Libraries&gt;"/>
  </w:docVars>
  <w:rsids>
    <w:rsidRoot w:val="0073341F"/>
    <w:rsid w:val="00021F10"/>
    <w:rsid w:val="00026465"/>
    <w:rsid w:val="00060890"/>
    <w:rsid w:val="000D66C0"/>
    <w:rsid w:val="00151833"/>
    <w:rsid w:val="00191F18"/>
    <w:rsid w:val="00196001"/>
    <w:rsid w:val="001D6547"/>
    <w:rsid w:val="002C63A9"/>
    <w:rsid w:val="002D768E"/>
    <w:rsid w:val="002E55E0"/>
    <w:rsid w:val="00346420"/>
    <w:rsid w:val="0036759F"/>
    <w:rsid w:val="00424E65"/>
    <w:rsid w:val="004D2574"/>
    <w:rsid w:val="00537654"/>
    <w:rsid w:val="005D18F0"/>
    <w:rsid w:val="005F66F2"/>
    <w:rsid w:val="00647D25"/>
    <w:rsid w:val="006504E1"/>
    <w:rsid w:val="006D11E8"/>
    <w:rsid w:val="006F1E02"/>
    <w:rsid w:val="007134EC"/>
    <w:rsid w:val="0073341F"/>
    <w:rsid w:val="00781205"/>
    <w:rsid w:val="00795AA8"/>
    <w:rsid w:val="007E521E"/>
    <w:rsid w:val="00844CE2"/>
    <w:rsid w:val="009E06F9"/>
    <w:rsid w:val="009F005B"/>
    <w:rsid w:val="00AA7A2C"/>
    <w:rsid w:val="00B03ED7"/>
    <w:rsid w:val="00B80CB0"/>
    <w:rsid w:val="00B81B0D"/>
    <w:rsid w:val="00BE6FFC"/>
    <w:rsid w:val="00C050CF"/>
    <w:rsid w:val="00C25955"/>
    <w:rsid w:val="00D94719"/>
    <w:rsid w:val="00DE331A"/>
    <w:rsid w:val="00E344DE"/>
    <w:rsid w:val="00F72E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50B74"/>
  <w15:chartTrackingRefBased/>
  <w15:docId w15:val="{B1E0CF20-3874-4F83-B4FA-D38781E4B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537654"/>
    <w:rPr>
      <w:sz w:val="16"/>
      <w:szCs w:val="16"/>
    </w:rPr>
  </w:style>
  <w:style w:type="paragraph" w:styleId="Testocommento">
    <w:name w:val="annotation text"/>
    <w:basedOn w:val="Normale"/>
    <w:link w:val="TestocommentoCarattere"/>
    <w:uiPriority w:val="99"/>
    <w:unhideWhenUsed/>
    <w:rsid w:val="00537654"/>
    <w:pPr>
      <w:spacing w:before="100" w:beforeAutospacing="1" w:after="100" w:afterAutospacing="1" w:line="240" w:lineRule="auto"/>
      <w:ind w:firstLine="709"/>
      <w:contextualSpacing/>
      <w:jc w:val="both"/>
    </w:pPr>
    <w:rPr>
      <w:rFonts w:ascii="Times New Roman" w:hAnsi="Times New Roman"/>
      <w:sz w:val="20"/>
      <w:szCs w:val="20"/>
    </w:rPr>
  </w:style>
  <w:style w:type="character" w:customStyle="1" w:styleId="TestocommentoCarattere">
    <w:name w:val="Testo commento Carattere"/>
    <w:basedOn w:val="Carpredefinitoparagrafo"/>
    <w:link w:val="Testocommento"/>
    <w:uiPriority w:val="99"/>
    <w:rsid w:val="00537654"/>
    <w:rPr>
      <w:rFonts w:ascii="Times New Roman" w:hAnsi="Times New Roman"/>
      <w:sz w:val="20"/>
      <w:szCs w:val="20"/>
    </w:rPr>
  </w:style>
  <w:style w:type="paragraph" w:customStyle="1" w:styleId="EndNoteBibliographyTitle">
    <w:name w:val="EndNote Bibliography Title"/>
    <w:basedOn w:val="Normale"/>
    <w:link w:val="EndNoteBibliographyTitleCarattere"/>
    <w:rsid w:val="00D94719"/>
    <w:pPr>
      <w:spacing w:after="0"/>
      <w:jc w:val="center"/>
    </w:pPr>
    <w:rPr>
      <w:rFonts w:ascii="Calibri" w:hAnsi="Calibri" w:cs="Calibri"/>
      <w:noProof/>
      <w:lang w:val="en-US"/>
    </w:rPr>
  </w:style>
  <w:style w:type="character" w:customStyle="1" w:styleId="EndNoteBibliographyTitleCarattere">
    <w:name w:val="EndNote Bibliography Title Carattere"/>
    <w:basedOn w:val="Carpredefinitoparagrafo"/>
    <w:link w:val="EndNoteBibliographyTitle"/>
    <w:rsid w:val="00D94719"/>
    <w:rPr>
      <w:rFonts w:ascii="Calibri" w:hAnsi="Calibri" w:cs="Calibri"/>
      <w:noProof/>
      <w:lang w:val="en-US"/>
    </w:rPr>
  </w:style>
  <w:style w:type="paragraph" w:customStyle="1" w:styleId="EndNoteBibliography">
    <w:name w:val="EndNote Bibliography"/>
    <w:basedOn w:val="Normale"/>
    <w:link w:val="EndNoteBibliographyCarattere"/>
    <w:rsid w:val="00D94719"/>
    <w:pPr>
      <w:spacing w:line="240" w:lineRule="auto"/>
    </w:pPr>
    <w:rPr>
      <w:rFonts w:ascii="Calibri" w:hAnsi="Calibri" w:cs="Calibri"/>
      <w:noProof/>
      <w:lang w:val="en-US"/>
    </w:rPr>
  </w:style>
  <w:style w:type="character" w:customStyle="1" w:styleId="EndNoteBibliographyCarattere">
    <w:name w:val="EndNote Bibliography Carattere"/>
    <w:basedOn w:val="Carpredefinitoparagrafo"/>
    <w:link w:val="EndNoteBibliography"/>
    <w:rsid w:val="00D94719"/>
    <w:rPr>
      <w:rFonts w:ascii="Calibri" w:hAnsi="Calibri" w:cs="Calibri"/>
      <w:noProof/>
      <w:lang w:val="en-US"/>
    </w:rPr>
  </w:style>
  <w:style w:type="table" w:styleId="Grigliatabella">
    <w:name w:val="Table Grid"/>
    <w:basedOn w:val="Tabellanormale"/>
    <w:uiPriority w:val="39"/>
    <w:rsid w:val="007E52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737</Words>
  <Characters>4207</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D'angelo</dc:creator>
  <cp:keywords/>
  <dc:description/>
  <cp:lastModifiedBy>Daniela D'angelo</cp:lastModifiedBy>
  <cp:revision>3</cp:revision>
  <dcterms:created xsi:type="dcterms:W3CDTF">2022-04-04T15:53:00Z</dcterms:created>
  <dcterms:modified xsi:type="dcterms:W3CDTF">2022-04-04T15:57:00Z</dcterms:modified>
</cp:coreProperties>
</file>