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CD" w:rsidRDefault="00BF72CD" w:rsidP="00BF72CD">
      <w:pPr>
        <w:rPr>
          <w:rFonts w:ascii="Times New Roman" w:hAnsi="Times New Roman" w:cs="Times New Roman"/>
          <w:b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C438E6">
        <w:rPr>
          <w:rFonts w:ascii="Times New Roman" w:hAnsi="Times New Roman" w:cs="Times New Roman"/>
          <w:b/>
          <w:lang w:val="en-US"/>
        </w:rPr>
        <w:t>Supplementary materials</w:t>
      </w: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C438E6">
        <w:rPr>
          <w:rFonts w:ascii="Times New Roman" w:hAnsi="Times New Roman" w:cs="Times New Roman"/>
          <w:b/>
          <w:lang w:val="en-US"/>
        </w:rPr>
        <w:t xml:space="preserve">Table S1: Treatment exposure after natalizumab or fingolimod start during the follow-up.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276"/>
        <w:gridCol w:w="676"/>
        <w:gridCol w:w="3118"/>
        <w:gridCol w:w="1559"/>
      </w:tblGrid>
      <w:tr w:rsidR="00BF72CD" w:rsidRPr="00C438E6" w:rsidTr="00BE2011">
        <w:trPr>
          <w:trHeight w:val="283"/>
        </w:trPr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 xml:space="preserve">Fingolimod-treated patients </w:t>
            </w:r>
          </w:p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>(N= 3159)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 xml:space="preserve">Natalizumab-treated patients </w:t>
            </w:r>
          </w:p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>(N= 1989)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438E6">
              <w:rPr>
                <w:rFonts w:ascii="Times New Roman" w:hAnsi="Times New Roman" w:cs="Times New Roman"/>
                <w:b/>
              </w:rPr>
              <w:t>Sequence</w:t>
            </w:r>
            <w:r w:rsidRPr="00C438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8E6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438E6">
              <w:rPr>
                <w:rFonts w:ascii="Times New Roman" w:hAnsi="Times New Roman" w:cs="Times New Roman"/>
                <w:b/>
              </w:rPr>
              <w:t>Sequence</w:t>
            </w:r>
            <w:r w:rsidRPr="00C438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438E6">
              <w:rPr>
                <w:rFonts w:ascii="Times New Roman" w:hAnsi="Times New Roman" w:cs="Times New Roman"/>
                <w:b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8E6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  <w:tcBorders>
              <w:top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Unknown due to ongoing fingolimod or loss of follow-up</w:t>
            </w:r>
          </w:p>
        </w:tc>
        <w:tc>
          <w:tcPr>
            <w:tcW w:w="1276" w:type="dxa"/>
            <w:vAlign w:val="center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2577 (81%)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Unknown due to ongoing natalizumab or loss of follow-up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1311 (66%)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Natalizumab</w:t>
            </w:r>
          </w:p>
        </w:tc>
        <w:tc>
          <w:tcPr>
            <w:tcW w:w="12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222 (7%)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Fingolimod</w:t>
            </w:r>
          </w:p>
        </w:tc>
        <w:tc>
          <w:tcPr>
            <w:tcW w:w="1559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393 (20%)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Fingolimod</w:t>
            </w:r>
          </w:p>
        </w:tc>
        <w:tc>
          <w:tcPr>
            <w:tcW w:w="12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93 (3%)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Natalizumab</w:t>
            </w:r>
          </w:p>
        </w:tc>
        <w:tc>
          <w:tcPr>
            <w:tcW w:w="1559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101 (5%)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Dimethyl Fumarate</w:t>
            </w:r>
          </w:p>
        </w:tc>
        <w:tc>
          <w:tcPr>
            <w:tcW w:w="12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42 (1%)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Dimethyl Fumarate</w:t>
            </w:r>
          </w:p>
        </w:tc>
        <w:tc>
          <w:tcPr>
            <w:tcW w:w="1559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23 (1%)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438E6">
              <w:rPr>
                <w:rFonts w:ascii="Times New Roman" w:hAnsi="Times New Roman" w:cs="Times New Roman"/>
              </w:rPr>
              <w:t>Teriflunomide</w:t>
            </w:r>
            <w:proofErr w:type="spellEnd"/>
          </w:p>
        </w:tc>
        <w:tc>
          <w:tcPr>
            <w:tcW w:w="12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29 (0.9%)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Glatiramer acetate</w:t>
            </w:r>
          </w:p>
        </w:tc>
        <w:tc>
          <w:tcPr>
            <w:tcW w:w="1559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14 (0.7%)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Interferon</w:t>
            </w:r>
          </w:p>
        </w:tc>
        <w:tc>
          <w:tcPr>
            <w:tcW w:w="1276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15(0.5%)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Fingolimod, Natalizumab</w:t>
            </w:r>
          </w:p>
        </w:tc>
        <w:tc>
          <w:tcPr>
            <w:tcW w:w="1559" w:type="dxa"/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12 (0.6%)</w:t>
            </w:r>
          </w:p>
        </w:tc>
      </w:tr>
      <w:tr w:rsidR="00BF72CD" w:rsidRPr="00C438E6" w:rsidTr="00BE2011">
        <w:trPr>
          <w:trHeight w:val="283"/>
        </w:trPr>
        <w:tc>
          <w:tcPr>
            <w:tcW w:w="3118" w:type="dxa"/>
            <w:tcBorders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Glatiramer acetate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15 (0.5%)</w:t>
            </w:r>
          </w:p>
        </w:tc>
        <w:tc>
          <w:tcPr>
            <w:tcW w:w="676" w:type="dxa"/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Rituximab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72CD" w:rsidRPr="00C438E6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438E6">
              <w:rPr>
                <w:rFonts w:ascii="Times New Roman" w:hAnsi="Times New Roman" w:cs="Times New Roman"/>
              </w:rPr>
              <w:t>11 (0.5%)</w:t>
            </w:r>
          </w:p>
        </w:tc>
      </w:tr>
    </w:tbl>
    <w:p w:rsidR="00BF72CD" w:rsidRPr="00C438E6" w:rsidRDefault="00BF72CD" w:rsidP="00BF72CD">
      <w:pPr>
        <w:spacing w:line="36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438E6">
        <w:rPr>
          <w:rFonts w:ascii="Times New Roman" w:hAnsi="Times New Roman" w:cs="Times New Roman"/>
          <w:vertAlign w:val="superscript"/>
          <w:lang w:val="en-US"/>
        </w:rPr>
        <w:t>a</w:t>
      </w:r>
      <w:r w:rsidRPr="00C438E6">
        <w:rPr>
          <w:rFonts w:ascii="Times New Roman" w:hAnsi="Times New Roman" w:cs="Times New Roman"/>
          <w:lang w:val="en-US"/>
        </w:rPr>
        <w:t>sequence</w:t>
      </w:r>
      <w:proofErr w:type="spellEnd"/>
      <w:proofErr w:type="gramEnd"/>
      <w:r w:rsidRPr="00C438E6">
        <w:rPr>
          <w:rFonts w:ascii="Times New Roman" w:hAnsi="Times New Roman" w:cs="Times New Roman"/>
          <w:lang w:val="en-US"/>
        </w:rPr>
        <w:t xml:space="preserve"> observed for 0.5% or more patients</w:t>
      </w: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  <w:sectPr w:rsidR="00BF72CD" w:rsidRPr="00C438E6" w:rsidSect="0043695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text" w:horzAnchor="margin" w:tblpY="380"/>
        <w:tblW w:w="148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1393"/>
        <w:gridCol w:w="1395"/>
        <w:gridCol w:w="1396"/>
        <w:gridCol w:w="1396"/>
        <w:gridCol w:w="1396"/>
        <w:gridCol w:w="1396"/>
        <w:gridCol w:w="1396"/>
        <w:gridCol w:w="1402"/>
        <w:gridCol w:w="461"/>
      </w:tblGrid>
      <w:tr w:rsidR="00BF72CD" w:rsidRPr="00EF60F1" w:rsidTr="00BE2011">
        <w:trPr>
          <w:trHeight w:val="238"/>
        </w:trPr>
        <w:tc>
          <w:tcPr>
            <w:tcW w:w="3218" w:type="dxa"/>
            <w:tcBorders>
              <w:bottom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789" w:type="dxa"/>
            <w:gridSpan w:val="2"/>
            <w:tcBorders>
              <w:bottom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Overall</w:t>
            </w:r>
          </w:p>
        </w:tc>
        <w:tc>
          <w:tcPr>
            <w:tcW w:w="2792" w:type="dxa"/>
            <w:gridSpan w:val="2"/>
            <w:vMerge w:val="restart"/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Unmatched – caliper=0.1</w:t>
            </w:r>
          </w:p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N=1890</w:t>
            </w:r>
          </w:p>
        </w:tc>
        <w:tc>
          <w:tcPr>
            <w:tcW w:w="2792" w:type="dxa"/>
            <w:gridSpan w:val="2"/>
            <w:vMerge w:val="restart"/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Unmatched – caliper=0.2</w:t>
            </w:r>
          </w:p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N=1870</w:t>
            </w:r>
          </w:p>
        </w:tc>
        <w:tc>
          <w:tcPr>
            <w:tcW w:w="3256" w:type="dxa"/>
            <w:gridSpan w:val="3"/>
            <w:vMerge w:val="restart"/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Unmatched – caliper=0.02</w:t>
            </w:r>
          </w:p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N=1916</w:t>
            </w:r>
          </w:p>
        </w:tc>
      </w:tr>
      <w:tr w:rsidR="00BF72CD" w:rsidRPr="00EF60F1" w:rsidTr="00BE2011">
        <w:trPr>
          <w:trHeight w:val="255"/>
        </w:trPr>
        <w:tc>
          <w:tcPr>
            <w:tcW w:w="3218" w:type="dxa"/>
            <w:tcBorders>
              <w:top w:val="nil"/>
              <w:bottom w:val="single" w:sz="4" w:space="0" w:color="auto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89" w:type="dxa"/>
            <w:gridSpan w:val="2"/>
            <w:tcBorders>
              <w:top w:val="nil"/>
              <w:bottom w:val="single" w:sz="4" w:space="0" w:color="auto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N=5148</w:t>
            </w:r>
          </w:p>
        </w:tc>
        <w:tc>
          <w:tcPr>
            <w:tcW w:w="2792" w:type="dxa"/>
            <w:gridSpan w:val="2"/>
            <w:vMerge/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2" w:type="dxa"/>
            <w:gridSpan w:val="2"/>
            <w:vMerge/>
            <w:tcBorders>
              <w:bottom w:val="single" w:sz="4" w:space="0" w:color="auto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56" w:type="dxa"/>
            <w:gridSpan w:val="3"/>
            <w:vMerge/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62"/>
        </w:trPr>
        <w:tc>
          <w:tcPr>
            <w:tcW w:w="3218" w:type="dxa"/>
            <w:tcBorders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natalizumab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fingolimod</w:t>
            </w:r>
          </w:p>
        </w:tc>
        <w:tc>
          <w:tcPr>
            <w:tcW w:w="1396" w:type="dxa"/>
            <w:tcBorders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natalizumab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fingolimod</w:t>
            </w:r>
          </w:p>
        </w:tc>
        <w:tc>
          <w:tcPr>
            <w:tcW w:w="1396" w:type="dxa"/>
            <w:tcBorders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natalizumab</w:t>
            </w:r>
          </w:p>
        </w:tc>
        <w:tc>
          <w:tcPr>
            <w:tcW w:w="1396" w:type="dxa"/>
            <w:tcBorders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fingolimod</w:t>
            </w:r>
          </w:p>
        </w:tc>
        <w:tc>
          <w:tcPr>
            <w:tcW w:w="1396" w:type="dxa"/>
            <w:tcBorders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natalizumab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>fingolimod</w:t>
            </w:r>
          </w:p>
        </w:tc>
      </w:tr>
      <w:tr w:rsidR="00BF72CD" w:rsidRPr="00EF60F1" w:rsidTr="00BE2011">
        <w:trPr>
          <w:gridAfter w:val="1"/>
          <w:wAfter w:w="461" w:type="dxa"/>
          <w:trHeight w:val="281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N=1989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N=3159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N=360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N=1530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N=350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N=1520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N=1543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Sex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a</w:t>
            </w:r>
            <w:proofErr w:type="spellEnd"/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Female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1451 (73%)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2247 (71%)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276 (77%)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1356 (71%)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268 (77%)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1078 (71%)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282 (76%)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1084 (70%)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Male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538 (27%)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912 (29%)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84 (23%)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534 (29%)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82 (23%)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442 (29%)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91 (24%)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459 (30%)</w:t>
            </w: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Age at treatment </w:t>
            </w: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start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b</w:t>
            </w:r>
            <w:proofErr w:type="spellEnd"/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36.6 (29.3-43.9)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38.5 (31.6-45.4)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37.2 (29.8- 44.4)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37.4(30.3-44.2)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37.2 (29.7-44.4)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37.3 (30.3-44.3)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37.3 (29.8-44.4)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37.6 (30.5-44.5)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MS duration at </w:t>
            </w: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treatment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b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6.3 (2.4-11.8)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7.4 (3.6-13.0)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6.3 (2.3-12.2)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6.5(2.9-11.8)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6.2 (2.3-12.2)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6.6 (2.9-11.9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6.3 (2.33-12.2)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6.4 (3.8-11.9)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EDSS at treatment </w:t>
            </w: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start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 or less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434 (22%)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1122 (35%)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60 (17%)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714 (47%)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57 (16%)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689 (45%)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62 (17%)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705 (46%)</w:t>
            </w: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Between 2 and 4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981 (49%)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1403 (44%)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159 (44%)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616 (40%)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155 (44%)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636 (42%)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168 (45%)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628 (41%)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 or more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574 (29%)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634 (20%)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141 (39%)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200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138 (39%)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195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143 (38%)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210 (14%)</w:t>
            </w:r>
          </w:p>
        </w:tc>
      </w:tr>
      <w:tr w:rsidR="00BF72CD" w:rsidRPr="00536F4E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Number of relapses </w:t>
            </w:r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 the previous 12 </w:t>
            </w:r>
            <w:proofErr w:type="spellStart"/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>months</w:t>
            </w:r>
            <w:r w:rsidRPr="0049589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570 (29%)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1287 (41%)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27 (8%)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767 (50%)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25 (7%)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747 (49%)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29 (8%)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769 (50%)</w:t>
            </w: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752 (38%)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1269 (40%)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132 (37%)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599 (39%)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129 (37%)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624 (41%)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134 (36%)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611 (40%)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484 (24%)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491 (15%)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138 (38%)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147 (10%)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133 (38%)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135 (9%)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134 (36%)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145 (9%)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 or more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183 (9%)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112 (3%)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63 (18%)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17 (1%)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63 (18%)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 (1%)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76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 (1%)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Number of previous </w:t>
            </w: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treatment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401 (20%)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435 (14%)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67 (19%)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187 (12%)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64 (18%)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192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67 (18%)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185 (12%)</w:t>
            </w: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924 (46%)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1635 (52%)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182 (51%)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783 (51%)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178 (51%)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784 (52%)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192 (51%)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809 (52%)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457 (23%)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730 (23%)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90 (25%)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359 (23%)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87 (25%)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356 (23%)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92 (25%)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347 (22%)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 or more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207 (10%)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359 (11%)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21 (6%)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201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21 (6%)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188 (12%)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22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202 (13%)</w:t>
            </w:r>
          </w:p>
        </w:tc>
      </w:tr>
      <w:tr w:rsidR="00BF72CD" w:rsidRPr="00536F4E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MS </w:t>
            </w:r>
            <w:r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activity </w:t>
            </w:r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 the previous 12 </w:t>
            </w:r>
            <w:proofErr w:type="spellStart"/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>months</w:t>
            </w:r>
            <w:r w:rsidRPr="0049589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None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410 (21%)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1028 (32%)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17 (5%)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645 (42%)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15 (4%)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641 (42%)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654 (42%)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Worsening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160 (8%)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259 (8%)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 (3%)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122 (8%)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 (3%)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106 (7%)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9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115 (7%)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Relapse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886 (44%)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1273 (40%)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200 (56%)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564 (37%)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192 (55%)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569 (37%)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196 (53%)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566 (37%)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 xml:space="preserve">Relapse and </w:t>
            </w:r>
            <w:r>
              <w:rPr>
                <w:rFonts w:ascii="Times New Roman" w:hAnsi="Times New Roman" w:cs="Times New Roman"/>
                <w:sz w:val="16"/>
              </w:rPr>
              <w:t>worsening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533 (27%)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599 (19%)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133 (37%)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199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133 (38%)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204 (13%)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148 (40%)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208 (13%)</w:t>
            </w:r>
          </w:p>
        </w:tc>
      </w:tr>
      <w:tr w:rsidR="00BF72CD" w:rsidRPr="00EF60F1" w:rsidTr="00BE2011">
        <w:trPr>
          <w:gridAfter w:val="1"/>
          <w:wAfter w:w="461" w:type="dxa"/>
          <w:trHeight w:val="238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16"/>
              </w:rPr>
            </w:pPr>
            <w:r w:rsidRPr="00EF60F1">
              <w:rPr>
                <w:rFonts w:ascii="Times New Roman" w:hAnsi="Times New Roman" w:cs="Times New Roman"/>
                <w:b/>
                <w:sz w:val="16"/>
              </w:rPr>
              <w:t xml:space="preserve">Data </w:t>
            </w:r>
            <w:proofErr w:type="spellStart"/>
            <w:r w:rsidRPr="00EF60F1">
              <w:rPr>
                <w:rFonts w:ascii="Times New Roman" w:hAnsi="Times New Roman" w:cs="Times New Roman"/>
                <w:b/>
                <w:sz w:val="16"/>
              </w:rPr>
              <w:t>sources</w:t>
            </w:r>
            <w:r w:rsidRPr="00EF60F1">
              <w:rPr>
                <w:rFonts w:ascii="Times New Roman" w:hAnsi="Times New Roman" w:cs="Times New Roman"/>
                <w:b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MS Base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1141 (57%)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2152 (68%)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192 (53%)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1227 (80%)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184 (53%)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1227 (81%)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206 (55%)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1235 (80%)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DMSR</w:t>
            </w:r>
          </w:p>
        </w:tc>
        <w:tc>
          <w:tcPr>
            <w:tcW w:w="1394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607 (31%)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837 (26%)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0 (0%)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277 (18%)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0 (0%)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265 (17%)</w:t>
            </w:r>
          </w:p>
        </w:tc>
        <w:tc>
          <w:tcPr>
            <w:tcW w:w="1396" w:type="dxa"/>
            <w:tcBorders>
              <w:top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14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277 (18%)</w:t>
            </w:r>
          </w:p>
        </w:tc>
      </w:tr>
      <w:tr w:rsidR="00BF72CD" w:rsidRPr="00EF60F1" w:rsidTr="00BE2011">
        <w:trPr>
          <w:gridAfter w:val="1"/>
          <w:wAfter w:w="461" w:type="dxa"/>
          <w:trHeight w:val="255"/>
        </w:trPr>
        <w:tc>
          <w:tcPr>
            <w:tcW w:w="3218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ind w:left="708"/>
              <w:contextualSpacing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OFSEP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241 (12%)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170 (5%)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168 (47%)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26 (2%)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166 (47%)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28 (2%)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153 (41%)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  <w:r w:rsidRPr="00EF60F1">
              <w:rPr>
                <w:rFonts w:ascii="Times New Roman" w:hAnsi="Times New Roman" w:cs="Times New Roman"/>
                <w:sz w:val="16"/>
              </w:rPr>
              <w:t>31 (2%)</w:t>
            </w:r>
          </w:p>
        </w:tc>
      </w:tr>
      <w:tr w:rsidR="00BF72CD" w:rsidRPr="00536F4E" w:rsidTr="00BE2011">
        <w:trPr>
          <w:gridAfter w:val="1"/>
          <w:wAfter w:w="458" w:type="dxa"/>
          <w:trHeight w:val="494"/>
        </w:trPr>
        <w:tc>
          <w:tcPr>
            <w:tcW w:w="14389" w:type="dxa"/>
            <w:gridSpan w:val="9"/>
            <w:tcBorders>
              <w:top w:val="single" w:sz="4" w:space="0" w:color="auto"/>
              <w:bottom w:val="nil"/>
              <w:right w:val="nil"/>
            </w:tcBorders>
          </w:tcPr>
          <w:p w:rsidR="00BF72CD" w:rsidRPr="00EF60F1" w:rsidRDefault="00BF72CD" w:rsidP="00BE2011">
            <w:pPr>
              <w:spacing w:line="360" w:lineRule="auto"/>
              <w:contextualSpacing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F60F1">
              <w:rPr>
                <w:rFonts w:ascii="Times New Roman" w:hAnsi="Times New Roman" w:cs="Times New Roman"/>
                <w:sz w:val="16"/>
                <w:vertAlign w:val="superscript"/>
              </w:rPr>
              <w:t>a</w:t>
            </w:r>
            <w:r w:rsidRPr="00EF60F1">
              <w:rPr>
                <w:rFonts w:ascii="Times New Roman" w:hAnsi="Times New Roman" w:cs="Times New Roman"/>
                <w:sz w:val="16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EF60F1">
              <w:rPr>
                <w:rFonts w:ascii="Times New Roman" w:hAnsi="Times New Roman" w:cs="Times New Roman"/>
                <w:sz w:val="16"/>
              </w:rPr>
              <w:t xml:space="preserve">(%); </w:t>
            </w:r>
            <w:proofErr w:type="spellStart"/>
            <w:r w:rsidRPr="00EF60F1">
              <w:rPr>
                <w:rFonts w:ascii="Times New Roman" w:hAnsi="Times New Roman" w:cs="Times New Roman"/>
                <w:sz w:val="16"/>
                <w:vertAlign w:val="superscript"/>
              </w:rPr>
              <w:t>b</w:t>
            </w:r>
            <w:r w:rsidRPr="00EF60F1">
              <w:rPr>
                <w:rFonts w:ascii="Times New Roman" w:hAnsi="Times New Roman" w:cs="Times New Roman"/>
                <w:sz w:val="16"/>
              </w:rPr>
              <w:t>Median</w:t>
            </w:r>
            <w:proofErr w:type="spellEnd"/>
            <w:r w:rsidRPr="00EF60F1">
              <w:rPr>
                <w:rFonts w:ascii="Times New Roman" w:hAnsi="Times New Roman" w:cs="Times New Roman"/>
                <w:sz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</w:rPr>
              <w:t>Quartiles</w:t>
            </w:r>
            <w:r w:rsidRPr="00EF60F1">
              <w:rPr>
                <w:rFonts w:ascii="Times New Roman" w:hAnsi="Times New Roman" w:cs="Times New Roman"/>
                <w:sz w:val="16"/>
              </w:rPr>
              <w:t xml:space="preserve">); </w:t>
            </w:r>
            <w:proofErr w:type="spellStart"/>
            <w:r w:rsidRPr="00EF60F1">
              <w:rPr>
                <w:rFonts w:ascii="Times New Roman" w:hAnsi="Times New Roman" w:cs="Times New Roman"/>
                <w:sz w:val="16"/>
                <w:vertAlign w:val="superscript"/>
              </w:rPr>
              <w:t>c</w:t>
            </w:r>
            <w:r w:rsidRPr="00EF60F1">
              <w:rPr>
                <w:rFonts w:ascii="Times New Roman" w:hAnsi="Times New Roman" w:cs="Times New Roman"/>
                <w:sz w:val="16"/>
              </w:rPr>
              <w:t>SMD</w:t>
            </w:r>
            <w:proofErr w:type="spellEnd"/>
            <w:r w:rsidRPr="00EF60F1">
              <w:rPr>
                <w:rFonts w:ascii="Times New Roman" w:hAnsi="Times New Roman" w:cs="Times New Roman"/>
                <w:sz w:val="16"/>
              </w:rPr>
              <w:t>: standardized mean differences between Natalizumab treated patients and Fingolimod treated patients</w:t>
            </w:r>
          </w:p>
          <w:p w:rsidR="00BF72CD" w:rsidRPr="00EF60F1" w:rsidRDefault="00BF72CD" w:rsidP="00BE201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C438E6">
        <w:rPr>
          <w:rFonts w:ascii="Times New Roman" w:hAnsi="Times New Roman" w:cs="Times New Roman"/>
          <w:b/>
          <w:lang w:val="en-US"/>
        </w:rPr>
        <w:t xml:space="preserve">Table S2: </w:t>
      </w:r>
      <w:r>
        <w:rPr>
          <w:rFonts w:ascii="Times New Roman" w:hAnsi="Times New Roman" w:cs="Times New Roman"/>
          <w:b/>
          <w:lang w:val="en-US"/>
        </w:rPr>
        <w:t xml:space="preserve">Baseline </w:t>
      </w:r>
      <w:r w:rsidRPr="00C438E6">
        <w:rPr>
          <w:rFonts w:ascii="Times New Roman" w:hAnsi="Times New Roman" w:cs="Times New Roman"/>
          <w:b/>
          <w:lang w:val="en-US"/>
        </w:rPr>
        <w:t>characteristics of</w:t>
      </w:r>
      <w:r>
        <w:rPr>
          <w:rFonts w:ascii="Times New Roman" w:hAnsi="Times New Roman" w:cs="Times New Roman"/>
          <w:b/>
          <w:lang w:val="en-US"/>
        </w:rPr>
        <w:t xml:space="preserve"> the</w:t>
      </w:r>
      <w:r w:rsidRPr="00C438E6">
        <w:rPr>
          <w:rFonts w:ascii="Times New Roman" w:hAnsi="Times New Roman" w:cs="Times New Roman"/>
          <w:b/>
          <w:lang w:val="en-US"/>
        </w:rPr>
        <w:t xml:space="preserve"> unmatched cohort</w:t>
      </w:r>
      <w:r>
        <w:rPr>
          <w:rFonts w:ascii="Times New Roman" w:hAnsi="Times New Roman" w:cs="Times New Roman"/>
          <w:b/>
          <w:lang w:val="en-US"/>
        </w:rPr>
        <w:t>s</w:t>
      </w:r>
      <w:r w:rsidRPr="00C438E6">
        <w:rPr>
          <w:rFonts w:ascii="Times New Roman" w:hAnsi="Times New Roman" w:cs="Times New Roman"/>
          <w:b/>
          <w:lang w:val="en-US"/>
        </w:rPr>
        <w:t xml:space="preserve"> by treatment group</w:t>
      </w: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</w:p>
    <w:p w:rsidR="00BF72CD" w:rsidRDefault="00BF72CD" w:rsidP="00BF72CD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BF72CD" w:rsidRPr="00C438E6" w:rsidRDefault="00BF72CD" w:rsidP="00BF72CD">
      <w:pPr>
        <w:rPr>
          <w:b/>
          <w:lang w:val="en-US"/>
        </w:rPr>
      </w:pPr>
    </w:p>
    <w:p w:rsidR="00BF72CD" w:rsidRPr="00C438E6" w:rsidRDefault="00BF72CD" w:rsidP="00BF72CD">
      <w:pPr>
        <w:rPr>
          <w:rFonts w:ascii="Times New Roman" w:hAnsi="Times New Roman" w:cs="Times New Roman"/>
          <w:b/>
          <w:lang w:val="en-US"/>
        </w:rPr>
      </w:pPr>
      <w:r w:rsidRPr="00C438E6">
        <w:rPr>
          <w:rFonts w:ascii="Times New Roman" w:hAnsi="Times New Roman" w:cs="Times New Roman"/>
          <w:b/>
          <w:lang w:val="en-US"/>
        </w:rPr>
        <w:t xml:space="preserve">Table S3: </w:t>
      </w:r>
      <w:r>
        <w:rPr>
          <w:rFonts w:ascii="Times New Roman" w:hAnsi="Times New Roman" w:cs="Times New Roman"/>
          <w:b/>
          <w:lang w:val="en-US"/>
        </w:rPr>
        <w:t xml:space="preserve">Baseline </w:t>
      </w:r>
      <w:r w:rsidRPr="00C438E6">
        <w:rPr>
          <w:rFonts w:ascii="Times New Roman" w:hAnsi="Times New Roman" w:cs="Times New Roman"/>
          <w:b/>
          <w:lang w:val="en-US"/>
        </w:rPr>
        <w:t xml:space="preserve">characteristics of cohort </w:t>
      </w:r>
      <w:r>
        <w:rPr>
          <w:rFonts w:ascii="Times New Roman" w:hAnsi="Times New Roman" w:cs="Times New Roman"/>
          <w:b/>
          <w:lang w:val="en-US"/>
        </w:rPr>
        <w:t>violating</w:t>
      </w:r>
      <w:r w:rsidRPr="00C438E6">
        <w:rPr>
          <w:rFonts w:ascii="Times New Roman" w:hAnsi="Times New Roman" w:cs="Times New Roman"/>
          <w:b/>
          <w:lang w:val="en-US"/>
        </w:rPr>
        <w:t xml:space="preserve"> </w:t>
      </w:r>
      <w:r w:rsidRPr="00EE7A7F">
        <w:rPr>
          <w:rFonts w:ascii="Times New Roman" w:hAnsi="Times New Roman" w:cs="Times New Roman"/>
          <w:b/>
          <w:lang w:val="en-US"/>
        </w:rPr>
        <w:t>the positivity assumption</w:t>
      </w:r>
    </w:p>
    <w:tbl>
      <w:tblPr>
        <w:tblStyle w:val="Grilledutableau"/>
        <w:tblpPr w:leftFromText="141" w:rightFromText="141" w:vertAnchor="text" w:horzAnchor="margin" w:tblpY="32"/>
        <w:tblW w:w="1406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1255"/>
        <w:gridCol w:w="1256"/>
        <w:gridCol w:w="1256"/>
        <w:gridCol w:w="687"/>
        <w:gridCol w:w="1251"/>
        <w:gridCol w:w="1251"/>
        <w:gridCol w:w="670"/>
        <w:gridCol w:w="1251"/>
        <w:gridCol w:w="1251"/>
        <w:gridCol w:w="925"/>
      </w:tblGrid>
      <w:tr w:rsidR="00BF72CD" w:rsidRPr="003867F1" w:rsidTr="00BF72CD">
        <w:trPr>
          <w:trHeight w:val="242"/>
        </w:trPr>
        <w:tc>
          <w:tcPr>
            <w:tcW w:w="3011" w:type="dxa"/>
            <w:tcBorders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454" w:type="dxa"/>
            <w:gridSpan w:val="4"/>
            <w:vMerge w:val="restart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Overall</w:t>
            </w:r>
          </w:p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N= 7118</w:t>
            </w:r>
          </w:p>
        </w:tc>
        <w:tc>
          <w:tcPr>
            <w:tcW w:w="3172" w:type="dxa"/>
            <w:gridSpan w:val="3"/>
            <w:tcBorders>
              <w:bottom w:val="nil"/>
            </w:tcBorders>
            <w:vAlign w:val="center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Weighting using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3867F1">
              <w:rPr>
                <w:rFonts w:ascii="Times New Roman" w:hAnsi="Times New Roman" w:cs="Times New Roman"/>
                <w:b/>
                <w:sz w:val="18"/>
              </w:rPr>
              <w:t>IPTW</w:t>
            </w:r>
            <w:proofErr w:type="spellEnd"/>
          </w:p>
        </w:tc>
        <w:tc>
          <w:tcPr>
            <w:tcW w:w="3427" w:type="dxa"/>
            <w:gridSpan w:val="3"/>
            <w:tcBorders>
              <w:bottom w:val="nil"/>
            </w:tcBorders>
            <w:vAlign w:val="center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Matching – caliper=0.1</w:t>
            </w:r>
          </w:p>
        </w:tc>
      </w:tr>
      <w:tr w:rsidR="00BF72CD" w:rsidRPr="003867F1" w:rsidTr="00BF72CD">
        <w:trPr>
          <w:trHeight w:val="220"/>
        </w:trPr>
        <w:tc>
          <w:tcPr>
            <w:tcW w:w="3011" w:type="dxa"/>
            <w:tcBorders>
              <w:top w:val="nil"/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54" w:type="dxa"/>
            <w:gridSpan w:val="4"/>
            <w:vMerge/>
            <w:tcBorders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72" w:type="dxa"/>
            <w:gridSpan w:val="3"/>
            <w:tcBorders>
              <w:top w:val="nil"/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7" w:type="dxa"/>
            <w:gridSpan w:val="3"/>
            <w:tcBorders>
              <w:top w:val="nil"/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5" w:type="dxa"/>
            <w:tcBorders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All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NAT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FTY</w:t>
            </w:r>
          </w:p>
        </w:tc>
        <w:tc>
          <w:tcPr>
            <w:tcW w:w="687" w:type="dxa"/>
            <w:tcBorders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SMD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1251" w:type="dxa"/>
            <w:tcBorders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NAT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FTY</w:t>
            </w:r>
          </w:p>
        </w:tc>
        <w:tc>
          <w:tcPr>
            <w:tcW w:w="670" w:type="dxa"/>
            <w:tcBorders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SMD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1251" w:type="dxa"/>
            <w:tcBorders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NAT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>FTY</w:t>
            </w:r>
          </w:p>
        </w:tc>
        <w:tc>
          <w:tcPr>
            <w:tcW w:w="925" w:type="dxa"/>
            <w:tcBorders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SMD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c</w:t>
            </w:r>
            <w:proofErr w:type="spellEnd"/>
          </w:p>
        </w:tc>
      </w:tr>
      <w:tr w:rsidR="00BF72CD" w:rsidRPr="003867F1" w:rsidTr="00BF72CD">
        <w:trPr>
          <w:trHeight w:val="365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N=3726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N=3392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Sex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a</w:t>
            </w:r>
            <w:proofErr w:type="spellEnd"/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  <w:highlight w:val="darkGray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Female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5170 (74%)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2745 (74%)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2425 (71%)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72%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73%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72%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72%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1%</w:t>
            </w:r>
          </w:p>
        </w:tc>
      </w:tr>
      <w:tr w:rsidR="00BF72CD" w:rsidRPr="003867F1" w:rsidTr="00BF72CD">
        <w:trPr>
          <w:trHeight w:val="264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Male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1948 (27%)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981 (26%)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967 (28%)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28%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27%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28%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28%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485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Age at treatment </w:t>
            </w: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start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b</w:t>
            </w:r>
            <w:proofErr w:type="spellEnd"/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37.5 (30.5-44.5)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36.7 (29.5-43.7)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38.5 (31.6-45.5)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37.5 (30.3-45.0)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 xml:space="preserve">37.4 (30.2-44.5)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36.9 (29.7</w:t>
            </w:r>
            <w:r w:rsidRPr="00F0586E">
              <w:rPr>
                <w:rFonts w:ascii="Times New Roman" w:hAnsi="Times New Roman" w:cs="Times New Roman"/>
                <w:sz w:val="18"/>
              </w:rPr>
              <w:t>-4</w:t>
            </w:r>
            <w:r>
              <w:rPr>
                <w:rFonts w:ascii="Times New Roman" w:hAnsi="Times New Roman" w:cs="Times New Roman"/>
                <w:sz w:val="18"/>
              </w:rPr>
              <w:t>4.2</w:t>
            </w:r>
            <w:r w:rsidRPr="00F058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38.0 (</w:t>
            </w:r>
            <w:r>
              <w:rPr>
                <w:rFonts w:ascii="Times New Roman" w:hAnsi="Times New Roman" w:cs="Times New Roman"/>
                <w:sz w:val="18"/>
              </w:rPr>
              <w:t>30.9</w:t>
            </w:r>
            <w:r w:rsidRPr="00F0586E"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</w:rPr>
              <w:t>44.7</w:t>
            </w:r>
            <w:r w:rsidRPr="00F058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74679B" w:rsidRDefault="00BF72CD" w:rsidP="00BF7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74679B">
              <w:rPr>
                <w:rFonts w:ascii="Times New Roman" w:hAnsi="Times New Roman" w:cs="Times New Roman"/>
                <w:color w:val="000000" w:themeColor="text1"/>
                <w:sz w:val="18"/>
              </w:rPr>
              <w:t>6%</w:t>
            </w:r>
          </w:p>
        </w:tc>
      </w:tr>
      <w:tr w:rsidR="00BF72CD" w:rsidRPr="00F0586E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MS duration at </w:t>
            </w: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treatment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7.3(3.4-12.7)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7.0 (3.1-12.4)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7.5 (3.7-13.1)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7.3 (3.2-12.9)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7.0 (3.2-12.5)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6.6</w:t>
            </w:r>
            <w:r w:rsidRPr="00F0586E">
              <w:rPr>
                <w:rFonts w:ascii="Times New Roman" w:hAnsi="Times New Roman" w:cs="Times New Roman"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</w:rPr>
              <w:t>2.6-12.2</w:t>
            </w:r>
            <w:r w:rsidRPr="00F058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7.19 (</w:t>
            </w:r>
            <w:r>
              <w:rPr>
                <w:rFonts w:ascii="Times New Roman" w:hAnsi="Times New Roman" w:cs="Times New Roman"/>
                <w:sz w:val="18"/>
              </w:rPr>
              <w:t>3.3-12.6</w:t>
            </w:r>
            <w:r w:rsidRPr="00F058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74679B" w:rsidRDefault="00BF72CD" w:rsidP="00BF7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74679B">
              <w:rPr>
                <w:rFonts w:ascii="Times New Roman" w:hAnsi="Times New Roman" w:cs="Times New Roman"/>
                <w:color w:val="000000" w:themeColor="text1"/>
                <w:sz w:val="18"/>
              </w:rPr>
              <w:t>7%</w:t>
            </w:r>
          </w:p>
        </w:tc>
      </w:tr>
      <w:tr w:rsidR="00BF72CD" w:rsidRPr="00F0586E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EDSS at treatment </w:t>
            </w: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start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41%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9%</w:t>
            </w:r>
          </w:p>
        </w:tc>
      </w:tr>
      <w:tr w:rsidR="00BF72CD" w:rsidRPr="00F0586E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 or less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1905 (27%)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718 (19%)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1187 (35%)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28%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Between 2 and 4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3196 (45%)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1700 (46%)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1496 (44%)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47%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43%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31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 or more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2017 (28%)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1308 (35%)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709 (21%)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29%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29%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31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485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Number of relapses </w:t>
            </w:r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 the previous 12 </w:t>
            </w:r>
            <w:proofErr w:type="spellStart"/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>months</w:t>
            </w:r>
            <w:r w:rsidRPr="0049589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56%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4%</w:t>
            </w: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2193 (31%)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820 (22%)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1373 (41%)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31%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32%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31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2777 (39%)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1407 (38%)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1370 (40%)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39%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38%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1519 (21%)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990 (27%)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529 (16%)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21%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21%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 or more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629 (9%)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509 (14%)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120 (3%)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Number of previous </w:t>
            </w: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treatment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10%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6%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14%</w:t>
            </w:r>
          </w:p>
        </w:tc>
      </w:tr>
      <w:tr w:rsidR="00BF72CD" w:rsidRPr="003867F1" w:rsidTr="00BF72CD">
        <w:trPr>
          <w:trHeight w:val="264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1014 (14%)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548 (15%)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466 (14%)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16%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3380 (48%)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1686 (45%)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1694 (50%)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46%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48%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49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1702 (24%)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909 (24%)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793 (23%)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 or more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1022 (14%)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583 (16%)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439 (13%)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15%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867F1">
              <w:rPr>
                <w:rFonts w:ascii="Times New Roman" w:hAnsi="Times New Roman" w:cs="Times New Roman"/>
                <w:b/>
                <w:sz w:val="18"/>
              </w:rPr>
              <w:t xml:space="preserve">MS activity </w:t>
            </w:r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 the previous 12 </w:t>
            </w:r>
            <w:proofErr w:type="spellStart"/>
            <w:r w:rsidR="00495897" w:rsidRPr="00495897">
              <w:rPr>
                <w:rFonts w:ascii="Times New Roman" w:hAnsi="Times New Roman" w:cs="Times New Roman"/>
                <w:b/>
                <w:sz w:val="18"/>
                <w:szCs w:val="18"/>
              </w:rPr>
              <w:t>months</w:t>
            </w:r>
            <w:bookmarkStart w:id="0" w:name="_GoBack"/>
            <w:bookmarkEnd w:id="0"/>
            <w:r w:rsidRPr="0049589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4%</w:t>
            </w: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None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1682 (24%)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594 (16%)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1088 (32%)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23%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Worsening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511 (7%)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226 (6%)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285 (8%)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8%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Relapse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3151 (44%)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1779 (48%)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1372 (40%)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44%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44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45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 xml:space="preserve">Relapse and </w:t>
            </w:r>
            <w:r>
              <w:rPr>
                <w:rFonts w:ascii="Times New Roman" w:hAnsi="Times New Roman" w:cs="Times New Roman"/>
                <w:sz w:val="18"/>
              </w:rPr>
              <w:t>worsening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1774 (25%)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1127 (30%)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647 (19%)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25%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24%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867F1">
              <w:rPr>
                <w:rFonts w:ascii="Times New Roman" w:hAnsi="Times New Roman" w:cs="Times New Roman"/>
                <w:b/>
                <w:sz w:val="18"/>
              </w:rPr>
              <w:t>Register</w:t>
            </w:r>
            <w:r w:rsidRPr="003867F1">
              <w:rPr>
                <w:rFonts w:ascii="Times New Roman" w:hAnsi="Times New Roman" w:cs="Times New Roman"/>
                <w:b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0586E">
              <w:rPr>
                <w:rFonts w:ascii="Times New Roman" w:hAnsi="Times New Roman" w:cs="Times New Roman"/>
                <w:sz w:val="18"/>
              </w:rPr>
              <w:t>34%</w:t>
            </w: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MS Base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4286 (60%)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1935 (52%)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2351 (69%)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70%</w:t>
            </w: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59%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59%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69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64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DMSR</w:t>
            </w:r>
          </w:p>
        </w:tc>
        <w:tc>
          <w:tcPr>
            <w:tcW w:w="1255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1466 (20%)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617 (16%)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849 (25%)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22%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22%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F72CD" w:rsidRPr="003867F1" w:rsidTr="00BF72CD">
        <w:trPr>
          <w:trHeight w:val="242"/>
        </w:trPr>
        <w:tc>
          <w:tcPr>
            <w:tcW w:w="3011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ind w:left="708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OFSEP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1366 (19%)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1174 (31%)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192 (6%)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867F1">
              <w:rPr>
                <w:rFonts w:ascii="Times New Roman" w:hAnsi="Times New Roman" w:cs="Times New Roman"/>
                <w:sz w:val="18"/>
              </w:rPr>
              <w:t>19%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</w:tcBorders>
          </w:tcPr>
          <w:p w:rsidR="00BF72CD" w:rsidRPr="003867F1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Pr="00F0586E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F72CD" w:rsidRPr="00F0586E" w:rsidRDefault="00BF72CD" w:rsidP="00BF72CD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Default="00BF72CD" w:rsidP="00BF72CD">
      <w:pPr>
        <w:rPr>
          <w:rFonts w:ascii="Times New Roman" w:hAnsi="Times New Roman" w:cs="Times New Roman"/>
          <w:sz w:val="18"/>
          <w:vertAlign w:val="superscript"/>
          <w:lang w:val="en-US"/>
        </w:rPr>
      </w:pPr>
    </w:p>
    <w:p w:rsidR="00BF72CD" w:rsidRPr="00212256" w:rsidRDefault="00BF72CD" w:rsidP="00BF72CD">
      <w:pPr>
        <w:rPr>
          <w:rFonts w:ascii="Times New Roman" w:hAnsi="Times New Roman" w:cs="Times New Roman"/>
          <w:sz w:val="18"/>
          <w:lang w:val="en-US"/>
        </w:rPr>
      </w:pPr>
      <w:proofErr w:type="spellStart"/>
      <w:proofErr w:type="gramStart"/>
      <w:r w:rsidRPr="00212256">
        <w:rPr>
          <w:rFonts w:ascii="Times New Roman" w:hAnsi="Times New Roman" w:cs="Times New Roman"/>
          <w:sz w:val="18"/>
          <w:vertAlign w:val="superscript"/>
          <w:lang w:val="en-US"/>
        </w:rPr>
        <w:t>a</w:t>
      </w:r>
      <w:r w:rsidRPr="00212256">
        <w:rPr>
          <w:rFonts w:ascii="Times New Roman" w:hAnsi="Times New Roman" w:cs="Times New Roman"/>
          <w:sz w:val="18"/>
          <w:lang w:val="en-US"/>
        </w:rPr>
        <w:t>N</w:t>
      </w:r>
      <w:proofErr w:type="spellEnd"/>
      <w:proofErr w:type="gramEnd"/>
      <w:r w:rsidRPr="00212256">
        <w:rPr>
          <w:rFonts w:ascii="Times New Roman" w:hAnsi="Times New Roman" w:cs="Times New Roman"/>
          <w:sz w:val="18"/>
          <w:lang w:val="en-US"/>
        </w:rPr>
        <w:t xml:space="preserve"> (%); </w:t>
      </w:r>
      <w:proofErr w:type="spellStart"/>
      <w:r w:rsidRPr="00212256">
        <w:rPr>
          <w:rFonts w:ascii="Times New Roman" w:hAnsi="Times New Roman" w:cs="Times New Roman"/>
          <w:sz w:val="18"/>
          <w:vertAlign w:val="superscript"/>
          <w:lang w:val="en-US"/>
        </w:rPr>
        <w:t>b</w:t>
      </w:r>
      <w:r w:rsidRPr="00212256">
        <w:rPr>
          <w:rFonts w:ascii="Times New Roman" w:hAnsi="Times New Roman" w:cs="Times New Roman"/>
          <w:sz w:val="18"/>
          <w:lang w:val="en-US"/>
        </w:rPr>
        <w:t>Median</w:t>
      </w:r>
      <w:proofErr w:type="spellEnd"/>
      <w:r w:rsidRPr="00212256">
        <w:rPr>
          <w:rFonts w:ascii="Times New Roman" w:hAnsi="Times New Roman" w:cs="Times New Roman"/>
          <w:sz w:val="18"/>
          <w:lang w:val="en-US"/>
        </w:rPr>
        <w:t xml:space="preserve"> (Quartiles); </w:t>
      </w:r>
      <w:proofErr w:type="spellStart"/>
      <w:r w:rsidRPr="00212256">
        <w:rPr>
          <w:rFonts w:ascii="Times New Roman" w:hAnsi="Times New Roman" w:cs="Times New Roman"/>
          <w:sz w:val="18"/>
          <w:vertAlign w:val="superscript"/>
          <w:lang w:val="en-US"/>
        </w:rPr>
        <w:t>c</w:t>
      </w:r>
      <w:r w:rsidRPr="00212256">
        <w:rPr>
          <w:rFonts w:ascii="Times New Roman" w:hAnsi="Times New Roman" w:cs="Times New Roman"/>
          <w:sz w:val="18"/>
          <w:lang w:val="en-US"/>
        </w:rPr>
        <w:t>SMD</w:t>
      </w:r>
      <w:proofErr w:type="spellEnd"/>
      <w:r w:rsidRPr="00212256">
        <w:rPr>
          <w:rFonts w:ascii="Times New Roman" w:hAnsi="Times New Roman" w:cs="Times New Roman"/>
          <w:sz w:val="18"/>
          <w:lang w:val="en-US"/>
        </w:rPr>
        <w:t>: standardized mean differences between Natalizumab treated patients and Fingolimod treated patients</w:t>
      </w:r>
    </w:p>
    <w:p w:rsidR="00BF72CD" w:rsidRDefault="00BF72C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br w:type="page"/>
      </w:r>
    </w:p>
    <w:p w:rsidR="00BF72CD" w:rsidRPr="00C438E6" w:rsidRDefault="00BF72CD" w:rsidP="00BF72CD">
      <w:pPr>
        <w:rPr>
          <w:b/>
          <w:lang w:val="en-US"/>
        </w:rPr>
      </w:pPr>
      <w:r w:rsidRPr="00EE7A7F">
        <w:rPr>
          <w:rFonts w:ascii="Times New Roman" w:hAnsi="Times New Roman" w:cs="Times New Roman"/>
          <w:b/>
          <w:lang w:val="en-US"/>
        </w:rPr>
        <w:lastRenderedPageBreak/>
        <w:t xml:space="preserve">Figure S1: Propensity score distribution </w:t>
      </w:r>
      <w:r w:rsidRPr="00C438E6">
        <w:rPr>
          <w:rFonts w:ascii="Times New Roman" w:hAnsi="Times New Roman" w:cs="Times New Roman"/>
          <w:b/>
          <w:lang w:val="en-US"/>
        </w:rPr>
        <w:t xml:space="preserve">without </w:t>
      </w:r>
      <w:r w:rsidRPr="00EE7A7F">
        <w:rPr>
          <w:rFonts w:ascii="Times New Roman" w:hAnsi="Times New Roman" w:cs="Times New Roman"/>
          <w:b/>
          <w:lang w:val="en-US"/>
        </w:rPr>
        <w:t>the positivity assumption</w:t>
      </w: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</w:p>
    <w:p w:rsidR="00BF72CD" w:rsidRPr="00C438E6" w:rsidRDefault="00BF72CD" w:rsidP="00BF72CD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r w:rsidRPr="00C438E6">
        <w:rPr>
          <w:rFonts w:ascii="Arial Narrow" w:hAnsi="Arial Narrow"/>
          <w:b/>
          <w:i/>
          <w:noProof/>
          <w:color w:val="FF0000"/>
          <w:lang w:val="en-US"/>
        </w:rPr>
        <w:drawing>
          <wp:inline distT="0" distB="0" distL="0" distR="0" wp14:anchorId="579A541B" wp14:editId="56997DBA">
            <wp:extent cx="4310504" cy="4310504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DenCORe_PSMOdel_AllPatients_Article_whitouhtDateCriteri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46" cy="432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2CD" w:rsidRDefault="00BF72CD" w:rsidP="00BF72CD"/>
    <w:p w:rsidR="00B430B1" w:rsidRPr="00BF72CD" w:rsidRDefault="00536F4E">
      <w:pPr>
        <w:rPr>
          <w:lang w:val="en-US"/>
        </w:rPr>
      </w:pPr>
    </w:p>
    <w:sectPr w:rsidR="00B430B1" w:rsidRPr="00BF72CD" w:rsidSect="009D3A1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CD"/>
    <w:rsid w:val="00041330"/>
    <w:rsid w:val="003A038E"/>
    <w:rsid w:val="003A563F"/>
    <w:rsid w:val="00495897"/>
    <w:rsid w:val="00536F4E"/>
    <w:rsid w:val="007C117B"/>
    <w:rsid w:val="008B0653"/>
    <w:rsid w:val="009934FE"/>
    <w:rsid w:val="009C2F76"/>
    <w:rsid w:val="00BF72CD"/>
    <w:rsid w:val="00D6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6EF69-8305-4B74-8418-D3DD6D64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B06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B06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BF72C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95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EHESP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LEFORT, Mathilde</dc:creator>
  <cp:keywords/>
  <dc:description/>
  <cp:lastModifiedBy>LEFORT, Mathilde</cp:lastModifiedBy>
  <cp:revision>3</cp:revision>
  <dcterms:created xsi:type="dcterms:W3CDTF">2022-04-08T09:17:00Z</dcterms:created>
  <dcterms:modified xsi:type="dcterms:W3CDTF">2022-04-08T09:17:00Z</dcterms:modified>
</cp:coreProperties>
</file>