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70C14" w14:textId="48E75EAE" w:rsidR="00E45DC6" w:rsidRPr="00580478" w:rsidRDefault="00E45DC6" w:rsidP="00E45DC6">
      <w:pPr>
        <w:spacing w:line="480" w:lineRule="auto"/>
        <w:rPr>
          <w:rFonts w:ascii="Times New Roman" w:hAnsi="Times New Roman" w:cs="Times New Roman"/>
          <w:b/>
          <w:bCs/>
        </w:rPr>
      </w:pPr>
      <w:r w:rsidRPr="00580478">
        <w:rPr>
          <w:rFonts w:ascii="Times New Roman" w:hAnsi="Times New Roman" w:cs="Times New Roman"/>
          <w:b/>
          <w:bCs/>
        </w:rPr>
        <w:t>Power and sample size calculation for incremental net benefit in cost effectiveness analyses with applications to trials conducted by the Canadian Cancer Trials Group</w:t>
      </w:r>
    </w:p>
    <w:p w14:paraId="3D125621" w14:textId="69C0A0DB" w:rsidR="00133994" w:rsidRDefault="00E45DC6">
      <w:pPr>
        <w:rPr>
          <w:rFonts w:ascii="Times New Roman" w:hAnsi="Times New Roman" w:cs="Times New Roman"/>
        </w:rPr>
      </w:pPr>
      <w:r w:rsidRPr="00580478">
        <w:rPr>
          <w:rFonts w:ascii="Times New Roman" w:hAnsi="Times New Roman" w:cs="Times New Roman"/>
        </w:rPr>
        <w:t>A</w:t>
      </w:r>
      <w:r w:rsidR="00580478">
        <w:rPr>
          <w:rFonts w:ascii="Times New Roman" w:hAnsi="Times New Roman" w:cs="Times New Roman"/>
        </w:rPr>
        <w:t xml:space="preserve">ppendix </w:t>
      </w:r>
    </w:p>
    <w:p w14:paraId="1DE7E51A" w14:textId="644CCD5E" w:rsidR="00580478" w:rsidRDefault="00580478">
      <w:pPr>
        <w:rPr>
          <w:rFonts w:ascii="Times New Roman" w:hAnsi="Times New Roman" w:cs="Times New Roman"/>
        </w:rPr>
      </w:pPr>
    </w:p>
    <w:p w14:paraId="44CBD91E" w14:textId="6E04238C" w:rsidR="00AB37CA" w:rsidRPr="00AE1F45" w:rsidRDefault="00AB37CA" w:rsidP="00AB37C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Table 1: </w:t>
      </w:r>
      <w:r w:rsidRPr="00094F83">
        <w:rPr>
          <w:rFonts w:ascii="Times New Roman" w:hAnsi="Times New Roman" w:cs="Times New Roman"/>
        </w:rPr>
        <w:t>Incremental net benefit values as a function of the willingness-to-pay threshold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  <w:gridCol w:w="1134"/>
        <w:gridCol w:w="1134"/>
        <w:gridCol w:w="1275"/>
        <w:gridCol w:w="1560"/>
        <w:gridCol w:w="1554"/>
      </w:tblGrid>
      <w:tr w:rsidR="00AB37CA" w:rsidRPr="00503673" w14:paraId="2F30C8B0" w14:textId="77777777" w:rsidTr="001E7888">
        <w:trPr>
          <w:trHeight w:val="320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52079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B438" w14:textId="77777777" w:rsidR="00AB37CA" w:rsidRPr="00BC76B9" w:rsidRDefault="00AB37CA" w:rsidP="001E7888">
            <w:pPr>
              <w:rPr>
                <w:rFonts w:ascii="Times New Roman" w:hAnsi="Times New Roman" w:cs="Times New Roman"/>
              </w:rPr>
            </w:pPr>
            <w:r w:rsidRPr="00CC5065">
              <w:rPr>
                <w:rFonts w:ascii="Times New Roman" w:hAnsi="Times New Roman" w:cs="Times New Roman"/>
                <w:color w:val="000000" w:themeColor="text1"/>
              </w:rPr>
              <w:t>∆E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(Years)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DC8A0" w14:textId="77777777" w:rsidR="00AB37CA" w:rsidRPr="00BC76B9" w:rsidRDefault="00AB37CA" w:rsidP="001E7888">
            <w:pPr>
              <w:rPr>
                <w:rFonts w:ascii="Times New Roman" w:hAnsi="Times New Roman" w:cs="Times New Roman"/>
              </w:rPr>
            </w:pPr>
            <w:r w:rsidRPr="00CC5065">
              <w:rPr>
                <w:rFonts w:ascii="Times New Roman" w:hAnsi="Times New Roman" w:cs="Times New Roman"/>
                <w:color w:val="000000" w:themeColor="text1"/>
              </w:rPr>
              <w:t>∆C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(CAD)</w:t>
            </w:r>
          </w:p>
        </w:tc>
        <w:tc>
          <w:tcPr>
            <w:tcW w:w="4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965466" w14:textId="77777777" w:rsidR="00AB37CA" w:rsidRPr="00503673" w:rsidRDefault="00AB37CA" w:rsidP="001E7888">
            <w:pPr>
              <w:jc w:val="center"/>
              <w:rPr>
                <w:rFonts w:ascii="Times New Roman" w:hAnsi="Times New Roman" w:cs="Times New Roman"/>
              </w:rPr>
            </w:pPr>
            <w:r w:rsidRPr="001E22F0">
              <w:rPr>
                <w:rFonts w:ascii="Times New Roman" w:hAnsi="Times New Roman" w:cs="Times New Roman"/>
                <w:i/>
                <w:iCs/>
              </w:rPr>
              <w:t>b(λ</w:t>
            </w:r>
            <w:r w:rsidRPr="001E22F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AB37CA" w:rsidRPr="00503673" w14:paraId="30497409" w14:textId="77777777" w:rsidTr="001E7888">
        <w:trPr>
          <w:trHeight w:val="320"/>
        </w:trPr>
        <w:tc>
          <w:tcPr>
            <w:tcW w:w="212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D8FE213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3E0E073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50F64D5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A9C1D0A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b(50,000)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212E46C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b(100,000)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9D1CA44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b(150,000)</w:t>
            </w:r>
          </w:p>
        </w:tc>
      </w:tr>
      <w:tr w:rsidR="00AB37CA" w:rsidRPr="00503673" w14:paraId="5314861E" w14:textId="77777777" w:rsidTr="001E7888">
        <w:trPr>
          <w:trHeight w:val="320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CF5553D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BR.10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AD3C214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8C94697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7,441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CA5FA15" w14:textId="263BF98E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44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677A855" w14:textId="65E17B39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96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781A144" w14:textId="16413438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148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559</w:t>
            </w:r>
          </w:p>
        </w:tc>
      </w:tr>
      <w:tr w:rsidR="00AB37CA" w:rsidRPr="00503673" w14:paraId="76CC3B23" w14:textId="77777777" w:rsidTr="001E7888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A13A0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BR.21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7FBC16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0.146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F8576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12,289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8FE82A" w14:textId="5E7CFB25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-4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989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A8D77" w14:textId="7BBB9A1F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2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1F1F7" w14:textId="671495BD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9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611</w:t>
            </w:r>
          </w:p>
        </w:tc>
      </w:tr>
      <w:tr w:rsidR="00AB37CA" w:rsidRPr="00503673" w14:paraId="073BA80B" w14:textId="77777777" w:rsidTr="001E7888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05A694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CO.17 (all</w:t>
            </w:r>
            <w:r>
              <w:rPr>
                <w:rFonts w:ascii="Times New Roman" w:hAnsi="Times New Roman" w:cs="Times New Roman"/>
              </w:rPr>
              <w:t xml:space="preserve"> patients</w:t>
            </w:r>
            <w:r w:rsidRPr="0050367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D42ECB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3EFF8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23,969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9EF36" w14:textId="1BC164E1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-19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969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8AB697" w14:textId="6547D0D2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-15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969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BC61A" w14:textId="0F22F444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-11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969</w:t>
            </w:r>
          </w:p>
        </w:tc>
      </w:tr>
      <w:tr w:rsidR="00AB37CA" w:rsidRPr="00503673" w14:paraId="19CC0CAC" w14:textId="77777777" w:rsidTr="001E7888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A643F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CO.17 (KRAS)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48BD9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5B7D4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33,617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A4277" w14:textId="4B017E5D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-24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4B235" w14:textId="13598F54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-15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B5996E" w14:textId="6DDC3F50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-6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617</w:t>
            </w:r>
          </w:p>
        </w:tc>
      </w:tr>
      <w:tr w:rsidR="00AB37CA" w:rsidRPr="00503673" w14:paraId="284D048B" w14:textId="77777777" w:rsidTr="001E7888">
        <w:trPr>
          <w:trHeight w:val="320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0ED1B0" w14:textId="4CECCA01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LY.12</w:t>
            </w:r>
            <w:r w:rsidR="0033634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8F376A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4D9542" w14:textId="77777777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-14,464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63BDD8" w14:textId="3575C9F0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13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964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77027F" w14:textId="02D0C8FE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13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8A7CC15" w14:textId="1EBB72B8" w:rsidR="00AB37CA" w:rsidRPr="00503673" w:rsidRDefault="00AB37CA" w:rsidP="001E7888">
            <w:pPr>
              <w:rPr>
                <w:rFonts w:ascii="Times New Roman" w:hAnsi="Times New Roman" w:cs="Times New Roman"/>
              </w:rPr>
            </w:pPr>
            <w:r w:rsidRPr="00503673">
              <w:rPr>
                <w:rFonts w:ascii="Times New Roman" w:hAnsi="Times New Roman" w:cs="Times New Roman"/>
              </w:rPr>
              <w:t>12</w:t>
            </w:r>
            <w:r w:rsidR="00790CAA">
              <w:rPr>
                <w:rFonts w:ascii="Times New Roman" w:hAnsi="Times New Roman" w:cs="Times New Roman"/>
              </w:rPr>
              <w:t>,</w:t>
            </w:r>
            <w:r w:rsidRPr="00503673">
              <w:rPr>
                <w:rFonts w:ascii="Times New Roman" w:hAnsi="Times New Roman" w:cs="Times New Roman"/>
              </w:rPr>
              <w:t>964</w:t>
            </w:r>
          </w:p>
        </w:tc>
      </w:tr>
    </w:tbl>
    <w:p w14:paraId="716F6E74" w14:textId="35996430" w:rsidR="00580478" w:rsidRDefault="00580478">
      <w:pPr>
        <w:rPr>
          <w:rFonts w:ascii="Times New Roman" w:hAnsi="Times New Roman" w:cs="Times New Roman"/>
        </w:rPr>
      </w:pPr>
    </w:p>
    <w:p w14:paraId="1E66D9FD" w14:textId="77777777" w:rsidR="0089781C" w:rsidRDefault="0089781C" w:rsidP="0089781C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47050">
        <w:rPr>
          <w:rFonts w:ascii="Times New Roman" w:hAnsi="Times New Roman" w:cs="Times New Roman"/>
          <w:color w:val="000000" w:themeColor="text1"/>
          <w:sz w:val="20"/>
          <w:szCs w:val="20"/>
        </w:rPr>
        <w:t>∆E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1E22F0">
        <w:rPr>
          <w:rFonts w:ascii="Times New Roman" w:hAnsi="Times New Roman" w:cs="Times New Roman"/>
          <w:color w:val="000000" w:themeColor="text1"/>
        </w:rPr>
        <w:t>effectiveness difference between the treatment and the control groups</w:t>
      </w:r>
      <w:r>
        <w:rPr>
          <w:rFonts w:ascii="Times New Roman" w:hAnsi="Times New Roman" w:cs="Times New Roman"/>
          <w:color w:val="000000" w:themeColor="text1"/>
        </w:rPr>
        <w:t xml:space="preserve"> in years</w:t>
      </w:r>
    </w:p>
    <w:p w14:paraId="6AC587AA" w14:textId="77777777" w:rsidR="0089781C" w:rsidRDefault="0089781C" w:rsidP="0089781C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47050">
        <w:rPr>
          <w:rFonts w:ascii="Times New Roman" w:hAnsi="Times New Roman" w:cs="Times New Roman"/>
          <w:color w:val="000000" w:themeColor="text1"/>
          <w:sz w:val="20"/>
          <w:szCs w:val="20"/>
        </w:rPr>
        <w:t>∆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C: </w:t>
      </w:r>
      <w:r>
        <w:rPr>
          <w:rFonts w:ascii="Times New Roman" w:hAnsi="Times New Roman" w:cs="Times New Roman"/>
          <w:color w:val="000000" w:themeColor="text1"/>
        </w:rPr>
        <w:t>cost</w:t>
      </w:r>
      <w:r w:rsidRPr="001E22F0">
        <w:rPr>
          <w:rFonts w:ascii="Times New Roman" w:hAnsi="Times New Roman" w:cs="Times New Roman"/>
          <w:color w:val="000000" w:themeColor="text1"/>
        </w:rPr>
        <w:t xml:space="preserve"> difference between the treatment and the control groups</w:t>
      </w:r>
      <w:r>
        <w:rPr>
          <w:rFonts w:ascii="Times New Roman" w:hAnsi="Times New Roman" w:cs="Times New Roman"/>
          <w:color w:val="000000" w:themeColor="text1"/>
        </w:rPr>
        <w:t xml:space="preserve"> in Canadian Dollars </w:t>
      </w:r>
    </w:p>
    <w:p w14:paraId="36F283E9" w14:textId="77777777" w:rsidR="0089781C" w:rsidRDefault="0089781C" w:rsidP="0089781C">
      <w:pPr>
        <w:spacing w:line="480" w:lineRule="auto"/>
        <w:rPr>
          <w:rFonts w:ascii="Times New Roman" w:hAnsi="Times New Roman" w:cs="Times New Roman"/>
        </w:rPr>
      </w:pPr>
      <w:r w:rsidRPr="001E22F0">
        <w:rPr>
          <w:rFonts w:ascii="Times New Roman" w:hAnsi="Times New Roman" w:cs="Times New Roman"/>
          <w:i/>
          <w:iCs/>
        </w:rPr>
        <w:t>λ</w:t>
      </w:r>
      <w:r>
        <w:rPr>
          <w:rFonts w:ascii="Times New Roman" w:hAnsi="Times New Roman" w:cs="Times New Roman"/>
        </w:rPr>
        <w:t>: Willingness-to-pay threshold in dollars</w:t>
      </w:r>
    </w:p>
    <w:p w14:paraId="10BB64ED" w14:textId="77777777" w:rsidR="0089781C" w:rsidRPr="008B705E" w:rsidRDefault="0089781C" w:rsidP="0089781C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i/>
          <w:iCs/>
        </w:rPr>
        <w:t>b( ):</w:t>
      </w:r>
      <w:r>
        <w:rPr>
          <w:rFonts w:ascii="Times New Roman" w:hAnsi="Times New Roman" w:cs="Times New Roman"/>
        </w:rPr>
        <w:t xml:space="preserve"> Incremental net benefit function </w:t>
      </w:r>
    </w:p>
    <w:p w14:paraId="58A54B7F" w14:textId="3FA60B75" w:rsidR="004364C2" w:rsidRDefault="0089781C" w:rsidP="0089781C">
      <w:pPr>
        <w:rPr>
          <w:rStyle w:val="st"/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*</w:t>
      </w:r>
      <w:r w:rsidRPr="001E22F0">
        <w:rPr>
          <w:rFonts w:ascii="Times New Roman" w:hAnsi="Times New Roman" w:cs="Times New Roman"/>
        </w:rPr>
        <w:t xml:space="preserve"> LY.12 is a non-inferiority design.</w:t>
      </w:r>
      <w:r>
        <w:rPr>
          <w:rStyle w:val="st"/>
          <w:rFonts w:ascii="Times New Roman" w:hAnsi="Times New Roman" w:cs="Times New Roman"/>
          <w:color w:val="000000" w:themeColor="text1"/>
        </w:rPr>
        <w:t xml:space="preserve"> </w:t>
      </w:r>
      <w:r w:rsidRPr="0025752B">
        <w:rPr>
          <w:rStyle w:val="st"/>
          <w:rFonts w:ascii="Times New Roman" w:hAnsi="Times New Roman" w:cs="Times New Roman"/>
          <w:color w:val="000000" w:themeColor="text1"/>
        </w:rPr>
        <w:t>For LY.12, survival is defined as the restricted mean QALY from randomization to stem cell mobilization.</w:t>
      </w:r>
    </w:p>
    <w:p w14:paraId="60125E92" w14:textId="77777777" w:rsidR="0089781C" w:rsidRDefault="0089781C" w:rsidP="0089781C">
      <w:pPr>
        <w:rPr>
          <w:rFonts w:ascii="Times New Roman" w:hAnsi="Times New Roman" w:cs="Times New Roman"/>
        </w:rPr>
      </w:pPr>
    </w:p>
    <w:p w14:paraId="0E72F0ED" w14:textId="77777777" w:rsidR="00A020EC" w:rsidRDefault="00A020EC">
      <w:pPr>
        <w:suppressAutoHyphens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75F937C" w14:textId="182CCA66" w:rsidR="004364C2" w:rsidRDefault="004364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Figure 1</w:t>
      </w:r>
      <w:r w:rsidR="00732F2B">
        <w:rPr>
          <w:rFonts w:ascii="Times New Roman" w:hAnsi="Times New Roman" w:cs="Times New Roman"/>
        </w:rPr>
        <w:t xml:space="preserve">: Impact of the correlation coefficient on the sample size power function curve, </w:t>
      </w:r>
      <w:r w:rsidR="00732F2B">
        <w:rPr>
          <w:rFonts w:ascii="Times New Roman" w:hAnsi="Times New Roman" w:cs="Times New Roman"/>
          <w:lang w:val="en-US"/>
        </w:rPr>
        <w:t xml:space="preserve">at the willingness-to-pay threshold of $100,000, where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H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0</m:t>
            </m:r>
          </m:sub>
        </m:sSub>
        <m:r>
          <w:rPr>
            <w:rFonts w:ascii="Cambria Math" w:hAnsi="Cambria Math" w:cs="Times New Roman"/>
            <w:color w:val="000000" w:themeColor="text1"/>
          </w:rPr>
          <m:t>: b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λ</m:t>
            </m:r>
          </m:e>
        </m:d>
        <m:r>
          <w:rPr>
            <w:rFonts w:ascii="Cambria Math" w:hAnsi="Cambria Math" w:cs="Times New Roman"/>
            <w:color w:val="000000" w:themeColor="text1"/>
          </w:rPr>
          <m:t xml:space="preserve">=0, 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</w:rPr>
          <m:t>versus</m:t>
        </m:r>
        <m:r>
          <w:rPr>
            <w:rFonts w:ascii="Cambria Math" w:hAnsi="Cambria Math" w:cs="Times New Roman"/>
            <w:color w:val="000000" w:themeColor="text1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H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1</m:t>
            </m:r>
          </m:sub>
        </m:sSub>
        <m:r>
          <w:rPr>
            <w:rFonts w:ascii="Cambria Math" w:hAnsi="Cambria Math" w:cs="Times New Roman"/>
            <w:color w:val="000000" w:themeColor="text1"/>
          </w:rPr>
          <m:t>:b</m:t>
        </m:r>
        <m:d>
          <m:d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dPr>
          <m:e>
            <m:r>
              <w:rPr>
                <w:rFonts w:ascii="Cambria Math" w:hAnsi="Cambria Math" w:cs="Times New Roman"/>
                <w:color w:val="000000" w:themeColor="text1"/>
              </w:rPr>
              <m:t>λ</m:t>
            </m:r>
          </m:e>
        </m:d>
        <m:r>
          <w:rPr>
            <w:rFonts w:ascii="Cambria Math" w:hAnsi="Cambria Math" w:cs="Times New Roman"/>
            <w:color w:val="000000" w:themeColor="text1"/>
          </w:rPr>
          <m:t>≠0</m:t>
        </m:r>
      </m:oMath>
      <w:r w:rsidR="00732F2B">
        <w:rPr>
          <w:rFonts w:ascii="Times New Roman" w:hAnsi="Times New Roman" w:cs="Times New Roman"/>
          <w:color w:val="000000" w:themeColor="text1"/>
        </w:rPr>
        <w:t xml:space="preserve">, where </w:t>
      </w:r>
      <m:oMath>
        <m:sSub>
          <m:sSub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bPr>
          <m:e>
            <m:r>
              <w:rPr>
                <w:rFonts w:ascii="Cambria Math" w:hAnsi="Cambria Math" w:cs="Times New Roman"/>
                <w:color w:val="000000" w:themeColor="text1"/>
              </w:rPr>
              <m:t>b(λ)</m:t>
            </m:r>
          </m:e>
          <m:sub>
            <m:r>
              <w:rPr>
                <w:rFonts w:ascii="Cambria Math" w:hAnsi="Cambria Math" w:cs="Times New Roman"/>
                <w:color w:val="000000" w:themeColor="text1"/>
              </w:rPr>
              <m:t>δ</m:t>
            </m:r>
          </m:sub>
        </m:sSub>
      </m:oMath>
      <w:r w:rsidR="009B66CF">
        <w:rPr>
          <w:rFonts w:ascii="Times New Roman" w:hAnsi="Times New Roman" w:cs="Times New Roman"/>
          <w:color w:val="000000" w:themeColor="text1"/>
        </w:rPr>
        <w:t xml:space="preserve"> was defined using </w:t>
      </w:r>
      <w:r w:rsidR="00F57EA7">
        <w:rPr>
          <w:rFonts w:ascii="Times New Roman" w:hAnsi="Times New Roman" w:cs="Times New Roman"/>
          <w:color w:val="000000" w:themeColor="text1"/>
        </w:rPr>
        <w:t xml:space="preserve">a frequentist </w:t>
      </w:r>
      <w:r w:rsidR="009B66CF">
        <w:rPr>
          <w:rFonts w:ascii="Times New Roman" w:hAnsi="Times New Roman" w:cs="Times New Roman"/>
          <w:color w:val="000000" w:themeColor="text1"/>
        </w:rPr>
        <w:t xml:space="preserve">method. </w:t>
      </w:r>
    </w:p>
    <w:p w14:paraId="04CC09AA" w14:textId="4D8FF4CE" w:rsidR="00BC3950" w:rsidRDefault="00BC3950">
      <w:pPr>
        <w:rPr>
          <w:rFonts w:ascii="Times New Roman" w:hAnsi="Times New Roman" w:cs="Times New Roman"/>
        </w:rPr>
      </w:pPr>
      <w:r w:rsidRPr="00BC3950">
        <w:rPr>
          <w:rFonts w:ascii="Times New Roman" w:hAnsi="Times New Roman" w:cs="Times New Roman"/>
          <w:noProof/>
        </w:rPr>
        <w:drawing>
          <wp:inline distT="0" distB="0" distL="0" distR="0" wp14:anchorId="2A1FCB67" wp14:editId="6B5F4C55">
            <wp:extent cx="5943600" cy="3343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F7434" w14:textId="3409C1EA" w:rsidR="009B66CF" w:rsidRDefault="009B66CF">
      <w:pPr>
        <w:rPr>
          <w:rFonts w:ascii="Times New Roman" w:hAnsi="Times New Roman" w:cs="Times New Roman"/>
        </w:rPr>
      </w:pPr>
    </w:p>
    <w:p w14:paraId="7560EB5F" w14:textId="223292A6" w:rsidR="009B66CF" w:rsidRDefault="009B66CF">
      <w:pPr>
        <w:rPr>
          <w:rFonts w:ascii="Times New Roman" w:hAnsi="Times New Roman" w:cs="Times New Roman"/>
        </w:rPr>
      </w:pPr>
    </w:p>
    <w:p w14:paraId="16AB9C6E" w14:textId="77777777" w:rsidR="002D5907" w:rsidRDefault="002D5907">
      <w:pPr>
        <w:suppressAutoHyphens w:val="0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32F3A4B" w14:textId="77777777" w:rsidR="00A020EC" w:rsidRPr="00586FFF" w:rsidRDefault="00A020EC" w:rsidP="00A020EC">
      <w:pPr>
        <w:rPr>
          <w:rFonts w:ascii="Times New Roman" w:hAnsi="Times New Roman"/>
        </w:rPr>
      </w:pPr>
      <w:r w:rsidRPr="00586FFF">
        <w:rPr>
          <w:rFonts w:ascii="Times New Roman" w:hAnsi="Times New Roman"/>
        </w:rPr>
        <w:lastRenderedPageBreak/>
        <w:t xml:space="preserve">Figure 2: Impact of the correlation coefficient on the sample size power function curve, at the willingness-to-pay threshold of $100,000, where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:</m:t>
        </m:r>
        <m:r>
          <w:rPr>
            <w:rFonts w:ascii="Cambria Math" w:hAnsi="Cambria Math"/>
          </w:rPr>
          <m:t> b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586FFF">
        <w:rPr>
          <w:rFonts w:ascii="Times New Roman" w:hAnsi="Times New Roman"/>
        </w:rPr>
        <w:t xml:space="preserve">, versus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:</m:t>
        </m:r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  <m:r>
          <m:rPr>
            <m:sty m:val="p"/>
          </m:rPr>
          <w:rPr>
            <w:rFonts w:ascii="Cambria Math" w:hAnsi="Cambria Math"/>
          </w:rPr>
          <m:t>≠</m:t>
        </m:r>
        <m:r>
          <w:rPr>
            <w:rFonts w:ascii="Cambria Math" w:hAnsi="Cambria Math"/>
          </w:rPr>
          <m:t>0</m:t>
        </m:r>
      </m:oMath>
    </w:p>
    <w:p w14:paraId="335B5C8A" w14:textId="0DDB85F7" w:rsidR="00A020EC" w:rsidRDefault="001B539D" w:rsidP="00C122B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14:ligatures w14:val="none"/>
        </w:rPr>
        <w:drawing>
          <wp:inline distT="0" distB="0" distL="0" distR="0" wp14:anchorId="48D25454" wp14:editId="7CF1253C">
            <wp:extent cx="5943600" cy="36087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EC8DC" w14:textId="77777777" w:rsidR="00A020EC" w:rsidRDefault="00A020EC">
      <w:pPr>
        <w:suppressAutoHyphens w:val="0"/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2759BC9F" w14:textId="77777777" w:rsidR="00A020EC" w:rsidRPr="00586FFF" w:rsidRDefault="00A020EC" w:rsidP="00A020EC">
      <w:pPr>
        <w:rPr>
          <w:rFonts w:ascii="Times New Roman" w:hAnsi="Times New Roman"/>
        </w:rPr>
      </w:pPr>
      <w:r w:rsidRPr="00586FFF">
        <w:rPr>
          <w:rFonts w:ascii="Times New Roman" w:hAnsi="Times New Roman"/>
        </w:rPr>
        <w:lastRenderedPageBreak/>
        <w:t xml:space="preserve">Figure 3: Impact of the willingness-to-pay threshold on the sample size power function curve, at the correlation coefficient observed in the respective trial, where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:</m:t>
        </m:r>
        <m:r>
          <w:rPr>
            <w:rFonts w:ascii="Cambria Math" w:hAnsi="Cambria Math"/>
          </w:rPr>
          <m:t> b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0</m:t>
        </m:r>
      </m:oMath>
      <w:r w:rsidRPr="00586FFF">
        <w:rPr>
          <w:rFonts w:ascii="Times New Roman" w:hAnsi="Times New Roman"/>
        </w:rPr>
        <w:t xml:space="preserve">, versus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:</m:t>
        </m:r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  <m:r>
          <m:rPr>
            <m:sty m:val="p"/>
          </m:rPr>
          <w:rPr>
            <w:rFonts w:ascii="Cambria Math" w:hAnsi="Cambria Math"/>
          </w:rPr>
          <m:t>≠</m:t>
        </m:r>
        <m:r>
          <w:rPr>
            <w:rFonts w:ascii="Cambria Math" w:hAnsi="Cambria Math"/>
          </w:rPr>
          <m:t>0</m:t>
        </m:r>
      </m:oMath>
    </w:p>
    <w:p w14:paraId="0490B3A7" w14:textId="1921BD96" w:rsidR="00C122BC" w:rsidRDefault="001B539D" w:rsidP="00C122B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  <w14:ligatures w14:val="none"/>
        </w:rPr>
        <w:drawing>
          <wp:inline distT="0" distB="0" distL="0" distR="0" wp14:anchorId="3E72DFE3" wp14:editId="1D3E7693">
            <wp:extent cx="5943600" cy="36087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AAC24" w14:textId="58EBC6D4" w:rsidR="002D5907" w:rsidRDefault="002D5907">
      <w:pPr>
        <w:suppressAutoHyphens w:val="0"/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68378A74" w14:textId="6133876E" w:rsidR="002D5907" w:rsidRDefault="002D5907" w:rsidP="00C122B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Figure </w:t>
      </w:r>
      <w:r w:rsidR="00A020EC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>:</w:t>
      </w:r>
      <w:r w:rsidR="00F21DA4">
        <w:rPr>
          <w:rFonts w:ascii="Times New Roman" w:hAnsi="Times New Roman" w:cs="Times New Roman"/>
          <w:lang w:val="en-US"/>
        </w:rPr>
        <w:t xml:space="preserve"> Contour plots of </w:t>
      </w:r>
      <w:r w:rsidR="00F21DA4">
        <w:rPr>
          <w:rFonts w:ascii="Times New Roman" w:hAnsi="Times New Roman" w:cs="Times New Roman"/>
        </w:rPr>
        <w:t>the correlation coefficient (</w:t>
      </w:r>
      <m:oMath>
        <m:r>
          <w:rPr>
            <w:rFonts w:ascii="Cambria Math" w:hAnsi="Cambria Math"/>
          </w:rPr>
          <m:t>ρ</m:t>
        </m:r>
      </m:oMath>
      <w:r w:rsidR="00F21DA4">
        <w:rPr>
          <w:rFonts w:ascii="Times New Roman" w:hAnsi="Times New Roman" w:cs="Times New Roman"/>
        </w:rPr>
        <w:t>)</w:t>
      </w:r>
      <w:r w:rsidR="00F21DA4">
        <w:rPr>
          <w:rFonts w:ascii="Times New Roman" w:eastAsiaTheme="minorEastAsia" w:hAnsi="Times New Roman" w:cs="Times New Roman"/>
        </w:rPr>
        <w:t xml:space="preserve"> and the willingness-to-pay value (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 w:rsidR="00F21DA4">
        <w:rPr>
          <w:rFonts w:ascii="Times New Roman" w:eastAsiaTheme="minorEastAsia" w:hAnsi="Times New Roman" w:cs="Times New Roman"/>
        </w:rPr>
        <w:t xml:space="preserve"> ) with respect to the variance of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 w:rsidR="00F21DA4">
        <w:rPr>
          <w:rFonts w:ascii="Times New Roman" w:eastAsiaTheme="minorEastAsia" w:hAnsi="Times New Roman" w:cs="Times New Roman"/>
        </w:rPr>
        <w:t>.</w:t>
      </w:r>
    </w:p>
    <w:p w14:paraId="2EB91592" w14:textId="43F8B95E" w:rsidR="002D5907" w:rsidRDefault="00F21DA4">
      <w:pPr>
        <w:suppressAutoHyphens w:val="0"/>
        <w:spacing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  <w14:ligatures w14:val="none"/>
        </w:rPr>
        <w:drawing>
          <wp:inline distT="0" distB="0" distL="0" distR="0" wp14:anchorId="37EC2703" wp14:editId="1C431205">
            <wp:extent cx="5943600" cy="36087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5907">
        <w:rPr>
          <w:rFonts w:ascii="Times New Roman" w:hAnsi="Times New Roman" w:cs="Times New Roman"/>
          <w:lang w:val="en-US"/>
        </w:rPr>
        <w:br w:type="page"/>
      </w:r>
    </w:p>
    <w:p w14:paraId="109E4EB2" w14:textId="19012FF5" w:rsidR="002D5907" w:rsidRDefault="002D5907" w:rsidP="00C122B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Figure </w:t>
      </w:r>
      <w:r w:rsidR="001B539D">
        <w:rPr>
          <w:rFonts w:ascii="Times New Roman" w:hAnsi="Times New Roman" w:cs="Times New Roman"/>
          <w:lang w:val="en-US"/>
        </w:rPr>
        <w:t>5</w:t>
      </w:r>
      <w:r>
        <w:rPr>
          <w:rFonts w:ascii="Times New Roman" w:hAnsi="Times New Roman" w:cs="Times New Roman"/>
          <w:lang w:val="en-US"/>
        </w:rPr>
        <w:t>: Illustrative example</w:t>
      </w:r>
      <w:r w:rsidR="00052946">
        <w:rPr>
          <w:rFonts w:ascii="Times New Roman" w:hAnsi="Times New Roman" w:cs="Times New Roman"/>
          <w:lang w:val="en-US"/>
        </w:rPr>
        <w:t xml:space="preserve"> of</w:t>
      </w:r>
      <w:r>
        <w:rPr>
          <w:rFonts w:ascii="Times New Roman" w:hAnsi="Times New Roman" w:cs="Times New Roman"/>
          <w:lang w:val="en-US"/>
        </w:rPr>
        <w:t xml:space="preserve"> possible input parameters</w:t>
      </w:r>
      <w:r w:rsidR="00052946">
        <w:rPr>
          <w:rFonts w:ascii="Times New Roman" w:hAnsi="Times New Roman" w:cs="Times New Roman"/>
          <w:lang w:val="en-US"/>
        </w:rPr>
        <w:t xml:space="preserve"> to the </w:t>
      </w:r>
      <w:r w:rsidR="00052946" w:rsidRPr="00ED7596">
        <w:rPr>
          <w:rFonts w:ascii="Times New Roman" w:hAnsi="Times New Roman"/>
        </w:rPr>
        <w:t>online program (</w:t>
      </w:r>
      <w:hyperlink r:id="rId8" w:history="1">
        <w:r w:rsidR="00052946" w:rsidRPr="00ED7596">
          <w:rPr>
            <w:rStyle w:val="Hyperlink"/>
            <w:rFonts w:ascii="Times New Roman" w:hAnsi="Times New Roman"/>
          </w:rPr>
          <w:t>http://statapps.tk/icer_samplesize</w:t>
        </w:r>
      </w:hyperlink>
      <w:r w:rsidR="00052946" w:rsidRPr="00ED7596">
        <w:rPr>
          <w:rFonts w:ascii="Times New Roman" w:hAnsi="Times New Roman"/>
        </w:rPr>
        <w:t xml:space="preserve">) </w:t>
      </w:r>
      <w:r w:rsidR="00052946">
        <w:rPr>
          <w:rFonts w:ascii="Times New Roman" w:hAnsi="Times New Roman" w:cs="Times New Roman"/>
          <w:lang w:val="en-US"/>
        </w:rPr>
        <w:t xml:space="preserve">for the BR.21 trial. </w:t>
      </w:r>
    </w:p>
    <w:p w14:paraId="52F9E18A" w14:textId="7326629D" w:rsidR="00C122BC" w:rsidRDefault="001E3CA8" w:rsidP="00C122BC">
      <w:pPr>
        <w:rPr>
          <w:rFonts w:ascii="Times New Roman" w:hAnsi="Times New Roman" w:cs="Times New Roman"/>
        </w:rPr>
      </w:pPr>
      <w:r w:rsidRPr="001E3CA8">
        <w:rPr>
          <w:rFonts w:ascii="Times New Roman" w:hAnsi="Times New Roman" w:cs="Times New Roman"/>
        </w:rPr>
        <w:drawing>
          <wp:inline distT="0" distB="0" distL="0" distR="0" wp14:anchorId="22A2218A" wp14:editId="3E00AA41">
            <wp:extent cx="5943600" cy="5410835"/>
            <wp:effectExtent l="0" t="0" r="0" b="0"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1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0BCF4" w14:textId="0425B3A1" w:rsidR="009B66CF" w:rsidRDefault="00F42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Legend: SD: standard deviation, ICER: incremental cost effectiveness ratio, CI: confidence interval, </w:t>
      </w:r>
    </w:p>
    <w:p w14:paraId="1A5AD5FD" w14:textId="29D00CA0" w:rsidR="00D040AB" w:rsidRDefault="00D040AB">
      <w:pPr>
        <w:rPr>
          <w:rFonts w:ascii="Times New Roman" w:hAnsi="Times New Roman" w:cs="Times New Roman"/>
        </w:rPr>
      </w:pPr>
    </w:p>
    <w:p w14:paraId="2D811511" w14:textId="77777777" w:rsidR="00D040AB" w:rsidRPr="00580478" w:rsidRDefault="00D040AB">
      <w:pPr>
        <w:rPr>
          <w:rFonts w:ascii="Times New Roman" w:hAnsi="Times New Roman" w:cs="Times New Roman"/>
        </w:rPr>
      </w:pPr>
    </w:p>
    <w:sectPr w:rsidR="00D040AB" w:rsidRPr="00580478" w:rsidSect="00263F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 Regular">
    <w:altName w:val="Calibri"/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9E8"/>
    <w:rsid w:val="00052946"/>
    <w:rsid w:val="001B539D"/>
    <w:rsid w:val="001E3CA8"/>
    <w:rsid w:val="00263F84"/>
    <w:rsid w:val="002C1881"/>
    <w:rsid w:val="002D5907"/>
    <w:rsid w:val="0033634D"/>
    <w:rsid w:val="004364C2"/>
    <w:rsid w:val="00580478"/>
    <w:rsid w:val="006C62BF"/>
    <w:rsid w:val="00732F2B"/>
    <w:rsid w:val="007815AC"/>
    <w:rsid w:val="00790CAA"/>
    <w:rsid w:val="008209E8"/>
    <w:rsid w:val="0089781C"/>
    <w:rsid w:val="008C15DF"/>
    <w:rsid w:val="009B66CF"/>
    <w:rsid w:val="00A020EC"/>
    <w:rsid w:val="00A83762"/>
    <w:rsid w:val="00AB37CA"/>
    <w:rsid w:val="00B010F4"/>
    <w:rsid w:val="00BC3950"/>
    <w:rsid w:val="00BF572F"/>
    <w:rsid w:val="00C122BC"/>
    <w:rsid w:val="00D040AB"/>
    <w:rsid w:val="00E45DC6"/>
    <w:rsid w:val="00F21DA4"/>
    <w:rsid w:val="00F4270C"/>
    <w:rsid w:val="00F5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97F37C"/>
  <w15:chartTrackingRefBased/>
  <w15:docId w15:val="{E9354709-9E3A-8246-A99A-32788827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DC6"/>
    <w:pPr>
      <w:suppressAutoHyphens/>
      <w:spacing w:line="360" w:lineRule="atLeast"/>
    </w:pPr>
    <w:rPr>
      <w:rFonts w:ascii="Optima Regular" w:eastAsia="Optima Regular" w:hAnsi="Optima Regular" w:cs="Optima Regular"/>
      <w:lang w:eastAsia="en-CA" w:bidi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37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89781C"/>
  </w:style>
  <w:style w:type="paragraph" w:styleId="Revision">
    <w:name w:val="Revision"/>
    <w:hidden/>
    <w:uiPriority w:val="99"/>
    <w:semiHidden/>
    <w:rsid w:val="00790CAA"/>
    <w:rPr>
      <w:rFonts w:ascii="Optima Regular" w:eastAsia="Optima Regular" w:hAnsi="Optima Regular" w:cs="Optima Regular"/>
      <w:lang w:eastAsia="en-CA" w:bidi="en-CA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0529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tapps.tk/icer_samplesize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Everest</dc:creator>
  <cp:keywords/>
  <dc:description/>
  <cp:lastModifiedBy>Louis Everest</cp:lastModifiedBy>
  <cp:revision>3</cp:revision>
  <dcterms:created xsi:type="dcterms:W3CDTF">2023-03-16T03:37:00Z</dcterms:created>
  <dcterms:modified xsi:type="dcterms:W3CDTF">2023-03-16T03:38:00Z</dcterms:modified>
</cp:coreProperties>
</file>