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786" w:rsidRDefault="00450786" w:rsidP="00450786">
      <w:pPr>
        <w:pStyle w:val="BodyText"/>
        <w:rPr>
          <w:b/>
          <w:sz w:val="32"/>
          <w:szCs w:val="32"/>
        </w:rPr>
      </w:pPr>
      <w:r>
        <w:rPr>
          <w:b/>
          <w:sz w:val="32"/>
          <w:szCs w:val="32"/>
        </w:rPr>
        <w:t>Supplementary Materials</w:t>
      </w:r>
    </w:p>
    <w:p w:rsidR="00450786" w:rsidRPr="00850B9B" w:rsidRDefault="00450786" w:rsidP="00450786">
      <w:pPr>
        <w:pStyle w:val="BodyText"/>
        <w:rPr>
          <w:b/>
          <w:sz w:val="32"/>
          <w:szCs w:val="32"/>
        </w:rPr>
      </w:pPr>
      <w:r w:rsidRPr="00850B9B">
        <w:rPr>
          <w:b/>
          <w:sz w:val="32"/>
          <w:szCs w:val="32"/>
        </w:rPr>
        <w:t>Use of Electronic Health Data to Identify Patients with Moderate-to-Severe Osteoarthritis of the Hip and/or Knee and Inadequate Response to Pain Medications</w:t>
      </w:r>
    </w:p>
    <w:p w:rsidR="00450786" w:rsidRDefault="00450786" w:rsidP="00450786"/>
    <w:p w:rsidR="00450786" w:rsidRDefault="00450786" w:rsidP="00450786">
      <w:pPr>
        <w:pStyle w:val="Heading1"/>
      </w:pPr>
      <w:r w:rsidRPr="00850B9B">
        <w:t xml:space="preserve">Supplementary </w:t>
      </w:r>
      <w:r>
        <w:t>M</w:t>
      </w:r>
      <w:r w:rsidRPr="00850B9B">
        <w:t>aterials</w:t>
      </w:r>
    </w:p>
    <w:p w:rsidR="00450786" w:rsidRDefault="00450786" w:rsidP="00450786">
      <w:pPr>
        <w:pStyle w:val="Heading2"/>
      </w:pPr>
      <w:bookmarkStart w:id="0" w:name="_Ref91236272"/>
      <w:r>
        <w:t>Additional File 1. Supplementary Results Tables and Figures</w:t>
      </w:r>
    </w:p>
    <w:p w:rsidR="00450786" w:rsidRDefault="00450786" w:rsidP="00450786">
      <w:pPr>
        <w:rPr>
          <w:b/>
          <w:bCs/>
        </w:rPr>
      </w:pPr>
      <w:bookmarkStart w:id="1" w:name="_Ref95147103"/>
      <w:r w:rsidRPr="005410B1">
        <w:rPr>
          <w:b/>
          <w:bCs/>
        </w:rPr>
        <w:t xml:space="preserve">Supplemental Table </w:t>
      </w:r>
      <w:r w:rsidRPr="005410B1">
        <w:rPr>
          <w:b/>
          <w:bCs/>
        </w:rPr>
        <w:fldChar w:fldCharType="begin"/>
      </w:r>
      <w:r w:rsidRPr="005410B1">
        <w:rPr>
          <w:b/>
          <w:bCs/>
        </w:rPr>
        <w:instrText xml:space="preserve"> SEQ Supplemental_Table \* ARABIC </w:instrText>
      </w:r>
      <w:r w:rsidRPr="005410B1">
        <w:rPr>
          <w:b/>
          <w:bCs/>
        </w:rPr>
        <w:fldChar w:fldCharType="separate"/>
      </w:r>
      <w:r>
        <w:rPr>
          <w:b/>
          <w:bCs/>
          <w:noProof/>
        </w:rPr>
        <w:t>1</w:t>
      </w:r>
      <w:r w:rsidRPr="005410B1">
        <w:rPr>
          <w:b/>
          <w:bCs/>
        </w:rPr>
        <w:fldChar w:fldCharType="end"/>
      </w:r>
      <w:bookmarkEnd w:id="1"/>
      <w:r w:rsidRPr="00850B9B">
        <w:rPr>
          <w:b/>
          <w:bCs/>
        </w:rPr>
        <w:t>.</w:t>
      </w:r>
      <w:r>
        <w:rPr>
          <w:b/>
          <w:bCs/>
        </w:rPr>
        <w:t xml:space="preserve"> </w:t>
      </w:r>
      <w:r w:rsidRPr="00850B9B">
        <w:rPr>
          <w:b/>
          <w:bCs/>
        </w:rPr>
        <w:t xml:space="preserve">Criteria </w:t>
      </w:r>
      <w:r>
        <w:rPr>
          <w:b/>
          <w:bCs/>
        </w:rPr>
        <w:t xml:space="preserve">used </w:t>
      </w:r>
      <w:r w:rsidRPr="00850B9B">
        <w:rPr>
          <w:b/>
          <w:bCs/>
        </w:rPr>
        <w:t xml:space="preserve">to </w:t>
      </w:r>
      <w:r>
        <w:rPr>
          <w:b/>
          <w:bCs/>
        </w:rPr>
        <w:t>s</w:t>
      </w:r>
      <w:r w:rsidRPr="00850B9B">
        <w:rPr>
          <w:b/>
          <w:bCs/>
        </w:rPr>
        <w:t xml:space="preserve">elect </w:t>
      </w:r>
      <w:r>
        <w:rPr>
          <w:b/>
          <w:bCs/>
        </w:rPr>
        <w:t>p</w:t>
      </w:r>
      <w:r w:rsidRPr="00850B9B">
        <w:rPr>
          <w:b/>
          <w:bCs/>
        </w:rPr>
        <w:t xml:space="preserve">atients with OA of the </w:t>
      </w:r>
      <w:r>
        <w:rPr>
          <w:b/>
          <w:bCs/>
        </w:rPr>
        <w:t>h</w:t>
      </w:r>
      <w:r w:rsidRPr="00850B9B">
        <w:rPr>
          <w:b/>
          <w:bCs/>
        </w:rPr>
        <w:t>ip/</w:t>
      </w:r>
      <w:r>
        <w:rPr>
          <w:b/>
          <w:bCs/>
        </w:rPr>
        <w:t>k</w:t>
      </w:r>
      <w:r w:rsidRPr="00850B9B">
        <w:rPr>
          <w:b/>
          <w:bCs/>
        </w:rPr>
        <w:t xml:space="preserve">nee, </w:t>
      </w:r>
      <w:r>
        <w:rPr>
          <w:b/>
          <w:bCs/>
        </w:rPr>
        <w:t>m</w:t>
      </w:r>
      <w:r w:rsidRPr="00850B9B">
        <w:rPr>
          <w:b/>
          <w:bCs/>
        </w:rPr>
        <w:t>oderate-to-</w:t>
      </w:r>
      <w:r>
        <w:rPr>
          <w:b/>
          <w:bCs/>
        </w:rPr>
        <w:t>s</w:t>
      </w:r>
      <w:r w:rsidRPr="00850B9B">
        <w:rPr>
          <w:b/>
          <w:bCs/>
        </w:rPr>
        <w:t xml:space="preserve">evere </w:t>
      </w:r>
      <w:r>
        <w:rPr>
          <w:b/>
          <w:bCs/>
        </w:rPr>
        <w:t>d</w:t>
      </w:r>
      <w:r w:rsidRPr="00850B9B">
        <w:rPr>
          <w:b/>
          <w:bCs/>
        </w:rPr>
        <w:t xml:space="preserve">isease, and </w:t>
      </w:r>
      <w:r>
        <w:rPr>
          <w:b/>
          <w:bCs/>
        </w:rPr>
        <w:t>inadequate response to p</w:t>
      </w:r>
      <w:r w:rsidRPr="00850B9B">
        <w:rPr>
          <w:b/>
          <w:bCs/>
        </w:rPr>
        <w:t>ain</w:t>
      </w:r>
      <w:r>
        <w:rPr>
          <w:b/>
          <w:bCs/>
        </w:rPr>
        <w:t xml:space="preserve"> medications, respectively</w:t>
      </w:r>
    </w:p>
    <w:tbl>
      <w:tblPr>
        <w:tblStyle w:val="TableGrid2"/>
        <w:tblW w:w="0" w:type="auto"/>
        <w:tblLook w:val="04A0" w:firstRow="1" w:lastRow="0" w:firstColumn="1" w:lastColumn="0" w:noHBand="0" w:noVBand="1"/>
      </w:tblPr>
      <w:tblGrid>
        <w:gridCol w:w="9350"/>
      </w:tblGrid>
      <w:tr w:rsidR="00450786" w:rsidRPr="00982DDC" w:rsidTr="00660FE6">
        <w:tc>
          <w:tcPr>
            <w:tcW w:w="9350" w:type="dxa"/>
          </w:tcPr>
          <w:p w:rsidR="00450786" w:rsidRPr="00982DDC" w:rsidRDefault="00450786" w:rsidP="00660FE6">
            <w:pPr>
              <w:spacing w:before="60" w:after="60"/>
              <w:rPr>
                <w:b/>
                <w:bCs/>
                <w:sz w:val="18"/>
                <w:szCs w:val="18"/>
              </w:rPr>
            </w:pPr>
            <w:r w:rsidRPr="00982DDC">
              <w:rPr>
                <w:b/>
                <w:bCs/>
                <w:sz w:val="18"/>
                <w:szCs w:val="18"/>
              </w:rPr>
              <w:t>OA Characteristic / Criterion</w:t>
            </w:r>
          </w:p>
        </w:tc>
      </w:tr>
      <w:tr w:rsidR="00450786" w:rsidRPr="00982DDC" w:rsidTr="00660FE6">
        <w:tc>
          <w:tcPr>
            <w:tcW w:w="9350" w:type="dxa"/>
          </w:tcPr>
          <w:p w:rsidR="00450786" w:rsidRPr="002C4C97" w:rsidRDefault="00450786" w:rsidP="00660FE6">
            <w:pPr>
              <w:spacing w:before="60" w:after="60"/>
              <w:rPr>
                <w:sz w:val="18"/>
                <w:szCs w:val="18"/>
              </w:rPr>
            </w:pPr>
            <w:r w:rsidRPr="002C4C97">
              <w:rPr>
                <w:sz w:val="18"/>
                <w:szCs w:val="18"/>
              </w:rPr>
              <w:t xml:space="preserve">Patients are considered to have </w:t>
            </w:r>
            <w:r w:rsidRPr="002C4C97">
              <w:rPr>
                <w:sz w:val="18"/>
                <w:szCs w:val="18"/>
                <w:u w:val="single"/>
              </w:rPr>
              <w:t>OA of the hip/knee</w:t>
            </w:r>
            <w:r w:rsidRPr="002C4C97">
              <w:rPr>
                <w:sz w:val="18"/>
                <w:szCs w:val="18"/>
              </w:rPr>
              <w:t>, if any of the following criteria is satisfied</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1 hospitalization* OR 2 physicians’ office visits* OR 1 physician office visit* and 2 prescriptions** in 5 years</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1 hospitalization* OR 2 physicians’ office visits* in 5 years</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2 physicians’ office visits* in 5 years</w:t>
            </w:r>
          </w:p>
        </w:tc>
      </w:tr>
      <w:tr w:rsidR="00450786" w:rsidRPr="00982DDC" w:rsidTr="00660FE6">
        <w:tc>
          <w:tcPr>
            <w:tcW w:w="9350" w:type="dxa"/>
          </w:tcPr>
          <w:p w:rsidR="00450786" w:rsidRPr="002C4C97" w:rsidRDefault="00450786" w:rsidP="00660FE6">
            <w:pPr>
              <w:spacing w:before="60" w:after="60"/>
              <w:rPr>
                <w:sz w:val="18"/>
                <w:szCs w:val="18"/>
              </w:rPr>
            </w:pPr>
            <w:r w:rsidRPr="002C4C97">
              <w:rPr>
                <w:sz w:val="18"/>
                <w:szCs w:val="18"/>
              </w:rPr>
              <w:t xml:space="preserve">Patients are considered to have </w:t>
            </w:r>
            <w:r w:rsidRPr="002C4C97">
              <w:rPr>
                <w:sz w:val="18"/>
                <w:szCs w:val="18"/>
                <w:u w:val="single"/>
              </w:rPr>
              <w:t>moderate-to-severe disease</w:t>
            </w:r>
            <w:r w:rsidRPr="002C4C97">
              <w:rPr>
                <w:sz w:val="18"/>
                <w:szCs w:val="18"/>
              </w:rPr>
              <w:t xml:space="preserve"> if any of the following criteria is satisfied</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1 administration of hyaluronic acid*</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1 administration of intraarticular corticosteroids*</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Use of a cane, walker, or wheelchair</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rFonts w:cstheme="minorHAnsi"/>
                <w:sz w:val="18"/>
                <w:szCs w:val="18"/>
              </w:rPr>
              <w:t>≥</w:t>
            </w:r>
            <w:r w:rsidRPr="00982DDC">
              <w:rPr>
                <w:sz w:val="18"/>
                <w:szCs w:val="18"/>
              </w:rPr>
              <w:t>6 physical/occupational therapy visits within a 12-month period</w:t>
            </w:r>
          </w:p>
        </w:tc>
      </w:tr>
      <w:tr w:rsidR="00450786" w:rsidRPr="00982DDC" w:rsidTr="00660FE6">
        <w:tc>
          <w:tcPr>
            <w:tcW w:w="9350" w:type="dxa"/>
          </w:tcPr>
          <w:p w:rsidR="00450786" w:rsidRPr="00982DDC" w:rsidRDefault="00450786" w:rsidP="00660FE6">
            <w:pPr>
              <w:spacing w:before="60" w:after="60"/>
              <w:rPr>
                <w:rFonts w:cstheme="minorHAnsi"/>
                <w:b/>
                <w:bCs/>
                <w:sz w:val="18"/>
                <w:szCs w:val="18"/>
              </w:rPr>
            </w:pPr>
            <w:r w:rsidRPr="002C4C97">
              <w:rPr>
                <w:sz w:val="18"/>
                <w:szCs w:val="18"/>
              </w:rPr>
              <w:t xml:space="preserve">Patients are considered to have </w:t>
            </w:r>
            <w:r>
              <w:rPr>
                <w:sz w:val="18"/>
                <w:szCs w:val="18"/>
                <w:u w:val="single"/>
              </w:rPr>
              <w:t>inadequate response to pain medications</w:t>
            </w:r>
            <w:r w:rsidRPr="002C4C97">
              <w:rPr>
                <w:sz w:val="18"/>
                <w:szCs w:val="18"/>
              </w:rPr>
              <w:t>, if any of the following criteria is satisfied</w:t>
            </w:r>
          </w:p>
        </w:tc>
      </w:tr>
      <w:tr w:rsidR="00450786" w:rsidRPr="00982DDC" w:rsidTr="00660FE6">
        <w:tc>
          <w:tcPr>
            <w:tcW w:w="9350" w:type="dxa"/>
          </w:tcPr>
          <w:p w:rsidR="00450786" w:rsidRPr="00982DDC" w:rsidRDefault="00450786" w:rsidP="00660FE6">
            <w:pPr>
              <w:spacing w:before="60" w:after="60"/>
              <w:ind w:left="144"/>
              <w:rPr>
                <w:rFonts w:cstheme="minorHAnsi"/>
                <w:sz w:val="18"/>
                <w:szCs w:val="18"/>
              </w:rPr>
            </w:pPr>
            <w:r w:rsidRPr="00982DDC">
              <w:rPr>
                <w:rFonts w:cstheme="minorHAnsi"/>
                <w:sz w:val="18"/>
                <w:szCs w:val="18"/>
              </w:rPr>
              <w:t xml:space="preserve">≥3 </w:t>
            </w:r>
            <w:r w:rsidRPr="00982DDC">
              <w:rPr>
                <w:sz w:val="18"/>
                <w:szCs w:val="18"/>
              </w:rPr>
              <w:t>different</w:t>
            </w:r>
            <w:r w:rsidRPr="00982DDC">
              <w:rPr>
                <w:rFonts w:cstheme="minorHAnsi"/>
                <w:sz w:val="18"/>
                <w:szCs w:val="18"/>
              </w:rPr>
              <w:t xml:space="preserve"> classed of pain-related medications</w:t>
            </w:r>
            <w:r w:rsidRPr="00982DDC">
              <w:rPr>
                <w:rFonts w:ascii="Calibri Light" w:hAnsi="Calibri Light" w:cs="Calibri Light"/>
                <w:sz w:val="18"/>
                <w:szCs w:val="18"/>
              </w:rPr>
              <w:t>†</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rFonts w:cstheme="minorHAnsi"/>
                <w:sz w:val="18"/>
                <w:szCs w:val="18"/>
              </w:rPr>
              <w:t>≥4 pain scores ≥5 within a 12-month period</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rFonts w:cstheme="minorHAnsi"/>
                <w:sz w:val="18"/>
                <w:szCs w:val="18"/>
              </w:rPr>
              <w:t>≥</w:t>
            </w:r>
            <w:r w:rsidRPr="00982DDC">
              <w:rPr>
                <w:sz w:val="18"/>
                <w:szCs w:val="18"/>
              </w:rPr>
              <w:t>1 nerve block injection</w:t>
            </w:r>
          </w:p>
        </w:tc>
      </w:tr>
      <w:tr w:rsidR="00450786" w:rsidRPr="00982DDC" w:rsidTr="00660FE6">
        <w:tc>
          <w:tcPr>
            <w:tcW w:w="9350" w:type="dxa"/>
          </w:tcPr>
          <w:p w:rsidR="00450786" w:rsidRPr="00982DDC" w:rsidRDefault="00450786" w:rsidP="00660FE6">
            <w:pPr>
              <w:spacing w:before="60" w:after="60"/>
              <w:ind w:left="144"/>
              <w:rPr>
                <w:sz w:val="18"/>
                <w:szCs w:val="18"/>
              </w:rPr>
            </w:pPr>
            <w:r w:rsidRPr="00982DDC">
              <w:rPr>
                <w:sz w:val="18"/>
                <w:szCs w:val="18"/>
              </w:rPr>
              <w:t>Hip or knee arthroplasty</w:t>
            </w:r>
            <w:r w:rsidRPr="00982DDC">
              <w:rPr>
                <w:rFonts w:cstheme="minorHAnsi"/>
                <w:sz w:val="18"/>
                <w:szCs w:val="18"/>
              </w:rPr>
              <w:t>‡</w:t>
            </w:r>
          </w:p>
        </w:tc>
      </w:tr>
    </w:tbl>
    <w:p w:rsidR="00450786" w:rsidRDefault="00450786" w:rsidP="00450786">
      <w:pPr>
        <w:rPr>
          <w:sz w:val="18"/>
          <w:szCs w:val="18"/>
        </w:rPr>
      </w:pPr>
      <w:r w:rsidRPr="00DC3622">
        <w:rPr>
          <w:sz w:val="18"/>
          <w:szCs w:val="18"/>
        </w:rPr>
        <w:t>Notes: *With relevant diagnosis of OA of hip/knee. **Defined as medications commonly used to treat nociceptive pain, including topical nonsteroidal anti-inflammatory drugs (NSAID</w:t>
      </w:r>
      <w:r>
        <w:rPr>
          <w:sz w:val="18"/>
          <w:szCs w:val="18"/>
        </w:rPr>
        <w:t>s</w:t>
      </w:r>
      <w:r w:rsidRPr="00DC3622">
        <w:rPr>
          <w:sz w:val="18"/>
          <w:szCs w:val="18"/>
        </w:rPr>
        <w:t>), oral NSAID</w:t>
      </w:r>
      <w:r>
        <w:rPr>
          <w:sz w:val="18"/>
          <w:szCs w:val="18"/>
        </w:rPr>
        <w:t>s</w:t>
      </w:r>
      <w:r w:rsidRPr="00DC3622">
        <w:rPr>
          <w:sz w:val="18"/>
          <w:szCs w:val="18"/>
        </w:rPr>
        <w:t xml:space="preserve">, duloxetine, and opioids. †Defined to include nonsteroidal anti-inflammatory drugs (NSAIDs), corticosteroids, hyaluronic acid, and opioids. </w:t>
      </w:r>
      <w:r w:rsidRPr="00DC3622">
        <w:rPr>
          <w:rFonts w:cstheme="minorHAnsi"/>
          <w:sz w:val="18"/>
          <w:szCs w:val="18"/>
        </w:rPr>
        <w:t>‡</w:t>
      </w:r>
      <w:r w:rsidRPr="00DC3622">
        <w:rPr>
          <w:sz w:val="18"/>
          <w:szCs w:val="18"/>
        </w:rPr>
        <w:t>Hip or knee arthroplasty includes both partial and total arthroplasty but excludes revision of arthroplasty.</w:t>
      </w:r>
    </w:p>
    <w:p w:rsidR="00450786" w:rsidRPr="00DC3622" w:rsidRDefault="00450786" w:rsidP="00450786">
      <w:pPr>
        <w:rPr>
          <w:sz w:val="18"/>
          <w:szCs w:val="18"/>
        </w:rPr>
      </w:pPr>
      <w:r>
        <w:rPr>
          <w:sz w:val="18"/>
          <w:szCs w:val="18"/>
        </w:rPr>
        <w:t>Abbreviation = OA, osteoarthritis</w:t>
      </w:r>
    </w:p>
    <w:p w:rsidR="00450786" w:rsidRDefault="00450786" w:rsidP="00450786">
      <w:pPr>
        <w:pStyle w:val="BodyText"/>
        <w:rPr>
          <w:bCs/>
        </w:rPr>
      </w:pPr>
      <w:r w:rsidRPr="002F5E70">
        <w:br w:type="page"/>
      </w:r>
    </w:p>
    <w:p w:rsidR="00450786" w:rsidRPr="00850B9B" w:rsidRDefault="00450786" w:rsidP="00450786">
      <w:pPr>
        <w:pStyle w:val="Style1"/>
        <w:rPr>
          <w:b/>
          <w:bCs w:val="0"/>
        </w:rPr>
      </w:pPr>
      <w:bookmarkStart w:id="2" w:name="_Ref95147123"/>
      <w:r w:rsidRPr="005410B1">
        <w:rPr>
          <w:b/>
          <w:bCs w:val="0"/>
        </w:rPr>
        <w:lastRenderedPageBreak/>
        <w:t xml:space="preserve">Supplemental Table </w:t>
      </w:r>
      <w:r w:rsidRPr="005410B1">
        <w:rPr>
          <w:b/>
          <w:bCs w:val="0"/>
        </w:rPr>
        <w:fldChar w:fldCharType="begin"/>
      </w:r>
      <w:r w:rsidRPr="005410B1">
        <w:rPr>
          <w:b/>
          <w:bCs w:val="0"/>
        </w:rPr>
        <w:instrText xml:space="preserve"> SEQ Supplemental_Table \* ARABIC </w:instrText>
      </w:r>
      <w:r w:rsidRPr="005410B1">
        <w:rPr>
          <w:b/>
          <w:bCs w:val="0"/>
        </w:rPr>
        <w:fldChar w:fldCharType="separate"/>
      </w:r>
      <w:r>
        <w:rPr>
          <w:b/>
          <w:bCs w:val="0"/>
          <w:noProof/>
        </w:rPr>
        <w:t>2</w:t>
      </w:r>
      <w:r w:rsidRPr="005410B1">
        <w:rPr>
          <w:b/>
          <w:bCs w:val="0"/>
        </w:rPr>
        <w:fldChar w:fldCharType="end"/>
      </w:r>
      <w:bookmarkEnd w:id="2"/>
      <w:r w:rsidRPr="00850B9B">
        <w:rPr>
          <w:b/>
          <w:bCs w:val="0"/>
        </w:rPr>
        <w:t xml:space="preserve">. Definition </w:t>
      </w:r>
      <w:r>
        <w:rPr>
          <w:b/>
          <w:bCs w:val="0"/>
        </w:rPr>
        <w:t xml:space="preserve">of </w:t>
      </w:r>
      <w:r w:rsidRPr="00850B9B">
        <w:rPr>
          <w:b/>
          <w:bCs w:val="0"/>
        </w:rPr>
        <w:t xml:space="preserve">rules for </w:t>
      </w:r>
      <w:r>
        <w:rPr>
          <w:b/>
          <w:bCs w:val="0"/>
        </w:rPr>
        <w:t xml:space="preserve">assessing </w:t>
      </w:r>
      <w:r w:rsidRPr="00850B9B">
        <w:rPr>
          <w:b/>
          <w:bCs w:val="0"/>
        </w:rPr>
        <w:t>OA characteristics</w:t>
      </w:r>
      <w:r>
        <w:rPr>
          <w:b/>
          <w:bCs w:val="0"/>
        </w:rPr>
        <w:t xml:space="preserve"> in chart review data</w:t>
      </w:r>
    </w:p>
    <w:tbl>
      <w:tblPr>
        <w:tblStyle w:val="TableGrid2"/>
        <w:tblW w:w="5000" w:type="pct"/>
        <w:tblLook w:val="04A0" w:firstRow="1" w:lastRow="0" w:firstColumn="1" w:lastColumn="0" w:noHBand="0" w:noVBand="1"/>
      </w:tblPr>
      <w:tblGrid>
        <w:gridCol w:w="1870"/>
        <w:gridCol w:w="3740"/>
        <w:gridCol w:w="3740"/>
      </w:tblGrid>
      <w:tr w:rsidR="00450786" w:rsidRPr="00375D7A" w:rsidTr="00660FE6">
        <w:trPr>
          <w:trHeight w:val="295"/>
        </w:trPr>
        <w:tc>
          <w:tcPr>
            <w:tcW w:w="1000" w:type="pct"/>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Element</w:t>
            </w:r>
          </w:p>
        </w:tc>
        <w:tc>
          <w:tcPr>
            <w:tcW w:w="2000" w:type="pct"/>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Decision Rule(s)</w:t>
            </w:r>
          </w:p>
        </w:tc>
        <w:tc>
          <w:tcPr>
            <w:tcW w:w="2000" w:type="pct"/>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Date when criterion was satisfied</w:t>
            </w:r>
          </w:p>
        </w:tc>
      </w:tr>
      <w:tr w:rsidR="00450786" w:rsidRPr="00375D7A" w:rsidTr="00660FE6">
        <w:tc>
          <w:tcPr>
            <w:tcW w:w="1000" w:type="pct"/>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OA of hip and/or knee</w:t>
            </w:r>
          </w:p>
        </w:tc>
        <w:tc>
          <w:tcPr>
            <w:tcW w:w="2000" w:type="pct"/>
            <w:hideMark/>
          </w:tcPr>
          <w:p w:rsidR="00450786" w:rsidRPr="00375D7A" w:rsidRDefault="00450786" w:rsidP="00450786">
            <w:pPr>
              <w:pStyle w:val="ListParagraph"/>
              <w:numPr>
                <w:ilvl w:val="0"/>
                <w:numId w:val="2"/>
              </w:numPr>
              <w:ind w:left="252" w:hanging="252"/>
              <w:rPr>
                <w:rFonts w:cstheme="minorHAnsi"/>
                <w:sz w:val="18"/>
                <w:szCs w:val="18"/>
              </w:rPr>
            </w:pPr>
            <w:r w:rsidRPr="00375D7A">
              <w:rPr>
                <w:rFonts w:cstheme="minorHAnsi"/>
                <w:sz w:val="18"/>
                <w:szCs w:val="18"/>
              </w:rPr>
              <w:t>Medical diagnosis of OA of hip/knee;</w:t>
            </w:r>
            <w:r w:rsidRPr="00375D7A">
              <w:rPr>
                <w:rFonts w:cstheme="minorHAnsi"/>
                <w:b/>
                <w:bCs/>
                <w:i/>
                <w:iCs/>
                <w:sz w:val="18"/>
                <w:szCs w:val="18"/>
              </w:rPr>
              <w:t xml:space="preserve"> OR</w:t>
            </w:r>
          </w:p>
          <w:p w:rsidR="00450786" w:rsidRPr="00375D7A" w:rsidRDefault="00450786" w:rsidP="00450786">
            <w:pPr>
              <w:pStyle w:val="ListParagraph"/>
              <w:numPr>
                <w:ilvl w:val="0"/>
                <w:numId w:val="2"/>
              </w:numPr>
              <w:ind w:left="252" w:hanging="252"/>
              <w:rPr>
                <w:rFonts w:cstheme="minorHAnsi"/>
                <w:sz w:val="18"/>
                <w:szCs w:val="18"/>
              </w:rPr>
            </w:pPr>
            <w:r w:rsidRPr="00375D7A">
              <w:rPr>
                <w:rFonts w:cstheme="minorHAnsi"/>
                <w:sz w:val="18"/>
                <w:szCs w:val="18"/>
              </w:rPr>
              <w:t>Radiology report confirming OA of hip/knee</w:t>
            </w:r>
          </w:p>
        </w:tc>
        <w:tc>
          <w:tcPr>
            <w:tcW w:w="2000" w:type="pct"/>
            <w:hideMark/>
          </w:tcPr>
          <w:p w:rsidR="00450786" w:rsidRPr="00375D7A" w:rsidRDefault="00450786" w:rsidP="00450786">
            <w:pPr>
              <w:pStyle w:val="BodyText"/>
              <w:numPr>
                <w:ilvl w:val="0"/>
                <w:numId w:val="3"/>
              </w:numPr>
              <w:ind w:left="222" w:hanging="270"/>
              <w:rPr>
                <w:rFonts w:cstheme="minorHAnsi"/>
                <w:sz w:val="18"/>
                <w:szCs w:val="18"/>
              </w:rPr>
            </w:pPr>
            <w:r w:rsidRPr="00375D7A">
              <w:rPr>
                <w:rFonts w:cstheme="minorHAnsi"/>
                <w:sz w:val="18"/>
                <w:szCs w:val="18"/>
              </w:rPr>
              <w:t>Earliest date with confirmatory evidence during extraction period was used as date criterion was satisfied</w:t>
            </w:r>
          </w:p>
        </w:tc>
      </w:tr>
      <w:tr w:rsidR="00450786" w:rsidRPr="00375D7A" w:rsidTr="00660FE6">
        <w:tc>
          <w:tcPr>
            <w:tcW w:w="1000" w:type="pct"/>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Moderate-to-severe OA</w:t>
            </w:r>
          </w:p>
        </w:tc>
        <w:tc>
          <w:tcPr>
            <w:tcW w:w="2000" w:type="pct"/>
            <w:hideMark/>
          </w:tcPr>
          <w:p w:rsidR="00450786" w:rsidRPr="00375D7A" w:rsidRDefault="00450786" w:rsidP="00450786">
            <w:pPr>
              <w:pStyle w:val="ListParagraph"/>
              <w:numPr>
                <w:ilvl w:val="0"/>
                <w:numId w:val="4"/>
              </w:numPr>
              <w:ind w:left="252" w:hanging="252"/>
              <w:rPr>
                <w:rFonts w:cstheme="minorHAnsi"/>
                <w:sz w:val="18"/>
                <w:szCs w:val="18"/>
              </w:rPr>
            </w:pPr>
            <w:r w:rsidRPr="00375D7A">
              <w:rPr>
                <w:rFonts w:cstheme="minorHAnsi"/>
                <w:sz w:val="18"/>
                <w:szCs w:val="18"/>
              </w:rPr>
              <w:t xml:space="preserve">≥4 on a 0-10 pain scale due to OA; </w:t>
            </w:r>
            <w:r w:rsidRPr="00375D7A">
              <w:rPr>
                <w:rFonts w:cstheme="minorHAnsi"/>
                <w:b/>
                <w:bCs/>
                <w:i/>
                <w:iCs/>
                <w:sz w:val="18"/>
                <w:szCs w:val="18"/>
              </w:rPr>
              <w:t>OR</w:t>
            </w:r>
          </w:p>
          <w:p w:rsidR="00450786" w:rsidRPr="00375D7A" w:rsidRDefault="00450786" w:rsidP="00450786">
            <w:pPr>
              <w:pStyle w:val="ListParagraph"/>
              <w:numPr>
                <w:ilvl w:val="0"/>
                <w:numId w:val="5"/>
              </w:numPr>
              <w:spacing w:line="252" w:lineRule="auto"/>
              <w:ind w:left="266" w:hanging="266"/>
              <w:rPr>
                <w:rFonts w:cstheme="minorHAnsi"/>
                <w:sz w:val="18"/>
                <w:szCs w:val="18"/>
              </w:rPr>
            </w:pPr>
            <w:r w:rsidRPr="00375D7A">
              <w:rPr>
                <w:rFonts w:cstheme="minorHAnsi"/>
                <w:sz w:val="18"/>
                <w:szCs w:val="18"/>
              </w:rPr>
              <w:t xml:space="preserve">Total or partial knee/hip joint replacement; </w:t>
            </w:r>
            <w:r w:rsidRPr="00375D7A">
              <w:rPr>
                <w:rFonts w:cstheme="minorHAnsi"/>
                <w:b/>
                <w:bCs/>
                <w:i/>
                <w:iCs/>
                <w:sz w:val="18"/>
                <w:szCs w:val="18"/>
              </w:rPr>
              <w:t>OR</w:t>
            </w:r>
          </w:p>
          <w:p w:rsidR="00450786" w:rsidRPr="00375D7A" w:rsidRDefault="00450786" w:rsidP="00450786">
            <w:pPr>
              <w:pStyle w:val="ListParagraph"/>
              <w:numPr>
                <w:ilvl w:val="0"/>
                <w:numId w:val="4"/>
              </w:numPr>
              <w:ind w:left="252" w:hanging="252"/>
              <w:rPr>
                <w:rFonts w:cstheme="minorHAnsi"/>
                <w:sz w:val="18"/>
                <w:szCs w:val="18"/>
              </w:rPr>
            </w:pPr>
            <w:r w:rsidRPr="00375D7A">
              <w:rPr>
                <w:rFonts w:cstheme="minorHAnsi"/>
                <w:sz w:val="18"/>
                <w:szCs w:val="18"/>
              </w:rPr>
              <w:t xml:space="preserve">Radiologic evidence suggesting moderate-to-severe OA (e.g., radiologist notes, </w:t>
            </w:r>
            <w:proofErr w:type="spellStart"/>
            <w:r w:rsidRPr="00375D7A">
              <w:rPr>
                <w:rFonts w:cstheme="minorHAnsi"/>
                <w:sz w:val="18"/>
                <w:szCs w:val="18"/>
              </w:rPr>
              <w:t>Kellgren</w:t>
            </w:r>
            <w:proofErr w:type="spellEnd"/>
            <w:r w:rsidRPr="00375D7A">
              <w:rPr>
                <w:rFonts w:cstheme="minorHAnsi"/>
                <w:sz w:val="18"/>
                <w:szCs w:val="18"/>
              </w:rPr>
              <w:t xml:space="preserve">-Lawrence grading score 3 or 4 or radiology report of degenerative changes consistent with this score, such as “moderate-to-severe joint space narrowing”); </w:t>
            </w:r>
            <w:r w:rsidRPr="00375D7A">
              <w:rPr>
                <w:rFonts w:cstheme="minorHAnsi"/>
                <w:b/>
                <w:bCs/>
                <w:i/>
                <w:iCs/>
                <w:sz w:val="18"/>
                <w:szCs w:val="18"/>
              </w:rPr>
              <w:t>OR</w:t>
            </w:r>
          </w:p>
          <w:p w:rsidR="00450786" w:rsidRPr="00375D7A" w:rsidRDefault="00450786" w:rsidP="00450786">
            <w:pPr>
              <w:pStyle w:val="ListParagraph"/>
              <w:numPr>
                <w:ilvl w:val="0"/>
                <w:numId w:val="4"/>
              </w:numPr>
              <w:ind w:left="252" w:hanging="252"/>
              <w:rPr>
                <w:rFonts w:cstheme="minorHAnsi"/>
                <w:sz w:val="18"/>
                <w:szCs w:val="18"/>
              </w:rPr>
            </w:pPr>
            <w:r w:rsidRPr="00375D7A">
              <w:rPr>
                <w:rFonts w:cstheme="minorHAnsi"/>
                <w:sz w:val="18"/>
                <w:szCs w:val="18"/>
              </w:rPr>
              <w:t xml:space="preserve">Use of mobility aid due to OA, </w:t>
            </w:r>
            <w:r w:rsidRPr="00375D7A">
              <w:rPr>
                <w:rFonts w:cstheme="minorHAnsi"/>
                <w:b/>
                <w:bCs/>
                <w:i/>
                <w:iCs/>
                <w:sz w:val="18"/>
                <w:szCs w:val="18"/>
              </w:rPr>
              <w:t>OR</w:t>
            </w:r>
          </w:p>
          <w:p w:rsidR="00450786" w:rsidRPr="00375D7A" w:rsidRDefault="00450786" w:rsidP="00450786">
            <w:pPr>
              <w:pStyle w:val="ListParagraph"/>
              <w:numPr>
                <w:ilvl w:val="0"/>
                <w:numId w:val="4"/>
              </w:numPr>
              <w:ind w:left="252" w:hanging="252"/>
              <w:rPr>
                <w:rFonts w:cstheme="minorHAnsi"/>
                <w:sz w:val="18"/>
                <w:szCs w:val="18"/>
              </w:rPr>
            </w:pPr>
            <w:r w:rsidRPr="00375D7A">
              <w:rPr>
                <w:rFonts w:cstheme="minorHAnsi"/>
                <w:sz w:val="18"/>
                <w:szCs w:val="18"/>
              </w:rPr>
              <w:t>Diagnosis of OA of hip/knee and either</w:t>
            </w:r>
          </w:p>
          <w:p w:rsidR="00450786" w:rsidRPr="00375D7A" w:rsidRDefault="00450786" w:rsidP="00450786">
            <w:pPr>
              <w:pStyle w:val="ListParagraph"/>
              <w:numPr>
                <w:ilvl w:val="0"/>
                <w:numId w:val="6"/>
              </w:numPr>
              <w:ind w:left="522" w:hanging="270"/>
              <w:rPr>
                <w:rFonts w:cstheme="minorHAnsi"/>
                <w:sz w:val="18"/>
                <w:szCs w:val="18"/>
              </w:rPr>
            </w:pPr>
            <w:r w:rsidRPr="00375D7A">
              <w:rPr>
                <w:rFonts w:cstheme="minorHAnsi"/>
                <w:sz w:val="18"/>
                <w:szCs w:val="18"/>
              </w:rPr>
              <w:t xml:space="preserve">&gt;2 prescriptions for the same opioid-containing drug (including single ingredient and compound products) &gt;1 week apart; </w:t>
            </w:r>
            <w:r w:rsidRPr="00375D7A">
              <w:rPr>
                <w:rFonts w:cstheme="minorHAnsi"/>
                <w:b/>
                <w:bCs/>
                <w:i/>
                <w:iCs/>
                <w:sz w:val="18"/>
                <w:szCs w:val="18"/>
              </w:rPr>
              <w:t>OR</w:t>
            </w:r>
          </w:p>
          <w:p w:rsidR="00450786" w:rsidRPr="00375D7A" w:rsidRDefault="00450786" w:rsidP="00450786">
            <w:pPr>
              <w:pStyle w:val="ListParagraph"/>
              <w:numPr>
                <w:ilvl w:val="0"/>
                <w:numId w:val="6"/>
              </w:numPr>
              <w:ind w:left="522" w:hanging="270"/>
              <w:rPr>
                <w:rFonts w:cstheme="minorHAnsi"/>
                <w:sz w:val="18"/>
                <w:szCs w:val="18"/>
              </w:rPr>
            </w:pPr>
            <w:r w:rsidRPr="00375D7A">
              <w:rPr>
                <w:rFonts w:cstheme="minorHAnsi"/>
                <w:sz w:val="18"/>
                <w:szCs w:val="18"/>
              </w:rPr>
              <w:t>1 IA steroid or HA injection</w:t>
            </w:r>
          </w:p>
        </w:tc>
        <w:tc>
          <w:tcPr>
            <w:tcW w:w="2000" w:type="pct"/>
            <w:hideMark/>
          </w:tcPr>
          <w:p w:rsidR="00450786" w:rsidRPr="00375D7A" w:rsidRDefault="00450786" w:rsidP="00450786">
            <w:pPr>
              <w:pStyle w:val="BodyText"/>
              <w:numPr>
                <w:ilvl w:val="0"/>
                <w:numId w:val="3"/>
              </w:numPr>
              <w:ind w:left="222" w:hanging="270"/>
              <w:rPr>
                <w:rFonts w:cstheme="minorHAnsi"/>
                <w:sz w:val="18"/>
                <w:szCs w:val="18"/>
              </w:rPr>
            </w:pPr>
            <w:r w:rsidRPr="00375D7A">
              <w:rPr>
                <w:rFonts w:cstheme="minorHAnsi"/>
                <w:sz w:val="18"/>
                <w:szCs w:val="18"/>
              </w:rPr>
              <w:t>Earliest date with confirmatory evidence during extraction period were used as date criterion was satisfied. For patients who met criteria based on multiple prescriptions for opioids, the earlier of the two prescription dates was used as the date of onset of “moderate-to-severe OA”</w:t>
            </w:r>
          </w:p>
        </w:tc>
      </w:tr>
      <w:tr w:rsidR="00450786" w:rsidRPr="00375D7A" w:rsidTr="00660FE6">
        <w:tc>
          <w:tcPr>
            <w:tcW w:w="1000" w:type="pct"/>
            <w:tcBorders>
              <w:bottom w:val="single" w:sz="4" w:space="0" w:color="auto"/>
            </w:tcBorders>
            <w:hideMark/>
          </w:tcPr>
          <w:p w:rsidR="00450786" w:rsidRPr="00375D7A" w:rsidRDefault="00450786" w:rsidP="00660FE6">
            <w:pPr>
              <w:pStyle w:val="BodyText"/>
              <w:spacing w:before="40"/>
              <w:rPr>
                <w:rFonts w:cstheme="minorHAnsi"/>
                <w:b/>
                <w:bCs/>
                <w:sz w:val="18"/>
                <w:szCs w:val="18"/>
              </w:rPr>
            </w:pPr>
            <w:r w:rsidRPr="00375D7A">
              <w:rPr>
                <w:rFonts w:cstheme="minorHAnsi"/>
                <w:b/>
                <w:bCs/>
                <w:sz w:val="18"/>
                <w:szCs w:val="18"/>
              </w:rPr>
              <w:t>Inadequate response to pain-related medications</w:t>
            </w:r>
          </w:p>
        </w:tc>
        <w:tc>
          <w:tcPr>
            <w:tcW w:w="2000" w:type="pct"/>
            <w:tcBorders>
              <w:bottom w:val="single" w:sz="4" w:space="0" w:color="auto"/>
            </w:tcBorders>
            <w:hideMark/>
          </w:tcPr>
          <w:p w:rsidR="00450786" w:rsidRPr="00375D7A" w:rsidRDefault="00450786" w:rsidP="00450786">
            <w:pPr>
              <w:pStyle w:val="ListParagraph"/>
              <w:numPr>
                <w:ilvl w:val="0"/>
                <w:numId w:val="5"/>
              </w:numPr>
              <w:ind w:left="266" w:hanging="266"/>
              <w:rPr>
                <w:rFonts w:cstheme="minorHAnsi"/>
                <w:sz w:val="18"/>
                <w:szCs w:val="18"/>
              </w:rPr>
            </w:pPr>
            <w:r w:rsidRPr="00375D7A">
              <w:rPr>
                <w:rFonts w:cstheme="minorHAnsi"/>
                <w:sz w:val="18"/>
                <w:szCs w:val="18"/>
              </w:rPr>
              <w:t xml:space="preserve">Medical note of inadequate pain relief, intolerable to medication(s) or persistent pain; </w:t>
            </w:r>
            <w:r w:rsidRPr="00375D7A">
              <w:rPr>
                <w:rFonts w:cstheme="minorHAnsi"/>
                <w:b/>
                <w:bCs/>
                <w:i/>
                <w:iCs/>
                <w:sz w:val="18"/>
                <w:szCs w:val="18"/>
              </w:rPr>
              <w:t>OR</w:t>
            </w:r>
          </w:p>
          <w:p w:rsidR="00450786" w:rsidRPr="00375D7A" w:rsidRDefault="00450786" w:rsidP="00450786">
            <w:pPr>
              <w:pStyle w:val="ListParagraph"/>
              <w:numPr>
                <w:ilvl w:val="0"/>
                <w:numId w:val="5"/>
              </w:numPr>
              <w:ind w:left="266" w:hanging="266"/>
              <w:rPr>
                <w:rFonts w:cstheme="minorHAnsi"/>
                <w:sz w:val="18"/>
                <w:szCs w:val="18"/>
              </w:rPr>
            </w:pPr>
            <w:r w:rsidRPr="00375D7A">
              <w:rPr>
                <w:rFonts w:cstheme="minorHAnsi"/>
                <w:sz w:val="18"/>
                <w:szCs w:val="18"/>
              </w:rPr>
              <w:t xml:space="preserve">Total or partial knee/hip joint replacement; </w:t>
            </w:r>
            <w:r w:rsidRPr="00375D7A">
              <w:rPr>
                <w:rFonts w:cstheme="minorHAnsi"/>
                <w:b/>
                <w:bCs/>
                <w:i/>
                <w:iCs/>
                <w:sz w:val="18"/>
                <w:szCs w:val="18"/>
              </w:rPr>
              <w:t>OR</w:t>
            </w:r>
          </w:p>
          <w:p w:rsidR="00450786" w:rsidRPr="00375D7A" w:rsidRDefault="00450786" w:rsidP="00450786">
            <w:pPr>
              <w:pStyle w:val="ListParagraph"/>
              <w:numPr>
                <w:ilvl w:val="0"/>
                <w:numId w:val="5"/>
              </w:numPr>
              <w:ind w:left="266" w:hanging="266"/>
              <w:rPr>
                <w:rFonts w:cstheme="minorHAnsi"/>
                <w:sz w:val="18"/>
                <w:szCs w:val="18"/>
              </w:rPr>
            </w:pPr>
            <w:r w:rsidRPr="00375D7A">
              <w:rPr>
                <w:rFonts w:cstheme="minorHAnsi"/>
                <w:sz w:val="18"/>
                <w:szCs w:val="18"/>
              </w:rPr>
              <w:t xml:space="preserve">&lt;90 days between episodes of HA or IA steroid treatment*; </w:t>
            </w:r>
            <w:r w:rsidRPr="00375D7A">
              <w:rPr>
                <w:rFonts w:cstheme="minorHAnsi"/>
                <w:b/>
                <w:bCs/>
                <w:i/>
                <w:iCs/>
                <w:sz w:val="18"/>
                <w:szCs w:val="18"/>
              </w:rPr>
              <w:t>OR</w:t>
            </w:r>
          </w:p>
          <w:p w:rsidR="00450786" w:rsidRPr="00375D7A" w:rsidRDefault="00450786" w:rsidP="00450786">
            <w:pPr>
              <w:pStyle w:val="ListParagraph"/>
              <w:numPr>
                <w:ilvl w:val="0"/>
                <w:numId w:val="5"/>
              </w:numPr>
              <w:ind w:left="266" w:hanging="266"/>
              <w:rPr>
                <w:rFonts w:cstheme="minorHAnsi"/>
                <w:b/>
                <w:bCs/>
                <w:sz w:val="18"/>
                <w:szCs w:val="18"/>
              </w:rPr>
            </w:pPr>
            <w:r w:rsidRPr="00375D7A">
              <w:rPr>
                <w:rFonts w:cstheme="minorHAnsi"/>
                <w:sz w:val="18"/>
                <w:szCs w:val="18"/>
              </w:rPr>
              <w:t>2 or more consecutive pain scores ≥4 or verbal rating of moderate-to-severe pain (i.e., persistency of moderate-to-severe pain) (date of the second pain assessment was used to establish persistency/worsening).</w:t>
            </w:r>
          </w:p>
          <w:p w:rsidR="00450786" w:rsidRPr="00375D7A" w:rsidRDefault="00450786" w:rsidP="00450786">
            <w:pPr>
              <w:pStyle w:val="ListParagraph"/>
              <w:numPr>
                <w:ilvl w:val="0"/>
                <w:numId w:val="5"/>
              </w:numPr>
              <w:ind w:left="266" w:hanging="266"/>
              <w:rPr>
                <w:rFonts w:cstheme="minorHAnsi"/>
                <w:sz w:val="18"/>
                <w:szCs w:val="18"/>
              </w:rPr>
            </w:pPr>
            <w:r w:rsidRPr="00375D7A">
              <w:rPr>
                <w:rFonts w:cstheme="minorHAnsi"/>
                <w:sz w:val="18"/>
                <w:szCs w:val="18"/>
              </w:rPr>
              <w:t>A pain scores ≥4 or verbal rating of moderate-to-severe pain (i.e., persistency of moderate-to-severe pain) following an HA or IA injection) (date of the pain assessment was used to establish persistency/worsening).</w:t>
            </w:r>
          </w:p>
        </w:tc>
        <w:tc>
          <w:tcPr>
            <w:tcW w:w="2000" w:type="pct"/>
            <w:tcBorders>
              <w:bottom w:val="single" w:sz="4" w:space="0" w:color="auto"/>
            </w:tcBorders>
            <w:hideMark/>
          </w:tcPr>
          <w:p w:rsidR="00450786" w:rsidRPr="00375D7A" w:rsidRDefault="00450786" w:rsidP="00450786">
            <w:pPr>
              <w:pStyle w:val="BodyText"/>
              <w:numPr>
                <w:ilvl w:val="0"/>
                <w:numId w:val="7"/>
              </w:numPr>
              <w:ind w:left="250" w:hanging="270"/>
              <w:rPr>
                <w:rFonts w:cstheme="minorHAnsi"/>
                <w:sz w:val="18"/>
                <w:szCs w:val="18"/>
              </w:rPr>
            </w:pPr>
            <w:r w:rsidRPr="00375D7A">
              <w:rPr>
                <w:rFonts w:cstheme="minorHAnsi"/>
                <w:sz w:val="18"/>
                <w:szCs w:val="18"/>
              </w:rPr>
              <w:t>First date of administration of HA/IA steroids within the second episode was used as date criterion was satisfied</w:t>
            </w:r>
          </w:p>
          <w:p w:rsidR="00450786" w:rsidRPr="00375D7A" w:rsidRDefault="00450786" w:rsidP="00450786">
            <w:pPr>
              <w:pStyle w:val="BodyText"/>
              <w:numPr>
                <w:ilvl w:val="0"/>
                <w:numId w:val="7"/>
              </w:numPr>
              <w:ind w:left="250" w:hanging="270"/>
              <w:rPr>
                <w:rFonts w:cstheme="minorHAnsi"/>
                <w:sz w:val="18"/>
                <w:szCs w:val="18"/>
              </w:rPr>
            </w:pPr>
            <w:r w:rsidRPr="00375D7A">
              <w:rPr>
                <w:rFonts w:cstheme="minorHAnsi"/>
                <w:sz w:val="18"/>
                <w:szCs w:val="18"/>
              </w:rPr>
              <w:t>Earliest date with confirmatory evidence during extraction period was used as date criterion was satisfied. For patients who meet criteria based on multiple prescriptions for opioids, the earlier of the two prescription dates was used as the date of onset of “moderate-to-severe OA”</w:t>
            </w:r>
          </w:p>
        </w:tc>
      </w:tr>
      <w:tr w:rsidR="00450786" w:rsidRPr="00375D7A" w:rsidTr="00660FE6">
        <w:tc>
          <w:tcPr>
            <w:tcW w:w="5000" w:type="pct"/>
            <w:gridSpan w:val="3"/>
            <w:tcBorders>
              <w:left w:val="nil"/>
              <w:bottom w:val="nil"/>
              <w:right w:val="nil"/>
            </w:tcBorders>
          </w:tcPr>
          <w:p w:rsidR="00450786" w:rsidRPr="00375D7A" w:rsidRDefault="00450786" w:rsidP="00660FE6">
            <w:pPr>
              <w:pStyle w:val="FootnoteText"/>
              <w:rPr>
                <w:rFonts w:asciiTheme="minorHAnsi" w:hAnsiTheme="minorHAnsi" w:cstheme="minorHAnsi"/>
                <w:sz w:val="18"/>
                <w:szCs w:val="18"/>
              </w:rPr>
            </w:pPr>
            <w:r>
              <w:rPr>
                <w:rFonts w:asciiTheme="minorHAnsi" w:hAnsiTheme="minorHAnsi" w:cstheme="minorHAnsi"/>
                <w:sz w:val="18"/>
                <w:szCs w:val="18"/>
              </w:rPr>
              <w:t xml:space="preserve">Note: </w:t>
            </w:r>
            <w:r w:rsidRPr="00375D7A">
              <w:rPr>
                <w:rFonts w:asciiTheme="minorHAnsi" w:hAnsiTheme="minorHAnsi" w:cstheme="minorHAnsi"/>
                <w:sz w:val="18"/>
                <w:szCs w:val="18"/>
              </w:rPr>
              <w:t>*HA injections can be a one-time procedure, but more often are given as a series of weekly injections across three, four, or five, weeks; HA injections following a such pattern are considered as a single treatment episode. If an HA injection is repeated more than 90 days apart from the date of last HA injection, it was considered as a new treatment episode.</w:t>
            </w:r>
          </w:p>
          <w:p w:rsidR="00450786" w:rsidRDefault="00450786" w:rsidP="00660FE6">
            <w:pPr>
              <w:pStyle w:val="BodyText"/>
              <w:ind w:left="-20"/>
              <w:rPr>
                <w:rFonts w:cstheme="minorHAnsi"/>
                <w:sz w:val="18"/>
                <w:szCs w:val="18"/>
              </w:rPr>
            </w:pPr>
            <w:r w:rsidRPr="00375D7A">
              <w:rPr>
                <w:rFonts w:cstheme="minorHAnsi"/>
                <w:sz w:val="18"/>
                <w:szCs w:val="18"/>
              </w:rPr>
              <w:t>IA steroids injections are usually given up to four times a year. Each IA steroids injection was treated as a treatment episode.</w:t>
            </w:r>
          </w:p>
          <w:p w:rsidR="00450786" w:rsidRPr="00375D7A" w:rsidRDefault="00450786" w:rsidP="00660FE6">
            <w:pPr>
              <w:pStyle w:val="TableFootnotesAbbreviations"/>
              <w:rPr>
                <w:rFonts w:cstheme="minorHAnsi"/>
                <w:szCs w:val="18"/>
              </w:rPr>
            </w:pPr>
            <w:r w:rsidRPr="00850B9B">
              <w:t>Abbreviation</w:t>
            </w:r>
            <w:r>
              <w:t>s</w:t>
            </w:r>
            <w:r w:rsidRPr="00850B9B">
              <w:t>: HA = hyaluronic acid; IA = intraarticular</w:t>
            </w:r>
            <w:r>
              <w:t xml:space="preserve">; </w:t>
            </w:r>
            <w:r w:rsidRPr="00850B9B">
              <w:t>OA= osteoarthritis</w:t>
            </w:r>
            <w:r>
              <w:t>.</w:t>
            </w:r>
          </w:p>
        </w:tc>
      </w:tr>
    </w:tbl>
    <w:p w:rsidR="00450786" w:rsidRDefault="00450786" w:rsidP="00450786">
      <w:pPr>
        <w:pStyle w:val="Bulletpoint1"/>
        <w:numPr>
          <w:ilvl w:val="0"/>
          <w:numId w:val="0"/>
        </w:numPr>
        <w:rPr>
          <w:b/>
          <w:bCs w:val="0"/>
        </w:rPr>
      </w:pPr>
      <w:bookmarkStart w:id="3" w:name="_Ref95147490"/>
      <w:r>
        <w:rPr>
          <w:b/>
          <w:bCs w:val="0"/>
        </w:rPr>
        <w:br w:type="page"/>
      </w:r>
    </w:p>
    <w:p w:rsidR="00450786" w:rsidRPr="00850B9B" w:rsidRDefault="00450786" w:rsidP="00450786">
      <w:pPr>
        <w:pStyle w:val="Bulletpoint1"/>
        <w:numPr>
          <w:ilvl w:val="0"/>
          <w:numId w:val="0"/>
        </w:numPr>
        <w:rPr>
          <w:b/>
          <w:bCs w:val="0"/>
          <w:lang w:val="en-US"/>
        </w:rPr>
      </w:pPr>
      <w:r w:rsidRPr="005410B1">
        <w:rPr>
          <w:b/>
          <w:bCs w:val="0"/>
        </w:rPr>
        <w:lastRenderedPageBreak/>
        <w:t xml:space="preserve">Supplemental Table </w:t>
      </w:r>
      <w:r w:rsidRPr="005410B1">
        <w:rPr>
          <w:b/>
          <w:bCs w:val="0"/>
        </w:rPr>
        <w:fldChar w:fldCharType="begin"/>
      </w:r>
      <w:r w:rsidRPr="005410B1">
        <w:rPr>
          <w:b/>
          <w:bCs w:val="0"/>
        </w:rPr>
        <w:instrText xml:space="preserve"> SEQ Supplemental_Table \* ARABIC </w:instrText>
      </w:r>
      <w:r w:rsidRPr="005410B1">
        <w:rPr>
          <w:b/>
          <w:bCs w:val="0"/>
        </w:rPr>
        <w:fldChar w:fldCharType="separate"/>
      </w:r>
      <w:r>
        <w:rPr>
          <w:b/>
          <w:bCs w:val="0"/>
          <w:noProof/>
        </w:rPr>
        <w:t>3</w:t>
      </w:r>
      <w:r w:rsidRPr="005410B1">
        <w:rPr>
          <w:b/>
          <w:bCs w:val="0"/>
        </w:rPr>
        <w:fldChar w:fldCharType="end"/>
      </w:r>
      <w:bookmarkEnd w:id="3"/>
      <w:r w:rsidRPr="00850B9B">
        <w:rPr>
          <w:b/>
          <w:bCs w:val="0"/>
          <w:lang w:val="en-US"/>
        </w:rPr>
        <w:t xml:space="preserve">. Performance of </w:t>
      </w:r>
      <w:r>
        <w:rPr>
          <w:b/>
          <w:bCs w:val="0"/>
          <w:lang w:val="en-US"/>
        </w:rPr>
        <w:t>m</w:t>
      </w:r>
      <w:r w:rsidRPr="00850B9B">
        <w:rPr>
          <w:b/>
          <w:bCs w:val="0"/>
          <w:lang w:val="en-US"/>
        </w:rPr>
        <w:t xml:space="preserve">achine </w:t>
      </w:r>
      <w:r>
        <w:rPr>
          <w:b/>
          <w:bCs w:val="0"/>
          <w:lang w:val="en-US"/>
        </w:rPr>
        <w:t>l</w:t>
      </w:r>
      <w:r w:rsidRPr="00850B9B">
        <w:rPr>
          <w:b/>
          <w:bCs w:val="0"/>
          <w:lang w:val="en-US"/>
        </w:rPr>
        <w:t xml:space="preserve">earning </w:t>
      </w:r>
      <w:r>
        <w:rPr>
          <w:b/>
          <w:bCs w:val="0"/>
          <w:lang w:val="en-US"/>
        </w:rPr>
        <w:t>a</w:t>
      </w:r>
      <w:r w:rsidRPr="00850B9B">
        <w:rPr>
          <w:b/>
          <w:bCs w:val="0"/>
          <w:lang w:val="en-US"/>
        </w:rPr>
        <w:t xml:space="preserve">lgorithms </w:t>
      </w:r>
      <w:r>
        <w:rPr>
          <w:b/>
        </w:rPr>
        <w:t>to identify patients with moderate-to-severe OA of the hip and/or knee with inadequate response to two or more pain-related medications a</w:t>
      </w:r>
      <w:proofErr w:type="spellStart"/>
      <w:r w:rsidRPr="00850B9B">
        <w:rPr>
          <w:b/>
          <w:bCs w:val="0"/>
          <w:lang w:val="en-US"/>
        </w:rPr>
        <w:t>pplied</w:t>
      </w:r>
      <w:proofErr w:type="spellEnd"/>
      <w:r w:rsidRPr="00850B9B">
        <w:rPr>
          <w:b/>
          <w:bCs w:val="0"/>
          <w:lang w:val="en-US"/>
        </w:rPr>
        <w:t xml:space="preserve"> to </w:t>
      </w:r>
      <w:r>
        <w:rPr>
          <w:b/>
          <w:bCs w:val="0"/>
          <w:lang w:val="en-US"/>
        </w:rPr>
        <w:t>EMR</w:t>
      </w:r>
      <w:r w:rsidRPr="00850B9B">
        <w:rPr>
          <w:b/>
          <w:bCs w:val="0"/>
          <w:lang w:val="en-US"/>
        </w:rPr>
        <w:t xml:space="preserve"> </w:t>
      </w:r>
      <w:r>
        <w:rPr>
          <w:b/>
          <w:bCs w:val="0"/>
          <w:lang w:val="en-US"/>
        </w:rPr>
        <w:t>d</w:t>
      </w:r>
      <w:r w:rsidRPr="00850B9B">
        <w:rPr>
          <w:b/>
          <w:bCs w:val="0"/>
          <w:lang w:val="en-US"/>
        </w:rPr>
        <w:t>ata</w:t>
      </w:r>
    </w:p>
    <w:tbl>
      <w:tblPr>
        <w:tblStyle w:val="TableGrid2"/>
        <w:tblW w:w="9360" w:type="dxa"/>
        <w:tblLook w:val="04A0" w:firstRow="1" w:lastRow="0" w:firstColumn="1" w:lastColumn="0" w:noHBand="0" w:noVBand="1"/>
      </w:tblPr>
      <w:tblGrid>
        <w:gridCol w:w="2880"/>
        <w:gridCol w:w="2160"/>
        <w:gridCol w:w="2160"/>
        <w:gridCol w:w="2160"/>
      </w:tblGrid>
      <w:tr w:rsidR="00450786" w:rsidRPr="00DC0E52" w:rsidTr="00660FE6">
        <w:tc>
          <w:tcPr>
            <w:tcW w:w="2880" w:type="dxa"/>
          </w:tcPr>
          <w:p w:rsidR="00450786" w:rsidRPr="00DC0E52" w:rsidRDefault="00450786" w:rsidP="00660FE6">
            <w:pPr>
              <w:spacing w:before="60" w:after="60"/>
              <w:rPr>
                <w:rFonts w:cstheme="minorHAnsi"/>
                <w:b/>
                <w:bCs/>
                <w:sz w:val="18"/>
                <w:szCs w:val="20"/>
              </w:rPr>
            </w:pPr>
            <w:r w:rsidRPr="00DC0E52">
              <w:rPr>
                <w:rFonts w:cstheme="minorHAnsi"/>
                <w:b/>
                <w:bCs/>
                <w:sz w:val="18"/>
                <w:szCs w:val="20"/>
              </w:rPr>
              <w:t>Metric</w:t>
            </w:r>
          </w:p>
        </w:tc>
        <w:tc>
          <w:tcPr>
            <w:tcW w:w="2160" w:type="dxa"/>
          </w:tcPr>
          <w:p w:rsidR="00450786" w:rsidRPr="00DC0E52" w:rsidRDefault="00450786" w:rsidP="00660FE6">
            <w:pPr>
              <w:spacing w:before="60" w:after="60"/>
              <w:jc w:val="center"/>
              <w:rPr>
                <w:rFonts w:cstheme="minorHAnsi"/>
                <w:b/>
                <w:bCs/>
                <w:sz w:val="18"/>
                <w:szCs w:val="20"/>
              </w:rPr>
            </w:pPr>
            <w:r w:rsidRPr="00DC0E52">
              <w:rPr>
                <w:rFonts w:cstheme="minorHAnsi"/>
                <w:b/>
                <w:bCs/>
                <w:sz w:val="18"/>
                <w:szCs w:val="20"/>
              </w:rPr>
              <w:t>Logistic Regression</w:t>
            </w:r>
          </w:p>
        </w:tc>
        <w:tc>
          <w:tcPr>
            <w:tcW w:w="2160" w:type="dxa"/>
          </w:tcPr>
          <w:p w:rsidR="00450786" w:rsidRPr="00DC0E52" w:rsidRDefault="00450786" w:rsidP="00660FE6">
            <w:pPr>
              <w:spacing w:before="60" w:after="60"/>
              <w:jc w:val="center"/>
              <w:rPr>
                <w:rFonts w:cstheme="minorHAnsi"/>
                <w:b/>
                <w:bCs/>
                <w:sz w:val="18"/>
                <w:szCs w:val="20"/>
              </w:rPr>
            </w:pPr>
            <w:r w:rsidRPr="00DC0E52">
              <w:rPr>
                <w:rFonts w:cstheme="minorHAnsi"/>
                <w:b/>
                <w:bCs/>
                <w:sz w:val="18"/>
                <w:szCs w:val="20"/>
              </w:rPr>
              <w:t>Classification and Regression Tree</w:t>
            </w:r>
          </w:p>
        </w:tc>
        <w:tc>
          <w:tcPr>
            <w:tcW w:w="2160" w:type="dxa"/>
          </w:tcPr>
          <w:p w:rsidR="00450786" w:rsidRPr="00DC0E52" w:rsidRDefault="00450786" w:rsidP="00660FE6">
            <w:pPr>
              <w:spacing w:before="60" w:after="60"/>
              <w:jc w:val="center"/>
              <w:rPr>
                <w:rFonts w:cstheme="minorHAnsi"/>
                <w:b/>
                <w:bCs/>
                <w:sz w:val="18"/>
                <w:szCs w:val="20"/>
              </w:rPr>
            </w:pPr>
            <w:r w:rsidRPr="00DC0E52">
              <w:rPr>
                <w:rFonts w:cstheme="minorHAnsi"/>
                <w:b/>
                <w:bCs/>
                <w:sz w:val="18"/>
                <w:szCs w:val="20"/>
              </w:rPr>
              <w:t>Random Forest</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32684B">
              <w:rPr>
                <w:rFonts w:cstheme="minorHAnsi"/>
                <w:bCs/>
                <w:color w:val="000000"/>
                <w:sz w:val="18"/>
                <w:szCs w:val="20"/>
              </w:rPr>
              <w:t>P</w:t>
            </w:r>
            <w:r>
              <w:rPr>
                <w:rFonts w:cstheme="minorHAnsi"/>
                <w:bCs/>
                <w:color w:val="000000"/>
                <w:sz w:val="18"/>
                <w:szCs w:val="20"/>
              </w:rPr>
              <w:t>ositive Predictive Value</w:t>
            </w:r>
            <w:r w:rsidRPr="0032684B">
              <w:rPr>
                <w:rFonts w:cstheme="minorHAnsi"/>
                <w:bCs/>
                <w:color w:val="000000"/>
                <w:sz w:val="18"/>
                <w:szCs w:val="20"/>
              </w:rPr>
              <w:t xml:space="preserve"> (SD)</w:t>
            </w:r>
            <w:r>
              <w:rPr>
                <w:rFonts w:cstheme="minorHAnsi"/>
                <w:bCs/>
                <w:color w:val="000000"/>
                <w:sz w:val="18"/>
                <w:szCs w:val="20"/>
              </w:rPr>
              <w:t>†</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87</w:t>
            </w:r>
            <w:r w:rsidRPr="00DC0E52">
              <w:rPr>
                <w:rFonts w:cstheme="minorHAnsi"/>
                <w:bCs/>
                <w:color w:val="000000"/>
                <w:sz w:val="18"/>
                <w:szCs w:val="20"/>
              </w:rPr>
              <w:t xml:space="preserve"> (0.0</w:t>
            </w:r>
            <w:r>
              <w:rPr>
                <w:rFonts w:cstheme="minorHAnsi"/>
                <w:bCs/>
                <w:color w:val="000000"/>
                <w:sz w:val="18"/>
                <w:szCs w:val="20"/>
              </w:rPr>
              <w:t>2</w:t>
            </w:r>
            <w:r w:rsidRPr="00DC0E52">
              <w:rPr>
                <w:rFonts w:cstheme="minorHAnsi"/>
                <w:bCs/>
                <w:color w:val="000000"/>
                <w:sz w:val="18"/>
                <w:szCs w:val="20"/>
              </w:rPr>
              <w:t>)</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0.8</w:t>
            </w:r>
            <w:r>
              <w:rPr>
                <w:rFonts w:cstheme="minorHAnsi"/>
                <w:bCs/>
                <w:color w:val="000000"/>
                <w:sz w:val="18"/>
                <w:szCs w:val="20"/>
              </w:rPr>
              <w:t>8</w:t>
            </w:r>
            <w:r w:rsidRPr="00DC0E52">
              <w:rPr>
                <w:rFonts w:cstheme="minorHAnsi"/>
                <w:bCs/>
                <w:color w:val="000000"/>
                <w:sz w:val="18"/>
                <w:szCs w:val="20"/>
              </w:rPr>
              <w:t xml:space="preserve"> (0.0</w:t>
            </w:r>
            <w:r>
              <w:rPr>
                <w:rFonts w:cstheme="minorHAnsi"/>
                <w:bCs/>
                <w:color w:val="000000"/>
                <w:sz w:val="18"/>
                <w:szCs w:val="20"/>
              </w:rPr>
              <w:t>5</w:t>
            </w:r>
            <w:r w:rsidRPr="00DC0E52">
              <w:rPr>
                <w:rFonts w:cstheme="minorHAnsi"/>
                <w:bCs/>
                <w:color w:val="000000"/>
                <w:sz w:val="18"/>
                <w:szCs w:val="20"/>
              </w:rPr>
              <w:t>)</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89</w:t>
            </w:r>
            <w:r w:rsidRPr="00DC0E52">
              <w:rPr>
                <w:rFonts w:cstheme="minorHAnsi"/>
                <w:bCs/>
                <w:color w:val="000000"/>
                <w:sz w:val="18"/>
                <w:szCs w:val="20"/>
              </w:rPr>
              <w:t xml:space="preserve"> (0.0</w:t>
            </w:r>
            <w:r>
              <w:rPr>
                <w:rFonts w:cstheme="minorHAnsi"/>
                <w:bCs/>
                <w:color w:val="000000"/>
                <w:sz w:val="18"/>
                <w:szCs w:val="20"/>
              </w:rPr>
              <w:t>2</w:t>
            </w:r>
            <w:r w:rsidRPr="00DC0E52">
              <w:rPr>
                <w:rFonts w:cstheme="minorHAnsi"/>
                <w:bCs/>
                <w:color w:val="000000"/>
                <w:sz w:val="18"/>
                <w:szCs w:val="20"/>
              </w:rPr>
              <w:t>)</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Pr>
                <w:rFonts w:cstheme="minorHAnsi"/>
                <w:bCs/>
                <w:color w:val="000000"/>
                <w:sz w:val="18"/>
                <w:szCs w:val="20"/>
              </w:rPr>
              <w:t>Negative Predictive Value</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.38</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46</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62</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DC0E52">
              <w:rPr>
                <w:rFonts w:cstheme="minorHAnsi"/>
                <w:bCs/>
                <w:color w:val="000000"/>
                <w:sz w:val="18"/>
                <w:szCs w:val="20"/>
              </w:rPr>
              <w:t>Sensitivity</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68</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78</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88</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DC0E52">
              <w:rPr>
                <w:rFonts w:cstheme="minorHAnsi"/>
                <w:bCs/>
                <w:color w:val="000000"/>
                <w:sz w:val="18"/>
                <w:szCs w:val="20"/>
              </w:rPr>
              <w:t>Specificity</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65</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65</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64</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DC0E52">
              <w:rPr>
                <w:rFonts w:cstheme="minorHAnsi"/>
                <w:bCs/>
                <w:color w:val="000000"/>
                <w:sz w:val="18"/>
                <w:szCs w:val="20"/>
              </w:rPr>
              <w:t>Accuracy</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68</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75</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83</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32684B">
              <w:rPr>
                <w:rFonts w:cstheme="minorHAnsi"/>
                <w:bCs/>
                <w:color w:val="000000"/>
                <w:sz w:val="18"/>
                <w:szCs w:val="20"/>
              </w:rPr>
              <w:t>A</w:t>
            </w:r>
            <w:r>
              <w:rPr>
                <w:rFonts w:cstheme="minorHAnsi"/>
                <w:bCs/>
                <w:color w:val="000000"/>
                <w:sz w:val="18"/>
                <w:szCs w:val="20"/>
              </w:rPr>
              <w:t xml:space="preserve">rea </w:t>
            </w:r>
            <w:r w:rsidRPr="0032684B">
              <w:rPr>
                <w:rFonts w:cstheme="minorHAnsi"/>
                <w:bCs/>
                <w:color w:val="000000"/>
                <w:sz w:val="18"/>
                <w:szCs w:val="20"/>
              </w:rPr>
              <w:t>U</w:t>
            </w:r>
            <w:r>
              <w:rPr>
                <w:rFonts w:cstheme="minorHAnsi"/>
                <w:bCs/>
                <w:color w:val="000000"/>
                <w:sz w:val="18"/>
                <w:szCs w:val="20"/>
              </w:rPr>
              <w:t xml:space="preserve">nder the </w:t>
            </w:r>
            <w:r w:rsidRPr="0032684B">
              <w:rPr>
                <w:rFonts w:cstheme="minorHAnsi"/>
                <w:bCs/>
                <w:color w:val="000000"/>
                <w:sz w:val="18"/>
                <w:szCs w:val="20"/>
              </w:rPr>
              <w:t>C</w:t>
            </w:r>
            <w:r>
              <w:rPr>
                <w:rFonts w:cstheme="minorHAnsi"/>
                <w:bCs/>
                <w:color w:val="000000"/>
                <w:sz w:val="18"/>
                <w:szCs w:val="20"/>
              </w:rPr>
              <w:t>urve</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67</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72</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76</w:t>
            </w:r>
          </w:p>
        </w:tc>
      </w:tr>
      <w:tr w:rsidR="00450786" w:rsidRPr="00DC0E52" w:rsidTr="00660FE6">
        <w:tc>
          <w:tcPr>
            <w:tcW w:w="2880" w:type="dxa"/>
          </w:tcPr>
          <w:p w:rsidR="00450786" w:rsidRPr="00DC0E52" w:rsidRDefault="00450786" w:rsidP="00660FE6">
            <w:pPr>
              <w:spacing w:before="60" w:after="60"/>
              <w:rPr>
                <w:rFonts w:cstheme="minorHAnsi"/>
                <w:bCs/>
                <w:color w:val="000000"/>
                <w:sz w:val="18"/>
                <w:szCs w:val="20"/>
              </w:rPr>
            </w:pPr>
            <w:r w:rsidRPr="00DC0E52">
              <w:rPr>
                <w:rFonts w:cstheme="minorHAnsi"/>
                <w:bCs/>
                <w:color w:val="000000"/>
                <w:sz w:val="18"/>
                <w:szCs w:val="20"/>
              </w:rPr>
              <w:t>F1 score‡</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77</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83</w:t>
            </w:r>
          </w:p>
        </w:tc>
        <w:tc>
          <w:tcPr>
            <w:tcW w:w="2160" w:type="dxa"/>
          </w:tcPr>
          <w:p w:rsidR="00450786" w:rsidRPr="00DC0E52" w:rsidRDefault="00450786" w:rsidP="00660FE6">
            <w:pPr>
              <w:tabs>
                <w:tab w:val="decimal" w:pos="787"/>
              </w:tabs>
              <w:spacing w:before="60" w:after="60"/>
              <w:rPr>
                <w:rFonts w:cstheme="minorHAnsi"/>
                <w:bCs/>
                <w:color w:val="000000"/>
                <w:sz w:val="18"/>
                <w:szCs w:val="20"/>
              </w:rPr>
            </w:pPr>
            <w:r w:rsidRPr="00DC0E52">
              <w:rPr>
                <w:rFonts w:cstheme="minorHAnsi"/>
                <w:bCs/>
                <w:color w:val="000000"/>
                <w:sz w:val="18"/>
                <w:szCs w:val="20"/>
              </w:rPr>
              <w:t>0.</w:t>
            </w:r>
            <w:r>
              <w:rPr>
                <w:rFonts w:cstheme="minorHAnsi"/>
                <w:bCs/>
                <w:color w:val="000000"/>
                <w:sz w:val="18"/>
                <w:szCs w:val="20"/>
              </w:rPr>
              <w:t>89</w:t>
            </w:r>
          </w:p>
        </w:tc>
      </w:tr>
    </w:tbl>
    <w:p w:rsidR="00450786" w:rsidRPr="00FF27AA" w:rsidRDefault="00450786" w:rsidP="00450786">
      <w:pPr>
        <w:pStyle w:val="TableFootnotesAbbreviations"/>
      </w:pPr>
      <w:r>
        <w:t xml:space="preserve">Note: </w:t>
      </w:r>
      <w:r w:rsidRPr="00FF27AA">
        <w:t xml:space="preserve">*OA population of interest: patients who meet all three relevant criteria (i.e., OA of the hip and/or knee, moderate-to-severe OA, inadequate response to ≥ 2 pain-related medications). </w:t>
      </w:r>
    </w:p>
    <w:p w:rsidR="00450786" w:rsidRDefault="00450786" w:rsidP="00450786">
      <w:pPr>
        <w:pStyle w:val="TableFootnotesAbbreviations"/>
      </w:pPr>
      <w:r>
        <w:rPr>
          <w:rFonts w:ascii="Calibri" w:hAnsi="Calibri" w:cs="Calibri"/>
          <w:bCs/>
          <w:color w:val="000000"/>
          <w:sz w:val="20"/>
        </w:rPr>
        <w:t>†T</w:t>
      </w:r>
      <w:r w:rsidRPr="00FF27AA">
        <w:t>he mean</w:t>
      </w:r>
      <w:r>
        <w:t>s</w:t>
      </w:r>
      <w:r w:rsidRPr="00FF27AA">
        <w:t xml:space="preserve"> and SD are estimated from the outer folds of the nested cross validation.</w:t>
      </w:r>
    </w:p>
    <w:p w:rsidR="00450786" w:rsidRDefault="00450786" w:rsidP="00450786">
      <w:pPr>
        <w:pStyle w:val="TableFootnotesAbbreviations"/>
      </w:pPr>
      <w:r w:rsidRPr="00FF27AA">
        <w:t>‡</w:t>
      </w:r>
      <w:r>
        <w:t>The F1 score is calculated as the</w:t>
      </w:r>
      <w:r w:rsidRPr="000A7EB7">
        <w:t xml:space="preserve"> weighted average of PPV and sensitivity. A value between 0 and 1 with 1 being the highest (most accurate).</w:t>
      </w:r>
    </w:p>
    <w:p w:rsidR="00450786" w:rsidRDefault="00450786" w:rsidP="00450786">
      <w:pPr>
        <w:pStyle w:val="TableFootnotesAbbreviations"/>
      </w:pPr>
    </w:p>
    <w:p w:rsidR="00450786" w:rsidRDefault="00450786" w:rsidP="00450786">
      <w:pPr>
        <w:pStyle w:val="TableFootnotesAbbreviations"/>
      </w:pPr>
      <w:r w:rsidRPr="00D176F1">
        <w:t xml:space="preserve">Abbreviations: </w:t>
      </w:r>
      <w:r>
        <w:t>EMR = electronic medical records;</w:t>
      </w:r>
      <w:r w:rsidRPr="00D176F1">
        <w:t xml:space="preserve"> SD = </w:t>
      </w:r>
      <w:r>
        <w:t>s</w:t>
      </w:r>
      <w:r w:rsidRPr="00D176F1">
        <w:t xml:space="preserve">tandard </w:t>
      </w:r>
      <w:r>
        <w:t>d</w:t>
      </w:r>
      <w:r w:rsidRPr="00D176F1">
        <w:t>eviation</w:t>
      </w:r>
      <w:r>
        <w:t xml:space="preserve"> </w:t>
      </w:r>
    </w:p>
    <w:p w:rsidR="00450786" w:rsidRPr="00FF27AA" w:rsidRDefault="00450786" w:rsidP="00450786">
      <w:pPr>
        <w:pStyle w:val="TableFootnotesAbbreviations"/>
      </w:pPr>
    </w:p>
    <w:p w:rsidR="00450786" w:rsidRPr="00FF27AA" w:rsidRDefault="00450786" w:rsidP="00450786">
      <w:pPr>
        <w:rPr>
          <w:bCs/>
          <w:sz w:val="20"/>
          <w:szCs w:val="20"/>
          <w:lang w:val="en-GB"/>
        </w:rPr>
      </w:pPr>
      <w:r w:rsidRPr="00FF27AA">
        <w:rPr>
          <w:sz w:val="20"/>
          <w:szCs w:val="20"/>
        </w:rPr>
        <w:br w:type="page"/>
      </w:r>
    </w:p>
    <w:p w:rsidR="00450786" w:rsidRDefault="00450786" w:rsidP="00450786">
      <w:pPr>
        <w:pStyle w:val="BodyText"/>
        <w:keepNext/>
        <w:keepLines/>
        <w:rPr>
          <w:b/>
          <w:bCs/>
        </w:rPr>
      </w:pPr>
      <w:bookmarkStart w:id="4" w:name="_Ref95147513"/>
      <w:r w:rsidRPr="005410B1">
        <w:rPr>
          <w:b/>
          <w:bCs/>
        </w:rPr>
        <w:lastRenderedPageBreak/>
        <w:t xml:space="preserve">Supplemental Figure </w:t>
      </w:r>
      <w:bookmarkEnd w:id="4"/>
      <w:r>
        <w:rPr>
          <w:b/>
          <w:bCs/>
        </w:rPr>
        <w:t>1</w:t>
      </w:r>
      <w:r w:rsidRPr="00850B9B">
        <w:rPr>
          <w:b/>
          <w:bCs/>
        </w:rPr>
        <w:t>.</w:t>
      </w:r>
      <w:r>
        <w:rPr>
          <w:b/>
          <w:bCs/>
        </w:rPr>
        <w:t xml:space="preserve"> Shapley Additive </w:t>
      </w:r>
      <w:proofErr w:type="spellStart"/>
      <w:r>
        <w:rPr>
          <w:b/>
          <w:bCs/>
        </w:rPr>
        <w:t>exPlanations</w:t>
      </w:r>
      <w:proofErr w:type="spellEnd"/>
      <w:r>
        <w:rPr>
          <w:b/>
          <w:bCs/>
        </w:rPr>
        <w:t xml:space="preserve"> (SHAP) diagram of feature importance from random forest </w:t>
      </w:r>
      <w:r>
        <w:rPr>
          <w:b/>
        </w:rPr>
        <w:t>to identify patients with moderate-to-severe OA of the hip and/or knee with inadequate response to two or more pain-related medications</w:t>
      </w:r>
      <w:r>
        <w:rPr>
          <w:b/>
          <w:bCs/>
        </w:rPr>
        <w:t xml:space="preserve"> using claims data</w:t>
      </w:r>
    </w:p>
    <w:p w:rsidR="00450786" w:rsidRDefault="00450786" w:rsidP="00450786">
      <w:pPr>
        <w:pStyle w:val="BodyText"/>
        <w:keepNext/>
        <w:keepLines/>
        <w:rPr>
          <w:b/>
          <w:bCs/>
        </w:rPr>
      </w:pPr>
      <w:r w:rsidRPr="00966044">
        <w:rPr>
          <w:noProof/>
        </w:rPr>
        <w:t xml:space="preserve"> </w:t>
      </w:r>
      <w:r>
        <w:rPr>
          <w:noProof/>
        </w:rPr>
        <w:drawing>
          <wp:inline distT="0" distB="0" distL="0" distR="0" wp14:anchorId="05F56A04" wp14:editId="32F0DEBD">
            <wp:extent cx="5943600" cy="56057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605780"/>
                    </a:xfrm>
                    <a:prstGeom prst="rect">
                      <a:avLst/>
                    </a:prstGeom>
                  </pic:spPr>
                </pic:pic>
              </a:graphicData>
            </a:graphic>
          </wp:inline>
        </w:drawing>
      </w:r>
    </w:p>
    <w:p w:rsidR="00450786" w:rsidRDefault="00450786" w:rsidP="00450786">
      <w:pPr>
        <w:pStyle w:val="TableFootnotesAbbreviations"/>
        <w:rPr>
          <w:b/>
          <w:bCs/>
        </w:rPr>
      </w:pPr>
      <w:r>
        <w:rPr>
          <w:szCs w:val="18"/>
        </w:rPr>
        <w:t xml:space="preserve">Note: </w:t>
      </w:r>
      <w:r w:rsidRPr="00307D00">
        <w:rPr>
          <w:szCs w:val="18"/>
        </w:rPr>
        <w:t xml:space="preserve">The summary plot combines feature importance with feature effects. Feature names are ordered according to their importance. </w:t>
      </w:r>
      <w:r w:rsidRPr="002678A9">
        <w:rPr>
          <w:szCs w:val="18"/>
        </w:rPr>
        <w:t>On the x-axis is the SHAP value</w:t>
      </w:r>
      <w:r>
        <w:rPr>
          <w:szCs w:val="18"/>
        </w:rPr>
        <w:t xml:space="preserve"> which indicates how much is the impact on model output</w:t>
      </w:r>
      <w:r w:rsidRPr="002678A9">
        <w:rPr>
          <w:szCs w:val="18"/>
        </w:rPr>
        <w:t>.</w:t>
      </w:r>
      <w:r w:rsidRPr="00EA645A">
        <w:t xml:space="preserve"> </w:t>
      </w:r>
      <w:r w:rsidRPr="004C5F60">
        <w:t>The colo</w:t>
      </w:r>
      <w:r>
        <w:t>r</w:t>
      </w:r>
      <w:r w:rsidRPr="004C5F60">
        <w:t xml:space="preserve"> represents the value of the feature from low</w:t>
      </w:r>
      <w:r>
        <w:t xml:space="preserve"> (blue color)</w:t>
      </w:r>
      <w:r w:rsidRPr="004C5F60">
        <w:t xml:space="preserve"> to high</w:t>
      </w:r>
      <w:r>
        <w:t xml:space="preserve"> (red color)</w:t>
      </w:r>
      <w:r w:rsidRPr="004C5F60">
        <w:t>.</w:t>
      </w:r>
      <w:r>
        <w:t xml:space="preserve"> </w:t>
      </w:r>
      <w:r w:rsidRPr="00EA645A">
        <w:rPr>
          <w:szCs w:val="18"/>
        </w:rPr>
        <w:t xml:space="preserve">Each </w:t>
      </w:r>
      <w:r>
        <w:rPr>
          <w:szCs w:val="18"/>
        </w:rPr>
        <w:t xml:space="preserve">point on the summary plot </w:t>
      </w:r>
      <w:r w:rsidRPr="004C3F5B">
        <w:rPr>
          <w:szCs w:val="18"/>
        </w:rPr>
        <w:t>is a SHAP value for a feature and one patient</w:t>
      </w:r>
      <w:r w:rsidRPr="00EA645A">
        <w:rPr>
          <w:szCs w:val="18"/>
        </w:rPr>
        <w:t>.</w:t>
      </w:r>
      <w:r w:rsidRPr="00782B2E">
        <w:rPr>
          <w:szCs w:val="18"/>
        </w:rPr>
        <w:t xml:space="preserve"> Overlapping points are jittered in </w:t>
      </w:r>
      <w:r>
        <w:rPr>
          <w:szCs w:val="18"/>
        </w:rPr>
        <w:t xml:space="preserve">the </w:t>
      </w:r>
      <w:r w:rsidRPr="00782B2E">
        <w:rPr>
          <w:szCs w:val="18"/>
        </w:rPr>
        <w:t xml:space="preserve">y-axis direction, </w:t>
      </w:r>
      <w:r>
        <w:rPr>
          <w:szCs w:val="18"/>
        </w:rPr>
        <w:t>to illustrate</w:t>
      </w:r>
      <w:r w:rsidRPr="00782B2E">
        <w:rPr>
          <w:szCs w:val="18"/>
        </w:rPr>
        <w:t xml:space="preserve"> the distribution of the </w:t>
      </w:r>
      <w:r>
        <w:rPr>
          <w:szCs w:val="18"/>
        </w:rPr>
        <w:t>SHAP</w:t>
      </w:r>
      <w:r w:rsidRPr="00782B2E">
        <w:rPr>
          <w:szCs w:val="18"/>
        </w:rPr>
        <w:t xml:space="preserve"> values per feature. </w:t>
      </w:r>
      <w:r>
        <w:rPr>
          <w:szCs w:val="18"/>
        </w:rPr>
        <w:t>For example, a h</w:t>
      </w:r>
      <w:r w:rsidRPr="005167C1">
        <w:rPr>
          <w:szCs w:val="18"/>
        </w:rPr>
        <w:t xml:space="preserve">igher </w:t>
      </w:r>
      <w:r>
        <w:rPr>
          <w:szCs w:val="18"/>
        </w:rPr>
        <w:t>number</w:t>
      </w:r>
      <w:r w:rsidRPr="005167C1">
        <w:rPr>
          <w:szCs w:val="18"/>
        </w:rPr>
        <w:t xml:space="preserve"> of </w:t>
      </w:r>
      <w:r>
        <w:rPr>
          <w:szCs w:val="18"/>
        </w:rPr>
        <w:t>orthopedic visits</w:t>
      </w:r>
      <w:r w:rsidRPr="005167C1">
        <w:rPr>
          <w:szCs w:val="18"/>
        </w:rPr>
        <w:t xml:space="preserve"> (</w:t>
      </w:r>
      <w:r>
        <w:rPr>
          <w:szCs w:val="18"/>
        </w:rPr>
        <w:t>red/purple points</w:t>
      </w:r>
      <w:r w:rsidRPr="005167C1">
        <w:rPr>
          <w:szCs w:val="18"/>
        </w:rPr>
        <w:t xml:space="preserve">) leads to </w:t>
      </w:r>
      <w:r>
        <w:rPr>
          <w:szCs w:val="18"/>
        </w:rPr>
        <w:t>a higher chance</w:t>
      </w:r>
      <w:r w:rsidRPr="005167C1">
        <w:rPr>
          <w:szCs w:val="18"/>
        </w:rPr>
        <w:t xml:space="preserve"> of </w:t>
      </w:r>
      <w:r>
        <w:rPr>
          <w:szCs w:val="18"/>
        </w:rPr>
        <w:t>being classified as case (i.e., patients with all three osteoarthritis characteristics)</w:t>
      </w:r>
      <w:r w:rsidRPr="005167C1">
        <w:rPr>
          <w:szCs w:val="18"/>
        </w:rPr>
        <w:t xml:space="preserve">. </w:t>
      </w:r>
      <w:r>
        <w:rPr>
          <w:szCs w:val="18"/>
        </w:rPr>
        <w:t>A l</w:t>
      </w:r>
      <w:r w:rsidRPr="005167C1">
        <w:rPr>
          <w:szCs w:val="18"/>
        </w:rPr>
        <w:t xml:space="preserve">ower </w:t>
      </w:r>
      <w:r>
        <w:rPr>
          <w:szCs w:val="18"/>
        </w:rPr>
        <w:t>number</w:t>
      </w:r>
      <w:r w:rsidRPr="005167C1">
        <w:rPr>
          <w:szCs w:val="18"/>
        </w:rPr>
        <w:t xml:space="preserve"> of </w:t>
      </w:r>
      <w:r>
        <w:rPr>
          <w:szCs w:val="18"/>
        </w:rPr>
        <w:t>orthopedic visits (blue points</w:t>
      </w:r>
      <w:r w:rsidRPr="005167C1">
        <w:rPr>
          <w:szCs w:val="18"/>
        </w:rPr>
        <w:t xml:space="preserve">) leads to </w:t>
      </w:r>
      <w:r>
        <w:rPr>
          <w:szCs w:val="18"/>
        </w:rPr>
        <w:t>a lower</w:t>
      </w:r>
      <w:r w:rsidRPr="005167C1">
        <w:rPr>
          <w:szCs w:val="18"/>
        </w:rPr>
        <w:t xml:space="preserve"> chance of </w:t>
      </w:r>
      <w:r>
        <w:rPr>
          <w:szCs w:val="18"/>
        </w:rPr>
        <w:t>being classified as case</w:t>
      </w:r>
      <w:r w:rsidRPr="005167C1">
        <w:rPr>
          <w:szCs w:val="18"/>
        </w:rPr>
        <w:t>.</w:t>
      </w:r>
    </w:p>
    <w:p w:rsidR="00450786" w:rsidRDefault="00450786" w:rsidP="00450786">
      <w:pPr>
        <w:rPr>
          <w:b/>
          <w:bCs/>
          <w:szCs w:val="24"/>
        </w:rPr>
      </w:pPr>
      <w:r>
        <w:rPr>
          <w:b/>
          <w:bCs/>
        </w:rPr>
        <w:br w:type="page"/>
      </w:r>
    </w:p>
    <w:p w:rsidR="00450786" w:rsidRDefault="00450786" w:rsidP="00450786">
      <w:pPr>
        <w:pStyle w:val="BodyText"/>
        <w:keepNext/>
        <w:keepLines/>
        <w:rPr>
          <w:b/>
          <w:bCs/>
        </w:rPr>
      </w:pPr>
      <w:r w:rsidRPr="005410B1">
        <w:rPr>
          <w:b/>
          <w:bCs/>
        </w:rPr>
        <w:lastRenderedPageBreak/>
        <w:t xml:space="preserve">Supplemental Figure </w:t>
      </w:r>
      <w:r>
        <w:rPr>
          <w:b/>
          <w:bCs/>
        </w:rPr>
        <w:t>2</w:t>
      </w:r>
      <w:r w:rsidRPr="00850B9B">
        <w:rPr>
          <w:b/>
          <w:bCs/>
        </w:rPr>
        <w:t>.</w:t>
      </w:r>
      <w:r>
        <w:rPr>
          <w:b/>
          <w:bCs/>
        </w:rPr>
        <w:t xml:space="preserve"> </w:t>
      </w:r>
      <w:r w:rsidRPr="00002386">
        <w:rPr>
          <w:b/>
          <w:bCs/>
        </w:rPr>
        <w:t xml:space="preserve">Feature of </w:t>
      </w:r>
      <w:r>
        <w:rPr>
          <w:b/>
          <w:bCs/>
        </w:rPr>
        <w:t>i</w:t>
      </w:r>
      <w:r w:rsidRPr="00002386">
        <w:rPr>
          <w:b/>
          <w:bCs/>
        </w:rPr>
        <w:t xml:space="preserve">mportance </w:t>
      </w:r>
      <w:r>
        <w:rPr>
          <w:b/>
          <w:bCs/>
        </w:rPr>
        <w:t>r</w:t>
      </w:r>
      <w:r w:rsidRPr="00002386">
        <w:rPr>
          <w:b/>
          <w:bCs/>
        </w:rPr>
        <w:t xml:space="preserve">anking </w:t>
      </w:r>
      <w:r>
        <w:rPr>
          <w:b/>
          <w:bCs/>
        </w:rPr>
        <w:t>b</w:t>
      </w:r>
      <w:r w:rsidRPr="00002386">
        <w:rPr>
          <w:b/>
          <w:bCs/>
        </w:rPr>
        <w:t xml:space="preserve">ased on </w:t>
      </w:r>
      <w:r>
        <w:rPr>
          <w:b/>
          <w:bCs/>
        </w:rPr>
        <w:t>m</w:t>
      </w:r>
      <w:r w:rsidRPr="00002386">
        <w:rPr>
          <w:b/>
          <w:bCs/>
        </w:rPr>
        <w:t xml:space="preserve">ean </w:t>
      </w:r>
      <w:r>
        <w:rPr>
          <w:b/>
          <w:bCs/>
        </w:rPr>
        <w:t>a</w:t>
      </w:r>
      <w:r w:rsidRPr="00002386">
        <w:rPr>
          <w:b/>
          <w:bCs/>
        </w:rPr>
        <w:t xml:space="preserve">bsolute Shapley Additive </w:t>
      </w:r>
      <w:proofErr w:type="spellStart"/>
      <w:r w:rsidRPr="00002386">
        <w:rPr>
          <w:b/>
          <w:bCs/>
        </w:rPr>
        <w:t>exPlanations</w:t>
      </w:r>
      <w:proofErr w:type="spellEnd"/>
      <w:r w:rsidRPr="00002386">
        <w:rPr>
          <w:b/>
          <w:bCs/>
        </w:rPr>
        <w:t xml:space="preserve"> (SHAP) </w:t>
      </w:r>
      <w:r>
        <w:rPr>
          <w:b/>
          <w:bCs/>
        </w:rPr>
        <w:t>v</w:t>
      </w:r>
      <w:r w:rsidRPr="00002386">
        <w:rPr>
          <w:b/>
          <w:bCs/>
        </w:rPr>
        <w:t xml:space="preserve">alues from </w:t>
      </w:r>
      <w:r>
        <w:rPr>
          <w:b/>
          <w:bCs/>
        </w:rPr>
        <w:t>r</w:t>
      </w:r>
      <w:r w:rsidRPr="00002386">
        <w:rPr>
          <w:b/>
          <w:bCs/>
        </w:rPr>
        <w:t xml:space="preserve">andom </w:t>
      </w:r>
      <w:r>
        <w:rPr>
          <w:b/>
          <w:bCs/>
        </w:rPr>
        <w:t>f</w:t>
      </w:r>
      <w:r w:rsidRPr="00002386">
        <w:rPr>
          <w:b/>
          <w:bCs/>
        </w:rPr>
        <w:t xml:space="preserve">orest </w:t>
      </w:r>
      <w:r>
        <w:rPr>
          <w:b/>
          <w:bCs/>
        </w:rPr>
        <w:t>m</w:t>
      </w:r>
      <w:r w:rsidRPr="00002386">
        <w:rPr>
          <w:b/>
          <w:bCs/>
        </w:rPr>
        <w:t xml:space="preserve">odel </w:t>
      </w:r>
      <w:r>
        <w:rPr>
          <w:b/>
        </w:rPr>
        <w:t>to identify patients with moderate-to-severe OA of the hip and/or knee with inadequate response to two or more pain-related medications u</w:t>
      </w:r>
      <w:r w:rsidRPr="00002386">
        <w:rPr>
          <w:b/>
          <w:bCs/>
        </w:rPr>
        <w:t xml:space="preserve">sing </w:t>
      </w:r>
      <w:r>
        <w:rPr>
          <w:b/>
          <w:bCs/>
        </w:rPr>
        <w:t>EMR</w:t>
      </w:r>
      <w:r w:rsidRPr="00002386">
        <w:rPr>
          <w:b/>
          <w:bCs/>
        </w:rPr>
        <w:t xml:space="preserve"> </w:t>
      </w:r>
      <w:r>
        <w:rPr>
          <w:b/>
          <w:bCs/>
        </w:rPr>
        <w:t>d</w:t>
      </w:r>
      <w:r w:rsidRPr="00002386">
        <w:rPr>
          <w:b/>
          <w:bCs/>
        </w:rPr>
        <w:t>ata</w:t>
      </w:r>
    </w:p>
    <w:p w:rsidR="00450786" w:rsidRDefault="00450786" w:rsidP="00450786">
      <w:pPr>
        <w:rPr>
          <w:b/>
          <w:bCs/>
        </w:rPr>
      </w:pPr>
      <w:r w:rsidRPr="00CD3FAD">
        <w:rPr>
          <w:noProof/>
        </w:rPr>
        <w:t xml:space="preserve"> </w:t>
      </w:r>
      <w:r>
        <w:rPr>
          <w:noProof/>
        </w:rPr>
        <w:drawing>
          <wp:inline distT="0" distB="0" distL="0" distR="0" wp14:anchorId="5D9DD6D8" wp14:editId="0B4802AD">
            <wp:extent cx="5943600" cy="60998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099810"/>
                    </a:xfrm>
                    <a:prstGeom prst="rect">
                      <a:avLst/>
                    </a:prstGeom>
                  </pic:spPr>
                </pic:pic>
              </a:graphicData>
            </a:graphic>
          </wp:inline>
        </w:drawing>
      </w:r>
    </w:p>
    <w:p w:rsidR="00450786" w:rsidRPr="00F846C2" w:rsidRDefault="00450786" w:rsidP="00450786">
      <w:pPr>
        <w:rPr>
          <w:b/>
          <w:bCs/>
          <w:sz w:val="18"/>
          <w:szCs w:val="18"/>
        </w:rPr>
      </w:pPr>
      <w:r w:rsidRPr="00F846C2">
        <w:rPr>
          <w:sz w:val="18"/>
          <w:szCs w:val="18"/>
        </w:rPr>
        <w:t xml:space="preserve">Abbreviations: EMR = electronic medical records; GI = gastrointestinal. </w:t>
      </w:r>
      <w:r w:rsidRPr="00F846C2">
        <w:rPr>
          <w:b/>
          <w:bCs/>
          <w:sz w:val="18"/>
          <w:szCs w:val="18"/>
        </w:rPr>
        <w:br w:type="page"/>
      </w:r>
    </w:p>
    <w:p w:rsidR="00450786" w:rsidRDefault="00450786" w:rsidP="00450786">
      <w:pPr>
        <w:pStyle w:val="BodyText"/>
        <w:keepNext/>
        <w:keepLines/>
        <w:rPr>
          <w:b/>
          <w:bCs/>
        </w:rPr>
      </w:pPr>
      <w:r>
        <w:rPr>
          <w:b/>
          <w:bCs/>
        </w:rPr>
        <w:lastRenderedPageBreak/>
        <w:t xml:space="preserve">Supplementary Figure 3. Shapley Additive </w:t>
      </w:r>
      <w:proofErr w:type="spellStart"/>
      <w:r>
        <w:rPr>
          <w:b/>
          <w:bCs/>
        </w:rPr>
        <w:t>exPlanations</w:t>
      </w:r>
      <w:proofErr w:type="spellEnd"/>
      <w:r>
        <w:rPr>
          <w:b/>
          <w:bCs/>
        </w:rPr>
        <w:t xml:space="preserve"> (SHAP) diagram of feature importance from random forest </w:t>
      </w:r>
      <w:r>
        <w:rPr>
          <w:b/>
        </w:rPr>
        <w:t>to identify patients with moderate-to-severe OA of the hip and/or knee with inadequate response to two or more pain-related medications</w:t>
      </w:r>
      <w:r>
        <w:rPr>
          <w:b/>
          <w:bCs/>
        </w:rPr>
        <w:t xml:space="preserve"> using EMR data</w:t>
      </w:r>
    </w:p>
    <w:p w:rsidR="00450786" w:rsidRPr="00850B9B" w:rsidRDefault="00450786" w:rsidP="00450786">
      <w:pPr>
        <w:pStyle w:val="BodyText"/>
        <w:keepNext/>
        <w:keepLines/>
        <w:spacing w:after="0" w:line="240" w:lineRule="auto"/>
        <w:rPr>
          <w:b/>
          <w:bCs/>
        </w:rPr>
      </w:pPr>
      <w:r>
        <w:rPr>
          <w:noProof/>
        </w:rPr>
        <w:drawing>
          <wp:inline distT="0" distB="0" distL="0" distR="0" wp14:anchorId="649B5108" wp14:editId="358083DD">
            <wp:extent cx="5815584" cy="6245352"/>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15584" cy="6245352"/>
                    </a:xfrm>
                    <a:prstGeom prst="rect">
                      <a:avLst/>
                    </a:prstGeom>
                  </pic:spPr>
                </pic:pic>
              </a:graphicData>
            </a:graphic>
          </wp:inline>
        </w:drawing>
      </w:r>
    </w:p>
    <w:p w:rsidR="00450786" w:rsidRDefault="00450786" w:rsidP="00450786">
      <w:pPr>
        <w:pStyle w:val="TableFootnotesAbbreviations"/>
        <w:spacing w:after="120"/>
        <w:rPr>
          <w:b/>
          <w:bCs/>
        </w:rPr>
      </w:pPr>
      <w:r>
        <w:rPr>
          <w:szCs w:val="18"/>
        </w:rPr>
        <w:t xml:space="preserve">Note: </w:t>
      </w:r>
      <w:r w:rsidRPr="00307D00">
        <w:rPr>
          <w:szCs w:val="18"/>
        </w:rPr>
        <w:t xml:space="preserve">The summary plot combines feature importance with feature effects. Feature names are ordered according to their importance. </w:t>
      </w:r>
      <w:r w:rsidRPr="002678A9">
        <w:rPr>
          <w:szCs w:val="18"/>
        </w:rPr>
        <w:t>On the x-axis is the SHAP value</w:t>
      </w:r>
      <w:r>
        <w:rPr>
          <w:szCs w:val="18"/>
        </w:rPr>
        <w:t xml:space="preserve"> which indicates how much is the impact on model output</w:t>
      </w:r>
      <w:r w:rsidRPr="002678A9">
        <w:rPr>
          <w:szCs w:val="18"/>
        </w:rPr>
        <w:t>.</w:t>
      </w:r>
      <w:r w:rsidRPr="00EA645A">
        <w:t xml:space="preserve"> </w:t>
      </w:r>
      <w:r w:rsidRPr="004C5F60">
        <w:t>The colo</w:t>
      </w:r>
      <w:r>
        <w:t>r</w:t>
      </w:r>
      <w:r w:rsidRPr="004C5F60">
        <w:t xml:space="preserve"> represents the value of the feature from low</w:t>
      </w:r>
      <w:r>
        <w:t xml:space="preserve"> (blue color)</w:t>
      </w:r>
      <w:r w:rsidRPr="004C5F60">
        <w:t xml:space="preserve"> to high</w:t>
      </w:r>
      <w:r>
        <w:t xml:space="preserve"> (red color)</w:t>
      </w:r>
      <w:r w:rsidRPr="004C5F60">
        <w:t>.</w:t>
      </w:r>
      <w:r>
        <w:t xml:space="preserve"> </w:t>
      </w:r>
      <w:r w:rsidRPr="00EA645A">
        <w:rPr>
          <w:szCs w:val="18"/>
        </w:rPr>
        <w:t xml:space="preserve">Each </w:t>
      </w:r>
      <w:r>
        <w:rPr>
          <w:szCs w:val="18"/>
        </w:rPr>
        <w:t xml:space="preserve">point on the summary plot </w:t>
      </w:r>
      <w:r w:rsidRPr="004C3F5B">
        <w:rPr>
          <w:szCs w:val="18"/>
        </w:rPr>
        <w:t>is a SHAP value for a feature and one patient</w:t>
      </w:r>
      <w:r w:rsidRPr="00EA645A">
        <w:rPr>
          <w:szCs w:val="18"/>
        </w:rPr>
        <w:t>.</w:t>
      </w:r>
      <w:r w:rsidRPr="00782B2E">
        <w:rPr>
          <w:szCs w:val="18"/>
        </w:rPr>
        <w:t xml:space="preserve"> Overlapping points are jittered in </w:t>
      </w:r>
      <w:r>
        <w:rPr>
          <w:szCs w:val="18"/>
        </w:rPr>
        <w:t xml:space="preserve">the </w:t>
      </w:r>
      <w:r w:rsidRPr="00782B2E">
        <w:rPr>
          <w:szCs w:val="18"/>
        </w:rPr>
        <w:t xml:space="preserve">y-axis direction, </w:t>
      </w:r>
      <w:r>
        <w:rPr>
          <w:szCs w:val="18"/>
        </w:rPr>
        <w:t>to illustrate</w:t>
      </w:r>
      <w:r w:rsidRPr="00782B2E">
        <w:rPr>
          <w:szCs w:val="18"/>
        </w:rPr>
        <w:t xml:space="preserve"> the distribution of the </w:t>
      </w:r>
      <w:r>
        <w:rPr>
          <w:szCs w:val="18"/>
        </w:rPr>
        <w:t>SHAP</w:t>
      </w:r>
      <w:r w:rsidRPr="00782B2E">
        <w:rPr>
          <w:szCs w:val="18"/>
        </w:rPr>
        <w:t xml:space="preserve"> values per feature. </w:t>
      </w:r>
      <w:r>
        <w:rPr>
          <w:szCs w:val="18"/>
        </w:rPr>
        <w:t>For example, a h</w:t>
      </w:r>
      <w:r w:rsidRPr="005167C1">
        <w:rPr>
          <w:szCs w:val="18"/>
        </w:rPr>
        <w:t xml:space="preserve">igher </w:t>
      </w:r>
      <w:r>
        <w:rPr>
          <w:szCs w:val="18"/>
        </w:rPr>
        <w:t>number</w:t>
      </w:r>
      <w:r w:rsidRPr="005167C1">
        <w:rPr>
          <w:szCs w:val="18"/>
        </w:rPr>
        <w:t xml:space="preserve"> of </w:t>
      </w:r>
      <w:r>
        <w:rPr>
          <w:szCs w:val="18"/>
        </w:rPr>
        <w:t>orthopedic visits</w:t>
      </w:r>
      <w:r w:rsidRPr="005167C1">
        <w:rPr>
          <w:szCs w:val="18"/>
        </w:rPr>
        <w:t xml:space="preserve"> (</w:t>
      </w:r>
      <w:r>
        <w:rPr>
          <w:szCs w:val="18"/>
        </w:rPr>
        <w:t>red/purple points</w:t>
      </w:r>
      <w:r w:rsidRPr="005167C1">
        <w:rPr>
          <w:szCs w:val="18"/>
        </w:rPr>
        <w:t xml:space="preserve">) leads to </w:t>
      </w:r>
      <w:r>
        <w:rPr>
          <w:szCs w:val="18"/>
        </w:rPr>
        <w:t>a higher chance</w:t>
      </w:r>
      <w:r w:rsidRPr="005167C1">
        <w:rPr>
          <w:szCs w:val="18"/>
        </w:rPr>
        <w:t xml:space="preserve"> of </w:t>
      </w:r>
      <w:r>
        <w:rPr>
          <w:szCs w:val="18"/>
        </w:rPr>
        <w:t>being classified as case (i.e., patients with all three osteoarthritis characteristics)</w:t>
      </w:r>
      <w:r w:rsidRPr="005167C1">
        <w:rPr>
          <w:szCs w:val="18"/>
        </w:rPr>
        <w:t xml:space="preserve">. </w:t>
      </w:r>
      <w:r>
        <w:rPr>
          <w:szCs w:val="18"/>
        </w:rPr>
        <w:t>A l</w:t>
      </w:r>
      <w:r w:rsidRPr="005167C1">
        <w:rPr>
          <w:szCs w:val="18"/>
        </w:rPr>
        <w:t xml:space="preserve">ower </w:t>
      </w:r>
      <w:r>
        <w:rPr>
          <w:szCs w:val="18"/>
        </w:rPr>
        <w:t>number</w:t>
      </w:r>
      <w:r w:rsidRPr="005167C1">
        <w:rPr>
          <w:szCs w:val="18"/>
        </w:rPr>
        <w:t xml:space="preserve"> of </w:t>
      </w:r>
      <w:r>
        <w:rPr>
          <w:szCs w:val="18"/>
        </w:rPr>
        <w:t>orthopedic visits (blue points</w:t>
      </w:r>
      <w:r w:rsidRPr="005167C1">
        <w:rPr>
          <w:szCs w:val="18"/>
        </w:rPr>
        <w:t xml:space="preserve">) leads to </w:t>
      </w:r>
      <w:r>
        <w:rPr>
          <w:szCs w:val="18"/>
        </w:rPr>
        <w:t>a lower</w:t>
      </w:r>
      <w:r w:rsidRPr="005167C1">
        <w:rPr>
          <w:szCs w:val="18"/>
        </w:rPr>
        <w:t xml:space="preserve"> chance of </w:t>
      </w:r>
      <w:r>
        <w:rPr>
          <w:szCs w:val="18"/>
        </w:rPr>
        <w:t>being classified as case</w:t>
      </w:r>
      <w:r w:rsidRPr="005167C1">
        <w:rPr>
          <w:szCs w:val="18"/>
        </w:rPr>
        <w:t>.</w:t>
      </w:r>
    </w:p>
    <w:p w:rsidR="00450786" w:rsidRPr="005353B4" w:rsidRDefault="00450786" w:rsidP="00450786">
      <w:pPr>
        <w:pStyle w:val="TableFootnotesAbbreviations"/>
        <w:rPr>
          <w:szCs w:val="18"/>
        </w:rPr>
      </w:pPr>
      <w:r w:rsidRPr="005353B4">
        <w:rPr>
          <w:szCs w:val="18"/>
        </w:rPr>
        <w:t>Abbreviation: EMR = electronic medical records</w:t>
      </w:r>
    </w:p>
    <w:p w:rsidR="00C049AD" w:rsidRDefault="00C049AD">
      <w:bookmarkStart w:id="5" w:name="_GoBack"/>
      <w:bookmarkEnd w:id="0"/>
      <w:bookmarkEnd w:id="5"/>
    </w:p>
    <w:sectPr w:rsidR="00C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2653"/>
    <w:multiLevelType w:val="hybridMultilevel"/>
    <w:tmpl w:val="DB38A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BE7006"/>
    <w:multiLevelType w:val="hybridMultilevel"/>
    <w:tmpl w:val="DF6E3E78"/>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E861EC"/>
    <w:multiLevelType w:val="hybridMultilevel"/>
    <w:tmpl w:val="6B9CBFAA"/>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041C70"/>
    <w:multiLevelType w:val="hybridMultilevel"/>
    <w:tmpl w:val="86CE1824"/>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385A70"/>
    <w:multiLevelType w:val="hybridMultilevel"/>
    <w:tmpl w:val="32F41320"/>
    <w:lvl w:ilvl="0" w:tplc="26724902">
      <w:start w:val="1"/>
      <w:numFmt w:val="bullet"/>
      <w:pStyle w:val="Bulletpoin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F7BD1"/>
    <w:multiLevelType w:val="hybridMultilevel"/>
    <w:tmpl w:val="C5C24BB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7D1635B"/>
    <w:multiLevelType w:val="hybridMultilevel"/>
    <w:tmpl w:val="AC3ACE78"/>
    <w:lvl w:ilvl="0" w:tplc="934E9BD4">
      <w:numFmt w:val="bullet"/>
      <w:lvlText w:val=""/>
      <w:lvlJc w:val="left"/>
      <w:pPr>
        <w:ind w:left="720" w:hanging="360"/>
      </w:pPr>
      <w:rPr>
        <w:rFonts w:ascii="Symbol" w:eastAsia="DengXi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86"/>
    <w:rsid w:val="000113B0"/>
    <w:rsid w:val="00043E28"/>
    <w:rsid w:val="00061FBF"/>
    <w:rsid w:val="00081A0A"/>
    <w:rsid w:val="00086629"/>
    <w:rsid w:val="00096B84"/>
    <w:rsid w:val="001428CE"/>
    <w:rsid w:val="00164ED6"/>
    <w:rsid w:val="001720EE"/>
    <w:rsid w:val="0017486E"/>
    <w:rsid w:val="001804E7"/>
    <w:rsid w:val="001B2E13"/>
    <w:rsid w:val="001D2727"/>
    <w:rsid w:val="001F6EBE"/>
    <w:rsid w:val="00201B78"/>
    <w:rsid w:val="00220BB0"/>
    <w:rsid w:val="002370EB"/>
    <w:rsid w:val="002435FC"/>
    <w:rsid w:val="0025185B"/>
    <w:rsid w:val="00274E8B"/>
    <w:rsid w:val="00284276"/>
    <w:rsid w:val="00295C78"/>
    <w:rsid w:val="002B032B"/>
    <w:rsid w:val="002B0610"/>
    <w:rsid w:val="002B337F"/>
    <w:rsid w:val="002B3DA4"/>
    <w:rsid w:val="002D5C94"/>
    <w:rsid w:val="002E3BE7"/>
    <w:rsid w:val="002F7793"/>
    <w:rsid w:val="00307AB8"/>
    <w:rsid w:val="00313B09"/>
    <w:rsid w:val="003253F2"/>
    <w:rsid w:val="003366B6"/>
    <w:rsid w:val="003A0DE2"/>
    <w:rsid w:val="0040224C"/>
    <w:rsid w:val="00404504"/>
    <w:rsid w:val="00450786"/>
    <w:rsid w:val="00454E79"/>
    <w:rsid w:val="0046217D"/>
    <w:rsid w:val="0048087E"/>
    <w:rsid w:val="00487981"/>
    <w:rsid w:val="004B4CB7"/>
    <w:rsid w:val="004B50C9"/>
    <w:rsid w:val="004D683B"/>
    <w:rsid w:val="004E6CF2"/>
    <w:rsid w:val="005310B3"/>
    <w:rsid w:val="00535033"/>
    <w:rsid w:val="00561843"/>
    <w:rsid w:val="005872E1"/>
    <w:rsid w:val="005E28CE"/>
    <w:rsid w:val="005E2AAF"/>
    <w:rsid w:val="005F61B1"/>
    <w:rsid w:val="00635F27"/>
    <w:rsid w:val="006632A5"/>
    <w:rsid w:val="006805ED"/>
    <w:rsid w:val="006B6A02"/>
    <w:rsid w:val="00712CD0"/>
    <w:rsid w:val="007303C9"/>
    <w:rsid w:val="0074263A"/>
    <w:rsid w:val="00744F00"/>
    <w:rsid w:val="00783CA4"/>
    <w:rsid w:val="00793E9B"/>
    <w:rsid w:val="00796224"/>
    <w:rsid w:val="007A051C"/>
    <w:rsid w:val="007B168A"/>
    <w:rsid w:val="007B401F"/>
    <w:rsid w:val="007C182E"/>
    <w:rsid w:val="007C558C"/>
    <w:rsid w:val="007E3D73"/>
    <w:rsid w:val="007E46C1"/>
    <w:rsid w:val="007F70CB"/>
    <w:rsid w:val="00800AAE"/>
    <w:rsid w:val="00811DA9"/>
    <w:rsid w:val="00823852"/>
    <w:rsid w:val="00835F1C"/>
    <w:rsid w:val="00846F18"/>
    <w:rsid w:val="00850537"/>
    <w:rsid w:val="00864F20"/>
    <w:rsid w:val="00871C1F"/>
    <w:rsid w:val="0089578D"/>
    <w:rsid w:val="008B0798"/>
    <w:rsid w:val="008B3D3C"/>
    <w:rsid w:val="008D20B6"/>
    <w:rsid w:val="008D5ABB"/>
    <w:rsid w:val="008F34CA"/>
    <w:rsid w:val="00904A81"/>
    <w:rsid w:val="0091510F"/>
    <w:rsid w:val="00917907"/>
    <w:rsid w:val="00920857"/>
    <w:rsid w:val="009306C7"/>
    <w:rsid w:val="00934759"/>
    <w:rsid w:val="00944138"/>
    <w:rsid w:val="00947483"/>
    <w:rsid w:val="00965993"/>
    <w:rsid w:val="009C37D6"/>
    <w:rsid w:val="009D21BB"/>
    <w:rsid w:val="009D277A"/>
    <w:rsid w:val="00A141EA"/>
    <w:rsid w:val="00A16F20"/>
    <w:rsid w:val="00A54D8B"/>
    <w:rsid w:val="00A550FE"/>
    <w:rsid w:val="00A63C72"/>
    <w:rsid w:val="00AB0367"/>
    <w:rsid w:val="00AC6408"/>
    <w:rsid w:val="00B017F2"/>
    <w:rsid w:val="00B034EF"/>
    <w:rsid w:val="00B231C5"/>
    <w:rsid w:val="00B40C40"/>
    <w:rsid w:val="00B54C49"/>
    <w:rsid w:val="00B95118"/>
    <w:rsid w:val="00B97D14"/>
    <w:rsid w:val="00BB79BC"/>
    <w:rsid w:val="00BE018E"/>
    <w:rsid w:val="00BE48F9"/>
    <w:rsid w:val="00BF30EA"/>
    <w:rsid w:val="00BF7737"/>
    <w:rsid w:val="00C049AD"/>
    <w:rsid w:val="00C11B92"/>
    <w:rsid w:val="00C347D5"/>
    <w:rsid w:val="00C4085C"/>
    <w:rsid w:val="00C47300"/>
    <w:rsid w:val="00C4773F"/>
    <w:rsid w:val="00C52F0F"/>
    <w:rsid w:val="00C53B23"/>
    <w:rsid w:val="00C71787"/>
    <w:rsid w:val="00C853BD"/>
    <w:rsid w:val="00C9573B"/>
    <w:rsid w:val="00CA653C"/>
    <w:rsid w:val="00D07BAD"/>
    <w:rsid w:val="00D37251"/>
    <w:rsid w:val="00D5144B"/>
    <w:rsid w:val="00D6381E"/>
    <w:rsid w:val="00D7355A"/>
    <w:rsid w:val="00D90474"/>
    <w:rsid w:val="00DA3B05"/>
    <w:rsid w:val="00DC0843"/>
    <w:rsid w:val="00DD1589"/>
    <w:rsid w:val="00E476DD"/>
    <w:rsid w:val="00E92D6D"/>
    <w:rsid w:val="00E96BA9"/>
    <w:rsid w:val="00EA6961"/>
    <w:rsid w:val="00EB6D2D"/>
    <w:rsid w:val="00ED0CDD"/>
    <w:rsid w:val="00EE03D0"/>
    <w:rsid w:val="00F06749"/>
    <w:rsid w:val="00F12EA0"/>
    <w:rsid w:val="00F66A8F"/>
    <w:rsid w:val="00F81DD7"/>
    <w:rsid w:val="00FB207C"/>
    <w:rsid w:val="00FB481E"/>
    <w:rsid w:val="00FD1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5EAEA-2191-48D7-B74B-19CA867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0786"/>
    <w:rPr>
      <w:rFonts w:eastAsiaTheme="minorEastAsia"/>
    </w:rPr>
  </w:style>
  <w:style w:type="paragraph" w:styleId="Heading1">
    <w:name w:val="heading 1"/>
    <w:basedOn w:val="Normal"/>
    <w:next w:val="Normal"/>
    <w:link w:val="Heading1Char"/>
    <w:uiPriority w:val="9"/>
    <w:qFormat/>
    <w:rsid w:val="00450786"/>
    <w:pPr>
      <w:keepNext/>
      <w:keepLines/>
      <w:spacing w:before="240" w:after="120" w:line="240" w:lineRule="auto"/>
      <w:outlineLvl w:val="0"/>
    </w:pPr>
    <w:rPr>
      <w:rFonts w:ascii="Calibri" w:eastAsiaTheme="majorEastAsia" w:hAnsi="Calibri" w:cstheme="majorBidi"/>
      <w:b/>
      <w:color w:val="FFC000" w:themeColor="accent4"/>
      <w:sz w:val="36"/>
      <w:szCs w:val="36"/>
    </w:rPr>
  </w:style>
  <w:style w:type="paragraph" w:styleId="Heading2">
    <w:name w:val="heading 2"/>
    <w:basedOn w:val="Normal"/>
    <w:next w:val="Normal"/>
    <w:link w:val="Heading2Char"/>
    <w:uiPriority w:val="9"/>
    <w:unhideWhenUsed/>
    <w:qFormat/>
    <w:rsid w:val="00450786"/>
    <w:pPr>
      <w:keepNext/>
      <w:keepLines/>
      <w:spacing w:before="240" w:after="60" w:line="240" w:lineRule="auto"/>
      <w:outlineLvl w:val="1"/>
    </w:pPr>
    <w:rPr>
      <w:rFonts w:ascii="Calibri" w:eastAsiaTheme="majorEastAsia" w:hAnsi="Calibri" w:cstheme="majorBidi"/>
      <w:b/>
      <w:color w:val="FFC000" w:themeColor="accent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786"/>
    <w:rPr>
      <w:rFonts w:ascii="Calibri" w:eastAsiaTheme="majorEastAsia" w:hAnsi="Calibri" w:cstheme="majorBidi"/>
      <w:b/>
      <w:color w:val="FFC000" w:themeColor="accent4"/>
      <w:sz w:val="36"/>
      <w:szCs w:val="36"/>
    </w:rPr>
  </w:style>
  <w:style w:type="character" w:customStyle="1" w:styleId="Heading2Char">
    <w:name w:val="Heading 2 Char"/>
    <w:basedOn w:val="DefaultParagraphFont"/>
    <w:link w:val="Heading2"/>
    <w:uiPriority w:val="9"/>
    <w:rsid w:val="00450786"/>
    <w:rPr>
      <w:rFonts w:ascii="Calibri" w:eastAsiaTheme="majorEastAsia" w:hAnsi="Calibri" w:cstheme="majorBidi"/>
      <w:b/>
      <w:color w:val="FFC000" w:themeColor="accent4"/>
      <w:sz w:val="28"/>
      <w:szCs w:val="28"/>
    </w:rPr>
  </w:style>
  <w:style w:type="paragraph" w:styleId="BodyText">
    <w:name w:val="Body Text"/>
    <w:basedOn w:val="Normal"/>
    <w:link w:val="BodyTextChar"/>
    <w:qFormat/>
    <w:rsid w:val="00450786"/>
    <w:pPr>
      <w:spacing w:after="180"/>
    </w:pPr>
    <w:rPr>
      <w:szCs w:val="24"/>
    </w:rPr>
  </w:style>
  <w:style w:type="character" w:customStyle="1" w:styleId="BodyTextChar">
    <w:name w:val="Body Text Char"/>
    <w:basedOn w:val="DefaultParagraphFont"/>
    <w:link w:val="BodyText"/>
    <w:rsid w:val="00450786"/>
    <w:rPr>
      <w:rFonts w:eastAsiaTheme="minorEastAsia"/>
      <w:szCs w:val="24"/>
    </w:rPr>
  </w:style>
  <w:style w:type="paragraph" w:customStyle="1" w:styleId="TableFootnotesAbbreviations">
    <w:name w:val="Table Footnotes/Abbreviations"/>
    <w:basedOn w:val="BodyText"/>
    <w:link w:val="TableFootnotesAbbreviationsChar"/>
    <w:qFormat/>
    <w:rsid w:val="00450786"/>
    <w:pPr>
      <w:spacing w:after="0" w:line="240" w:lineRule="auto"/>
    </w:pPr>
    <w:rPr>
      <w:rFonts w:eastAsia="Times New Roman" w:cs="Times New Roman"/>
      <w:sz w:val="18"/>
      <w:szCs w:val="20"/>
    </w:rPr>
  </w:style>
  <w:style w:type="paragraph" w:styleId="ListParagraph">
    <w:name w:val="List Paragraph"/>
    <w:basedOn w:val="Normal"/>
    <w:link w:val="ListParagraphChar"/>
    <w:uiPriority w:val="34"/>
    <w:qFormat/>
    <w:rsid w:val="00450786"/>
    <w:pPr>
      <w:ind w:left="720"/>
      <w:contextualSpacing/>
    </w:pPr>
  </w:style>
  <w:style w:type="paragraph" w:customStyle="1" w:styleId="Style1">
    <w:name w:val="Style1"/>
    <w:basedOn w:val="ListParagraph"/>
    <w:link w:val="Style1Char"/>
    <w:qFormat/>
    <w:rsid w:val="00450786"/>
    <w:pPr>
      <w:spacing w:line="240" w:lineRule="auto"/>
      <w:ind w:left="0"/>
      <w:contextualSpacing w:val="0"/>
    </w:pPr>
    <w:rPr>
      <w:bCs/>
    </w:rPr>
  </w:style>
  <w:style w:type="character" w:customStyle="1" w:styleId="Style1Char">
    <w:name w:val="Style1 Char"/>
    <w:basedOn w:val="DefaultParagraphFont"/>
    <w:link w:val="Style1"/>
    <w:rsid w:val="00450786"/>
    <w:rPr>
      <w:rFonts w:eastAsiaTheme="minorEastAsia"/>
      <w:bCs/>
    </w:rPr>
  </w:style>
  <w:style w:type="paragraph" w:customStyle="1" w:styleId="Bulletpoint1">
    <w:name w:val="Bullet point 1"/>
    <w:basedOn w:val="Style1"/>
    <w:link w:val="Bulletpoint1Char"/>
    <w:qFormat/>
    <w:rsid w:val="00450786"/>
    <w:pPr>
      <w:numPr>
        <w:numId w:val="1"/>
      </w:numPr>
      <w:tabs>
        <w:tab w:val="num" w:pos="360"/>
      </w:tabs>
      <w:ind w:left="0" w:firstLine="0"/>
    </w:pPr>
    <w:rPr>
      <w:lang w:val="en-GB"/>
    </w:rPr>
  </w:style>
  <w:style w:type="character" w:customStyle="1" w:styleId="Bulletpoint1Char">
    <w:name w:val="Bullet point 1 Char"/>
    <w:basedOn w:val="Style1Char"/>
    <w:link w:val="Bulletpoint1"/>
    <w:rsid w:val="00450786"/>
    <w:rPr>
      <w:rFonts w:eastAsiaTheme="minorEastAsia"/>
      <w:bCs/>
      <w:lang w:val="en-GB"/>
    </w:rPr>
  </w:style>
  <w:style w:type="character" w:customStyle="1" w:styleId="ListParagraphChar">
    <w:name w:val="List Paragraph Char"/>
    <w:basedOn w:val="DefaultParagraphFont"/>
    <w:link w:val="ListParagraph"/>
    <w:uiPriority w:val="34"/>
    <w:rsid w:val="00450786"/>
    <w:rPr>
      <w:rFonts w:eastAsiaTheme="minorEastAsia"/>
    </w:rPr>
  </w:style>
  <w:style w:type="paragraph" w:styleId="FootnoteText">
    <w:name w:val="footnote text"/>
    <w:basedOn w:val="Normal"/>
    <w:link w:val="FootnoteTextChar"/>
    <w:uiPriority w:val="99"/>
    <w:semiHidden/>
    <w:unhideWhenUsed/>
    <w:rsid w:val="00450786"/>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450786"/>
    <w:rPr>
      <w:rFonts w:ascii="Calibri" w:eastAsiaTheme="minorEastAsia" w:hAnsi="Calibri" w:cs="Calibri"/>
      <w:sz w:val="20"/>
      <w:szCs w:val="20"/>
    </w:rPr>
  </w:style>
  <w:style w:type="character" w:customStyle="1" w:styleId="TableFootnotesAbbreviationsChar">
    <w:name w:val="Table Footnotes/Abbreviations Char"/>
    <w:basedOn w:val="DefaultParagraphFont"/>
    <w:link w:val="TableFootnotesAbbreviations"/>
    <w:rsid w:val="00450786"/>
    <w:rPr>
      <w:rFonts w:eastAsia="Times New Roman" w:cs="Times New Roman"/>
      <w:sz w:val="18"/>
      <w:szCs w:val="20"/>
    </w:rPr>
  </w:style>
  <w:style w:type="table" w:customStyle="1" w:styleId="TableGrid2">
    <w:name w:val="Table Grid2"/>
    <w:basedOn w:val="TableNormal"/>
    <w:next w:val="TableGrid"/>
    <w:uiPriority w:val="39"/>
    <w:rsid w:val="0045078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5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Armie Fe Ganaganag</dc:creator>
  <cp:keywords/>
  <dc:description/>
  <cp:lastModifiedBy>Armie Fe Ganaganag</cp:lastModifiedBy>
  <cp:revision>1</cp:revision>
  <dcterms:created xsi:type="dcterms:W3CDTF">2023-06-10T00:48:00Z</dcterms:created>
  <dcterms:modified xsi:type="dcterms:W3CDTF">2023-06-10T00:49:00Z</dcterms:modified>
</cp:coreProperties>
</file>