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702" w:rsidRDefault="008C4702" w:rsidP="008C4702">
      <w:pPr>
        <w:pStyle w:val="Heading2"/>
      </w:pPr>
      <w:r>
        <w:t>Additional File 2. Supplementary Information on Machine Learning Methods</w:t>
      </w:r>
    </w:p>
    <w:p w:rsidR="008C4702" w:rsidRPr="00850B9B" w:rsidRDefault="008C4702" w:rsidP="008C4702">
      <w:pPr>
        <w:pStyle w:val="Heading3"/>
      </w:pPr>
      <w:r w:rsidRPr="00850B9B">
        <w:t xml:space="preserve">Nested </w:t>
      </w:r>
      <w:r>
        <w:t>C</w:t>
      </w:r>
      <w:r w:rsidRPr="00850B9B">
        <w:t>ross-validation</w:t>
      </w:r>
    </w:p>
    <w:p w:rsidR="008C4702" w:rsidRPr="00850B9B" w:rsidRDefault="008C4702" w:rsidP="008C4702">
      <w:pPr>
        <w:pStyle w:val="BodyText"/>
        <w:spacing w:before="60" w:line="264" w:lineRule="auto"/>
      </w:pPr>
      <w:r w:rsidRPr="00850B9B">
        <w:t xml:space="preserve">The nested cross-validation approach was used as both claims and EMR datasets presented a relatively low sample size. This procedure helped reserve data for </w:t>
      </w:r>
      <w:r w:rsidRPr="006F0F32">
        <w:t>independent</w:t>
      </w:r>
      <w:r w:rsidRPr="00850B9B">
        <w:t xml:space="preserve"> tests and was necessary because </w:t>
      </w:r>
      <w:proofErr w:type="spellStart"/>
      <w:r w:rsidRPr="00850B9B">
        <w:t>hyperparameter</w:t>
      </w:r>
      <w:proofErr w:type="spellEnd"/>
      <w:r w:rsidRPr="00850B9B">
        <w:t xml:space="preserve"> tuning needed to </w:t>
      </w:r>
      <w:r w:rsidRPr="00900B0A">
        <w:t xml:space="preserve">be independent of model evaluation. The nested CV process ensured that no information leakage was possible for model evaluation in each outer fold, making the training method virtually completely unbiased. Additionally, the nested cross-validation approach allowed using each patient for training and validating the </w:t>
      </w:r>
      <w:proofErr w:type="spellStart"/>
      <w:r w:rsidRPr="00900B0A">
        <w:t>hyperparameters</w:t>
      </w:r>
      <w:proofErr w:type="spellEnd"/>
      <w:r w:rsidRPr="00900B0A">
        <w:t>. We used the commonly accepted value of k=10 for the outer loop and k=5 for the inner loop. We compared each patient’s predicted OA status (i.e., case or comparison) based on each ML method to their true status and assessed the performance of each algorithm using sensitivity, specificity, positive predictive</w:t>
      </w:r>
      <w:r w:rsidRPr="00850B9B">
        <w:t xml:space="preserve"> value (PPV), negative predictive value (NPV), and accuracy presented in the table below.</w:t>
      </w:r>
    </w:p>
    <w:p w:rsidR="008C4702" w:rsidRPr="00850B9B" w:rsidRDefault="008C4702" w:rsidP="008C4702">
      <w:pPr>
        <w:pStyle w:val="BodyText"/>
        <w:rPr>
          <w:b/>
        </w:rPr>
      </w:pPr>
      <w:r w:rsidRPr="00850B9B">
        <w:rPr>
          <w:b/>
        </w:rPr>
        <w:t>Statistics for Evaluating Algorithm Performance</w:t>
      </w:r>
    </w:p>
    <w:tbl>
      <w:tblPr>
        <w:tblStyle w:val="TableGrid2"/>
        <w:tblW w:w="9360" w:type="dxa"/>
        <w:tblLook w:val="04A0" w:firstRow="1" w:lastRow="0" w:firstColumn="1" w:lastColumn="0" w:noHBand="0" w:noVBand="1"/>
      </w:tblPr>
      <w:tblGrid>
        <w:gridCol w:w="1152"/>
        <w:gridCol w:w="5616"/>
        <w:gridCol w:w="2592"/>
      </w:tblGrid>
      <w:tr w:rsidR="008C4702" w:rsidRPr="00C15318" w:rsidTr="00660FE6">
        <w:trPr>
          <w:trHeight w:val="432"/>
        </w:trPr>
        <w:tc>
          <w:tcPr>
            <w:tcW w:w="1152" w:type="dxa"/>
            <w:hideMark/>
          </w:tcPr>
          <w:p w:rsidR="008C4702" w:rsidRPr="00C15318" w:rsidRDefault="008C4702" w:rsidP="00660FE6">
            <w:pPr>
              <w:pStyle w:val="BodyText"/>
              <w:spacing w:after="40"/>
              <w:rPr>
                <w:rFonts w:cstheme="minorHAnsi"/>
                <w:b/>
                <w:bCs/>
                <w:sz w:val="18"/>
                <w:szCs w:val="18"/>
              </w:rPr>
            </w:pPr>
            <w:r w:rsidRPr="00C15318">
              <w:rPr>
                <w:rFonts w:cstheme="minorHAnsi"/>
                <w:b/>
                <w:bCs/>
                <w:sz w:val="18"/>
                <w:szCs w:val="18"/>
              </w:rPr>
              <w:t>Statistic</w:t>
            </w:r>
          </w:p>
        </w:tc>
        <w:tc>
          <w:tcPr>
            <w:tcW w:w="5616" w:type="dxa"/>
            <w:hideMark/>
          </w:tcPr>
          <w:p w:rsidR="008C4702" w:rsidRPr="00C15318" w:rsidRDefault="008C4702" w:rsidP="00660FE6">
            <w:pPr>
              <w:pStyle w:val="BodyText"/>
              <w:keepNext/>
              <w:spacing w:after="40"/>
              <w:rPr>
                <w:rFonts w:cstheme="minorHAnsi"/>
                <w:b/>
                <w:bCs/>
                <w:sz w:val="18"/>
                <w:szCs w:val="18"/>
              </w:rPr>
            </w:pPr>
            <w:r w:rsidRPr="00C15318">
              <w:rPr>
                <w:rFonts w:cstheme="minorHAnsi"/>
                <w:b/>
                <w:bCs/>
                <w:sz w:val="18"/>
                <w:szCs w:val="18"/>
              </w:rPr>
              <w:t>Definition</w:t>
            </w:r>
          </w:p>
        </w:tc>
        <w:tc>
          <w:tcPr>
            <w:tcW w:w="2592" w:type="dxa"/>
            <w:hideMark/>
          </w:tcPr>
          <w:p w:rsidR="008C4702" w:rsidRPr="00C15318" w:rsidRDefault="008C4702" w:rsidP="00660FE6">
            <w:pPr>
              <w:pStyle w:val="BodyText"/>
              <w:keepNext/>
              <w:spacing w:after="40"/>
              <w:jc w:val="center"/>
              <w:rPr>
                <w:rFonts w:cstheme="minorHAnsi"/>
                <w:b/>
                <w:bCs/>
                <w:sz w:val="18"/>
                <w:szCs w:val="18"/>
              </w:rPr>
            </w:pPr>
            <w:r w:rsidRPr="00C15318">
              <w:rPr>
                <w:rFonts w:cstheme="minorHAnsi"/>
                <w:b/>
                <w:bCs/>
                <w:sz w:val="18"/>
                <w:szCs w:val="18"/>
              </w:rPr>
              <w:t>Equation</w:t>
            </w:r>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Sensitivity</w:t>
            </w:r>
          </w:p>
        </w:tc>
        <w:tc>
          <w:tcPr>
            <w:tcW w:w="5616" w:type="dxa"/>
            <w:hideMark/>
          </w:tcPr>
          <w:p w:rsidR="008C4702" w:rsidRPr="00C15318" w:rsidRDefault="008C4702" w:rsidP="00660FE6">
            <w:pPr>
              <w:pStyle w:val="BodyText"/>
              <w:keepNext/>
              <w:spacing w:after="40"/>
              <w:rPr>
                <w:rFonts w:cstheme="minorHAnsi"/>
                <w:sz w:val="18"/>
                <w:szCs w:val="18"/>
              </w:rPr>
            </w:pPr>
            <w:r w:rsidRPr="00C15318">
              <w:rPr>
                <w:rFonts w:cstheme="minorHAnsi"/>
                <w:sz w:val="18"/>
                <w:szCs w:val="18"/>
              </w:rPr>
              <w:t>The ratio of the total number of patients who are TP to the total number of patients who are either TP or FN</w:t>
            </w:r>
          </w:p>
        </w:tc>
        <w:tc>
          <w:tcPr>
            <w:tcW w:w="2592" w:type="dxa"/>
            <w:hideMark/>
          </w:tcPr>
          <w:p w:rsidR="008C4702" w:rsidRPr="00C15318" w:rsidRDefault="008C4702" w:rsidP="00660FE6">
            <w:pPr>
              <w:pStyle w:val="BodyText"/>
              <w:keepN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TP</m:t>
                    </m:r>
                  </m:num>
                  <m:den>
                    <m:r>
                      <w:rPr>
                        <w:rFonts w:ascii="Cambria Math" w:hAnsi="Cambria Math" w:cstheme="minorHAnsi"/>
                        <w:sz w:val="18"/>
                        <w:szCs w:val="18"/>
                      </w:rPr>
                      <m:t>TP+FN</m:t>
                    </m:r>
                  </m:den>
                </m:f>
              </m:oMath>
            </m:oMathPara>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Specificity</w:t>
            </w:r>
          </w:p>
        </w:tc>
        <w:tc>
          <w:tcPr>
            <w:tcW w:w="5616"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The ratio of the total number of patients who are TN to the total number of patients who are either TN or FP</w:t>
            </w:r>
          </w:p>
        </w:tc>
        <w:tc>
          <w:tcPr>
            <w:tcW w:w="2592" w:type="dxa"/>
            <w:hideMark/>
          </w:tcPr>
          <w:p w:rsidR="008C4702" w:rsidRPr="00C15318" w:rsidRDefault="008C4702" w:rsidP="00660FE6">
            <w:pPr>
              <w:pStyle w:val="BodyT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TN</m:t>
                    </m:r>
                  </m:num>
                  <m:den>
                    <m:r>
                      <w:rPr>
                        <w:rFonts w:ascii="Cambria Math" w:hAnsi="Cambria Math" w:cstheme="minorHAnsi"/>
                        <w:sz w:val="18"/>
                        <w:szCs w:val="18"/>
                      </w:rPr>
                      <m:t>TN+FP</m:t>
                    </m:r>
                  </m:den>
                </m:f>
              </m:oMath>
            </m:oMathPara>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Pr>
                <w:rFonts w:cstheme="minorHAnsi"/>
                <w:bCs/>
                <w:color w:val="000000"/>
                <w:sz w:val="18"/>
                <w:szCs w:val="20"/>
              </w:rPr>
              <w:t>Negative Predictive Value</w:t>
            </w:r>
          </w:p>
        </w:tc>
        <w:tc>
          <w:tcPr>
            <w:tcW w:w="5616"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The ratio of the total number of patients who were TN to the total number of patients who were either TN or FN</w:t>
            </w:r>
          </w:p>
        </w:tc>
        <w:tc>
          <w:tcPr>
            <w:tcW w:w="2592" w:type="dxa"/>
            <w:hideMark/>
          </w:tcPr>
          <w:p w:rsidR="008C4702" w:rsidRPr="00C15318" w:rsidRDefault="008C4702" w:rsidP="00660FE6">
            <w:pPr>
              <w:pStyle w:val="BodyT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TN</m:t>
                    </m:r>
                  </m:num>
                  <m:den>
                    <m:r>
                      <w:rPr>
                        <w:rFonts w:ascii="Cambria Math" w:hAnsi="Cambria Math" w:cstheme="minorHAnsi"/>
                        <w:sz w:val="18"/>
                        <w:szCs w:val="18"/>
                      </w:rPr>
                      <m:t>TN+FN</m:t>
                    </m:r>
                  </m:den>
                </m:f>
              </m:oMath>
            </m:oMathPara>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sidRPr="0032684B">
              <w:rPr>
                <w:rFonts w:cstheme="minorHAnsi"/>
                <w:bCs/>
                <w:color w:val="000000"/>
                <w:sz w:val="18"/>
                <w:szCs w:val="20"/>
              </w:rPr>
              <w:t>P</w:t>
            </w:r>
            <w:r>
              <w:rPr>
                <w:rFonts w:cstheme="minorHAnsi"/>
                <w:bCs/>
                <w:color w:val="000000"/>
                <w:sz w:val="18"/>
                <w:szCs w:val="20"/>
              </w:rPr>
              <w:t>ositive Predictive Value</w:t>
            </w:r>
          </w:p>
        </w:tc>
        <w:tc>
          <w:tcPr>
            <w:tcW w:w="5616"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The ratio of the total number of patients who were TP to the total number of patients who were either TP or FP</w:t>
            </w:r>
          </w:p>
        </w:tc>
        <w:tc>
          <w:tcPr>
            <w:tcW w:w="2592" w:type="dxa"/>
            <w:hideMark/>
          </w:tcPr>
          <w:p w:rsidR="008C4702" w:rsidRPr="00C15318" w:rsidRDefault="008C4702" w:rsidP="00660FE6">
            <w:pPr>
              <w:pStyle w:val="BodyT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TP</m:t>
                    </m:r>
                  </m:num>
                  <m:den>
                    <m:r>
                      <w:rPr>
                        <w:rFonts w:ascii="Cambria Math" w:hAnsi="Cambria Math" w:cstheme="minorHAnsi"/>
                        <w:sz w:val="18"/>
                        <w:szCs w:val="18"/>
                      </w:rPr>
                      <m:t>TP+FP</m:t>
                    </m:r>
                  </m:den>
                </m:f>
              </m:oMath>
            </m:oMathPara>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Accuracy</w:t>
            </w:r>
          </w:p>
        </w:tc>
        <w:tc>
          <w:tcPr>
            <w:tcW w:w="5616"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The total number of patients who are either TP or TN to the total number of patients in the cohort</w:t>
            </w:r>
          </w:p>
        </w:tc>
        <w:tc>
          <w:tcPr>
            <w:tcW w:w="2592" w:type="dxa"/>
            <w:hideMark/>
          </w:tcPr>
          <w:p w:rsidR="008C4702" w:rsidRPr="00C15318" w:rsidRDefault="008C4702" w:rsidP="00660FE6">
            <w:pPr>
              <w:pStyle w:val="BodyT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TP+TN</m:t>
                    </m:r>
                  </m:num>
                  <m:den>
                    <m:r>
                      <w:rPr>
                        <w:rFonts w:ascii="Cambria Math" w:hAnsi="Cambria Math" w:cstheme="minorHAnsi"/>
                        <w:sz w:val="18"/>
                        <w:szCs w:val="18"/>
                      </w:rPr>
                      <m:t>TP+FP+FN+TN</m:t>
                    </m:r>
                  </m:den>
                </m:f>
              </m:oMath>
            </m:oMathPara>
          </w:p>
        </w:tc>
      </w:tr>
      <w:tr w:rsidR="008C4702" w:rsidRPr="00C15318" w:rsidTr="00660FE6">
        <w:trPr>
          <w:trHeight w:hRule="exact" w:val="720"/>
        </w:trPr>
        <w:tc>
          <w:tcPr>
            <w:tcW w:w="1152"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F1</w:t>
            </w:r>
          </w:p>
        </w:tc>
        <w:tc>
          <w:tcPr>
            <w:tcW w:w="5616" w:type="dxa"/>
            <w:hideMark/>
          </w:tcPr>
          <w:p w:rsidR="008C4702" w:rsidRPr="00C15318" w:rsidRDefault="008C4702" w:rsidP="00660FE6">
            <w:pPr>
              <w:pStyle w:val="BodyText"/>
              <w:spacing w:after="40"/>
              <w:rPr>
                <w:rFonts w:cstheme="minorHAnsi"/>
                <w:sz w:val="18"/>
                <w:szCs w:val="18"/>
              </w:rPr>
            </w:pPr>
            <w:r w:rsidRPr="00C15318">
              <w:rPr>
                <w:rFonts w:cstheme="minorHAnsi"/>
                <w:sz w:val="18"/>
                <w:szCs w:val="18"/>
              </w:rPr>
              <w:t>The weighted average of PPV and sensitivity. A value between 0 and 1 with 1 being the highest (most accurate).</w:t>
            </w:r>
          </w:p>
        </w:tc>
        <w:tc>
          <w:tcPr>
            <w:tcW w:w="2592" w:type="dxa"/>
            <w:hideMark/>
          </w:tcPr>
          <w:p w:rsidR="008C4702" w:rsidRPr="00C15318" w:rsidRDefault="008C4702" w:rsidP="00660FE6">
            <w:pPr>
              <w:pStyle w:val="BodyText"/>
              <w:spacing w:after="40"/>
              <w:rPr>
                <w:rFonts w:cstheme="minorHAnsi"/>
                <w:sz w:val="18"/>
                <w:szCs w:val="18"/>
              </w:rPr>
            </w:pPr>
            <m:oMathPara>
              <m:oMath>
                <m:f>
                  <m:fPr>
                    <m:ctrlPr>
                      <w:rPr>
                        <w:rFonts w:ascii="Cambria Math" w:hAnsi="Cambria Math" w:cstheme="minorHAnsi"/>
                        <w:i/>
                        <w:sz w:val="18"/>
                        <w:szCs w:val="18"/>
                      </w:rPr>
                    </m:ctrlPr>
                  </m:fPr>
                  <m:num>
                    <m:r>
                      <w:rPr>
                        <w:rFonts w:ascii="Cambria Math" w:hAnsi="Cambria Math" w:cstheme="minorHAnsi"/>
                        <w:sz w:val="18"/>
                        <w:szCs w:val="18"/>
                      </w:rPr>
                      <m:t>(2*Sensitivity*PPV)</m:t>
                    </m:r>
                  </m:num>
                  <m:den>
                    <m:r>
                      <w:rPr>
                        <w:rFonts w:ascii="Cambria Math" w:hAnsi="Cambria Math" w:cstheme="minorHAnsi"/>
                        <w:sz w:val="18"/>
                        <w:szCs w:val="18"/>
                      </w:rPr>
                      <m:t>(Sensitivity+PPV)</m:t>
                    </m:r>
                  </m:den>
                </m:f>
              </m:oMath>
            </m:oMathPara>
          </w:p>
        </w:tc>
      </w:tr>
      <w:tr w:rsidR="008C4702" w:rsidRPr="00C15318" w:rsidTr="00660FE6">
        <w:trPr>
          <w:trHeight w:hRule="exact" w:val="720"/>
        </w:trPr>
        <w:tc>
          <w:tcPr>
            <w:tcW w:w="1152" w:type="dxa"/>
          </w:tcPr>
          <w:p w:rsidR="008C4702" w:rsidRPr="00C15318" w:rsidRDefault="008C4702" w:rsidP="00660FE6">
            <w:pPr>
              <w:pStyle w:val="BodyText"/>
              <w:spacing w:after="40"/>
              <w:rPr>
                <w:rFonts w:cstheme="minorHAnsi"/>
                <w:sz w:val="18"/>
                <w:szCs w:val="18"/>
              </w:rPr>
            </w:pPr>
            <w:r w:rsidRPr="0032684B">
              <w:rPr>
                <w:rFonts w:cstheme="minorHAnsi"/>
                <w:bCs/>
                <w:color w:val="000000"/>
                <w:sz w:val="18"/>
                <w:szCs w:val="20"/>
              </w:rPr>
              <w:t>A</w:t>
            </w:r>
            <w:r>
              <w:rPr>
                <w:rFonts w:cstheme="minorHAnsi"/>
                <w:bCs/>
                <w:color w:val="000000"/>
                <w:sz w:val="18"/>
                <w:szCs w:val="20"/>
              </w:rPr>
              <w:t xml:space="preserve">rea </w:t>
            </w:r>
            <w:r w:rsidRPr="0032684B">
              <w:rPr>
                <w:rFonts w:cstheme="minorHAnsi"/>
                <w:bCs/>
                <w:color w:val="000000"/>
                <w:sz w:val="18"/>
                <w:szCs w:val="20"/>
              </w:rPr>
              <w:t>U</w:t>
            </w:r>
            <w:r>
              <w:rPr>
                <w:rFonts w:cstheme="minorHAnsi"/>
                <w:bCs/>
                <w:color w:val="000000"/>
                <w:sz w:val="18"/>
                <w:szCs w:val="20"/>
              </w:rPr>
              <w:t xml:space="preserve">nder the </w:t>
            </w:r>
            <w:r w:rsidRPr="0032684B">
              <w:rPr>
                <w:rFonts w:cstheme="minorHAnsi"/>
                <w:bCs/>
                <w:color w:val="000000"/>
                <w:sz w:val="18"/>
                <w:szCs w:val="20"/>
              </w:rPr>
              <w:t>C</w:t>
            </w:r>
            <w:r>
              <w:rPr>
                <w:rFonts w:cstheme="minorHAnsi"/>
                <w:bCs/>
                <w:color w:val="000000"/>
                <w:sz w:val="18"/>
                <w:szCs w:val="20"/>
              </w:rPr>
              <w:t>urve</w:t>
            </w:r>
          </w:p>
        </w:tc>
        <w:tc>
          <w:tcPr>
            <w:tcW w:w="5616" w:type="dxa"/>
          </w:tcPr>
          <w:p w:rsidR="008C4702" w:rsidRPr="00C15318" w:rsidRDefault="008C4702" w:rsidP="00660FE6">
            <w:pPr>
              <w:pStyle w:val="BodyText"/>
              <w:spacing w:after="40"/>
              <w:rPr>
                <w:rFonts w:cstheme="minorHAnsi"/>
                <w:sz w:val="18"/>
                <w:szCs w:val="18"/>
              </w:rPr>
            </w:pPr>
            <w:r>
              <w:rPr>
                <w:rFonts w:cstheme="minorHAnsi"/>
                <w:sz w:val="18"/>
                <w:szCs w:val="18"/>
              </w:rPr>
              <w:t>T</w:t>
            </w:r>
            <w:r w:rsidRPr="00C15318">
              <w:rPr>
                <w:rFonts w:cstheme="minorHAnsi"/>
                <w:sz w:val="18"/>
                <w:szCs w:val="18"/>
              </w:rPr>
              <w:t>he area under the receiver operating characteristic (ROC) curve, which plots the sensitivity against 1-specificity at various threshold settings</w:t>
            </w:r>
            <w:r w:rsidRPr="00C15318">
              <w:rPr>
                <w:rFonts w:cstheme="minorHAnsi"/>
                <w:sz w:val="18"/>
                <w:szCs w:val="18"/>
              </w:rPr>
              <w:fldChar w:fldCharType="begin"/>
            </w:r>
            <w:r>
              <w:rPr>
                <w:rFonts w:cstheme="minorHAnsi"/>
                <w:sz w:val="18"/>
                <w:szCs w:val="18"/>
              </w:rPr>
              <w:instrText xml:space="preserve"> ADDIN EN.CITE &lt;EndNote&gt;&lt;Cite&gt;&lt;Author&gt;Linden&lt;/Author&gt;&lt;Year&gt;2006&lt;/Year&gt;&lt;RecNum&gt;16&lt;/RecNum&gt;&lt;DisplayText&gt;(17)&lt;/DisplayText&gt;&lt;record&gt;&lt;rec-number&gt;16&lt;/rec-number&gt;&lt;foreign-keys&gt;&lt;key app="EN" db-id="ew9dwferp2va05edvzjvrfxe5eevz2wa09vt" timestamp="1647273634"&gt;16&lt;/key&gt;&lt;/foreign-keys&gt;&lt;ref-type name="Journal Article"&gt;17&lt;/ref-type&gt;&lt;contributors&gt;&lt;authors&gt;&lt;author&gt;Linden, A.&lt;/author&gt;&lt;/authors&gt;&lt;/contributors&gt;&lt;auth-address&gt;Linden Consulting Group, Portland, OR 97124, USA. alinden@lindenconsulting.org&lt;/auth-address&gt;&lt;titles&gt;&lt;title&gt;Measuring diagnostic and predictive accuracy in disease management: an introduction to receiver operating characteristic (ROC) analysis&lt;/title&gt;&lt;secondary-title&gt;J Eval Clin Pract&lt;/secondary-title&gt;&lt;/titles&gt;&lt;periodical&gt;&lt;full-title&gt;J Eval Clin Pract&lt;/full-title&gt;&lt;/periodical&gt;&lt;pages&gt;132-9&lt;/pages&gt;&lt;volume&gt;12&lt;/volume&gt;&lt;number&gt;2&lt;/number&gt;&lt;edition&gt;2006/04/04&lt;/edition&gt;&lt;keywords&gt;&lt;keyword&gt;Data Interpretation, Statistical&lt;/keyword&gt;&lt;keyword&gt;Diagnostic Techniques and Procedures/*standards&lt;/keyword&gt;&lt;keyword&gt;*Disease Management&lt;/keyword&gt;&lt;keyword&gt;Predictive Value of Tests&lt;/keyword&gt;&lt;keyword&gt;Prevalence&lt;/keyword&gt;&lt;keyword&gt;Program Evaluation/*methods&lt;/keyword&gt;&lt;keyword&gt;*ROC Curve&lt;/keyword&gt;&lt;keyword&gt;Reproducibility of Results&lt;/keyword&gt;&lt;keyword&gt;Sensitivity and Specificity&lt;/keyword&gt;&lt;/keywords&gt;&lt;dates&gt;&lt;year&gt;2006&lt;/year&gt;&lt;pub-dates&gt;&lt;date&gt;Apr&lt;/date&gt;&lt;/pub-dates&gt;&lt;/dates&gt;&lt;isbn&gt;1356-1294 (Print)&amp;#xD;1356-1294 (Linking)&lt;/isbn&gt;&lt;accession-num&gt;16579821&lt;/accession-num&gt;&lt;urls&gt;&lt;related-urls&gt;&lt;url&gt;https://www.ncbi.nlm.nih.gov/pubmed/16579821&lt;/url&gt;&lt;/related-urls&gt;&lt;/urls&gt;&lt;electronic-resource-num&gt;10.1111/j.1365-2753.2005.00598.x&lt;/electronic-resource-num&gt;&lt;/record&gt;&lt;/Cite&gt;&lt;/EndNote&gt;</w:instrText>
            </w:r>
            <w:r w:rsidRPr="00C15318">
              <w:rPr>
                <w:rFonts w:cstheme="minorHAnsi"/>
                <w:sz w:val="18"/>
                <w:szCs w:val="18"/>
              </w:rPr>
              <w:fldChar w:fldCharType="separate"/>
            </w:r>
            <w:r>
              <w:rPr>
                <w:rFonts w:cstheme="minorHAnsi"/>
                <w:noProof/>
                <w:sz w:val="18"/>
                <w:szCs w:val="18"/>
              </w:rPr>
              <w:t>(17)</w:t>
            </w:r>
            <w:r w:rsidRPr="00C15318">
              <w:rPr>
                <w:rFonts w:cstheme="minorHAnsi"/>
                <w:sz w:val="18"/>
                <w:szCs w:val="18"/>
              </w:rPr>
              <w:fldChar w:fldCharType="end"/>
            </w:r>
          </w:p>
        </w:tc>
        <w:tc>
          <w:tcPr>
            <w:tcW w:w="2592" w:type="dxa"/>
          </w:tcPr>
          <w:p w:rsidR="008C4702" w:rsidRPr="00C15318" w:rsidRDefault="008C4702" w:rsidP="00660FE6">
            <w:pPr>
              <w:pStyle w:val="BodyText"/>
              <w:spacing w:after="40"/>
              <w:rPr>
                <w:rFonts w:cstheme="minorHAnsi"/>
                <w:sz w:val="18"/>
                <w:szCs w:val="18"/>
              </w:rPr>
            </w:pPr>
            <m:oMath>
              <m:nary>
                <m:naryPr>
                  <m:limLoc m:val="subSup"/>
                  <m:ctrlPr>
                    <w:rPr>
                      <w:rFonts w:ascii="Cambria Math" w:hAnsi="Cambria Math" w:cstheme="minorHAnsi"/>
                      <w:i/>
                      <w:sz w:val="18"/>
                      <w:szCs w:val="18"/>
                    </w:rPr>
                  </m:ctrlPr>
                </m:naryPr>
                <m:sub>
                  <m:r>
                    <w:rPr>
                      <w:rFonts w:ascii="Cambria Math" w:hAnsi="Cambria Math" w:cstheme="minorHAnsi"/>
                      <w:sz w:val="18"/>
                      <w:szCs w:val="18"/>
                    </w:rPr>
                    <m:t>0</m:t>
                  </m:r>
                </m:sub>
                <m:sup>
                  <m:r>
                    <w:rPr>
                      <w:rFonts w:ascii="Cambria Math" w:hAnsi="Cambria Math" w:cstheme="minorHAnsi"/>
                      <w:sz w:val="18"/>
                      <w:szCs w:val="18"/>
                    </w:rPr>
                    <m:t>1</m:t>
                  </m:r>
                </m:sup>
                <m:e>
                  <m:r>
                    <w:rPr>
                      <w:rFonts w:ascii="Cambria Math" w:hAnsi="Cambria Math" w:cstheme="minorHAnsi"/>
                      <w:sz w:val="18"/>
                      <w:szCs w:val="18"/>
                    </w:rPr>
                    <m:t>f(x)</m:t>
                  </m:r>
                </m:e>
              </m:nary>
              <m:r>
                <w:rPr>
                  <w:rFonts w:ascii="Cambria Math" w:hAnsi="Cambria Math" w:cstheme="minorHAnsi"/>
                  <w:sz w:val="18"/>
                  <w:szCs w:val="18"/>
                </w:rPr>
                <m:t>dx</m:t>
              </m:r>
            </m:oMath>
            <w:r w:rsidRPr="00C15318">
              <w:rPr>
                <w:rFonts w:cstheme="minorHAnsi"/>
                <w:sz w:val="18"/>
                <w:szCs w:val="18"/>
              </w:rPr>
              <w:t>, where (x, f(x)) refers to any point on the ROC curve</w:t>
            </w:r>
          </w:p>
        </w:tc>
      </w:tr>
    </w:tbl>
    <w:p w:rsidR="008C4702" w:rsidRPr="00EF5D19" w:rsidRDefault="008C4702" w:rsidP="008C4702">
      <w:pPr>
        <w:pStyle w:val="BodyText"/>
        <w:rPr>
          <w:sz w:val="18"/>
          <w:szCs w:val="18"/>
        </w:rPr>
      </w:pPr>
      <w:r w:rsidRPr="00EF5D19">
        <w:rPr>
          <w:sz w:val="18"/>
          <w:szCs w:val="18"/>
        </w:rPr>
        <w:t>Abbreviations: FN = number of false negatives</w:t>
      </w:r>
      <w:r>
        <w:rPr>
          <w:sz w:val="18"/>
          <w:szCs w:val="18"/>
        </w:rPr>
        <w:t>;</w:t>
      </w:r>
      <w:r w:rsidRPr="00EF5D19">
        <w:rPr>
          <w:sz w:val="18"/>
          <w:szCs w:val="18"/>
        </w:rPr>
        <w:t xml:space="preserve"> FP</w:t>
      </w:r>
      <w:r>
        <w:rPr>
          <w:sz w:val="18"/>
          <w:szCs w:val="18"/>
        </w:rPr>
        <w:t xml:space="preserve"> </w:t>
      </w:r>
      <w:r w:rsidRPr="00EF5D19">
        <w:rPr>
          <w:sz w:val="18"/>
          <w:szCs w:val="18"/>
        </w:rPr>
        <w:t>= number of false positives</w:t>
      </w:r>
      <w:r>
        <w:rPr>
          <w:sz w:val="18"/>
          <w:szCs w:val="18"/>
        </w:rPr>
        <w:t>;</w:t>
      </w:r>
      <w:r w:rsidRPr="00EF5D19">
        <w:rPr>
          <w:sz w:val="18"/>
          <w:szCs w:val="18"/>
        </w:rPr>
        <w:t xml:space="preserve"> </w:t>
      </w:r>
      <w:r>
        <w:rPr>
          <w:sz w:val="18"/>
          <w:szCs w:val="18"/>
        </w:rPr>
        <w:t xml:space="preserve">ROC = receiver operating characteristic; </w:t>
      </w:r>
      <w:r w:rsidRPr="00EF5D19">
        <w:rPr>
          <w:sz w:val="18"/>
          <w:szCs w:val="18"/>
        </w:rPr>
        <w:t>TN = number of true negatives</w:t>
      </w:r>
      <w:r>
        <w:rPr>
          <w:sz w:val="18"/>
          <w:szCs w:val="18"/>
        </w:rPr>
        <w:t>;</w:t>
      </w:r>
      <w:r w:rsidRPr="00EF5D19">
        <w:rPr>
          <w:sz w:val="18"/>
          <w:szCs w:val="18"/>
        </w:rPr>
        <w:t xml:space="preserve"> TP = number of true positives.</w:t>
      </w:r>
    </w:p>
    <w:p w:rsidR="008C4702" w:rsidRPr="006F0F32" w:rsidRDefault="008C4702" w:rsidP="008C4702">
      <w:pPr>
        <w:pStyle w:val="Heading3"/>
        <w:keepLines w:val="0"/>
        <w:pageBreakBefore/>
      </w:pPr>
      <w:r w:rsidRPr="006F0F32">
        <w:lastRenderedPageBreak/>
        <w:t xml:space="preserve">Parameter </w:t>
      </w:r>
      <w:r>
        <w:t>T</w:t>
      </w:r>
      <w:r w:rsidRPr="006F0F32">
        <w:t>uning</w:t>
      </w:r>
    </w:p>
    <w:p w:rsidR="008C4702" w:rsidRPr="00850B9B" w:rsidRDefault="008C4702" w:rsidP="008C4702">
      <w:pPr>
        <w:pStyle w:val="BodyText"/>
      </w:pPr>
      <w:r w:rsidRPr="00850B9B">
        <w:t xml:space="preserve">To find the </w:t>
      </w:r>
      <w:r w:rsidRPr="00A26718">
        <w:t>best</w:t>
      </w:r>
      <w:r w:rsidRPr="00850B9B">
        <w:t xml:space="preserve"> configuration of parameters, different parameters were tested for logistics regression, classification and regression tree (CART) and random forest (RF) including</w:t>
      </w:r>
      <w:r>
        <w:t>:</w:t>
      </w:r>
    </w:p>
    <w:p w:rsidR="008C4702" w:rsidRPr="00220770" w:rsidRDefault="008C4702" w:rsidP="008C4702">
      <w:pPr>
        <w:pStyle w:val="ListBullet"/>
      </w:pPr>
      <w:r w:rsidRPr="00220770">
        <w:t>Maximum tree depth</w:t>
      </w:r>
      <w:r w:rsidRPr="00220770">
        <w:rPr>
          <w:rFonts w:ascii="Cambria Math" w:hAnsi="Cambria Math" w:cs="Cambria Math"/>
        </w:rPr>
        <w:t>∈</w:t>
      </w:r>
      <w:r w:rsidRPr="00220770">
        <w:t xml:space="preserve"> [none, 10, 12, 15]</w:t>
      </w:r>
    </w:p>
    <w:p w:rsidR="008C4702" w:rsidRPr="00220770" w:rsidRDefault="008C4702" w:rsidP="008C4702">
      <w:pPr>
        <w:pStyle w:val="ListBullet"/>
      </w:pPr>
      <w:r w:rsidRPr="00220770">
        <w:t xml:space="preserve">Number of trees </w:t>
      </w:r>
      <w:r w:rsidRPr="00220770">
        <w:rPr>
          <w:rFonts w:ascii="Cambria Math" w:hAnsi="Cambria Math" w:cs="Cambria Math"/>
        </w:rPr>
        <w:t>∈</w:t>
      </w:r>
      <w:r w:rsidRPr="00220770">
        <w:t xml:space="preserve"> [100, 500, 1000]</w:t>
      </w:r>
    </w:p>
    <w:p w:rsidR="008C4702" w:rsidRPr="00220770" w:rsidRDefault="008C4702" w:rsidP="008C4702">
      <w:pPr>
        <w:pStyle w:val="ListBullet"/>
      </w:pPr>
      <w:r w:rsidRPr="00220770">
        <w:t xml:space="preserve">Split quality criterion </w:t>
      </w:r>
      <w:r w:rsidRPr="00220770">
        <w:rPr>
          <w:rFonts w:ascii="Cambria Math" w:hAnsi="Cambria Math" w:cs="Cambria Math"/>
        </w:rPr>
        <w:t>∈</w:t>
      </w:r>
      <w:r w:rsidRPr="00220770">
        <w:t xml:space="preserve"> [Gini impurity, information gain]</w:t>
      </w:r>
    </w:p>
    <w:p w:rsidR="008C4702" w:rsidRPr="00220770" w:rsidRDefault="008C4702" w:rsidP="008C4702">
      <w:pPr>
        <w:pStyle w:val="ListBullet"/>
      </w:pPr>
      <w:r w:rsidRPr="00220770">
        <w:t>Logistic regression: Classifier solver ['newton-cg', '</w:t>
      </w:r>
      <w:proofErr w:type="spellStart"/>
      <w:r w:rsidRPr="00220770">
        <w:t>lbfgs</w:t>
      </w:r>
      <w:proofErr w:type="spellEnd"/>
      <w:r w:rsidRPr="00220770">
        <w:t>', '</w:t>
      </w:r>
      <w:proofErr w:type="spellStart"/>
      <w:r w:rsidRPr="00220770">
        <w:t>liblinear</w:t>
      </w:r>
      <w:proofErr w:type="spellEnd"/>
      <w:r w:rsidRPr="00220770">
        <w:t>', 'sag', 'saga']</w:t>
      </w:r>
    </w:p>
    <w:p w:rsidR="008C4702" w:rsidRPr="00220770" w:rsidRDefault="008C4702" w:rsidP="008C4702">
      <w:pPr>
        <w:pStyle w:val="ListBullet"/>
      </w:pPr>
      <w:r w:rsidRPr="00220770">
        <w:t>CART: Classifier criterion ['</w:t>
      </w:r>
      <w:proofErr w:type="spellStart"/>
      <w:r w:rsidRPr="00220770">
        <w:t>gini</w:t>
      </w:r>
      <w:proofErr w:type="spellEnd"/>
      <w:r w:rsidRPr="00220770">
        <w:t>', 'entropy'], Classifier maximum features [None, 'auto', '</w:t>
      </w:r>
      <w:proofErr w:type="spellStart"/>
      <w:r w:rsidRPr="00220770">
        <w:t>sqrt</w:t>
      </w:r>
      <w:proofErr w:type="spellEnd"/>
      <w:r w:rsidRPr="00220770">
        <w:t>', 'log2'], Maximum depth [none, 10, 12, 15]</w:t>
      </w:r>
    </w:p>
    <w:p w:rsidR="008C4702" w:rsidRPr="00220770" w:rsidRDefault="008C4702" w:rsidP="008C4702">
      <w:pPr>
        <w:pStyle w:val="ListBullet"/>
      </w:pPr>
      <w:r w:rsidRPr="00220770">
        <w:t>RF: Classifier criterion ['</w:t>
      </w:r>
      <w:proofErr w:type="spellStart"/>
      <w:r w:rsidRPr="00220770">
        <w:t>gini</w:t>
      </w:r>
      <w:proofErr w:type="spellEnd"/>
      <w:r w:rsidRPr="00220770">
        <w:t>', 'entropy'], Classifier maximum features: ['auto', '</w:t>
      </w:r>
      <w:proofErr w:type="spellStart"/>
      <w:r w:rsidRPr="00220770">
        <w:t>sqrt</w:t>
      </w:r>
      <w:proofErr w:type="spellEnd"/>
      <w:r w:rsidRPr="00220770">
        <w:t>', 'log2'], Classifier estimators: [100, 500, 1000], Maximum depth [none, 10, 12, 15]</w:t>
      </w:r>
    </w:p>
    <w:p w:rsidR="008C4702" w:rsidRDefault="008C4702" w:rsidP="008C4702">
      <w:pPr>
        <w:pStyle w:val="Heading3"/>
      </w:pPr>
      <w:r>
        <w:t xml:space="preserve">Data Structure Documentation </w:t>
      </w:r>
    </w:p>
    <w:p w:rsidR="008C4702" w:rsidRPr="006F161E" w:rsidRDefault="008C4702" w:rsidP="008C4702">
      <w:r>
        <w:t>Claims and electronic medical records (EMR) data</w:t>
      </w:r>
      <w:r w:rsidRPr="006F161E">
        <w:t xml:space="preserve"> </w:t>
      </w:r>
      <w:r>
        <w:t>were</w:t>
      </w:r>
      <w:r w:rsidRPr="006F161E">
        <w:t xml:space="preserve"> organi</w:t>
      </w:r>
      <w:r>
        <w:t>z</w:t>
      </w:r>
      <w:r w:rsidRPr="006F161E">
        <w:t>ed</w:t>
      </w:r>
      <w:r>
        <w:t xml:space="preserve"> on the </w:t>
      </w:r>
      <w:r w:rsidRPr="006F161E">
        <w:t>patient</w:t>
      </w:r>
      <w:r>
        <w:t>-record</w:t>
      </w:r>
      <w:r w:rsidRPr="006F161E">
        <w:t xml:space="preserve"> level, </w:t>
      </w:r>
      <w:r w:rsidRPr="00840C9D">
        <w:t>with each record representing one recorded medical encounter</w:t>
      </w:r>
      <w:r>
        <w:t xml:space="preserve"> per patient</w:t>
      </w:r>
      <w:r w:rsidRPr="006F161E">
        <w:t xml:space="preserve">. Flag variables for patient demographic (e.g., age, race, ethnicity) and clinical (i.e., obesity, depression, anxiety, and other comorbidities) characteristics were derived, as well pain- and </w:t>
      </w:r>
      <w:r>
        <w:t>osteoarthritis</w:t>
      </w:r>
      <w:r w:rsidRPr="006F161E">
        <w:t xml:space="preserve">-related treatments (e.g., surgical procedures, corticosteroids injections, prescriptions of pain medications) and the use of healthcare resources (e.g., outpatient visit, emergency department visit) and morbidity aids. Flags for chronic conditions (e.g., anxiety, epilepsy, liver disease, diabetes) are coded as 0 (“No”) before the </w:t>
      </w:r>
      <w:r>
        <w:t>chronic condition</w:t>
      </w:r>
      <w:r w:rsidRPr="006F161E">
        <w:t xml:space="preserve"> occurs, and 1 (“Yes”) for all records thereafter; flags for visits, medications and surgical procedures are coded as 1 on the days they occur and 0 on all other records. </w:t>
      </w:r>
      <w:r>
        <w:t xml:space="preserve">In </w:t>
      </w:r>
      <w:r w:rsidRPr="006F161E">
        <w:t xml:space="preserve">claims data, </w:t>
      </w:r>
      <w:r>
        <w:t>a variable representing the total daily cost of healthcare resource use was derived (</w:t>
      </w:r>
      <w:proofErr w:type="spellStart"/>
      <w:r>
        <w:rPr>
          <w:i/>
          <w:iCs/>
        </w:rPr>
        <w:t>day_cost</w:t>
      </w:r>
      <w:proofErr w:type="spellEnd"/>
      <w:r>
        <w:t xml:space="preserve">); this variable is not available in the EMR databases. </w:t>
      </w:r>
      <w:r w:rsidRPr="006F161E">
        <w:t>In addition to the variables described above, the dataset</w:t>
      </w:r>
      <w:r>
        <w:t>s</w:t>
      </w:r>
      <w:r w:rsidRPr="006F161E">
        <w:t xml:space="preserve"> contain the patient ID (</w:t>
      </w:r>
      <w:proofErr w:type="spellStart"/>
      <w:r w:rsidRPr="006F161E">
        <w:rPr>
          <w:i/>
          <w:iCs/>
        </w:rPr>
        <w:t>studyid</w:t>
      </w:r>
      <w:proofErr w:type="spellEnd"/>
      <w:r w:rsidRPr="006F161E">
        <w:t>), the date of the record (</w:t>
      </w:r>
      <w:proofErr w:type="spellStart"/>
      <w:r w:rsidRPr="006F161E">
        <w:rPr>
          <w:i/>
          <w:iCs/>
        </w:rPr>
        <w:t>service_date</w:t>
      </w:r>
      <w:proofErr w:type="spellEnd"/>
      <w:r w:rsidRPr="006F161E">
        <w:t xml:space="preserve">), and an integer variable representing the number of months </w:t>
      </w:r>
      <w:r>
        <w:t>(</w:t>
      </w:r>
      <w:r w:rsidRPr="006F161E">
        <w:t>rounded up</w:t>
      </w:r>
      <w:r>
        <w:t xml:space="preserve">) </w:t>
      </w:r>
      <w:r w:rsidRPr="006F161E">
        <w:t>since the start of the patient’s data</w:t>
      </w:r>
      <w:r>
        <w:t xml:space="preserve"> </w:t>
      </w:r>
      <w:r w:rsidRPr="006F161E">
        <w:t>(</w:t>
      </w:r>
      <w:r w:rsidRPr="006F161E">
        <w:rPr>
          <w:i/>
          <w:iCs/>
        </w:rPr>
        <w:t>month</w:t>
      </w:r>
      <w:r w:rsidRPr="006F161E">
        <w:t>).</w:t>
      </w:r>
    </w:p>
    <w:p w:rsidR="008C4702" w:rsidRDefault="008C4702" w:rsidP="008C4702">
      <w:r w:rsidRPr="0004298E">
        <w:t xml:space="preserve">Classification results from chart review adjudication served as the benchmark (i.e., the true cases and </w:t>
      </w:r>
      <w:r>
        <w:t>comparators</w:t>
      </w:r>
      <w:r w:rsidRPr="0004298E">
        <w:t>). This dataset contained the patient ID (</w:t>
      </w:r>
      <w:proofErr w:type="spellStart"/>
      <w:r w:rsidRPr="0004298E">
        <w:rPr>
          <w:i/>
          <w:iCs/>
        </w:rPr>
        <w:t>studyid</w:t>
      </w:r>
      <w:proofErr w:type="spellEnd"/>
      <w:r w:rsidRPr="0004298E">
        <w:t>) and a flag variable representing the results (</w:t>
      </w:r>
      <w:proofErr w:type="spellStart"/>
      <w:r w:rsidRPr="0004298E">
        <w:rPr>
          <w:i/>
          <w:iCs/>
        </w:rPr>
        <w:t>case_flag</w:t>
      </w:r>
      <w:proofErr w:type="spellEnd"/>
      <w:r w:rsidRPr="0004298E">
        <w:t xml:space="preserve">). Patients who were determined by the chart review to be a case are coded as 1 and patients who were determined to be a </w:t>
      </w:r>
      <w:r>
        <w:t>comparator</w:t>
      </w:r>
      <w:r w:rsidRPr="0004298E">
        <w:t xml:space="preserve"> are coded as 0. </w:t>
      </w:r>
    </w:p>
    <w:p w:rsidR="008C4702" w:rsidRDefault="008C4702" w:rsidP="008C4702">
      <w:r>
        <w:br w:type="page"/>
      </w:r>
    </w:p>
    <w:p w:rsidR="00C049AD" w:rsidRDefault="00C049AD">
      <w:bookmarkStart w:id="0" w:name="_GoBack"/>
      <w:bookmarkEnd w:id="0"/>
    </w:p>
    <w:sectPr w:rsidR="00C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94E1ABC"/>
    <w:lvl w:ilvl="0">
      <w:start w:val="1"/>
      <w:numFmt w:val="bullet"/>
      <w:pStyle w:val="ListBullet"/>
      <w:lvlText w:val=""/>
      <w:lvlJc w:val="left"/>
      <w:pPr>
        <w:ind w:left="720" w:hanging="360"/>
      </w:pPr>
      <w:rPr>
        <w:rFonts w:ascii="Symbol" w:hAnsi="Symbol" w:hint="default"/>
        <w:color w:val="44546A" w:themeColor="text2"/>
        <w:u w:color="FFFFFF" w:themeColor="background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02"/>
    <w:rsid w:val="000113B0"/>
    <w:rsid w:val="00043E28"/>
    <w:rsid w:val="00061FBF"/>
    <w:rsid w:val="00081A0A"/>
    <w:rsid w:val="00086629"/>
    <w:rsid w:val="00096B84"/>
    <w:rsid w:val="001428CE"/>
    <w:rsid w:val="00164ED6"/>
    <w:rsid w:val="001720EE"/>
    <w:rsid w:val="0017486E"/>
    <w:rsid w:val="001804E7"/>
    <w:rsid w:val="001B2E13"/>
    <w:rsid w:val="001D2727"/>
    <w:rsid w:val="001F6EBE"/>
    <w:rsid w:val="00201B78"/>
    <w:rsid w:val="00220BB0"/>
    <w:rsid w:val="002370EB"/>
    <w:rsid w:val="002435FC"/>
    <w:rsid w:val="0025185B"/>
    <w:rsid w:val="00274E8B"/>
    <w:rsid w:val="00284276"/>
    <w:rsid w:val="00295C78"/>
    <w:rsid w:val="002B032B"/>
    <w:rsid w:val="002B0610"/>
    <w:rsid w:val="002B337F"/>
    <w:rsid w:val="002B3DA4"/>
    <w:rsid w:val="002D5C94"/>
    <w:rsid w:val="002E3BE7"/>
    <w:rsid w:val="002F7793"/>
    <w:rsid w:val="00307AB8"/>
    <w:rsid w:val="00313B09"/>
    <w:rsid w:val="003253F2"/>
    <w:rsid w:val="003366B6"/>
    <w:rsid w:val="003A0DE2"/>
    <w:rsid w:val="0040224C"/>
    <w:rsid w:val="00404504"/>
    <w:rsid w:val="00454E79"/>
    <w:rsid w:val="0046217D"/>
    <w:rsid w:val="0048087E"/>
    <w:rsid w:val="00487981"/>
    <w:rsid w:val="004B4CB7"/>
    <w:rsid w:val="004B50C9"/>
    <w:rsid w:val="004D683B"/>
    <w:rsid w:val="004E6CF2"/>
    <w:rsid w:val="005310B3"/>
    <w:rsid w:val="00535033"/>
    <w:rsid w:val="00561843"/>
    <w:rsid w:val="005872E1"/>
    <w:rsid w:val="005E28CE"/>
    <w:rsid w:val="005E2AAF"/>
    <w:rsid w:val="005F61B1"/>
    <w:rsid w:val="00635F27"/>
    <w:rsid w:val="006632A5"/>
    <w:rsid w:val="006805ED"/>
    <w:rsid w:val="006B6A02"/>
    <w:rsid w:val="00712CD0"/>
    <w:rsid w:val="007303C9"/>
    <w:rsid w:val="0074263A"/>
    <w:rsid w:val="00744F00"/>
    <w:rsid w:val="00783CA4"/>
    <w:rsid w:val="00793E9B"/>
    <w:rsid w:val="00796224"/>
    <w:rsid w:val="007A051C"/>
    <w:rsid w:val="007B168A"/>
    <w:rsid w:val="007B401F"/>
    <w:rsid w:val="007C182E"/>
    <w:rsid w:val="007C558C"/>
    <w:rsid w:val="007E3D73"/>
    <w:rsid w:val="007E46C1"/>
    <w:rsid w:val="007F70CB"/>
    <w:rsid w:val="00800AAE"/>
    <w:rsid w:val="00811DA9"/>
    <w:rsid w:val="00823852"/>
    <w:rsid w:val="00835F1C"/>
    <w:rsid w:val="00846F18"/>
    <w:rsid w:val="00850537"/>
    <w:rsid w:val="00864F20"/>
    <w:rsid w:val="00871C1F"/>
    <w:rsid w:val="0089578D"/>
    <w:rsid w:val="008B0798"/>
    <w:rsid w:val="008B3D3C"/>
    <w:rsid w:val="008C4702"/>
    <w:rsid w:val="008D20B6"/>
    <w:rsid w:val="008D5ABB"/>
    <w:rsid w:val="008F34CA"/>
    <w:rsid w:val="00904A81"/>
    <w:rsid w:val="0091510F"/>
    <w:rsid w:val="00917907"/>
    <w:rsid w:val="00920857"/>
    <w:rsid w:val="009306C7"/>
    <w:rsid w:val="00934759"/>
    <w:rsid w:val="00944138"/>
    <w:rsid w:val="00947483"/>
    <w:rsid w:val="00965993"/>
    <w:rsid w:val="009C37D6"/>
    <w:rsid w:val="009D21BB"/>
    <w:rsid w:val="009D277A"/>
    <w:rsid w:val="00A141EA"/>
    <w:rsid w:val="00A16F20"/>
    <w:rsid w:val="00A54D8B"/>
    <w:rsid w:val="00A550FE"/>
    <w:rsid w:val="00A63C72"/>
    <w:rsid w:val="00AB0367"/>
    <w:rsid w:val="00AC6408"/>
    <w:rsid w:val="00B017F2"/>
    <w:rsid w:val="00B034EF"/>
    <w:rsid w:val="00B231C5"/>
    <w:rsid w:val="00B40C40"/>
    <w:rsid w:val="00B54C49"/>
    <w:rsid w:val="00B95118"/>
    <w:rsid w:val="00B97D14"/>
    <w:rsid w:val="00BB79BC"/>
    <w:rsid w:val="00BE018E"/>
    <w:rsid w:val="00BE48F9"/>
    <w:rsid w:val="00BF30EA"/>
    <w:rsid w:val="00BF7737"/>
    <w:rsid w:val="00C049AD"/>
    <w:rsid w:val="00C11B92"/>
    <w:rsid w:val="00C347D5"/>
    <w:rsid w:val="00C4085C"/>
    <w:rsid w:val="00C47300"/>
    <w:rsid w:val="00C4773F"/>
    <w:rsid w:val="00C52F0F"/>
    <w:rsid w:val="00C53B23"/>
    <w:rsid w:val="00C71787"/>
    <w:rsid w:val="00C853BD"/>
    <w:rsid w:val="00C9573B"/>
    <w:rsid w:val="00CA653C"/>
    <w:rsid w:val="00D07BAD"/>
    <w:rsid w:val="00D37251"/>
    <w:rsid w:val="00D5144B"/>
    <w:rsid w:val="00D6381E"/>
    <w:rsid w:val="00D7355A"/>
    <w:rsid w:val="00D90474"/>
    <w:rsid w:val="00DA3B05"/>
    <w:rsid w:val="00DC0843"/>
    <w:rsid w:val="00DD1589"/>
    <w:rsid w:val="00E476DD"/>
    <w:rsid w:val="00E92D6D"/>
    <w:rsid w:val="00E96BA9"/>
    <w:rsid w:val="00EA6961"/>
    <w:rsid w:val="00EB6D2D"/>
    <w:rsid w:val="00ED0CDD"/>
    <w:rsid w:val="00EE03D0"/>
    <w:rsid w:val="00F06749"/>
    <w:rsid w:val="00F12EA0"/>
    <w:rsid w:val="00F66A8F"/>
    <w:rsid w:val="00F81DD7"/>
    <w:rsid w:val="00FB207C"/>
    <w:rsid w:val="00FB481E"/>
    <w:rsid w:val="00FD1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C2B56-EF0E-4691-919E-DD39B1E7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4702"/>
    <w:rPr>
      <w:rFonts w:eastAsiaTheme="minorEastAsia"/>
    </w:rPr>
  </w:style>
  <w:style w:type="paragraph" w:styleId="Heading2">
    <w:name w:val="heading 2"/>
    <w:basedOn w:val="Normal"/>
    <w:next w:val="Normal"/>
    <w:link w:val="Heading2Char"/>
    <w:uiPriority w:val="9"/>
    <w:unhideWhenUsed/>
    <w:qFormat/>
    <w:rsid w:val="008C4702"/>
    <w:pPr>
      <w:keepNext/>
      <w:keepLines/>
      <w:spacing w:before="240" w:after="60" w:line="240" w:lineRule="auto"/>
      <w:outlineLvl w:val="1"/>
    </w:pPr>
    <w:rPr>
      <w:rFonts w:ascii="Calibri" w:eastAsiaTheme="majorEastAsia" w:hAnsi="Calibri" w:cstheme="majorBidi"/>
      <w:b/>
      <w:color w:val="FFC000" w:themeColor="accent4"/>
      <w:sz w:val="28"/>
      <w:szCs w:val="28"/>
    </w:rPr>
  </w:style>
  <w:style w:type="paragraph" w:styleId="Heading3">
    <w:name w:val="heading 3"/>
    <w:basedOn w:val="Normal"/>
    <w:next w:val="Normal"/>
    <w:link w:val="Heading3Char"/>
    <w:uiPriority w:val="9"/>
    <w:unhideWhenUsed/>
    <w:qFormat/>
    <w:rsid w:val="008C4702"/>
    <w:pPr>
      <w:keepNext/>
      <w:keepLines/>
      <w:spacing w:before="180" w:after="60" w:line="240" w:lineRule="auto"/>
      <w:outlineLvl w:val="2"/>
    </w:pPr>
    <w:rPr>
      <w:rFonts w:ascii="Calibri" w:eastAsiaTheme="majorEastAsia" w:hAnsi="Calibri" w:cstheme="majorBidi"/>
      <w:b/>
      <w:color w:val="FFC000" w:themeColor="accent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4702"/>
    <w:rPr>
      <w:rFonts w:ascii="Calibri" w:eastAsiaTheme="majorEastAsia" w:hAnsi="Calibri" w:cstheme="majorBidi"/>
      <w:b/>
      <w:color w:val="FFC000" w:themeColor="accent4"/>
      <w:sz w:val="28"/>
      <w:szCs w:val="28"/>
    </w:rPr>
  </w:style>
  <w:style w:type="character" w:customStyle="1" w:styleId="Heading3Char">
    <w:name w:val="Heading 3 Char"/>
    <w:basedOn w:val="DefaultParagraphFont"/>
    <w:link w:val="Heading3"/>
    <w:uiPriority w:val="9"/>
    <w:rsid w:val="008C4702"/>
    <w:rPr>
      <w:rFonts w:ascii="Calibri" w:eastAsiaTheme="majorEastAsia" w:hAnsi="Calibri" w:cstheme="majorBidi"/>
      <w:b/>
      <w:color w:val="FFC000" w:themeColor="accent4"/>
      <w:sz w:val="24"/>
      <w:szCs w:val="28"/>
    </w:rPr>
  </w:style>
  <w:style w:type="paragraph" w:styleId="BodyText">
    <w:name w:val="Body Text"/>
    <w:basedOn w:val="Normal"/>
    <w:link w:val="BodyTextChar"/>
    <w:qFormat/>
    <w:rsid w:val="008C4702"/>
    <w:pPr>
      <w:spacing w:after="180"/>
    </w:pPr>
    <w:rPr>
      <w:szCs w:val="24"/>
    </w:rPr>
  </w:style>
  <w:style w:type="character" w:customStyle="1" w:styleId="BodyTextChar">
    <w:name w:val="Body Text Char"/>
    <w:basedOn w:val="DefaultParagraphFont"/>
    <w:link w:val="BodyText"/>
    <w:rsid w:val="008C4702"/>
    <w:rPr>
      <w:rFonts w:eastAsiaTheme="minorEastAsia"/>
      <w:szCs w:val="24"/>
    </w:rPr>
  </w:style>
  <w:style w:type="paragraph" w:styleId="ListBullet">
    <w:name w:val="List Bullet"/>
    <w:aliases w:val="List Bullet 1"/>
    <w:basedOn w:val="Normal"/>
    <w:qFormat/>
    <w:rsid w:val="008C4702"/>
    <w:pPr>
      <w:numPr>
        <w:numId w:val="1"/>
      </w:numPr>
      <w:spacing w:after="120" w:line="240" w:lineRule="auto"/>
    </w:pPr>
    <w:rPr>
      <w:rFonts w:eastAsia="Times New Roman" w:cs="Times New Roman"/>
      <w:szCs w:val="24"/>
    </w:rPr>
  </w:style>
  <w:style w:type="table" w:customStyle="1" w:styleId="TableGrid2">
    <w:name w:val="Table Grid2"/>
    <w:basedOn w:val="TableNormal"/>
    <w:next w:val="TableGrid"/>
    <w:uiPriority w:val="39"/>
    <w:rsid w:val="008C470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C4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Armie Fe Ganaganag</dc:creator>
  <cp:keywords/>
  <dc:description/>
  <cp:lastModifiedBy>Armie Fe Ganaganag</cp:lastModifiedBy>
  <cp:revision>1</cp:revision>
  <dcterms:created xsi:type="dcterms:W3CDTF">2023-06-10T00:50:00Z</dcterms:created>
  <dcterms:modified xsi:type="dcterms:W3CDTF">2023-06-10T00:50:00Z</dcterms:modified>
</cp:coreProperties>
</file>