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AE00B" w14:textId="77777777" w:rsidR="00244A0E" w:rsidRDefault="00244A0E" w:rsidP="00244A0E">
      <w:pPr>
        <w:pStyle w:val="Standard1"/>
        <w:rPr>
          <w:b/>
          <w:bCs/>
          <w:sz w:val="28"/>
          <w:szCs w:val="28"/>
          <w:u w:val="single"/>
        </w:rPr>
      </w:pPr>
      <w:r>
        <w:rPr>
          <w:b/>
          <w:bCs/>
          <w:sz w:val="28"/>
          <w:szCs w:val="28"/>
          <w:u w:val="single"/>
        </w:rPr>
        <w:t xml:space="preserve">An assessment of the informative value of data sharing statements in clinical trial registries (Ohmann et al.) </w:t>
      </w:r>
    </w:p>
    <w:p w14:paraId="4A187B81" w14:textId="77777777" w:rsidR="00327A35" w:rsidRDefault="00327A35" w:rsidP="00244A0E">
      <w:pPr>
        <w:pStyle w:val="Standard1"/>
        <w:rPr>
          <w:b/>
          <w:bCs/>
          <w:sz w:val="28"/>
          <w:szCs w:val="28"/>
          <w:u w:val="single"/>
        </w:rPr>
      </w:pPr>
    </w:p>
    <w:p w14:paraId="2658A23A" w14:textId="77777777" w:rsidR="00327A35" w:rsidRDefault="00327A35" w:rsidP="00327A35">
      <w:pPr>
        <w:pStyle w:val="Standard1"/>
        <w:rPr>
          <w:rFonts w:cs="Calibri"/>
          <w:b/>
          <w:bCs/>
          <w:color w:val="222222"/>
          <w:sz w:val="24"/>
          <w:szCs w:val="24"/>
          <w:shd w:val="clear" w:color="auto" w:fill="FFFFFF"/>
        </w:rPr>
      </w:pPr>
      <w:r>
        <w:rPr>
          <w:rFonts w:cs="Calibri"/>
          <w:b/>
          <w:bCs/>
          <w:color w:val="222222"/>
          <w:sz w:val="24"/>
          <w:szCs w:val="24"/>
          <w:shd w:val="clear" w:color="auto" w:fill="FFFFFF"/>
        </w:rPr>
        <w:t>Additional file 1</w:t>
      </w:r>
    </w:p>
    <w:p w14:paraId="30A06101" w14:textId="77777777" w:rsidR="00D323DD" w:rsidRPr="00D323DD" w:rsidRDefault="00D323DD" w:rsidP="00D323DD">
      <w:pPr>
        <w:pStyle w:val="Standard1"/>
        <w:rPr>
          <w:b/>
          <w:bCs/>
        </w:rPr>
      </w:pPr>
      <w:r w:rsidRPr="00D323DD">
        <w:rPr>
          <w:b/>
          <w:bCs/>
        </w:rPr>
        <w:t>MDR Information Sources</w:t>
      </w:r>
    </w:p>
    <w:p w14:paraId="2D208C42" w14:textId="4E14C2C7" w:rsidR="00244A0E" w:rsidRPr="00DA212A" w:rsidRDefault="00244A0E" w:rsidP="00244A0E">
      <w:pPr>
        <w:pStyle w:val="FirstParagraph"/>
        <w:rPr>
          <w:rStyle w:val="Absatz-Standardschriftart1"/>
          <w:lang w:val="en-GB"/>
        </w:rPr>
      </w:pPr>
      <w:r w:rsidRPr="00DA212A">
        <w:rPr>
          <w:rStyle w:val="Absatz-Standardschriftart1"/>
          <w:lang w:val="en-GB"/>
        </w:rPr>
        <w:t xml:space="preserve">Most of the sources used by the MDR are ‘study based’, that is the data is organised by clinical research study, and includes various study attributes and properties, including data on some of the associated data objects. This is the case, naturally enough, for </w:t>
      </w:r>
      <w:proofErr w:type="gramStart"/>
      <w:r w:rsidRPr="00DA212A">
        <w:rPr>
          <w:rStyle w:val="Absatz-Standardschriftart1"/>
          <w:lang w:val="en-GB"/>
        </w:rPr>
        <w:t>all of</w:t>
      </w:r>
      <w:proofErr w:type="gramEnd"/>
      <w:r w:rsidRPr="00DA212A">
        <w:rPr>
          <w:rStyle w:val="Absatz-Standardschriftart1"/>
          <w:lang w:val="en-GB"/>
        </w:rPr>
        <w:t xml:space="preserve"> the data obtained from trial registries, </w:t>
      </w:r>
      <w:r>
        <w:rPr>
          <w:rStyle w:val="Absatz-Standardschriftart1"/>
          <w:lang w:val="en-GB"/>
        </w:rPr>
        <w:t xml:space="preserve">(which provide the great majority of the MDR’s data) </w:t>
      </w:r>
      <w:r w:rsidRPr="00DA212A">
        <w:rPr>
          <w:rStyle w:val="Absatz-Standardschriftart1"/>
          <w:lang w:val="en-GB"/>
        </w:rPr>
        <w:t xml:space="preserve">but it also the case for the data obtained from the Yoda and </w:t>
      </w:r>
      <w:proofErr w:type="spellStart"/>
      <w:r w:rsidRPr="00DA212A">
        <w:rPr>
          <w:rStyle w:val="Absatz-Standardschriftart1"/>
          <w:lang w:val="en-GB"/>
        </w:rPr>
        <w:t>BioLINCC</w:t>
      </w:r>
      <w:proofErr w:type="spellEnd"/>
      <w:r w:rsidRPr="00DA212A">
        <w:rPr>
          <w:rStyle w:val="Absatz-Standardschriftart1"/>
          <w:lang w:val="en-GB"/>
        </w:rPr>
        <w:t xml:space="preserve"> repositories. </w:t>
      </w:r>
    </w:p>
    <w:p w14:paraId="54B183DC" w14:textId="77777777" w:rsidR="00244A0E" w:rsidRDefault="00244A0E" w:rsidP="00244A0E">
      <w:pPr>
        <w:pStyle w:val="FirstParagraph"/>
        <w:rPr>
          <w:rStyle w:val="Absatz-Standardschriftart1"/>
          <w:lang w:val="en-GB"/>
        </w:rPr>
      </w:pPr>
      <w:r w:rsidRPr="00DA212A">
        <w:rPr>
          <w:rStyle w:val="Absatz-Standardschriftart1"/>
          <w:lang w:val="en-GB"/>
        </w:rPr>
        <w:t xml:space="preserve">The 21 </w:t>
      </w:r>
      <w:proofErr w:type="gramStart"/>
      <w:r w:rsidRPr="00DA212A">
        <w:rPr>
          <w:rStyle w:val="Absatz-Standardschriftart1"/>
          <w:lang w:val="en-GB"/>
        </w:rPr>
        <w:t>study based</w:t>
      </w:r>
      <w:proofErr w:type="gramEnd"/>
      <w:r w:rsidRPr="00DA212A">
        <w:rPr>
          <w:rStyle w:val="Absatz-Standardschriftart1"/>
          <w:lang w:val="en-GB"/>
        </w:rPr>
        <w:t xml:space="preserve"> data sources are listed below, listed in descending order of size (CTR = Clinical Trial Registry). For each, the total number of studies for which the metadata </w:t>
      </w:r>
      <w:r>
        <w:rPr>
          <w:rStyle w:val="Absatz-Standardschriftart1"/>
          <w:lang w:val="en-GB"/>
        </w:rPr>
        <w:t>wa</w:t>
      </w:r>
      <w:r w:rsidRPr="00DA212A">
        <w:rPr>
          <w:rStyle w:val="Absatz-Standardschriftart1"/>
          <w:lang w:val="en-GB"/>
        </w:rPr>
        <w:t xml:space="preserve">s </w:t>
      </w:r>
      <w:r>
        <w:rPr>
          <w:rStyle w:val="Absatz-Standardschriftart1"/>
          <w:lang w:val="en-GB"/>
        </w:rPr>
        <w:t xml:space="preserve">stored </w:t>
      </w:r>
      <w:r w:rsidRPr="00DA212A">
        <w:rPr>
          <w:rStyle w:val="Absatz-Standardschriftart1"/>
          <w:lang w:val="en-GB"/>
        </w:rPr>
        <w:t>(</w:t>
      </w:r>
      <w:r>
        <w:rPr>
          <w:rStyle w:val="Absatz-Standardschriftart1"/>
          <w:lang w:val="en-GB"/>
        </w:rPr>
        <w:t xml:space="preserve">in </w:t>
      </w:r>
      <w:r w:rsidRPr="00DA212A">
        <w:rPr>
          <w:rStyle w:val="Absatz-Standardschriftart1"/>
          <w:lang w:val="en-GB"/>
        </w:rPr>
        <w:t>October 2023) stored is given, as well as the method used to obtain the data</w:t>
      </w:r>
      <w:r>
        <w:rPr>
          <w:rStyle w:val="Absatz-Standardschriftart1"/>
          <w:lang w:val="en-GB"/>
        </w:rPr>
        <w:t>.</w:t>
      </w:r>
    </w:p>
    <w:tbl>
      <w:tblPr>
        <w:tblW w:w="9220" w:type="dxa"/>
        <w:tblLook w:val="04A0" w:firstRow="1" w:lastRow="0" w:firstColumn="1" w:lastColumn="0" w:noHBand="0" w:noVBand="1"/>
      </w:tblPr>
      <w:tblGrid>
        <w:gridCol w:w="4880"/>
        <w:gridCol w:w="1840"/>
        <w:gridCol w:w="2500"/>
      </w:tblGrid>
      <w:tr w:rsidR="00244A0E" w:rsidRPr="00A25DFC" w14:paraId="5EBF7A36" w14:textId="77777777" w:rsidTr="008866A9">
        <w:trPr>
          <w:trHeight w:val="450"/>
        </w:trPr>
        <w:tc>
          <w:tcPr>
            <w:tcW w:w="4880" w:type="dxa"/>
            <w:tcBorders>
              <w:top w:val="nil"/>
              <w:left w:val="nil"/>
              <w:bottom w:val="nil"/>
              <w:right w:val="nil"/>
            </w:tcBorders>
            <w:shd w:val="clear" w:color="000000" w:fill="DEEAF6"/>
            <w:hideMark/>
          </w:tcPr>
          <w:p w14:paraId="391C7E7E" w14:textId="77777777" w:rsidR="00244A0E" w:rsidRPr="00DA212A" w:rsidRDefault="00244A0E" w:rsidP="008866A9">
            <w:pPr>
              <w:autoSpaceDN/>
              <w:spacing w:after="0"/>
              <w:rPr>
                <w:rFonts w:asciiTheme="minorHAnsi" w:eastAsia="Times New Roman" w:hAnsiTheme="minorHAnsi" w:cstheme="minorHAnsi"/>
                <w:b/>
                <w:bCs/>
                <w:lang w:val="en-GB" w:eastAsia="en-GB"/>
              </w:rPr>
            </w:pPr>
            <w:r w:rsidRPr="00DA212A">
              <w:rPr>
                <w:rFonts w:asciiTheme="minorHAnsi" w:eastAsia="Times New Roman" w:hAnsiTheme="minorHAnsi" w:cstheme="minorHAnsi"/>
                <w:b/>
                <w:bCs/>
                <w:lang w:val="en-GB" w:eastAsia="en-GB"/>
              </w:rPr>
              <w:t>Name</w:t>
            </w:r>
          </w:p>
        </w:tc>
        <w:tc>
          <w:tcPr>
            <w:tcW w:w="1840" w:type="dxa"/>
            <w:tcBorders>
              <w:top w:val="nil"/>
              <w:left w:val="nil"/>
              <w:bottom w:val="nil"/>
              <w:right w:val="nil"/>
            </w:tcBorders>
            <w:shd w:val="clear" w:color="000000" w:fill="DEEAF6"/>
            <w:hideMark/>
          </w:tcPr>
          <w:p w14:paraId="152D6D03" w14:textId="77777777" w:rsidR="00244A0E" w:rsidRPr="00DA212A" w:rsidRDefault="00244A0E" w:rsidP="008866A9">
            <w:pPr>
              <w:autoSpaceDN/>
              <w:spacing w:after="0"/>
              <w:jc w:val="right"/>
              <w:rPr>
                <w:rFonts w:asciiTheme="minorHAnsi" w:eastAsia="Times New Roman" w:hAnsiTheme="minorHAnsi" w:cstheme="minorHAnsi"/>
                <w:b/>
                <w:bCs/>
                <w:lang w:val="en-GB" w:eastAsia="en-GB"/>
              </w:rPr>
            </w:pPr>
            <w:r w:rsidRPr="00DA212A">
              <w:rPr>
                <w:rFonts w:asciiTheme="minorHAnsi" w:eastAsia="Times New Roman" w:hAnsiTheme="minorHAnsi" w:cstheme="minorHAnsi"/>
                <w:b/>
                <w:bCs/>
                <w:lang w:val="en-GB" w:eastAsia="en-GB"/>
              </w:rPr>
              <w:t>Studies</w:t>
            </w:r>
          </w:p>
        </w:tc>
        <w:tc>
          <w:tcPr>
            <w:tcW w:w="2500" w:type="dxa"/>
            <w:tcBorders>
              <w:top w:val="nil"/>
              <w:left w:val="nil"/>
              <w:bottom w:val="nil"/>
              <w:right w:val="nil"/>
            </w:tcBorders>
            <w:shd w:val="clear" w:color="000000" w:fill="DEEAF6"/>
            <w:hideMark/>
          </w:tcPr>
          <w:p w14:paraId="0ABBB946" w14:textId="77777777" w:rsidR="00244A0E" w:rsidRPr="00DA212A" w:rsidRDefault="00244A0E" w:rsidP="008866A9">
            <w:pPr>
              <w:autoSpaceDN/>
              <w:spacing w:after="0"/>
              <w:jc w:val="center"/>
              <w:rPr>
                <w:rFonts w:asciiTheme="minorHAnsi" w:eastAsia="Times New Roman" w:hAnsiTheme="minorHAnsi" w:cstheme="minorHAnsi"/>
                <w:b/>
                <w:bCs/>
                <w:lang w:val="en-GB" w:eastAsia="en-GB"/>
              </w:rPr>
            </w:pPr>
            <w:r w:rsidRPr="00DA212A">
              <w:rPr>
                <w:rFonts w:asciiTheme="minorHAnsi" w:eastAsia="Times New Roman" w:hAnsiTheme="minorHAnsi" w:cstheme="minorHAnsi"/>
                <w:b/>
                <w:bCs/>
                <w:lang w:val="en-GB" w:eastAsia="en-GB"/>
              </w:rPr>
              <w:t>Data via</w:t>
            </w:r>
          </w:p>
        </w:tc>
      </w:tr>
      <w:tr w:rsidR="00244A0E" w:rsidRPr="00A25DFC" w14:paraId="71DAD619" w14:textId="77777777" w:rsidTr="008866A9">
        <w:trPr>
          <w:trHeight w:val="330"/>
        </w:trPr>
        <w:tc>
          <w:tcPr>
            <w:tcW w:w="4880" w:type="dxa"/>
            <w:tcBorders>
              <w:top w:val="nil"/>
              <w:left w:val="nil"/>
              <w:bottom w:val="nil"/>
              <w:right w:val="nil"/>
            </w:tcBorders>
            <w:shd w:val="clear" w:color="000000" w:fill="FEFEFC"/>
            <w:hideMark/>
          </w:tcPr>
          <w:p w14:paraId="72C043E7"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ClinicalTrials.gov (US)</w:t>
            </w:r>
          </w:p>
        </w:tc>
        <w:tc>
          <w:tcPr>
            <w:tcW w:w="1840" w:type="dxa"/>
            <w:tcBorders>
              <w:top w:val="nil"/>
              <w:left w:val="nil"/>
              <w:bottom w:val="nil"/>
              <w:right w:val="nil"/>
            </w:tcBorders>
            <w:shd w:val="clear" w:color="000000" w:fill="FEFEFC"/>
            <w:hideMark/>
          </w:tcPr>
          <w:p w14:paraId="54F9F066"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466,789</w:t>
            </w:r>
          </w:p>
        </w:tc>
        <w:tc>
          <w:tcPr>
            <w:tcW w:w="2500" w:type="dxa"/>
            <w:tcBorders>
              <w:top w:val="nil"/>
              <w:left w:val="nil"/>
              <w:bottom w:val="nil"/>
              <w:right w:val="nil"/>
            </w:tcBorders>
            <w:shd w:val="clear" w:color="000000" w:fill="FEFEFC"/>
            <w:hideMark/>
          </w:tcPr>
          <w:p w14:paraId="13886016"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Direct</w:t>
            </w:r>
          </w:p>
        </w:tc>
      </w:tr>
      <w:tr w:rsidR="00244A0E" w:rsidRPr="00A25DFC" w14:paraId="40AE284E" w14:textId="77777777" w:rsidTr="008866A9">
        <w:trPr>
          <w:trHeight w:val="330"/>
        </w:trPr>
        <w:tc>
          <w:tcPr>
            <w:tcW w:w="4880" w:type="dxa"/>
            <w:tcBorders>
              <w:top w:val="nil"/>
              <w:left w:val="nil"/>
              <w:bottom w:val="nil"/>
              <w:right w:val="nil"/>
            </w:tcBorders>
            <w:shd w:val="clear" w:color="000000" w:fill="FEFEFC"/>
            <w:hideMark/>
          </w:tcPr>
          <w:p w14:paraId="7354806E"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Chinese CTR</w:t>
            </w:r>
          </w:p>
        </w:tc>
        <w:tc>
          <w:tcPr>
            <w:tcW w:w="1840" w:type="dxa"/>
            <w:tcBorders>
              <w:top w:val="nil"/>
              <w:left w:val="nil"/>
              <w:bottom w:val="nil"/>
              <w:right w:val="nil"/>
            </w:tcBorders>
            <w:shd w:val="clear" w:color="000000" w:fill="FEFEFC"/>
            <w:hideMark/>
          </w:tcPr>
          <w:p w14:paraId="0BCFE5D7"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72,776</w:t>
            </w:r>
          </w:p>
        </w:tc>
        <w:tc>
          <w:tcPr>
            <w:tcW w:w="2500" w:type="dxa"/>
            <w:tcBorders>
              <w:top w:val="nil"/>
              <w:left w:val="nil"/>
              <w:bottom w:val="nil"/>
              <w:right w:val="nil"/>
            </w:tcBorders>
            <w:shd w:val="clear" w:color="000000" w:fill="FEFEFC"/>
            <w:hideMark/>
          </w:tcPr>
          <w:p w14:paraId="41B10F8B"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4C1B1CF7" w14:textId="77777777" w:rsidTr="008866A9">
        <w:trPr>
          <w:trHeight w:val="330"/>
        </w:trPr>
        <w:tc>
          <w:tcPr>
            <w:tcW w:w="4880" w:type="dxa"/>
            <w:tcBorders>
              <w:top w:val="nil"/>
              <w:left w:val="nil"/>
              <w:bottom w:val="nil"/>
              <w:right w:val="nil"/>
            </w:tcBorders>
            <w:shd w:val="clear" w:color="000000" w:fill="FEFEFC"/>
            <w:hideMark/>
          </w:tcPr>
          <w:p w14:paraId="744D05E2"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Japan Primary Registries Network</w:t>
            </w:r>
          </w:p>
        </w:tc>
        <w:tc>
          <w:tcPr>
            <w:tcW w:w="1840" w:type="dxa"/>
            <w:tcBorders>
              <w:top w:val="nil"/>
              <w:left w:val="nil"/>
              <w:bottom w:val="nil"/>
              <w:right w:val="nil"/>
            </w:tcBorders>
            <w:shd w:val="clear" w:color="000000" w:fill="FEFEFC"/>
            <w:hideMark/>
          </w:tcPr>
          <w:p w14:paraId="49E7AF3B"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65,824</w:t>
            </w:r>
          </w:p>
        </w:tc>
        <w:tc>
          <w:tcPr>
            <w:tcW w:w="2500" w:type="dxa"/>
            <w:tcBorders>
              <w:top w:val="nil"/>
              <w:left w:val="nil"/>
              <w:bottom w:val="nil"/>
              <w:right w:val="nil"/>
            </w:tcBorders>
            <w:shd w:val="clear" w:color="000000" w:fill="FEFEFC"/>
            <w:hideMark/>
          </w:tcPr>
          <w:p w14:paraId="583A3549"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73204C85" w14:textId="77777777" w:rsidTr="008866A9">
        <w:trPr>
          <w:trHeight w:val="330"/>
        </w:trPr>
        <w:tc>
          <w:tcPr>
            <w:tcW w:w="4880" w:type="dxa"/>
            <w:tcBorders>
              <w:top w:val="nil"/>
              <w:left w:val="nil"/>
              <w:bottom w:val="nil"/>
              <w:right w:val="nil"/>
            </w:tcBorders>
            <w:shd w:val="clear" w:color="000000" w:fill="FEFEFC"/>
            <w:hideMark/>
          </w:tcPr>
          <w:p w14:paraId="47331BB4"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Clinical Trials Registry - India</w:t>
            </w:r>
          </w:p>
        </w:tc>
        <w:tc>
          <w:tcPr>
            <w:tcW w:w="1840" w:type="dxa"/>
            <w:tcBorders>
              <w:top w:val="nil"/>
              <w:left w:val="nil"/>
              <w:bottom w:val="nil"/>
              <w:right w:val="nil"/>
            </w:tcBorders>
            <w:shd w:val="clear" w:color="000000" w:fill="FEFEFC"/>
            <w:hideMark/>
          </w:tcPr>
          <w:p w14:paraId="0EBA986B"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57,599</w:t>
            </w:r>
          </w:p>
        </w:tc>
        <w:tc>
          <w:tcPr>
            <w:tcW w:w="2500" w:type="dxa"/>
            <w:tcBorders>
              <w:top w:val="nil"/>
              <w:left w:val="nil"/>
              <w:bottom w:val="nil"/>
              <w:right w:val="nil"/>
            </w:tcBorders>
            <w:shd w:val="clear" w:color="000000" w:fill="FEFEFC"/>
            <w:hideMark/>
          </w:tcPr>
          <w:p w14:paraId="2775F40D"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7F2BE5A9" w14:textId="77777777" w:rsidTr="008866A9">
        <w:trPr>
          <w:trHeight w:val="330"/>
        </w:trPr>
        <w:tc>
          <w:tcPr>
            <w:tcW w:w="4880" w:type="dxa"/>
            <w:tcBorders>
              <w:top w:val="nil"/>
              <w:left w:val="nil"/>
              <w:bottom w:val="nil"/>
              <w:right w:val="nil"/>
            </w:tcBorders>
            <w:shd w:val="clear" w:color="000000" w:fill="FEFEFC"/>
            <w:hideMark/>
          </w:tcPr>
          <w:p w14:paraId="39247431"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EU Clinical Trials Register</w:t>
            </w:r>
          </w:p>
        </w:tc>
        <w:tc>
          <w:tcPr>
            <w:tcW w:w="1840" w:type="dxa"/>
            <w:tcBorders>
              <w:top w:val="nil"/>
              <w:left w:val="nil"/>
              <w:bottom w:val="nil"/>
              <w:right w:val="nil"/>
            </w:tcBorders>
            <w:shd w:val="clear" w:color="000000" w:fill="FEFEFC"/>
            <w:hideMark/>
          </w:tcPr>
          <w:p w14:paraId="468A489A"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43,489</w:t>
            </w:r>
          </w:p>
        </w:tc>
        <w:tc>
          <w:tcPr>
            <w:tcW w:w="2500" w:type="dxa"/>
            <w:tcBorders>
              <w:top w:val="nil"/>
              <w:left w:val="nil"/>
              <w:bottom w:val="nil"/>
              <w:right w:val="nil"/>
            </w:tcBorders>
            <w:shd w:val="clear" w:color="000000" w:fill="FEFEFC"/>
            <w:hideMark/>
          </w:tcPr>
          <w:p w14:paraId="42101CC1"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Direct</w:t>
            </w:r>
          </w:p>
        </w:tc>
      </w:tr>
      <w:tr w:rsidR="00244A0E" w:rsidRPr="00A25DFC" w14:paraId="5790DE2A" w14:textId="77777777" w:rsidTr="008866A9">
        <w:trPr>
          <w:trHeight w:val="330"/>
        </w:trPr>
        <w:tc>
          <w:tcPr>
            <w:tcW w:w="4880" w:type="dxa"/>
            <w:tcBorders>
              <w:top w:val="nil"/>
              <w:left w:val="nil"/>
              <w:bottom w:val="nil"/>
              <w:right w:val="nil"/>
            </w:tcBorders>
            <w:shd w:val="clear" w:color="000000" w:fill="FEFEFC"/>
            <w:hideMark/>
          </w:tcPr>
          <w:p w14:paraId="52168485"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Iranian Registry of Clinical Trials</w:t>
            </w:r>
          </w:p>
        </w:tc>
        <w:tc>
          <w:tcPr>
            <w:tcW w:w="1840" w:type="dxa"/>
            <w:tcBorders>
              <w:top w:val="nil"/>
              <w:left w:val="nil"/>
              <w:bottom w:val="nil"/>
              <w:right w:val="nil"/>
            </w:tcBorders>
            <w:shd w:val="clear" w:color="000000" w:fill="FEFEFC"/>
            <w:hideMark/>
          </w:tcPr>
          <w:p w14:paraId="44E6D388"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36,704</w:t>
            </w:r>
          </w:p>
        </w:tc>
        <w:tc>
          <w:tcPr>
            <w:tcW w:w="2500" w:type="dxa"/>
            <w:tcBorders>
              <w:top w:val="nil"/>
              <w:left w:val="nil"/>
              <w:bottom w:val="nil"/>
              <w:right w:val="nil"/>
            </w:tcBorders>
            <w:shd w:val="clear" w:color="000000" w:fill="FEFEFC"/>
            <w:hideMark/>
          </w:tcPr>
          <w:p w14:paraId="664DF3DA"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0150F838" w14:textId="77777777" w:rsidTr="008866A9">
        <w:trPr>
          <w:trHeight w:val="330"/>
        </w:trPr>
        <w:tc>
          <w:tcPr>
            <w:tcW w:w="4880" w:type="dxa"/>
            <w:tcBorders>
              <w:top w:val="nil"/>
              <w:left w:val="nil"/>
              <w:bottom w:val="nil"/>
              <w:right w:val="nil"/>
            </w:tcBorders>
            <w:shd w:val="clear" w:color="000000" w:fill="FEFEFC"/>
            <w:hideMark/>
          </w:tcPr>
          <w:p w14:paraId="6BA7E7A4"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Australian / New Zealand CTR</w:t>
            </w:r>
          </w:p>
        </w:tc>
        <w:tc>
          <w:tcPr>
            <w:tcW w:w="1840" w:type="dxa"/>
            <w:tcBorders>
              <w:top w:val="nil"/>
              <w:left w:val="nil"/>
              <w:bottom w:val="nil"/>
              <w:right w:val="nil"/>
            </w:tcBorders>
            <w:shd w:val="clear" w:color="000000" w:fill="FEFEFC"/>
            <w:hideMark/>
          </w:tcPr>
          <w:p w14:paraId="236E7E7C"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24,422</w:t>
            </w:r>
          </w:p>
        </w:tc>
        <w:tc>
          <w:tcPr>
            <w:tcW w:w="2500" w:type="dxa"/>
            <w:tcBorders>
              <w:top w:val="nil"/>
              <w:left w:val="nil"/>
              <w:bottom w:val="nil"/>
              <w:right w:val="nil"/>
            </w:tcBorders>
            <w:shd w:val="clear" w:color="000000" w:fill="FEFEFC"/>
            <w:hideMark/>
          </w:tcPr>
          <w:p w14:paraId="60F710EB"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04546841" w14:textId="77777777" w:rsidTr="008866A9">
        <w:trPr>
          <w:trHeight w:val="330"/>
        </w:trPr>
        <w:tc>
          <w:tcPr>
            <w:tcW w:w="4880" w:type="dxa"/>
            <w:tcBorders>
              <w:top w:val="nil"/>
              <w:left w:val="nil"/>
              <w:bottom w:val="nil"/>
              <w:right w:val="nil"/>
            </w:tcBorders>
            <w:shd w:val="clear" w:color="000000" w:fill="FEFEFC"/>
            <w:hideMark/>
          </w:tcPr>
          <w:p w14:paraId="1A4F1E97"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ISRCTN</w:t>
            </w:r>
          </w:p>
        </w:tc>
        <w:tc>
          <w:tcPr>
            <w:tcW w:w="1840" w:type="dxa"/>
            <w:tcBorders>
              <w:top w:val="nil"/>
              <w:left w:val="nil"/>
              <w:bottom w:val="nil"/>
              <w:right w:val="nil"/>
            </w:tcBorders>
            <w:shd w:val="clear" w:color="000000" w:fill="FEFEFC"/>
            <w:hideMark/>
          </w:tcPr>
          <w:p w14:paraId="68553AB4"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23,955</w:t>
            </w:r>
          </w:p>
        </w:tc>
        <w:tc>
          <w:tcPr>
            <w:tcW w:w="2500" w:type="dxa"/>
            <w:tcBorders>
              <w:top w:val="nil"/>
              <w:left w:val="nil"/>
              <w:bottom w:val="nil"/>
              <w:right w:val="nil"/>
            </w:tcBorders>
            <w:shd w:val="clear" w:color="000000" w:fill="FEFEFC"/>
            <w:hideMark/>
          </w:tcPr>
          <w:p w14:paraId="28BA0B68"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Direct</w:t>
            </w:r>
          </w:p>
        </w:tc>
      </w:tr>
      <w:tr w:rsidR="00244A0E" w:rsidRPr="00A25DFC" w14:paraId="79BD1523" w14:textId="77777777" w:rsidTr="008866A9">
        <w:trPr>
          <w:trHeight w:val="330"/>
        </w:trPr>
        <w:tc>
          <w:tcPr>
            <w:tcW w:w="4880" w:type="dxa"/>
            <w:tcBorders>
              <w:top w:val="nil"/>
              <w:left w:val="nil"/>
              <w:bottom w:val="nil"/>
              <w:right w:val="nil"/>
            </w:tcBorders>
            <w:shd w:val="clear" w:color="000000" w:fill="FEFEFC"/>
            <w:hideMark/>
          </w:tcPr>
          <w:p w14:paraId="3530466D" w14:textId="77777777" w:rsidR="00244A0E" w:rsidRPr="00DA212A" w:rsidRDefault="00244A0E" w:rsidP="008866A9">
            <w:pPr>
              <w:autoSpaceDN/>
              <w:spacing w:after="0"/>
              <w:rPr>
                <w:rFonts w:asciiTheme="minorHAnsi" w:eastAsia="Times New Roman" w:hAnsiTheme="minorHAnsi" w:cstheme="minorHAnsi"/>
                <w:lang w:val="en-GB" w:eastAsia="en-GB"/>
              </w:rPr>
            </w:pPr>
            <w:proofErr w:type="spellStart"/>
            <w:r w:rsidRPr="00DA212A">
              <w:rPr>
                <w:rFonts w:asciiTheme="minorHAnsi" w:eastAsia="Times New Roman" w:hAnsiTheme="minorHAnsi" w:cstheme="minorHAnsi"/>
                <w:lang w:val="en-GB" w:eastAsia="en-GB"/>
              </w:rPr>
              <w:t>Deutschen</w:t>
            </w:r>
            <w:proofErr w:type="spellEnd"/>
            <w:r w:rsidRPr="00DA212A">
              <w:rPr>
                <w:rFonts w:asciiTheme="minorHAnsi" w:eastAsia="Times New Roman" w:hAnsiTheme="minorHAnsi" w:cstheme="minorHAnsi"/>
                <w:lang w:val="en-GB" w:eastAsia="en-GB"/>
              </w:rPr>
              <w:t xml:space="preserve"> Register </w:t>
            </w:r>
            <w:proofErr w:type="spellStart"/>
            <w:r w:rsidRPr="00DA212A">
              <w:rPr>
                <w:rFonts w:asciiTheme="minorHAnsi" w:eastAsia="Times New Roman" w:hAnsiTheme="minorHAnsi" w:cstheme="minorHAnsi"/>
                <w:lang w:val="en-GB" w:eastAsia="en-GB"/>
              </w:rPr>
              <w:t>Klinischer</w:t>
            </w:r>
            <w:proofErr w:type="spellEnd"/>
            <w:r w:rsidRPr="00DA212A">
              <w:rPr>
                <w:rFonts w:asciiTheme="minorHAnsi" w:eastAsia="Times New Roman" w:hAnsiTheme="minorHAnsi" w:cstheme="minorHAnsi"/>
                <w:lang w:val="en-GB" w:eastAsia="en-GB"/>
              </w:rPr>
              <w:t xml:space="preserve"> </w:t>
            </w:r>
            <w:proofErr w:type="spellStart"/>
            <w:r w:rsidRPr="00DA212A">
              <w:rPr>
                <w:rFonts w:asciiTheme="minorHAnsi" w:eastAsia="Times New Roman" w:hAnsiTheme="minorHAnsi" w:cstheme="minorHAnsi"/>
                <w:lang w:val="en-GB" w:eastAsia="en-GB"/>
              </w:rPr>
              <w:t>Studien</w:t>
            </w:r>
            <w:proofErr w:type="spellEnd"/>
          </w:p>
        </w:tc>
        <w:tc>
          <w:tcPr>
            <w:tcW w:w="1840" w:type="dxa"/>
            <w:tcBorders>
              <w:top w:val="nil"/>
              <w:left w:val="nil"/>
              <w:bottom w:val="nil"/>
              <w:right w:val="nil"/>
            </w:tcBorders>
            <w:shd w:val="clear" w:color="000000" w:fill="FEFEFC"/>
            <w:hideMark/>
          </w:tcPr>
          <w:p w14:paraId="180AA203"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15,178</w:t>
            </w:r>
          </w:p>
        </w:tc>
        <w:tc>
          <w:tcPr>
            <w:tcW w:w="2500" w:type="dxa"/>
            <w:tcBorders>
              <w:top w:val="nil"/>
              <w:left w:val="nil"/>
              <w:bottom w:val="nil"/>
              <w:right w:val="nil"/>
            </w:tcBorders>
            <w:shd w:val="clear" w:color="000000" w:fill="FEFEFC"/>
            <w:hideMark/>
          </w:tcPr>
          <w:p w14:paraId="6AF5FB78"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78C83BE6" w14:textId="77777777" w:rsidTr="008866A9">
        <w:trPr>
          <w:trHeight w:val="330"/>
        </w:trPr>
        <w:tc>
          <w:tcPr>
            <w:tcW w:w="4880" w:type="dxa"/>
            <w:tcBorders>
              <w:top w:val="nil"/>
              <w:left w:val="nil"/>
              <w:bottom w:val="nil"/>
              <w:right w:val="nil"/>
            </w:tcBorders>
            <w:shd w:val="clear" w:color="000000" w:fill="FEFEFC"/>
            <w:hideMark/>
          </w:tcPr>
          <w:p w14:paraId="65E0EB4E"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Netherlands National Trial Register</w:t>
            </w:r>
          </w:p>
        </w:tc>
        <w:tc>
          <w:tcPr>
            <w:tcW w:w="1840" w:type="dxa"/>
            <w:tcBorders>
              <w:top w:val="nil"/>
              <w:left w:val="nil"/>
              <w:bottom w:val="nil"/>
              <w:right w:val="nil"/>
            </w:tcBorders>
            <w:shd w:val="clear" w:color="000000" w:fill="FEFEFC"/>
            <w:hideMark/>
          </w:tcPr>
          <w:p w14:paraId="00AFF877"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9,822</w:t>
            </w:r>
          </w:p>
        </w:tc>
        <w:tc>
          <w:tcPr>
            <w:tcW w:w="2500" w:type="dxa"/>
            <w:tcBorders>
              <w:top w:val="nil"/>
              <w:left w:val="nil"/>
              <w:bottom w:val="nil"/>
              <w:right w:val="nil"/>
            </w:tcBorders>
            <w:shd w:val="clear" w:color="000000" w:fill="FEFEFC"/>
            <w:hideMark/>
          </w:tcPr>
          <w:p w14:paraId="79DB9AA2"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2CDA7678" w14:textId="77777777" w:rsidTr="008866A9">
        <w:trPr>
          <w:trHeight w:val="330"/>
        </w:trPr>
        <w:tc>
          <w:tcPr>
            <w:tcW w:w="4880" w:type="dxa"/>
            <w:tcBorders>
              <w:top w:val="nil"/>
              <w:left w:val="nil"/>
              <w:bottom w:val="nil"/>
              <w:right w:val="nil"/>
            </w:tcBorders>
            <w:shd w:val="clear" w:color="000000" w:fill="FEFEFC"/>
            <w:hideMark/>
          </w:tcPr>
          <w:p w14:paraId="34AEE675"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Clinical Research Information Service (S Korea)</w:t>
            </w:r>
          </w:p>
        </w:tc>
        <w:tc>
          <w:tcPr>
            <w:tcW w:w="1840" w:type="dxa"/>
            <w:tcBorders>
              <w:top w:val="nil"/>
              <w:left w:val="nil"/>
              <w:bottom w:val="nil"/>
              <w:right w:val="nil"/>
            </w:tcBorders>
            <w:shd w:val="clear" w:color="000000" w:fill="FEFEFC"/>
            <w:hideMark/>
          </w:tcPr>
          <w:p w14:paraId="34CBF2BE"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8,771</w:t>
            </w:r>
          </w:p>
        </w:tc>
        <w:tc>
          <w:tcPr>
            <w:tcW w:w="2500" w:type="dxa"/>
            <w:tcBorders>
              <w:top w:val="nil"/>
              <w:left w:val="nil"/>
              <w:bottom w:val="nil"/>
              <w:right w:val="nil"/>
            </w:tcBorders>
            <w:shd w:val="clear" w:color="000000" w:fill="FEFEFC"/>
            <w:hideMark/>
          </w:tcPr>
          <w:p w14:paraId="0F2C2D81"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675505C8" w14:textId="77777777" w:rsidTr="008866A9">
        <w:trPr>
          <w:trHeight w:val="330"/>
        </w:trPr>
        <w:tc>
          <w:tcPr>
            <w:tcW w:w="4880" w:type="dxa"/>
            <w:tcBorders>
              <w:top w:val="nil"/>
              <w:left w:val="nil"/>
              <w:bottom w:val="nil"/>
              <w:right w:val="nil"/>
            </w:tcBorders>
            <w:shd w:val="clear" w:color="000000" w:fill="FEFEFC"/>
            <w:hideMark/>
          </w:tcPr>
          <w:p w14:paraId="53FFB3CE"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Thai CTR</w:t>
            </w:r>
          </w:p>
        </w:tc>
        <w:tc>
          <w:tcPr>
            <w:tcW w:w="1840" w:type="dxa"/>
            <w:tcBorders>
              <w:top w:val="nil"/>
              <w:left w:val="nil"/>
              <w:bottom w:val="nil"/>
              <w:right w:val="nil"/>
            </w:tcBorders>
            <w:shd w:val="clear" w:color="000000" w:fill="FEFEFC"/>
            <w:hideMark/>
          </w:tcPr>
          <w:p w14:paraId="13A1DA5A"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8,535</w:t>
            </w:r>
          </w:p>
        </w:tc>
        <w:tc>
          <w:tcPr>
            <w:tcW w:w="2500" w:type="dxa"/>
            <w:tcBorders>
              <w:top w:val="nil"/>
              <w:left w:val="nil"/>
              <w:bottom w:val="nil"/>
              <w:right w:val="nil"/>
            </w:tcBorders>
            <w:shd w:val="clear" w:color="000000" w:fill="FEFEFC"/>
            <w:hideMark/>
          </w:tcPr>
          <w:p w14:paraId="4342737B"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1C178747" w14:textId="77777777" w:rsidTr="008866A9">
        <w:trPr>
          <w:trHeight w:val="330"/>
        </w:trPr>
        <w:tc>
          <w:tcPr>
            <w:tcW w:w="4880" w:type="dxa"/>
            <w:tcBorders>
              <w:top w:val="nil"/>
              <w:left w:val="nil"/>
              <w:bottom w:val="nil"/>
              <w:right w:val="nil"/>
            </w:tcBorders>
            <w:shd w:val="clear" w:color="000000" w:fill="FEFEFC"/>
            <w:hideMark/>
          </w:tcPr>
          <w:p w14:paraId="43CBAA2A" w14:textId="77777777" w:rsidR="00244A0E" w:rsidRPr="00DA212A" w:rsidRDefault="00244A0E" w:rsidP="008866A9">
            <w:pPr>
              <w:autoSpaceDN/>
              <w:spacing w:after="0"/>
              <w:rPr>
                <w:rFonts w:asciiTheme="minorHAnsi" w:eastAsia="Times New Roman" w:hAnsiTheme="minorHAnsi" w:cstheme="minorHAnsi"/>
                <w:lang w:val="en-GB" w:eastAsia="en-GB"/>
              </w:rPr>
            </w:pPr>
            <w:proofErr w:type="spellStart"/>
            <w:r w:rsidRPr="00DA212A">
              <w:rPr>
                <w:rFonts w:asciiTheme="minorHAnsi" w:eastAsia="Times New Roman" w:hAnsiTheme="minorHAnsi" w:cstheme="minorHAnsi"/>
                <w:lang w:val="en-GB" w:eastAsia="en-GB"/>
              </w:rPr>
              <w:t>Registro</w:t>
            </w:r>
            <w:proofErr w:type="spellEnd"/>
            <w:r w:rsidRPr="00DA212A">
              <w:rPr>
                <w:rFonts w:asciiTheme="minorHAnsi" w:eastAsia="Times New Roman" w:hAnsiTheme="minorHAnsi" w:cstheme="minorHAnsi"/>
                <w:lang w:val="en-GB" w:eastAsia="en-GB"/>
              </w:rPr>
              <w:t xml:space="preserve"> Brasileiro de </w:t>
            </w:r>
            <w:proofErr w:type="spellStart"/>
            <w:r w:rsidRPr="00DA212A">
              <w:rPr>
                <w:rFonts w:asciiTheme="minorHAnsi" w:eastAsia="Times New Roman" w:hAnsiTheme="minorHAnsi" w:cstheme="minorHAnsi"/>
                <w:lang w:val="en-GB" w:eastAsia="en-GB"/>
              </w:rPr>
              <w:t>Ensaios</w:t>
            </w:r>
            <w:proofErr w:type="spellEnd"/>
            <w:r w:rsidRPr="00DA212A">
              <w:rPr>
                <w:rFonts w:asciiTheme="minorHAnsi" w:eastAsia="Times New Roman" w:hAnsiTheme="minorHAnsi" w:cstheme="minorHAnsi"/>
                <w:lang w:val="en-GB" w:eastAsia="en-GB"/>
              </w:rPr>
              <w:t xml:space="preserve"> </w:t>
            </w:r>
            <w:proofErr w:type="spellStart"/>
            <w:r w:rsidRPr="00DA212A">
              <w:rPr>
                <w:rFonts w:asciiTheme="minorHAnsi" w:eastAsia="Times New Roman" w:hAnsiTheme="minorHAnsi" w:cstheme="minorHAnsi"/>
                <w:lang w:val="en-GB" w:eastAsia="en-GB"/>
              </w:rPr>
              <w:t>Clínicos</w:t>
            </w:r>
            <w:proofErr w:type="spellEnd"/>
          </w:p>
        </w:tc>
        <w:tc>
          <w:tcPr>
            <w:tcW w:w="1840" w:type="dxa"/>
            <w:tcBorders>
              <w:top w:val="nil"/>
              <w:left w:val="nil"/>
              <w:bottom w:val="nil"/>
              <w:right w:val="nil"/>
            </w:tcBorders>
            <w:shd w:val="clear" w:color="000000" w:fill="FEFEFC"/>
            <w:hideMark/>
          </w:tcPr>
          <w:p w14:paraId="774BE54C"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6,555</w:t>
            </w:r>
          </w:p>
        </w:tc>
        <w:tc>
          <w:tcPr>
            <w:tcW w:w="2500" w:type="dxa"/>
            <w:tcBorders>
              <w:top w:val="nil"/>
              <w:left w:val="nil"/>
              <w:bottom w:val="nil"/>
              <w:right w:val="nil"/>
            </w:tcBorders>
            <w:shd w:val="clear" w:color="000000" w:fill="FEFEFC"/>
            <w:hideMark/>
          </w:tcPr>
          <w:p w14:paraId="35A87EDC"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7D4D94B7" w14:textId="77777777" w:rsidTr="008866A9">
        <w:trPr>
          <w:trHeight w:val="330"/>
        </w:trPr>
        <w:tc>
          <w:tcPr>
            <w:tcW w:w="4880" w:type="dxa"/>
            <w:tcBorders>
              <w:top w:val="nil"/>
              <w:left w:val="nil"/>
              <w:bottom w:val="nil"/>
              <w:right w:val="nil"/>
            </w:tcBorders>
            <w:shd w:val="clear" w:color="000000" w:fill="FEFEFC"/>
            <w:hideMark/>
          </w:tcPr>
          <w:p w14:paraId="4DAD81F6"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International Traditional Medicine CTR</w:t>
            </w:r>
          </w:p>
        </w:tc>
        <w:tc>
          <w:tcPr>
            <w:tcW w:w="1840" w:type="dxa"/>
            <w:tcBorders>
              <w:top w:val="nil"/>
              <w:left w:val="nil"/>
              <w:bottom w:val="nil"/>
              <w:right w:val="nil"/>
            </w:tcBorders>
            <w:shd w:val="clear" w:color="000000" w:fill="FEFEFC"/>
            <w:hideMark/>
          </w:tcPr>
          <w:p w14:paraId="145FAC09"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4,223</w:t>
            </w:r>
          </w:p>
        </w:tc>
        <w:tc>
          <w:tcPr>
            <w:tcW w:w="2500" w:type="dxa"/>
            <w:tcBorders>
              <w:top w:val="nil"/>
              <w:left w:val="nil"/>
              <w:bottom w:val="nil"/>
              <w:right w:val="nil"/>
            </w:tcBorders>
            <w:shd w:val="clear" w:color="000000" w:fill="FEFEFC"/>
            <w:hideMark/>
          </w:tcPr>
          <w:p w14:paraId="35579DCD"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4D701652" w14:textId="77777777" w:rsidTr="008866A9">
        <w:trPr>
          <w:trHeight w:val="330"/>
        </w:trPr>
        <w:tc>
          <w:tcPr>
            <w:tcW w:w="4880" w:type="dxa"/>
            <w:tcBorders>
              <w:top w:val="nil"/>
              <w:left w:val="nil"/>
              <w:bottom w:val="nil"/>
              <w:right w:val="nil"/>
            </w:tcBorders>
            <w:shd w:val="clear" w:color="000000" w:fill="FEFEFC"/>
            <w:hideMark/>
          </w:tcPr>
          <w:p w14:paraId="244F291E"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Pan-African CTR</w:t>
            </w:r>
          </w:p>
        </w:tc>
        <w:tc>
          <w:tcPr>
            <w:tcW w:w="1840" w:type="dxa"/>
            <w:tcBorders>
              <w:top w:val="nil"/>
              <w:left w:val="nil"/>
              <w:bottom w:val="nil"/>
              <w:right w:val="nil"/>
            </w:tcBorders>
            <w:shd w:val="clear" w:color="000000" w:fill="FEFEFC"/>
            <w:hideMark/>
          </w:tcPr>
          <w:p w14:paraId="0BE92876"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3,998</w:t>
            </w:r>
          </w:p>
        </w:tc>
        <w:tc>
          <w:tcPr>
            <w:tcW w:w="2500" w:type="dxa"/>
            <w:tcBorders>
              <w:top w:val="nil"/>
              <w:left w:val="nil"/>
              <w:bottom w:val="nil"/>
              <w:right w:val="nil"/>
            </w:tcBorders>
            <w:shd w:val="clear" w:color="000000" w:fill="FEFEFC"/>
            <w:hideMark/>
          </w:tcPr>
          <w:p w14:paraId="0AC1F210"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7BEF73D5" w14:textId="77777777" w:rsidTr="008866A9">
        <w:trPr>
          <w:trHeight w:val="330"/>
        </w:trPr>
        <w:tc>
          <w:tcPr>
            <w:tcW w:w="4880" w:type="dxa"/>
            <w:tcBorders>
              <w:top w:val="nil"/>
              <w:left w:val="nil"/>
              <w:bottom w:val="nil"/>
              <w:right w:val="nil"/>
            </w:tcBorders>
            <w:shd w:val="clear" w:color="000000" w:fill="FEFEFC"/>
            <w:hideMark/>
          </w:tcPr>
          <w:p w14:paraId="60151EB4" w14:textId="77777777" w:rsidR="00244A0E" w:rsidRPr="00DA212A" w:rsidRDefault="00244A0E" w:rsidP="008866A9">
            <w:pPr>
              <w:autoSpaceDN/>
              <w:spacing w:after="0"/>
              <w:rPr>
                <w:rFonts w:asciiTheme="minorHAnsi" w:eastAsia="Times New Roman" w:hAnsiTheme="minorHAnsi" w:cstheme="minorHAnsi"/>
                <w:lang w:val="en-GB" w:eastAsia="en-GB"/>
              </w:rPr>
            </w:pPr>
            <w:proofErr w:type="spellStart"/>
            <w:r w:rsidRPr="00DA212A">
              <w:rPr>
                <w:rFonts w:asciiTheme="minorHAnsi" w:eastAsia="Times New Roman" w:hAnsiTheme="minorHAnsi" w:cstheme="minorHAnsi"/>
                <w:lang w:val="en-GB" w:eastAsia="en-GB"/>
              </w:rPr>
              <w:t>Registro</w:t>
            </w:r>
            <w:proofErr w:type="spellEnd"/>
            <w:r w:rsidRPr="00DA212A">
              <w:rPr>
                <w:rFonts w:asciiTheme="minorHAnsi" w:eastAsia="Times New Roman" w:hAnsiTheme="minorHAnsi" w:cstheme="minorHAnsi"/>
                <w:lang w:val="en-GB" w:eastAsia="en-GB"/>
              </w:rPr>
              <w:t xml:space="preserve"> </w:t>
            </w:r>
            <w:proofErr w:type="spellStart"/>
            <w:r w:rsidRPr="00DA212A">
              <w:rPr>
                <w:rFonts w:asciiTheme="minorHAnsi" w:eastAsia="Times New Roman" w:hAnsiTheme="minorHAnsi" w:cstheme="minorHAnsi"/>
                <w:lang w:val="en-GB" w:eastAsia="en-GB"/>
              </w:rPr>
              <w:t>Peruano</w:t>
            </w:r>
            <w:proofErr w:type="spellEnd"/>
            <w:r w:rsidRPr="00DA212A">
              <w:rPr>
                <w:rFonts w:asciiTheme="minorHAnsi" w:eastAsia="Times New Roman" w:hAnsiTheme="minorHAnsi" w:cstheme="minorHAnsi"/>
                <w:lang w:val="en-GB" w:eastAsia="en-GB"/>
              </w:rPr>
              <w:t xml:space="preserve"> de </w:t>
            </w:r>
            <w:proofErr w:type="spellStart"/>
            <w:r w:rsidRPr="00DA212A">
              <w:rPr>
                <w:rFonts w:asciiTheme="minorHAnsi" w:eastAsia="Times New Roman" w:hAnsiTheme="minorHAnsi" w:cstheme="minorHAnsi"/>
                <w:lang w:val="en-GB" w:eastAsia="en-GB"/>
              </w:rPr>
              <w:t>Ensayos</w:t>
            </w:r>
            <w:proofErr w:type="spellEnd"/>
            <w:r w:rsidRPr="00DA212A">
              <w:rPr>
                <w:rFonts w:asciiTheme="minorHAnsi" w:eastAsia="Times New Roman" w:hAnsiTheme="minorHAnsi" w:cstheme="minorHAnsi"/>
                <w:lang w:val="en-GB" w:eastAsia="en-GB"/>
              </w:rPr>
              <w:t xml:space="preserve"> </w:t>
            </w:r>
            <w:proofErr w:type="spellStart"/>
            <w:r w:rsidRPr="00DA212A">
              <w:rPr>
                <w:rFonts w:asciiTheme="minorHAnsi" w:eastAsia="Times New Roman" w:hAnsiTheme="minorHAnsi" w:cstheme="minorHAnsi"/>
                <w:lang w:val="en-GB" w:eastAsia="en-GB"/>
              </w:rPr>
              <w:t>Clínicos</w:t>
            </w:r>
            <w:proofErr w:type="spellEnd"/>
          </w:p>
        </w:tc>
        <w:tc>
          <w:tcPr>
            <w:tcW w:w="1840" w:type="dxa"/>
            <w:tcBorders>
              <w:top w:val="nil"/>
              <w:left w:val="nil"/>
              <w:bottom w:val="nil"/>
              <w:right w:val="nil"/>
            </w:tcBorders>
            <w:shd w:val="clear" w:color="000000" w:fill="FEFEFC"/>
            <w:hideMark/>
          </w:tcPr>
          <w:p w14:paraId="2547D435"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2,000</w:t>
            </w:r>
          </w:p>
        </w:tc>
        <w:tc>
          <w:tcPr>
            <w:tcW w:w="2500" w:type="dxa"/>
            <w:tcBorders>
              <w:top w:val="nil"/>
              <w:left w:val="nil"/>
              <w:bottom w:val="nil"/>
              <w:right w:val="nil"/>
            </w:tcBorders>
            <w:shd w:val="clear" w:color="000000" w:fill="FEFEFC"/>
            <w:hideMark/>
          </w:tcPr>
          <w:p w14:paraId="4FA4AF8C"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6B29469C" w14:textId="77777777" w:rsidTr="008866A9">
        <w:trPr>
          <w:trHeight w:val="330"/>
        </w:trPr>
        <w:tc>
          <w:tcPr>
            <w:tcW w:w="4880" w:type="dxa"/>
            <w:tcBorders>
              <w:top w:val="nil"/>
              <w:left w:val="nil"/>
              <w:bottom w:val="nil"/>
              <w:right w:val="nil"/>
            </w:tcBorders>
            <w:shd w:val="clear" w:color="000000" w:fill="FEFEFC"/>
            <w:hideMark/>
          </w:tcPr>
          <w:p w14:paraId="2C3BBAC0"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 xml:space="preserve">Yoda </w:t>
            </w:r>
          </w:p>
        </w:tc>
        <w:tc>
          <w:tcPr>
            <w:tcW w:w="1840" w:type="dxa"/>
            <w:tcBorders>
              <w:top w:val="nil"/>
              <w:left w:val="nil"/>
              <w:bottom w:val="nil"/>
              <w:right w:val="nil"/>
            </w:tcBorders>
            <w:shd w:val="clear" w:color="000000" w:fill="FEFEFC"/>
            <w:hideMark/>
          </w:tcPr>
          <w:p w14:paraId="0A7821B5"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449</w:t>
            </w:r>
          </w:p>
        </w:tc>
        <w:tc>
          <w:tcPr>
            <w:tcW w:w="2500" w:type="dxa"/>
            <w:tcBorders>
              <w:top w:val="nil"/>
              <w:left w:val="nil"/>
              <w:bottom w:val="nil"/>
              <w:right w:val="nil"/>
            </w:tcBorders>
            <w:shd w:val="clear" w:color="000000" w:fill="FEFEFC"/>
            <w:hideMark/>
          </w:tcPr>
          <w:p w14:paraId="3DB1DAF2"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Direct</w:t>
            </w:r>
          </w:p>
        </w:tc>
      </w:tr>
      <w:tr w:rsidR="00244A0E" w:rsidRPr="00A25DFC" w14:paraId="041E6F40" w14:textId="77777777" w:rsidTr="008866A9">
        <w:trPr>
          <w:trHeight w:val="330"/>
        </w:trPr>
        <w:tc>
          <w:tcPr>
            <w:tcW w:w="4880" w:type="dxa"/>
            <w:tcBorders>
              <w:top w:val="nil"/>
              <w:left w:val="nil"/>
              <w:bottom w:val="nil"/>
              <w:right w:val="nil"/>
            </w:tcBorders>
            <w:shd w:val="clear" w:color="000000" w:fill="FEFEFC"/>
            <w:hideMark/>
          </w:tcPr>
          <w:p w14:paraId="2986C091" w14:textId="77777777" w:rsidR="00244A0E" w:rsidRPr="00DA212A" w:rsidRDefault="00244A0E" w:rsidP="008866A9">
            <w:pPr>
              <w:autoSpaceDN/>
              <w:spacing w:after="0"/>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Sri Lanka CTR</w:t>
            </w:r>
          </w:p>
        </w:tc>
        <w:tc>
          <w:tcPr>
            <w:tcW w:w="1840" w:type="dxa"/>
            <w:tcBorders>
              <w:top w:val="nil"/>
              <w:left w:val="nil"/>
              <w:bottom w:val="nil"/>
              <w:right w:val="nil"/>
            </w:tcBorders>
            <w:shd w:val="clear" w:color="000000" w:fill="FEFEFC"/>
            <w:hideMark/>
          </w:tcPr>
          <w:p w14:paraId="319631C0"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445</w:t>
            </w:r>
          </w:p>
        </w:tc>
        <w:tc>
          <w:tcPr>
            <w:tcW w:w="2500" w:type="dxa"/>
            <w:tcBorders>
              <w:top w:val="nil"/>
              <w:left w:val="nil"/>
              <w:bottom w:val="nil"/>
              <w:right w:val="nil"/>
            </w:tcBorders>
            <w:shd w:val="clear" w:color="000000" w:fill="FEFEFC"/>
            <w:hideMark/>
          </w:tcPr>
          <w:p w14:paraId="69FF59A1"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2B244178" w14:textId="77777777" w:rsidTr="008866A9">
        <w:trPr>
          <w:trHeight w:val="330"/>
        </w:trPr>
        <w:tc>
          <w:tcPr>
            <w:tcW w:w="4880" w:type="dxa"/>
            <w:tcBorders>
              <w:top w:val="nil"/>
              <w:left w:val="nil"/>
              <w:bottom w:val="nil"/>
              <w:right w:val="nil"/>
            </w:tcBorders>
            <w:shd w:val="clear" w:color="000000" w:fill="FEFEFC"/>
            <w:hideMark/>
          </w:tcPr>
          <w:p w14:paraId="1E9EA419" w14:textId="77777777" w:rsidR="00244A0E" w:rsidRPr="00DA212A" w:rsidRDefault="00244A0E" w:rsidP="008866A9">
            <w:pPr>
              <w:autoSpaceDN/>
              <w:spacing w:after="0"/>
              <w:rPr>
                <w:rFonts w:asciiTheme="minorHAnsi" w:eastAsia="Times New Roman" w:hAnsiTheme="minorHAnsi" w:cstheme="minorHAnsi"/>
                <w:lang w:val="en-GB" w:eastAsia="en-GB"/>
              </w:rPr>
            </w:pPr>
            <w:proofErr w:type="spellStart"/>
            <w:r w:rsidRPr="00DA212A">
              <w:rPr>
                <w:rFonts w:asciiTheme="minorHAnsi" w:eastAsia="Times New Roman" w:hAnsiTheme="minorHAnsi" w:cstheme="minorHAnsi"/>
                <w:lang w:val="en-GB" w:eastAsia="en-GB"/>
              </w:rPr>
              <w:t>Registro</w:t>
            </w:r>
            <w:proofErr w:type="spellEnd"/>
            <w:r w:rsidRPr="00DA212A">
              <w:rPr>
                <w:rFonts w:asciiTheme="minorHAnsi" w:eastAsia="Times New Roman" w:hAnsiTheme="minorHAnsi" w:cstheme="minorHAnsi"/>
                <w:lang w:val="en-GB" w:eastAsia="en-GB"/>
              </w:rPr>
              <w:t xml:space="preserve"> Público Cubano de </w:t>
            </w:r>
            <w:proofErr w:type="spellStart"/>
            <w:r w:rsidRPr="00DA212A">
              <w:rPr>
                <w:rFonts w:asciiTheme="minorHAnsi" w:eastAsia="Times New Roman" w:hAnsiTheme="minorHAnsi" w:cstheme="minorHAnsi"/>
                <w:lang w:val="en-GB" w:eastAsia="en-GB"/>
              </w:rPr>
              <w:t>Ensayos</w:t>
            </w:r>
            <w:proofErr w:type="spellEnd"/>
            <w:r w:rsidRPr="00DA212A">
              <w:rPr>
                <w:rFonts w:asciiTheme="minorHAnsi" w:eastAsia="Times New Roman" w:hAnsiTheme="minorHAnsi" w:cstheme="minorHAnsi"/>
                <w:lang w:val="en-GB" w:eastAsia="en-GB"/>
              </w:rPr>
              <w:t xml:space="preserve"> </w:t>
            </w:r>
            <w:proofErr w:type="spellStart"/>
            <w:r w:rsidRPr="00DA212A">
              <w:rPr>
                <w:rFonts w:asciiTheme="minorHAnsi" w:eastAsia="Times New Roman" w:hAnsiTheme="minorHAnsi" w:cstheme="minorHAnsi"/>
                <w:lang w:val="en-GB" w:eastAsia="en-GB"/>
              </w:rPr>
              <w:t>Clínicos</w:t>
            </w:r>
            <w:proofErr w:type="spellEnd"/>
          </w:p>
        </w:tc>
        <w:tc>
          <w:tcPr>
            <w:tcW w:w="1840" w:type="dxa"/>
            <w:tcBorders>
              <w:top w:val="nil"/>
              <w:left w:val="nil"/>
              <w:bottom w:val="nil"/>
              <w:right w:val="nil"/>
            </w:tcBorders>
            <w:shd w:val="clear" w:color="000000" w:fill="FEFEFC"/>
            <w:hideMark/>
          </w:tcPr>
          <w:p w14:paraId="470A0F40"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431</w:t>
            </w:r>
          </w:p>
        </w:tc>
        <w:tc>
          <w:tcPr>
            <w:tcW w:w="2500" w:type="dxa"/>
            <w:tcBorders>
              <w:top w:val="nil"/>
              <w:left w:val="nil"/>
              <w:bottom w:val="nil"/>
              <w:right w:val="nil"/>
            </w:tcBorders>
            <w:shd w:val="clear" w:color="000000" w:fill="FEFEFC"/>
            <w:hideMark/>
          </w:tcPr>
          <w:p w14:paraId="67F7DE9E"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62D3EE20" w14:textId="77777777" w:rsidTr="008866A9">
        <w:trPr>
          <w:trHeight w:val="330"/>
        </w:trPr>
        <w:tc>
          <w:tcPr>
            <w:tcW w:w="4880" w:type="dxa"/>
            <w:tcBorders>
              <w:top w:val="nil"/>
              <w:left w:val="nil"/>
              <w:bottom w:val="nil"/>
              <w:right w:val="nil"/>
            </w:tcBorders>
            <w:shd w:val="clear" w:color="000000" w:fill="FEFEFC"/>
            <w:hideMark/>
          </w:tcPr>
          <w:p w14:paraId="28F06BEA" w14:textId="77777777" w:rsidR="00244A0E" w:rsidRPr="00DA212A" w:rsidRDefault="00244A0E" w:rsidP="008866A9">
            <w:pPr>
              <w:autoSpaceDN/>
              <w:spacing w:after="0"/>
              <w:rPr>
                <w:rFonts w:asciiTheme="minorHAnsi" w:eastAsia="Times New Roman" w:hAnsiTheme="minorHAnsi" w:cstheme="minorHAnsi"/>
                <w:lang w:val="en-GB" w:eastAsia="en-GB"/>
              </w:rPr>
            </w:pPr>
            <w:proofErr w:type="spellStart"/>
            <w:r w:rsidRPr="00DA212A">
              <w:rPr>
                <w:rFonts w:asciiTheme="minorHAnsi" w:eastAsia="Times New Roman" w:hAnsiTheme="minorHAnsi" w:cstheme="minorHAnsi"/>
                <w:lang w:val="en-GB" w:eastAsia="en-GB"/>
              </w:rPr>
              <w:t>BioLINCC</w:t>
            </w:r>
            <w:proofErr w:type="spellEnd"/>
            <w:r w:rsidRPr="00DA212A">
              <w:rPr>
                <w:rFonts w:asciiTheme="minorHAnsi" w:eastAsia="Times New Roman" w:hAnsiTheme="minorHAnsi" w:cstheme="minorHAnsi"/>
                <w:lang w:val="en-GB" w:eastAsia="en-GB"/>
              </w:rPr>
              <w:t xml:space="preserve"> (NIH)</w:t>
            </w:r>
          </w:p>
        </w:tc>
        <w:tc>
          <w:tcPr>
            <w:tcW w:w="1840" w:type="dxa"/>
            <w:tcBorders>
              <w:top w:val="nil"/>
              <w:left w:val="nil"/>
              <w:bottom w:val="nil"/>
              <w:right w:val="nil"/>
            </w:tcBorders>
            <w:shd w:val="clear" w:color="000000" w:fill="FEFEFC"/>
            <w:hideMark/>
          </w:tcPr>
          <w:p w14:paraId="2A68C940"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276</w:t>
            </w:r>
          </w:p>
        </w:tc>
        <w:tc>
          <w:tcPr>
            <w:tcW w:w="2500" w:type="dxa"/>
            <w:tcBorders>
              <w:top w:val="nil"/>
              <w:left w:val="nil"/>
              <w:bottom w:val="nil"/>
              <w:right w:val="nil"/>
            </w:tcBorders>
            <w:shd w:val="clear" w:color="000000" w:fill="FEFEFC"/>
            <w:hideMark/>
          </w:tcPr>
          <w:p w14:paraId="10FD5C8B"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Direct</w:t>
            </w:r>
          </w:p>
        </w:tc>
      </w:tr>
      <w:tr w:rsidR="00244A0E" w:rsidRPr="00A25DFC" w14:paraId="6528ED12" w14:textId="77777777" w:rsidTr="008866A9">
        <w:trPr>
          <w:trHeight w:val="330"/>
        </w:trPr>
        <w:tc>
          <w:tcPr>
            <w:tcW w:w="4880" w:type="dxa"/>
            <w:tcBorders>
              <w:top w:val="nil"/>
              <w:left w:val="nil"/>
              <w:bottom w:val="nil"/>
              <w:right w:val="nil"/>
            </w:tcBorders>
            <w:shd w:val="clear" w:color="000000" w:fill="FEFEFC"/>
            <w:hideMark/>
          </w:tcPr>
          <w:p w14:paraId="77633337" w14:textId="77777777" w:rsidR="00244A0E" w:rsidRPr="00DA212A" w:rsidRDefault="00244A0E" w:rsidP="008866A9">
            <w:pPr>
              <w:autoSpaceDN/>
              <w:spacing w:after="0"/>
              <w:rPr>
                <w:rFonts w:asciiTheme="minorHAnsi" w:eastAsia="Times New Roman" w:hAnsiTheme="minorHAnsi" w:cstheme="minorHAnsi"/>
                <w:lang w:val="en-GB" w:eastAsia="en-GB"/>
              </w:rPr>
            </w:pPr>
            <w:proofErr w:type="spellStart"/>
            <w:r w:rsidRPr="00DA212A">
              <w:rPr>
                <w:rFonts w:asciiTheme="minorHAnsi" w:eastAsia="Times New Roman" w:hAnsiTheme="minorHAnsi" w:cstheme="minorHAnsi"/>
                <w:lang w:val="en-GB" w:eastAsia="en-GB"/>
              </w:rPr>
              <w:t>Lebenon</w:t>
            </w:r>
            <w:proofErr w:type="spellEnd"/>
            <w:r w:rsidRPr="00DA212A">
              <w:rPr>
                <w:rFonts w:asciiTheme="minorHAnsi" w:eastAsia="Times New Roman" w:hAnsiTheme="minorHAnsi" w:cstheme="minorHAnsi"/>
                <w:lang w:val="en-GB" w:eastAsia="en-GB"/>
              </w:rPr>
              <w:t xml:space="preserve"> CTR</w:t>
            </w:r>
          </w:p>
        </w:tc>
        <w:tc>
          <w:tcPr>
            <w:tcW w:w="1840" w:type="dxa"/>
            <w:tcBorders>
              <w:top w:val="nil"/>
              <w:left w:val="nil"/>
              <w:bottom w:val="nil"/>
              <w:right w:val="nil"/>
            </w:tcBorders>
            <w:shd w:val="clear" w:color="000000" w:fill="FEFEFC"/>
            <w:hideMark/>
          </w:tcPr>
          <w:p w14:paraId="33B0ACE8" w14:textId="77777777" w:rsidR="00244A0E" w:rsidRPr="00DA212A" w:rsidRDefault="00244A0E" w:rsidP="008866A9">
            <w:pPr>
              <w:autoSpaceDN/>
              <w:spacing w:after="0"/>
              <w:jc w:val="right"/>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150</w:t>
            </w:r>
          </w:p>
        </w:tc>
        <w:tc>
          <w:tcPr>
            <w:tcW w:w="2500" w:type="dxa"/>
            <w:tcBorders>
              <w:top w:val="nil"/>
              <w:left w:val="nil"/>
              <w:bottom w:val="nil"/>
              <w:right w:val="nil"/>
            </w:tcBorders>
            <w:shd w:val="clear" w:color="000000" w:fill="FEFEFC"/>
            <w:hideMark/>
          </w:tcPr>
          <w:p w14:paraId="1BE617BA" w14:textId="77777777" w:rsidR="00244A0E" w:rsidRPr="00DA212A" w:rsidRDefault="00244A0E" w:rsidP="008866A9">
            <w:pPr>
              <w:autoSpaceDN/>
              <w:spacing w:after="0"/>
              <w:jc w:val="center"/>
              <w:rPr>
                <w:rFonts w:asciiTheme="minorHAnsi" w:eastAsia="Times New Roman" w:hAnsiTheme="minorHAnsi" w:cstheme="minorHAnsi"/>
                <w:lang w:val="en-GB" w:eastAsia="en-GB"/>
              </w:rPr>
            </w:pPr>
            <w:r w:rsidRPr="00DA212A">
              <w:rPr>
                <w:rFonts w:asciiTheme="minorHAnsi" w:eastAsia="Times New Roman" w:hAnsiTheme="minorHAnsi" w:cstheme="minorHAnsi"/>
                <w:lang w:val="en-GB" w:eastAsia="en-GB"/>
              </w:rPr>
              <w:t>WHO ICTRP</w:t>
            </w:r>
          </w:p>
        </w:tc>
      </w:tr>
      <w:tr w:rsidR="00244A0E" w:rsidRPr="00A25DFC" w14:paraId="3FDA8AB3" w14:textId="77777777" w:rsidTr="008866A9">
        <w:trPr>
          <w:trHeight w:val="300"/>
        </w:trPr>
        <w:tc>
          <w:tcPr>
            <w:tcW w:w="4880" w:type="dxa"/>
            <w:tcBorders>
              <w:top w:val="nil"/>
              <w:left w:val="nil"/>
              <w:bottom w:val="nil"/>
              <w:right w:val="nil"/>
            </w:tcBorders>
            <w:shd w:val="clear" w:color="auto" w:fill="auto"/>
            <w:noWrap/>
            <w:vAlign w:val="bottom"/>
            <w:hideMark/>
          </w:tcPr>
          <w:p w14:paraId="6E1BB5B6" w14:textId="77777777" w:rsidR="00244A0E" w:rsidRPr="00DA212A" w:rsidRDefault="00244A0E" w:rsidP="008866A9">
            <w:pPr>
              <w:autoSpaceDN/>
              <w:spacing w:after="0"/>
              <w:jc w:val="center"/>
              <w:rPr>
                <w:rFonts w:asciiTheme="minorHAnsi" w:eastAsia="Times New Roman" w:hAnsiTheme="minorHAnsi" w:cstheme="minorHAnsi"/>
                <w:color w:val="808080"/>
                <w:lang w:val="en-GB" w:eastAsia="en-GB"/>
              </w:rPr>
            </w:pPr>
          </w:p>
        </w:tc>
        <w:tc>
          <w:tcPr>
            <w:tcW w:w="1840" w:type="dxa"/>
            <w:tcBorders>
              <w:top w:val="nil"/>
              <w:left w:val="nil"/>
              <w:bottom w:val="nil"/>
              <w:right w:val="nil"/>
            </w:tcBorders>
            <w:shd w:val="clear" w:color="auto" w:fill="auto"/>
            <w:noWrap/>
            <w:vAlign w:val="bottom"/>
            <w:hideMark/>
          </w:tcPr>
          <w:p w14:paraId="3816EFB8" w14:textId="77777777" w:rsidR="00244A0E" w:rsidRPr="00DA212A" w:rsidRDefault="00244A0E" w:rsidP="008866A9">
            <w:pPr>
              <w:autoSpaceDN/>
              <w:spacing w:after="0"/>
              <w:rPr>
                <w:rFonts w:asciiTheme="minorHAnsi" w:eastAsia="Times New Roman" w:hAnsiTheme="minorHAnsi" w:cstheme="minorHAnsi"/>
                <w:lang w:val="en-GB" w:eastAsia="en-GB"/>
              </w:rPr>
            </w:pPr>
          </w:p>
        </w:tc>
        <w:tc>
          <w:tcPr>
            <w:tcW w:w="2500" w:type="dxa"/>
            <w:tcBorders>
              <w:top w:val="nil"/>
              <w:left w:val="nil"/>
              <w:bottom w:val="nil"/>
              <w:right w:val="nil"/>
            </w:tcBorders>
            <w:shd w:val="clear" w:color="auto" w:fill="auto"/>
            <w:noWrap/>
            <w:vAlign w:val="bottom"/>
            <w:hideMark/>
          </w:tcPr>
          <w:p w14:paraId="62F72F32" w14:textId="77777777" w:rsidR="00244A0E" w:rsidRPr="00DA212A" w:rsidRDefault="00244A0E" w:rsidP="008866A9">
            <w:pPr>
              <w:autoSpaceDN/>
              <w:spacing w:after="0"/>
              <w:rPr>
                <w:rFonts w:asciiTheme="minorHAnsi" w:eastAsia="Times New Roman" w:hAnsiTheme="minorHAnsi" w:cstheme="minorHAnsi"/>
                <w:lang w:val="en-GB" w:eastAsia="en-GB"/>
              </w:rPr>
            </w:pPr>
          </w:p>
        </w:tc>
      </w:tr>
    </w:tbl>
    <w:p w14:paraId="3E07C055" w14:textId="77777777" w:rsidR="00244A0E" w:rsidRPr="00DA212A" w:rsidRDefault="00244A0E" w:rsidP="00244A0E">
      <w:pPr>
        <w:pStyle w:val="FirstParagraph"/>
        <w:rPr>
          <w:rStyle w:val="Absatz-Standardschriftart1"/>
          <w:lang w:val="en-GB"/>
        </w:rPr>
      </w:pPr>
      <w:r w:rsidRPr="00DA212A">
        <w:rPr>
          <w:rStyle w:val="Absatz-Standardschriftart1"/>
          <w:lang w:val="en-GB"/>
        </w:rPr>
        <w:t>Note that the total number of studies in the system is less than the total of the amounts from each source, because about 40,000 studies are registered in more than one trial registry.</w:t>
      </w:r>
    </w:p>
    <w:p w14:paraId="4A6A4569" w14:textId="77777777" w:rsidR="00244A0E" w:rsidRDefault="00244A0E" w:rsidP="00244A0E">
      <w:pPr>
        <w:pStyle w:val="FirstParagraph"/>
        <w:rPr>
          <w:rStyle w:val="Absatz-Standardschriftart1"/>
          <w:lang w:val="en-GB"/>
        </w:rPr>
      </w:pPr>
      <w:r>
        <w:rPr>
          <w:rStyle w:val="Absatz-Standardschriftart1"/>
          <w:lang w:val="en-GB"/>
        </w:rPr>
        <w:lastRenderedPageBreak/>
        <w:t>Some data is obtained directly from the source, by API or file download, but for a</w:t>
      </w:r>
      <w:r w:rsidRPr="00DA212A">
        <w:rPr>
          <w:rStyle w:val="Absatz-Standardschriftart1"/>
          <w:lang w:val="en-GB"/>
        </w:rPr>
        <w:t xml:space="preserve"> large proportion of the sources </w:t>
      </w:r>
      <w:r>
        <w:rPr>
          <w:rStyle w:val="Absatz-Standardschriftart1"/>
          <w:lang w:val="en-GB"/>
        </w:rPr>
        <w:t xml:space="preserve">the data is </w:t>
      </w:r>
      <w:r w:rsidRPr="00DA212A">
        <w:rPr>
          <w:rStyle w:val="Absatz-Standardschriftart1"/>
          <w:lang w:val="en-GB"/>
        </w:rPr>
        <w:t xml:space="preserve">obtained from a file obtained from the WHO ICTRP, the International Clinical Trials Registry Platform.  The WHO receives data on a regular basis from its network of primary registries, </w:t>
      </w:r>
      <w:r>
        <w:rPr>
          <w:rStyle w:val="Absatz-Standardschriftart1"/>
          <w:lang w:val="en-GB"/>
        </w:rPr>
        <w:t xml:space="preserve">that together provide global coverage, </w:t>
      </w:r>
      <w:r w:rsidRPr="00DA212A">
        <w:rPr>
          <w:rStyle w:val="Absatz-Standardschriftart1"/>
          <w:lang w:val="en-GB"/>
        </w:rPr>
        <w:t xml:space="preserve">and as well as publishing this data itself it also makes it available as a downloadable file. </w:t>
      </w:r>
    </w:p>
    <w:p w14:paraId="69F5A063" w14:textId="77777777" w:rsidR="00244A0E" w:rsidRPr="00DA212A" w:rsidRDefault="00244A0E" w:rsidP="00244A0E">
      <w:pPr>
        <w:pStyle w:val="FirstParagraph"/>
        <w:rPr>
          <w:rStyle w:val="Absatz-Standardschriftart1"/>
          <w:lang w:val="en-GB"/>
        </w:rPr>
      </w:pPr>
      <w:r>
        <w:rPr>
          <w:rStyle w:val="Absatz-Standardschriftart1"/>
          <w:lang w:val="en-GB"/>
        </w:rPr>
        <w:t xml:space="preserve">When trial registration began in the 2000s it was dominated by ClinicalTrials.gov, which registered about 85% of the studies being registered at that time. Other registries that were important at that time were ISRCTN and the European EU CTR. Over recent years, however, one of the significant developments in registration has been the rapid increase in importance of other registries, especially those in China, India, </w:t>
      </w:r>
      <w:proofErr w:type="gramStart"/>
      <w:r>
        <w:rPr>
          <w:rStyle w:val="Absatz-Standardschriftart1"/>
          <w:lang w:val="en-GB"/>
        </w:rPr>
        <w:t>Japan</w:t>
      </w:r>
      <w:proofErr w:type="gramEnd"/>
      <w:r>
        <w:rPr>
          <w:rStyle w:val="Absatz-Standardschriftart1"/>
          <w:lang w:val="en-GB"/>
        </w:rPr>
        <w:t xml:space="preserve"> and Iran, as well as smaller registries in South America, Asia and Africa. In recent years ClinicalTrials.gov has registered about 50%, sometimes less, of the total registered globally (data from the MDR), though it remains by far the biggest of the trial registries.</w:t>
      </w:r>
    </w:p>
    <w:p w14:paraId="0F16EE9A" w14:textId="77777777" w:rsidR="00244A0E" w:rsidRPr="00DA212A" w:rsidRDefault="00244A0E" w:rsidP="00244A0E">
      <w:pPr>
        <w:pStyle w:val="FirstParagraph"/>
        <w:rPr>
          <w:rStyle w:val="Absatz-Standardschriftart1"/>
          <w:lang w:val="en-GB"/>
        </w:rPr>
      </w:pPr>
      <w:r w:rsidRPr="00DA212A">
        <w:rPr>
          <w:rStyle w:val="Absatz-Standardschriftart1"/>
          <w:lang w:val="en-GB"/>
        </w:rPr>
        <w:t xml:space="preserve">Only two repositories in the list of 21 are not trial registries. Yoda is a repository and managed access service run by Yale university. Most of the material in it has been deposited by the pharma company Johnson &amp; Johnson, or one of its subsidiaries. </w:t>
      </w:r>
      <w:proofErr w:type="spellStart"/>
      <w:r w:rsidRPr="00DA212A">
        <w:rPr>
          <w:rStyle w:val="Absatz-Standardschriftart1"/>
          <w:lang w:val="en-GB"/>
        </w:rPr>
        <w:t>BioLINCC</w:t>
      </w:r>
      <w:proofErr w:type="spellEnd"/>
      <w:r w:rsidRPr="00DA212A">
        <w:rPr>
          <w:rStyle w:val="Absatz-Standardschriftart1"/>
          <w:lang w:val="en-GB"/>
        </w:rPr>
        <w:t xml:space="preserve"> is the study and material repository maintained by the NIH’s National Heart, </w:t>
      </w:r>
      <w:proofErr w:type="gramStart"/>
      <w:r w:rsidRPr="00DA212A">
        <w:rPr>
          <w:rStyle w:val="Absatz-Standardschriftart1"/>
          <w:lang w:val="en-GB"/>
        </w:rPr>
        <w:t>Lung</w:t>
      </w:r>
      <w:proofErr w:type="gramEnd"/>
      <w:r w:rsidRPr="00DA212A">
        <w:rPr>
          <w:rStyle w:val="Absatz-Standardschriftart1"/>
          <w:lang w:val="en-GB"/>
        </w:rPr>
        <w:t xml:space="preserve"> and Blood Institute, also in the US, and mostly contains details on the studies funded by that institute or related programs, and the available data objects. </w:t>
      </w:r>
    </w:p>
    <w:p w14:paraId="7DCC4E5A" w14:textId="77777777" w:rsidR="00244A0E" w:rsidRPr="00DA212A" w:rsidRDefault="00244A0E" w:rsidP="00244A0E">
      <w:pPr>
        <w:pStyle w:val="FirstParagraph"/>
        <w:rPr>
          <w:rStyle w:val="Absatz-Standardschriftart1"/>
          <w:lang w:val="en-GB"/>
        </w:rPr>
      </w:pPr>
      <w:r w:rsidRPr="00DA212A">
        <w:rPr>
          <w:rStyle w:val="Absatz-Standardschriftart1"/>
          <w:lang w:val="en-GB"/>
        </w:rPr>
        <w:t>One important source is organised primarily by object: PubMed, providing details on journal papers</w:t>
      </w:r>
      <w:r>
        <w:rPr>
          <w:rStyle w:val="Absatz-Standardschriftart1"/>
          <w:lang w:val="en-GB"/>
        </w:rPr>
        <w:t xml:space="preserve">. There </w:t>
      </w:r>
      <w:r w:rsidRPr="00DA212A">
        <w:rPr>
          <w:rStyle w:val="Absatz-Standardschriftart1"/>
          <w:lang w:val="en-GB"/>
        </w:rPr>
        <w:t xml:space="preserve">were, in October 2023, just over 250,000 linked ‘PubMed </w:t>
      </w:r>
      <w:proofErr w:type="gramStart"/>
      <w:r w:rsidRPr="00DA212A">
        <w:rPr>
          <w:rStyle w:val="Absatz-Standardschriftart1"/>
          <w:lang w:val="en-GB"/>
        </w:rPr>
        <w:t>object’s</w:t>
      </w:r>
      <w:proofErr w:type="gramEnd"/>
      <w:r w:rsidRPr="00DA212A">
        <w:rPr>
          <w:rStyle w:val="Absatz-Standardschriftart1"/>
          <w:lang w:val="en-GB"/>
        </w:rPr>
        <w:t xml:space="preserve"> in the system. </w:t>
      </w:r>
    </w:p>
    <w:p w14:paraId="2603A561" w14:textId="77777777" w:rsidR="00244A0E" w:rsidRDefault="00244A0E" w:rsidP="00244A0E">
      <w:pPr>
        <w:pStyle w:val="Standard1"/>
        <w:rPr>
          <w:b/>
          <w:bCs/>
          <w:sz w:val="28"/>
          <w:szCs w:val="28"/>
          <w:u w:val="single"/>
        </w:rPr>
      </w:pPr>
    </w:p>
    <w:p w14:paraId="1AB0E2E6" w14:textId="77777777" w:rsidR="00A759EA" w:rsidRPr="00244A0E" w:rsidRDefault="00A759EA">
      <w:pPr>
        <w:rPr>
          <w:lang w:val="en-GB"/>
        </w:rPr>
      </w:pPr>
    </w:p>
    <w:sectPr w:rsidR="00A759EA" w:rsidRPr="00244A0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A0E"/>
    <w:rsid w:val="000B180E"/>
    <w:rsid w:val="00126BC0"/>
    <w:rsid w:val="00244A0E"/>
    <w:rsid w:val="002A7FF5"/>
    <w:rsid w:val="00327A35"/>
    <w:rsid w:val="00A759EA"/>
    <w:rsid w:val="00B732A0"/>
    <w:rsid w:val="00D323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B957A"/>
  <w15:chartTrackingRefBased/>
  <w15:docId w15:val="{B9487438-7BC9-470C-9907-A6DC3E93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4A0E"/>
    <w:pPr>
      <w:autoSpaceDN w:val="0"/>
      <w:spacing w:line="240" w:lineRule="auto"/>
    </w:pPr>
    <w:rPr>
      <w:rFonts w:ascii="Calibri" w:eastAsia="Calibri" w:hAnsi="Calibri" w:cs="Times New Roman"/>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rsid w:val="00244A0E"/>
    <w:pPr>
      <w:suppressAutoHyphens/>
      <w:autoSpaceDN w:val="0"/>
      <w:spacing w:line="240" w:lineRule="auto"/>
    </w:pPr>
    <w:rPr>
      <w:rFonts w:ascii="Calibri" w:eastAsia="Calibri" w:hAnsi="Calibri" w:cs="Times New Roman"/>
      <w:kern w:val="0"/>
      <w:lang w:val="en-GB"/>
      <w14:ligatures w14:val="none"/>
    </w:rPr>
  </w:style>
  <w:style w:type="character" w:customStyle="1" w:styleId="Absatz-Standardschriftart1">
    <w:name w:val="Absatz-Standardschriftart1"/>
    <w:rsid w:val="00244A0E"/>
  </w:style>
  <w:style w:type="paragraph" w:customStyle="1" w:styleId="FirstParagraph">
    <w:name w:val="First Paragraph"/>
    <w:basedOn w:val="Standard1"/>
    <w:rsid w:val="00244A0E"/>
    <w:pPr>
      <w:spacing w:before="180" w:after="180"/>
    </w:pPr>
    <w:rPr>
      <w:rFonts w:cs="Calibri"/>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3295</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Ohmann</dc:creator>
  <cp:keywords/>
  <dc:description/>
  <cp:lastModifiedBy>Christian Ohmann</cp:lastModifiedBy>
  <cp:revision>6</cp:revision>
  <dcterms:created xsi:type="dcterms:W3CDTF">2023-12-09T11:21:00Z</dcterms:created>
  <dcterms:modified xsi:type="dcterms:W3CDTF">2023-12-09T15:55:00Z</dcterms:modified>
</cp:coreProperties>
</file>