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44F15" w14:textId="59D3652D" w:rsidR="00723BEC" w:rsidRPr="00B04587" w:rsidRDefault="00723BEC" w:rsidP="00723BEC">
      <w:pPr>
        <w:spacing w:before="240"/>
        <w:jc w:val="left"/>
        <w:rPr>
          <w:rFonts w:ascii="Arial" w:hAnsi="Arial" w:cs="Arial"/>
          <w:snapToGrid w:val="0"/>
          <w:sz w:val="22"/>
        </w:rPr>
      </w:pPr>
      <w:r w:rsidRPr="00B04587">
        <w:rPr>
          <w:rFonts w:ascii="Arial" w:hAnsi="Arial" w:cs="Arial"/>
          <w:b/>
          <w:bCs/>
          <w:snapToGrid w:val="0"/>
          <w:sz w:val="22"/>
        </w:rPr>
        <w:t xml:space="preserve">Supplemental Figure </w:t>
      </w:r>
      <w:r>
        <w:rPr>
          <w:rFonts w:ascii="Arial" w:hAnsi="Arial" w:cs="Arial"/>
          <w:b/>
          <w:bCs/>
          <w:snapToGrid w:val="0"/>
          <w:sz w:val="22"/>
        </w:rPr>
        <w:t>1</w:t>
      </w:r>
      <w:r w:rsidRPr="00B04587">
        <w:rPr>
          <w:rFonts w:ascii="Arial" w:hAnsi="Arial" w:cs="Arial"/>
          <w:snapToGrid w:val="0"/>
          <w:sz w:val="22"/>
        </w:rPr>
        <w:t xml:space="preserve">: </w:t>
      </w:r>
      <w:r>
        <w:rPr>
          <w:rFonts w:ascii="Arial" w:hAnsi="Arial" w:cs="Arial"/>
          <w:snapToGrid w:val="0"/>
          <w:sz w:val="22"/>
        </w:rPr>
        <w:t>Study cohort construction</w:t>
      </w:r>
    </w:p>
    <w:p w14:paraId="5A8ADDDA" w14:textId="2144A6BA" w:rsidR="00723BEC" w:rsidRDefault="00BD0B6E" w:rsidP="00723B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BCE577" wp14:editId="38A58044">
            <wp:extent cx="5274310" cy="29667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l Figure 1_revised20231206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DCC8A" w14:textId="77777777" w:rsidR="00723BEC" w:rsidRPr="00744B1C" w:rsidRDefault="00723BEC" w:rsidP="00723BEC">
      <w:pPr>
        <w:rPr>
          <w:rFonts w:ascii="Arial" w:hAnsi="Arial" w:cs="Arial"/>
          <w:sz w:val="16"/>
          <w:szCs w:val="16"/>
        </w:rPr>
      </w:pPr>
      <w:r w:rsidRPr="00D853CD">
        <w:rPr>
          <w:rFonts w:ascii="Arial" w:hAnsi="Arial" w:cs="Arial"/>
          <w:sz w:val="16"/>
          <w:szCs w:val="16"/>
        </w:rPr>
        <w:t>TB</w:t>
      </w:r>
      <w:r w:rsidRPr="00744B1C">
        <w:rPr>
          <w:rFonts w:ascii="Arial" w:hAnsi="Arial" w:cs="Arial"/>
          <w:sz w:val="16"/>
          <w:szCs w:val="16"/>
        </w:rPr>
        <w:t>: tuberculosis</w:t>
      </w:r>
      <w:r>
        <w:rPr>
          <w:rFonts w:ascii="Arial" w:hAnsi="Arial" w:cs="Arial"/>
          <w:sz w:val="16"/>
          <w:szCs w:val="16"/>
        </w:rPr>
        <w:t>; DILI: drug induced liver injury</w:t>
      </w:r>
    </w:p>
    <w:p w14:paraId="3B4C8387" w14:textId="77777777" w:rsidR="00723BEC" w:rsidRDefault="00723BEC" w:rsidP="00723BE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5EB122" w14:textId="77777777" w:rsidR="00723BEC" w:rsidRDefault="00723BEC" w:rsidP="00723BEC">
      <w:pPr>
        <w:jc w:val="left"/>
        <w:rPr>
          <w:rFonts w:ascii="Arial" w:hAnsi="Arial" w:cs="Arial"/>
          <w:sz w:val="22"/>
        </w:rPr>
      </w:pPr>
      <w:r w:rsidRPr="00B04587">
        <w:rPr>
          <w:rFonts w:ascii="Arial" w:hAnsi="Arial" w:cs="Arial"/>
          <w:b/>
          <w:bCs/>
          <w:sz w:val="22"/>
        </w:rPr>
        <w:lastRenderedPageBreak/>
        <w:t xml:space="preserve">Supplemental Figure </w:t>
      </w:r>
      <w:r>
        <w:rPr>
          <w:rFonts w:ascii="Arial" w:hAnsi="Arial" w:cs="Arial"/>
          <w:b/>
          <w:bCs/>
          <w:sz w:val="22"/>
        </w:rPr>
        <w:t>2</w:t>
      </w:r>
      <w:r w:rsidRPr="00B04587"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 xml:space="preserve"> Study design and workflow</w:t>
      </w:r>
    </w:p>
    <w:p w14:paraId="28BE05B9" w14:textId="07230B89" w:rsidR="00723BEC" w:rsidRDefault="00BD0B6E" w:rsidP="00723BEC">
      <w:pPr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drawing>
          <wp:inline distT="0" distB="0" distL="0" distR="0" wp14:anchorId="667E31DA" wp14:editId="7FD2FBCD">
            <wp:extent cx="5274310" cy="76187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l Figure 2_revised20231206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E4FAB" w14:textId="77777777" w:rsidR="00723BEC" w:rsidRPr="00560087" w:rsidRDefault="00723BEC" w:rsidP="00723BEC">
      <w:pPr>
        <w:rPr>
          <w:rFonts w:ascii="Arial" w:hAnsi="Arial" w:cs="Arial"/>
          <w:sz w:val="16"/>
          <w:szCs w:val="16"/>
        </w:rPr>
      </w:pPr>
      <w:r w:rsidRPr="00560087">
        <w:rPr>
          <w:rFonts w:ascii="Arial" w:hAnsi="Arial" w:cs="Arial"/>
          <w:sz w:val="16"/>
          <w:szCs w:val="16"/>
        </w:rPr>
        <w:t xml:space="preserve">Abbreviation: </w:t>
      </w:r>
      <w:r w:rsidRPr="00560087">
        <w:rPr>
          <w:rFonts w:ascii="Arial" w:hAnsi="Arial" w:cs="Arial" w:hint="cs"/>
          <w:sz w:val="16"/>
          <w:szCs w:val="16"/>
        </w:rPr>
        <w:t>L</w:t>
      </w:r>
      <w:r w:rsidRPr="00560087">
        <w:rPr>
          <w:rFonts w:ascii="Arial" w:hAnsi="Arial" w:cs="Arial"/>
          <w:sz w:val="16"/>
          <w:szCs w:val="16"/>
        </w:rPr>
        <w:t>ASSO, least absolute shrinkage and selection operator; AUC, area under curve.</w:t>
      </w:r>
    </w:p>
    <w:p w14:paraId="7D7320B5" w14:textId="77777777" w:rsidR="00723BEC" w:rsidRDefault="00723BEC" w:rsidP="00723BE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BAB02F" w14:textId="77777777" w:rsidR="00723BEC" w:rsidRPr="00F748F5" w:rsidRDefault="00723BEC" w:rsidP="00F70730">
      <w:pPr>
        <w:jc w:val="left"/>
        <w:rPr>
          <w:rFonts w:ascii="Arial" w:hAnsi="Arial" w:cs="Arial"/>
          <w:sz w:val="22"/>
        </w:rPr>
      </w:pPr>
      <w:r w:rsidRPr="00F748F5">
        <w:rPr>
          <w:rFonts w:ascii="Arial" w:hAnsi="Arial" w:cs="Arial"/>
          <w:b/>
          <w:bCs/>
          <w:sz w:val="22"/>
        </w:rPr>
        <w:lastRenderedPageBreak/>
        <w:t xml:space="preserve">Supplemental Figure </w:t>
      </w:r>
      <w:r>
        <w:rPr>
          <w:rFonts w:ascii="Arial" w:hAnsi="Arial" w:cs="Arial"/>
          <w:b/>
          <w:bCs/>
          <w:sz w:val="22"/>
        </w:rPr>
        <w:t>3</w:t>
      </w:r>
      <w:r w:rsidRPr="00F748F5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napToGrid w:val="0"/>
          <w:sz w:val="22"/>
        </w:rPr>
        <w:t>SHAP value summary plot of XGBoost prediction model</w:t>
      </w:r>
    </w:p>
    <w:p w14:paraId="4905D703" w14:textId="5B23B70B" w:rsidR="00723BEC" w:rsidRDefault="00BD0B6E" w:rsidP="00723BEC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drawing>
          <wp:inline distT="0" distB="0" distL="0" distR="0" wp14:anchorId="043207F4" wp14:editId="06C16AFD">
            <wp:extent cx="5274310" cy="5274310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l Figure 3_revised20231206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66310" w14:textId="77777777" w:rsidR="00723BEC" w:rsidRPr="001C3951" w:rsidRDefault="00723BEC" w:rsidP="00723BEC">
      <w:pPr>
        <w:jc w:val="left"/>
        <w:rPr>
          <w:rFonts w:ascii="Arial" w:hAnsi="Arial" w:cs="Arial"/>
          <w:sz w:val="16"/>
          <w:szCs w:val="16"/>
        </w:rPr>
      </w:pPr>
      <w:r w:rsidRPr="001C3951">
        <w:rPr>
          <w:rFonts w:ascii="Arial" w:hAnsi="Arial" w:cs="Arial"/>
          <w:sz w:val="16"/>
          <w:szCs w:val="16"/>
        </w:rPr>
        <w:t>Abbreviation: SHAP, The SHapley Additive exPlanations; XGBoost, eXtreme Gradient Boosting</w:t>
      </w:r>
      <w:r>
        <w:rPr>
          <w:rFonts w:ascii="Arial" w:hAnsi="Arial" w:cs="Arial"/>
          <w:sz w:val="16"/>
          <w:szCs w:val="16"/>
        </w:rPr>
        <w:t>; ODILIO</w:t>
      </w:r>
      <w:r w:rsidRPr="006A23A9">
        <w:rPr>
          <w:rFonts w:ascii="Arial" w:hAnsi="Arial" w:cs="Arial"/>
          <w:sz w:val="16"/>
          <w:szCs w:val="16"/>
        </w:rPr>
        <w:t>,</w:t>
      </w:r>
      <w:r w:rsidRPr="006A23A9">
        <w:rPr>
          <w:rFonts w:ascii="Arial" w:hAnsi="Arial" w:cs="Arial"/>
          <w:sz w:val="13"/>
          <w:szCs w:val="15"/>
        </w:rPr>
        <w:t xml:space="preserve"> </w:t>
      </w:r>
      <w:r>
        <w:rPr>
          <w:rFonts w:ascii="Arial" w:hAnsi="Arial" w:cs="Arial"/>
          <w:sz w:val="16"/>
          <w:szCs w:val="16"/>
        </w:rPr>
        <w:t>outpatient drug-induced liver injury, once occurring</w:t>
      </w:r>
      <w:r w:rsidRPr="006A23A9">
        <w:rPr>
          <w:rFonts w:ascii="Arial" w:hAnsi="Arial" w:cs="Arial"/>
          <w:sz w:val="16"/>
          <w:szCs w:val="16"/>
        </w:rPr>
        <w:t xml:space="preserve">; </w:t>
      </w:r>
      <w:r>
        <w:rPr>
          <w:rFonts w:ascii="Arial" w:hAnsi="Arial" w:cs="Arial"/>
          <w:sz w:val="16"/>
          <w:szCs w:val="16"/>
        </w:rPr>
        <w:t xml:space="preserve">ODIHO, outpatient drug induced hepatitis, once occurring; ODIHS, outpatient drug induced hepatitis, sporadically occurring; IDIHO, inpatient drug induced hepatitis, once occurring; ODILIS, outpatient drug induced liver injury, sporadically occurring; IDIHF, inpatient drug induced hepatitis; ODT, outpatient </w:t>
      </w:r>
      <w:r w:rsidRPr="00CD5BCD">
        <w:rPr>
          <w:rFonts w:ascii="Arial" w:hAnsi="Arial" w:cs="Arial"/>
          <w:sz w:val="16"/>
          <w:szCs w:val="16"/>
        </w:rPr>
        <w:t>decsyed teeth</w:t>
      </w:r>
      <w:r>
        <w:rPr>
          <w:rFonts w:ascii="Arial" w:hAnsi="Arial" w:cs="Arial"/>
          <w:sz w:val="16"/>
          <w:szCs w:val="16"/>
        </w:rPr>
        <w:t>; ODF, outpatient dermatitis; OPB, outpatient pediatric bronchitis; ODIABETESO, outpatient diabetes, once occurring; ODIABETESP, outpatient diabetes, frequently occurring.</w:t>
      </w:r>
    </w:p>
    <w:p w14:paraId="75E30F89" w14:textId="77777777" w:rsidR="00723BEC" w:rsidRDefault="00723BEC" w:rsidP="00723BEC">
      <w:pPr>
        <w:widowControl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22D7F9DA" w14:textId="77777777" w:rsidR="00723BEC" w:rsidRDefault="00723BEC" w:rsidP="00F70730">
      <w:pPr>
        <w:jc w:val="left"/>
        <w:rPr>
          <w:rFonts w:ascii="Arial" w:hAnsi="Arial" w:cs="Arial"/>
          <w:snapToGrid w:val="0"/>
          <w:sz w:val="22"/>
        </w:rPr>
      </w:pPr>
      <w:r w:rsidRPr="00F748F5">
        <w:rPr>
          <w:rFonts w:ascii="Arial" w:hAnsi="Arial" w:cs="Arial"/>
          <w:b/>
          <w:bCs/>
          <w:sz w:val="22"/>
        </w:rPr>
        <w:lastRenderedPageBreak/>
        <w:t xml:space="preserve">Supplemental Figure </w:t>
      </w:r>
      <w:r>
        <w:rPr>
          <w:rFonts w:ascii="Arial" w:hAnsi="Arial" w:cs="Arial"/>
          <w:b/>
          <w:bCs/>
          <w:sz w:val="22"/>
        </w:rPr>
        <w:t>4</w:t>
      </w:r>
      <w:r w:rsidRPr="00F748F5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napToGrid w:val="0"/>
          <w:sz w:val="22"/>
        </w:rPr>
        <w:t>SHAP for positive individual of XGBoost prediction model</w:t>
      </w:r>
    </w:p>
    <w:p w14:paraId="5298E3DB" w14:textId="2CE581EB" w:rsidR="00723BEC" w:rsidRDefault="00BD0B6E" w:rsidP="00723BEC">
      <w:pPr>
        <w:rPr>
          <w:rFonts w:ascii="Arial" w:hAnsi="Arial" w:cs="Arial"/>
          <w:snapToGrid w:val="0"/>
          <w:sz w:val="22"/>
        </w:rPr>
      </w:pPr>
      <w:r>
        <w:rPr>
          <w:rFonts w:ascii="Arial" w:hAnsi="Arial" w:cs="Arial"/>
          <w:noProof/>
          <w:sz w:val="22"/>
        </w:rPr>
        <w:drawing>
          <wp:inline distT="0" distB="0" distL="0" distR="0" wp14:anchorId="7BB5D448" wp14:editId="4F106D1C">
            <wp:extent cx="5274310" cy="52743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l Figure 4_revised20231206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A2339" w14:textId="77777777" w:rsidR="00723BEC" w:rsidRPr="001C3951" w:rsidRDefault="00723BEC" w:rsidP="00723BEC">
      <w:pPr>
        <w:jc w:val="left"/>
        <w:rPr>
          <w:rFonts w:ascii="Arial" w:hAnsi="Arial" w:cs="Arial"/>
          <w:sz w:val="16"/>
          <w:szCs w:val="16"/>
        </w:rPr>
      </w:pPr>
      <w:r w:rsidRPr="001C3951">
        <w:rPr>
          <w:rFonts w:ascii="Arial" w:hAnsi="Arial" w:cs="Arial"/>
          <w:sz w:val="16"/>
          <w:szCs w:val="16"/>
        </w:rPr>
        <w:t>Abbreviation: SHAP, The SHapley Additive exPlanations; XGBoost, eXtreme Gradient Boosting</w:t>
      </w:r>
      <w:r>
        <w:rPr>
          <w:rFonts w:ascii="Arial" w:hAnsi="Arial" w:cs="Arial"/>
          <w:sz w:val="16"/>
          <w:szCs w:val="16"/>
        </w:rPr>
        <w:t>; ODILIO</w:t>
      </w:r>
      <w:r w:rsidRPr="006A23A9">
        <w:rPr>
          <w:rFonts w:ascii="Arial" w:hAnsi="Arial" w:cs="Arial"/>
          <w:sz w:val="16"/>
          <w:szCs w:val="16"/>
        </w:rPr>
        <w:t>,</w:t>
      </w:r>
      <w:r w:rsidRPr="006A23A9">
        <w:rPr>
          <w:rFonts w:ascii="Arial" w:hAnsi="Arial" w:cs="Arial"/>
          <w:sz w:val="13"/>
          <w:szCs w:val="15"/>
        </w:rPr>
        <w:t xml:space="preserve"> </w:t>
      </w:r>
      <w:r>
        <w:rPr>
          <w:rFonts w:ascii="Arial" w:hAnsi="Arial" w:cs="Arial"/>
          <w:sz w:val="16"/>
          <w:szCs w:val="16"/>
        </w:rPr>
        <w:t>outpatient drug-induced liver injury, once occurring</w:t>
      </w:r>
      <w:r w:rsidRPr="006A23A9">
        <w:rPr>
          <w:rFonts w:ascii="Arial" w:hAnsi="Arial" w:cs="Arial"/>
          <w:sz w:val="16"/>
          <w:szCs w:val="16"/>
        </w:rPr>
        <w:t xml:space="preserve">; </w:t>
      </w:r>
      <w:r>
        <w:rPr>
          <w:rFonts w:ascii="Arial" w:hAnsi="Arial" w:cs="Arial"/>
          <w:sz w:val="16"/>
          <w:szCs w:val="16"/>
        </w:rPr>
        <w:t xml:space="preserve">ODIHO, outpatient drug induced hepatitis, once occurring; ODIHS, outpatient drug induced hepatitis, sporadically occurring; IDIHO, inpatient drug induced hepatitis, once occurring; ODILIS, outpatient drug induced liver injury, sporadically occurring; IDIHF, inpatient drug induced hepatitis; ODT, outpatient </w:t>
      </w:r>
      <w:r w:rsidRPr="00CD5BCD">
        <w:rPr>
          <w:rFonts w:ascii="Arial" w:hAnsi="Arial" w:cs="Arial"/>
          <w:sz w:val="16"/>
          <w:szCs w:val="16"/>
        </w:rPr>
        <w:t>decsyed teeth</w:t>
      </w:r>
      <w:r>
        <w:rPr>
          <w:rFonts w:ascii="Arial" w:hAnsi="Arial" w:cs="Arial"/>
          <w:sz w:val="16"/>
          <w:szCs w:val="16"/>
        </w:rPr>
        <w:t>; ODILIF, outpatient drug induced liver injury, frequently occurring.</w:t>
      </w:r>
    </w:p>
    <w:p w14:paraId="58D6134E" w14:textId="4436B75E" w:rsidR="00BD0B6E" w:rsidRDefault="00BD0B6E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27AF69C2" w14:textId="77777777" w:rsidR="00723BEC" w:rsidRPr="00F748F5" w:rsidRDefault="00723BEC" w:rsidP="00F70730">
      <w:pPr>
        <w:jc w:val="left"/>
        <w:rPr>
          <w:rFonts w:ascii="Arial" w:hAnsi="Arial" w:cs="Arial"/>
          <w:sz w:val="22"/>
        </w:rPr>
      </w:pPr>
      <w:r w:rsidRPr="00F748F5">
        <w:rPr>
          <w:rFonts w:ascii="Arial" w:hAnsi="Arial" w:cs="Arial"/>
          <w:b/>
          <w:bCs/>
          <w:sz w:val="22"/>
        </w:rPr>
        <w:lastRenderedPageBreak/>
        <w:t xml:space="preserve">Supplemental Figure </w:t>
      </w:r>
      <w:r>
        <w:rPr>
          <w:rFonts w:ascii="Arial" w:hAnsi="Arial" w:cs="Arial"/>
          <w:b/>
          <w:bCs/>
          <w:sz w:val="22"/>
        </w:rPr>
        <w:t>5</w:t>
      </w:r>
      <w:r w:rsidRPr="00F748F5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napToGrid w:val="0"/>
          <w:sz w:val="22"/>
        </w:rPr>
        <w:t>SHAP for negative individual of XGBoost prediction model</w:t>
      </w:r>
    </w:p>
    <w:p w14:paraId="0F7909D3" w14:textId="0F236F8F" w:rsidR="00723BEC" w:rsidRPr="00BD0B6E" w:rsidRDefault="00BD0B6E" w:rsidP="00723BE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D7B6D28" wp14:editId="17249BE5">
            <wp:extent cx="5274310" cy="5274310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l Figure 5_revised20231206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AAF08" w14:textId="77777777" w:rsidR="00723BEC" w:rsidRPr="001C3951" w:rsidRDefault="00723BEC" w:rsidP="00723BEC">
      <w:pPr>
        <w:jc w:val="left"/>
        <w:rPr>
          <w:rFonts w:ascii="Arial" w:hAnsi="Arial" w:cs="Arial"/>
          <w:sz w:val="16"/>
          <w:szCs w:val="16"/>
        </w:rPr>
      </w:pPr>
      <w:r w:rsidRPr="001C3951">
        <w:rPr>
          <w:rFonts w:ascii="Arial" w:hAnsi="Arial" w:cs="Arial"/>
          <w:sz w:val="16"/>
          <w:szCs w:val="16"/>
        </w:rPr>
        <w:t>Abbreviation: SHAP, The SHapley Additive exPlanations; XGBoost, eXtreme Gradient Boosting</w:t>
      </w:r>
      <w:r>
        <w:rPr>
          <w:rFonts w:ascii="Arial" w:hAnsi="Arial" w:cs="Arial"/>
          <w:sz w:val="16"/>
          <w:szCs w:val="16"/>
        </w:rPr>
        <w:t>; ODILIO</w:t>
      </w:r>
      <w:r w:rsidRPr="006A23A9">
        <w:rPr>
          <w:rFonts w:ascii="Arial" w:hAnsi="Arial" w:cs="Arial"/>
          <w:sz w:val="16"/>
          <w:szCs w:val="16"/>
        </w:rPr>
        <w:t>,</w:t>
      </w:r>
      <w:r w:rsidRPr="006A23A9">
        <w:rPr>
          <w:rFonts w:ascii="Arial" w:hAnsi="Arial" w:cs="Arial"/>
          <w:sz w:val="13"/>
          <w:szCs w:val="15"/>
        </w:rPr>
        <w:t xml:space="preserve"> </w:t>
      </w:r>
      <w:r>
        <w:rPr>
          <w:rFonts w:ascii="Arial" w:hAnsi="Arial" w:cs="Arial"/>
          <w:sz w:val="16"/>
          <w:szCs w:val="16"/>
        </w:rPr>
        <w:t>outpatient drug-induced liver injury, once occurring</w:t>
      </w:r>
      <w:r w:rsidRPr="006A23A9">
        <w:rPr>
          <w:rFonts w:ascii="Arial" w:hAnsi="Arial" w:cs="Arial"/>
          <w:sz w:val="16"/>
          <w:szCs w:val="16"/>
        </w:rPr>
        <w:t xml:space="preserve">; </w:t>
      </w:r>
      <w:r>
        <w:rPr>
          <w:rFonts w:ascii="Arial" w:hAnsi="Arial" w:cs="Arial"/>
          <w:sz w:val="16"/>
          <w:szCs w:val="16"/>
        </w:rPr>
        <w:t>IDILIO</w:t>
      </w:r>
      <w:r w:rsidRPr="006A23A9">
        <w:rPr>
          <w:rFonts w:ascii="Arial" w:hAnsi="Arial" w:cs="Arial"/>
          <w:sz w:val="16"/>
          <w:szCs w:val="16"/>
        </w:rPr>
        <w:t>,</w:t>
      </w:r>
      <w:r w:rsidRPr="006A23A9">
        <w:rPr>
          <w:rFonts w:ascii="Arial" w:hAnsi="Arial" w:cs="Arial"/>
          <w:sz w:val="13"/>
          <w:szCs w:val="15"/>
        </w:rPr>
        <w:t xml:space="preserve"> </w:t>
      </w:r>
      <w:r>
        <w:rPr>
          <w:rFonts w:ascii="Arial" w:hAnsi="Arial" w:cs="Arial"/>
          <w:sz w:val="16"/>
          <w:szCs w:val="16"/>
        </w:rPr>
        <w:t>inpatient drug-induced liver injury, once occurring</w:t>
      </w:r>
      <w:r w:rsidRPr="006A23A9">
        <w:rPr>
          <w:rFonts w:ascii="Arial" w:hAnsi="Arial" w:cs="Arial"/>
          <w:sz w:val="16"/>
          <w:szCs w:val="16"/>
        </w:rPr>
        <w:t>;</w:t>
      </w:r>
      <w:r>
        <w:rPr>
          <w:rFonts w:ascii="Arial" w:hAnsi="Arial" w:cs="Arial"/>
          <w:sz w:val="16"/>
          <w:szCs w:val="16"/>
        </w:rPr>
        <w:t xml:space="preserve"> ODIHO, outpatient drug induced hepatitis, once occurring; IDILIS, inpatient drug induced liver injury, sporadically occurring; IDIHF, inpatient drug induced hepatitis; ODT, outpatient </w:t>
      </w:r>
      <w:r w:rsidRPr="00CD5BCD">
        <w:rPr>
          <w:rFonts w:ascii="Arial" w:hAnsi="Arial" w:cs="Arial"/>
          <w:sz w:val="16"/>
          <w:szCs w:val="16"/>
        </w:rPr>
        <w:t>decsyed teeth</w:t>
      </w:r>
      <w:r>
        <w:rPr>
          <w:rFonts w:ascii="Arial" w:hAnsi="Arial" w:cs="Arial"/>
          <w:sz w:val="16"/>
          <w:szCs w:val="16"/>
        </w:rPr>
        <w:t>; ODF, outpatient dermatitis; ODIABETESO, outpatient diabetes, once occurring; ODIABETESP, outpatient diabetes, frequently occurring.</w:t>
      </w:r>
    </w:p>
    <w:p w14:paraId="4A999568" w14:textId="46BB2C46" w:rsidR="00F70730" w:rsidRDefault="00F70730">
      <w:pPr>
        <w:widowControl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75AB32B6" w14:textId="3DE3BF41" w:rsidR="00F70730" w:rsidRDefault="00F70730" w:rsidP="00F70730">
      <w:pPr>
        <w:jc w:val="left"/>
        <w:rPr>
          <w:rFonts w:ascii="Arial" w:hAnsi="Arial" w:cs="Arial"/>
          <w:snapToGrid w:val="0"/>
          <w:sz w:val="22"/>
        </w:rPr>
      </w:pPr>
      <w:r w:rsidRPr="00F748F5">
        <w:rPr>
          <w:rFonts w:ascii="Arial" w:hAnsi="Arial" w:cs="Arial"/>
          <w:b/>
          <w:bCs/>
          <w:sz w:val="22"/>
        </w:rPr>
        <w:lastRenderedPageBreak/>
        <w:t xml:space="preserve">Supplemental Figure </w:t>
      </w:r>
      <w:r>
        <w:rPr>
          <w:rFonts w:ascii="Arial" w:hAnsi="Arial" w:cs="Arial"/>
          <w:b/>
          <w:bCs/>
          <w:sz w:val="22"/>
        </w:rPr>
        <w:t>6</w:t>
      </w:r>
      <w:r w:rsidRPr="00F748F5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z w:val="22"/>
        </w:rPr>
        <w:t xml:space="preserve">Aggregate </w:t>
      </w:r>
      <w:r>
        <w:rPr>
          <w:rFonts w:ascii="Arial" w:hAnsi="Arial" w:cs="Arial"/>
          <w:snapToGrid w:val="0"/>
          <w:sz w:val="22"/>
        </w:rPr>
        <w:t>SHAP</w:t>
      </w:r>
      <w:r>
        <w:rPr>
          <w:rFonts w:ascii="Arial" w:hAnsi="Arial" w:cs="Arial"/>
          <w:snapToGrid w:val="0"/>
          <w:sz w:val="22"/>
        </w:rPr>
        <w:t xml:space="preserve"> value</w:t>
      </w:r>
      <w:r>
        <w:rPr>
          <w:rFonts w:ascii="Arial" w:hAnsi="Arial" w:cs="Arial"/>
          <w:snapToGrid w:val="0"/>
          <w:sz w:val="22"/>
        </w:rPr>
        <w:t xml:space="preserve"> </w:t>
      </w:r>
      <w:r>
        <w:rPr>
          <w:rFonts w:ascii="Arial" w:hAnsi="Arial" w:cs="Arial"/>
          <w:snapToGrid w:val="0"/>
          <w:sz w:val="22"/>
        </w:rPr>
        <w:t>in</w:t>
      </w:r>
      <w:r>
        <w:rPr>
          <w:rFonts w:ascii="Arial" w:hAnsi="Arial" w:cs="Arial"/>
          <w:snapToGrid w:val="0"/>
          <w:sz w:val="22"/>
        </w:rPr>
        <w:t xml:space="preserve"> </w:t>
      </w:r>
      <w:r>
        <w:rPr>
          <w:rFonts w:ascii="Arial" w:hAnsi="Arial" w:cs="Arial"/>
          <w:snapToGrid w:val="0"/>
          <w:sz w:val="22"/>
        </w:rPr>
        <w:t>validation set</w:t>
      </w:r>
      <w:r>
        <w:rPr>
          <w:rFonts w:ascii="Arial" w:hAnsi="Arial" w:cs="Arial"/>
          <w:snapToGrid w:val="0"/>
          <w:sz w:val="22"/>
        </w:rPr>
        <w:t xml:space="preserve"> of XGBoost prediction model</w:t>
      </w:r>
    </w:p>
    <w:p w14:paraId="159E518C" w14:textId="4E617BB2" w:rsidR="00723BEC" w:rsidRPr="00F70730" w:rsidRDefault="00F70730" w:rsidP="00723BE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CD32912" wp14:editId="4F9E3CC3">
            <wp:extent cx="5274310" cy="29984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emental Figure 6_revised20231206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B1387" w14:textId="575E695A" w:rsidR="006C219C" w:rsidRPr="00F70730" w:rsidRDefault="00F70730" w:rsidP="00F70730">
      <w:pPr>
        <w:jc w:val="left"/>
        <w:rPr>
          <w:rFonts w:ascii="Arial" w:hAnsi="Arial" w:cs="Arial" w:hint="eastAsia"/>
          <w:sz w:val="16"/>
          <w:szCs w:val="16"/>
        </w:rPr>
      </w:pPr>
      <w:r w:rsidRPr="001C3951">
        <w:rPr>
          <w:rFonts w:ascii="Arial" w:hAnsi="Arial" w:cs="Arial"/>
          <w:sz w:val="16"/>
          <w:szCs w:val="16"/>
        </w:rPr>
        <w:t>Abbreviation: SHAP, The SHapley Additive exPlanations; XGBoost, eXtreme Gradient Boosting</w:t>
      </w:r>
      <w:r>
        <w:rPr>
          <w:rFonts w:ascii="Arial" w:hAnsi="Arial" w:cs="Arial"/>
          <w:sz w:val="16"/>
          <w:szCs w:val="16"/>
        </w:rPr>
        <w:t>; ODILIO</w:t>
      </w:r>
      <w:r w:rsidRPr="006A23A9">
        <w:rPr>
          <w:rFonts w:ascii="Arial" w:hAnsi="Arial" w:cs="Arial"/>
          <w:sz w:val="16"/>
          <w:szCs w:val="16"/>
        </w:rPr>
        <w:t>,</w:t>
      </w:r>
      <w:r w:rsidRPr="006A23A9">
        <w:rPr>
          <w:rFonts w:ascii="Arial" w:hAnsi="Arial" w:cs="Arial"/>
          <w:sz w:val="13"/>
          <w:szCs w:val="15"/>
        </w:rPr>
        <w:t xml:space="preserve"> </w:t>
      </w:r>
      <w:r>
        <w:rPr>
          <w:rFonts w:ascii="Arial" w:hAnsi="Arial" w:cs="Arial"/>
          <w:sz w:val="16"/>
          <w:szCs w:val="16"/>
        </w:rPr>
        <w:t>outpatient drug-induced liver injury, once occurring</w:t>
      </w:r>
      <w:r w:rsidRPr="006A23A9">
        <w:rPr>
          <w:rFonts w:ascii="Arial" w:hAnsi="Arial" w:cs="Arial"/>
          <w:sz w:val="16"/>
          <w:szCs w:val="16"/>
        </w:rPr>
        <w:t xml:space="preserve">; </w:t>
      </w:r>
      <w:r>
        <w:rPr>
          <w:rFonts w:ascii="Arial" w:hAnsi="Arial" w:cs="Arial"/>
          <w:sz w:val="16"/>
          <w:szCs w:val="16"/>
        </w:rPr>
        <w:t>IDILIO</w:t>
      </w:r>
      <w:r w:rsidRPr="006A23A9">
        <w:rPr>
          <w:rFonts w:ascii="Arial" w:hAnsi="Arial" w:cs="Arial"/>
          <w:sz w:val="16"/>
          <w:szCs w:val="16"/>
        </w:rPr>
        <w:t>,</w:t>
      </w:r>
      <w:r w:rsidRPr="006A23A9">
        <w:rPr>
          <w:rFonts w:ascii="Arial" w:hAnsi="Arial" w:cs="Arial"/>
          <w:sz w:val="13"/>
          <w:szCs w:val="15"/>
        </w:rPr>
        <w:t xml:space="preserve"> </w:t>
      </w:r>
      <w:r>
        <w:rPr>
          <w:rFonts w:ascii="Arial" w:hAnsi="Arial" w:cs="Arial"/>
          <w:sz w:val="16"/>
          <w:szCs w:val="16"/>
        </w:rPr>
        <w:t>inpatient drug-induced liver injury, once occurring</w:t>
      </w:r>
      <w:r w:rsidRPr="006A23A9">
        <w:rPr>
          <w:rFonts w:ascii="Arial" w:hAnsi="Arial" w:cs="Arial"/>
          <w:sz w:val="16"/>
          <w:szCs w:val="16"/>
        </w:rPr>
        <w:t>;</w:t>
      </w:r>
      <w:r>
        <w:rPr>
          <w:rFonts w:ascii="Arial" w:hAnsi="Arial" w:cs="Arial"/>
          <w:sz w:val="16"/>
          <w:szCs w:val="16"/>
        </w:rPr>
        <w:t xml:space="preserve"> ODIHO, outpatient drug induced hepatitis, once occurring; IDILIS, inpatient drug induced liver injury, sporadically occurring; IDIHF, inpatient drug induced hepatitis; ODT, outpatient </w:t>
      </w:r>
      <w:r w:rsidRPr="00CD5BCD">
        <w:rPr>
          <w:rFonts w:ascii="Arial" w:hAnsi="Arial" w:cs="Arial"/>
          <w:sz w:val="16"/>
          <w:szCs w:val="16"/>
        </w:rPr>
        <w:t>decsyed teeth</w:t>
      </w:r>
      <w:r>
        <w:rPr>
          <w:rFonts w:ascii="Arial" w:hAnsi="Arial" w:cs="Arial"/>
          <w:sz w:val="16"/>
          <w:szCs w:val="16"/>
        </w:rPr>
        <w:t>;</w:t>
      </w:r>
      <w:r w:rsidRPr="00F7073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ODILIS, outpatient drug induced liver injury, sporadically occurring;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ODIHS, outpatient drug induced hepatitis, sporadically occurring;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IDIHO, inpatient drug induced hepatitis, once occurring</w:t>
      </w:r>
      <w:r>
        <w:rPr>
          <w:rFonts w:ascii="Arial" w:hAnsi="Arial" w:cs="Arial"/>
          <w:sz w:val="16"/>
          <w:szCs w:val="16"/>
        </w:rPr>
        <w:t>.</w:t>
      </w:r>
      <w:bookmarkStart w:id="0" w:name="_GoBack"/>
      <w:bookmarkEnd w:id="0"/>
    </w:p>
    <w:sectPr w:rsidR="006C219C" w:rsidRPr="00F707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FBD415" w14:textId="77777777" w:rsidR="00723BEC" w:rsidRDefault="00723BEC" w:rsidP="00723BEC">
      <w:r>
        <w:separator/>
      </w:r>
    </w:p>
  </w:endnote>
  <w:endnote w:type="continuationSeparator" w:id="0">
    <w:p w14:paraId="7810E2D7" w14:textId="77777777" w:rsidR="00723BEC" w:rsidRDefault="00723BEC" w:rsidP="00723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D306F" w14:textId="77777777" w:rsidR="00723BEC" w:rsidRDefault="00723BEC" w:rsidP="00723BEC">
      <w:r>
        <w:separator/>
      </w:r>
    </w:p>
  </w:footnote>
  <w:footnote w:type="continuationSeparator" w:id="0">
    <w:p w14:paraId="297EEFB9" w14:textId="77777777" w:rsidR="00723BEC" w:rsidRDefault="00723BEC" w:rsidP="00723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246"/>
    <w:rsid w:val="00380246"/>
    <w:rsid w:val="006C219C"/>
    <w:rsid w:val="00723BEC"/>
    <w:rsid w:val="00BD0B6E"/>
    <w:rsid w:val="00F63AF9"/>
    <w:rsid w:val="00F7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FAA70"/>
  <w15:chartTrackingRefBased/>
  <w15:docId w15:val="{A5969569-78F5-4AA0-B921-CC0238B16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B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3B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3B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3B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3B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越</dc:creator>
  <cp:keywords/>
  <dc:description/>
  <cp:lastModifiedBy>肖 越</cp:lastModifiedBy>
  <cp:revision>10</cp:revision>
  <dcterms:created xsi:type="dcterms:W3CDTF">2023-12-07T07:05:00Z</dcterms:created>
  <dcterms:modified xsi:type="dcterms:W3CDTF">2024-02-19T12:54:00Z</dcterms:modified>
</cp:coreProperties>
</file>