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A2586" w14:textId="77777777" w:rsidR="004920D9" w:rsidRPr="00874B23" w:rsidRDefault="004920D9" w:rsidP="004920D9">
      <w:pPr>
        <w:spacing w:before="60" w:after="60" w:line="480" w:lineRule="auto"/>
        <w:jc w:val="both"/>
        <w:rPr>
          <w:rFonts w:asciiTheme="minorHAnsi" w:hAnsiTheme="minorHAnsi" w:cstheme="minorHAnsi"/>
          <w:b/>
          <w:bCs/>
          <w:lang w:val="en-GB"/>
        </w:rPr>
      </w:pPr>
      <w:bookmarkStart w:id="0" w:name="_Hlk134621833"/>
      <w:bookmarkStart w:id="1" w:name="_Hlk137728068"/>
      <w:r w:rsidRPr="00874B23">
        <w:rPr>
          <w:rFonts w:asciiTheme="minorHAnsi" w:hAnsiTheme="minorHAnsi" w:cstheme="minorHAnsi"/>
          <w:b/>
          <w:bCs/>
          <w:sz w:val="28"/>
          <w:lang w:val="en-GB"/>
        </w:rPr>
        <w:t xml:space="preserve">A deeper consideration of sex/gender in quantitative health research: A checklist for incorporating multidimensionality, variety, embodiment, and intersectionality throughout the whole research </w:t>
      </w:r>
      <w:proofErr w:type="gramStart"/>
      <w:r w:rsidRPr="00874B23">
        <w:rPr>
          <w:rFonts w:asciiTheme="minorHAnsi" w:hAnsiTheme="minorHAnsi" w:cstheme="minorHAnsi"/>
          <w:b/>
          <w:bCs/>
          <w:sz w:val="28"/>
          <w:lang w:val="en-GB"/>
        </w:rPr>
        <w:t>process</w:t>
      </w:r>
      <w:proofErr w:type="gramEnd"/>
    </w:p>
    <w:bookmarkEnd w:id="0"/>
    <w:p w14:paraId="111E3C02" w14:textId="77777777" w:rsidR="004920D9" w:rsidRPr="00874B23" w:rsidRDefault="004920D9" w:rsidP="004920D9">
      <w:pPr>
        <w:spacing w:line="480" w:lineRule="auto"/>
        <w:rPr>
          <w:rFonts w:asciiTheme="minorHAnsi" w:hAnsiTheme="minorHAnsi" w:cstheme="minorHAnsi"/>
          <w:b/>
          <w:bCs/>
          <w:lang w:val="en-GB"/>
        </w:rPr>
      </w:pPr>
    </w:p>
    <w:p w14:paraId="4FF0D748" w14:textId="68A3C7F4" w:rsidR="004920D9" w:rsidRPr="00874B23" w:rsidRDefault="004920D9" w:rsidP="004920D9">
      <w:pPr>
        <w:spacing w:line="480" w:lineRule="auto"/>
        <w:rPr>
          <w:rFonts w:asciiTheme="minorHAnsi" w:hAnsiTheme="minorHAnsi" w:cstheme="minorHAnsi"/>
          <w:b/>
          <w:bCs/>
          <w:vertAlign w:val="superscript"/>
        </w:rPr>
      </w:pPr>
      <w:r w:rsidRPr="00874B23">
        <w:rPr>
          <w:rFonts w:asciiTheme="minorHAnsi" w:hAnsiTheme="minorHAnsi" w:cstheme="minorHAnsi"/>
          <w:b/>
          <w:bCs/>
        </w:rPr>
        <w:t>Christina Hartig, Sophie Horstmann</w:t>
      </w:r>
      <w:r>
        <w:rPr>
          <w:rFonts w:asciiTheme="minorHAnsi" w:hAnsiTheme="minorHAnsi" w:cstheme="minorHAnsi"/>
          <w:b/>
          <w:bCs/>
        </w:rPr>
        <w:t xml:space="preserve">, </w:t>
      </w:r>
      <w:r w:rsidRPr="00874B23">
        <w:rPr>
          <w:rFonts w:asciiTheme="minorHAnsi" w:hAnsiTheme="minorHAnsi" w:cstheme="minorHAnsi"/>
          <w:b/>
          <w:bCs/>
        </w:rPr>
        <w:t xml:space="preserve">Katharina Jacke, Ute Kraus, Lisa </w:t>
      </w:r>
      <w:proofErr w:type="spellStart"/>
      <w:r w:rsidRPr="00874B23">
        <w:rPr>
          <w:rFonts w:asciiTheme="minorHAnsi" w:hAnsiTheme="minorHAnsi" w:cstheme="minorHAnsi"/>
          <w:b/>
          <w:bCs/>
        </w:rPr>
        <w:t>Dandolo</w:t>
      </w:r>
      <w:proofErr w:type="spellEnd"/>
      <w:r w:rsidRPr="00874B23">
        <w:rPr>
          <w:rFonts w:asciiTheme="minorHAnsi" w:hAnsiTheme="minorHAnsi" w:cstheme="minorHAnsi"/>
          <w:b/>
          <w:bCs/>
        </w:rPr>
        <w:t>, Alexandra Schneide</w:t>
      </w:r>
      <w:r>
        <w:rPr>
          <w:rFonts w:asciiTheme="minorHAnsi" w:hAnsiTheme="minorHAnsi" w:cstheme="minorHAnsi"/>
          <w:b/>
          <w:bCs/>
        </w:rPr>
        <w:t>r</w:t>
      </w:r>
      <w:r w:rsidRPr="00874B23">
        <w:rPr>
          <w:rFonts w:asciiTheme="minorHAnsi" w:hAnsiTheme="minorHAnsi" w:cstheme="minorHAnsi"/>
          <w:b/>
          <w:bCs/>
        </w:rPr>
        <w:t>, Kerstin Palm, Gabriele Bolte</w:t>
      </w:r>
    </w:p>
    <w:bookmarkEnd w:id="1"/>
    <w:p w14:paraId="5D4B8CDA" w14:textId="77777777" w:rsidR="004920D9" w:rsidRPr="004920D9" w:rsidRDefault="004920D9" w:rsidP="00EE4B41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2CCE664F" w14:textId="7B3155D1" w:rsidR="004F504F" w:rsidRPr="004920D9" w:rsidRDefault="004920D9" w:rsidP="00EE4B41">
      <w:pPr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Supplement: </w:t>
      </w:r>
      <w:r w:rsidR="00EE4B41" w:rsidRPr="004920D9">
        <w:rPr>
          <w:rFonts w:asciiTheme="minorHAnsi" w:hAnsiTheme="minorHAnsi" w:cstheme="minorHAnsi"/>
          <w:b/>
          <w:bCs/>
          <w:sz w:val="24"/>
          <w:szCs w:val="24"/>
          <w:lang w:val="en-GB"/>
        </w:rPr>
        <w:t>55 publications included in the synthesis</w:t>
      </w:r>
    </w:p>
    <w:p w14:paraId="32A1E36F" w14:textId="46468196" w:rsidR="00E42FD5" w:rsidRPr="004920D9" w:rsidRDefault="006D0350" w:rsidP="00E42FD5">
      <w:pPr>
        <w:ind w:left="426" w:hanging="426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GB"/>
        </w:rPr>
        <w:t>Bauer GR. Incorporating intersectionality theory into population health research methodology: Challenges and the potential to advance health equity. Social Science &amp; Medicine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2014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>;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110:10–7.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proofErr w:type="gramStart"/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>doi:10.1016/j.socscimed</w:t>
      </w:r>
      <w:proofErr w:type="gramEnd"/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>.2014.03.022.</w:t>
      </w:r>
    </w:p>
    <w:p w14:paraId="3A6F19DD" w14:textId="75846B4E" w:rsidR="006D0350" w:rsidRPr="004920D9" w:rsidRDefault="006D0350" w:rsidP="00E42FD5">
      <w:pPr>
        <w:ind w:left="426" w:hanging="426"/>
        <w:rPr>
          <w:rFonts w:asciiTheme="minorHAnsi" w:hAnsiTheme="minorHAnsi" w:cstheme="minorHAnsi"/>
          <w:sz w:val="24"/>
          <w:szCs w:val="24"/>
        </w:rPr>
      </w:pPr>
      <w:r w:rsidRPr="004920D9">
        <w:rPr>
          <w:rFonts w:asciiTheme="minorHAnsi" w:hAnsiTheme="minorHAnsi" w:cstheme="minorHAnsi"/>
          <w:sz w:val="24"/>
          <w:szCs w:val="24"/>
          <w:lang w:val="en-GB"/>
        </w:rPr>
        <w:t>Bauer GR. Meet the Methods Series: Quantitative Intersectional Study Design and Primary Data Collection: Institute of Gender and Health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Pr="004920D9">
        <w:rPr>
          <w:rFonts w:asciiTheme="minorHAnsi" w:hAnsiTheme="minorHAnsi" w:cstheme="minorHAnsi"/>
          <w:sz w:val="24"/>
          <w:szCs w:val="24"/>
        </w:rPr>
        <w:t>2021. https://cihr-irsc.gc.ca/e/52352.html.</w:t>
      </w:r>
    </w:p>
    <w:p w14:paraId="5340148B" w14:textId="6BC78968" w:rsidR="006D0350" w:rsidRPr="004920D9" w:rsidRDefault="006D0350" w:rsidP="00E42FD5">
      <w:pPr>
        <w:ind w:left="425" w:hanging="425"/>
        <w:rPr>
          <w:rFonts w:asciiTheme="minorHAnsi" w:hAnsiTheme="minorHAnsi" w:cstheme="minorHAnsi"/>
          <w:sz w:val="24"/>
          <w:szCs w:val="24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Bolte G. Gender in der Epidemiologie im Spannungsfeld zwischen Biomedizin und Geschlechterforschung. Konzeptionelle Ansätze und methodische Diskussionen. In: Hornberg C, Pauli A, Wrede B,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editors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>. Medizin-Gesundheit-Geschlecht: Eine gesundheitswissenschaftliche Perspektive. Wiesbaden: Springer VS; 2016. p. 103–24 (Geschlecht &amp; Gesellschaft; Band 55).</w:t>
      </w:r>
    </w:p>
    <w:p w14:paraId="5C60E97E" w14:textId="38CB4598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Bolte G, Lahn U. Geschlecht in der Public-Health-Forschung zu gesundheitlichen Ungleichheiten: Potenziale und Begrenzungen des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Intersektionalitätsansatzes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>. GENDER – Zeitschrift für Geschlecht, Kultur und Gesellschaft</w:t>
      </w:r>
      <w:r w:rsidR="00ED6E62" w:rsidRPr="004920D9">
        <w:rPr>
          <w:rFonts w:asciiTheme="minorHAnsi" w:hAnsiTheme="minorHAnsi" w:cstheme="minorHAnsi"/>
          <w:sz w:val="24"/>
          <w:szCs w:val="24"/>
        </w:rPr>
        <w:t>.</w:t>
      </w:r>
      <w:r w:rsidRPr="004920D9">
        <w:rPr>
          <w:rFonts w:asciiTheme="minorHAnsi" w:hAnsiTheme="minorHAnsi" w:cstheme="minorHAnsi"/>
          <w:sz w:val="24"/>
          <w:szCs w:val="24"/>
        </w:rPr>
        <w:t xml:space="preserve"> 2015; 7(2):51–67.</w:t>
      </w:r>
      <w:r w:rsidR="00ED6E62" w:rsidRPr="004920D9">
        <w:rPr>
          <w:rFonts w:asciiTheme="minorHAnsi" w:hAnsiTheme="minorHAnsi" w:cstheme="minorHAnsi"/>
          <w:sz w:val="24"/>
          <w:szCs w:val="24"/>
        </w:rPr>
        <w:t xml:space="preserve"> doi:10.3224/</w:t>
      </w:r>
      <w:proofErr w:type="gramStart"/>
      <w:r w:rsidR="00ED6E62" w:rsidRPr="004920D9">
        <w:rPr>
          <w:rFonts w:asciiTheme="minorHAnsi" w:hAnsiTheme="minorHAnsi" w:cstheme="minorHAnsi"/>
          <w:sz w:val="24"/>
          <w:szCs w:val="24"/>
        </w:rPr>
        <w:t>gender.v</w:t>
      </w:r>
      <w:proofErr w:type="gramEnd"/>
      <w:r w:rsidR="00ED6E62" w:rsidRPr="004920D9">
        <w:rPr>
          <w:rFonts w:asciiTheme="minorHAnsi" w:hAnsiTheme="minorHAnsi" w:cstheme="minorHAnsi"/>
          <w:sz w:val="24"/>
          <w:szCs w:val="24"/>
        </w:rPr>
        <w:t>7i2.19312.</w:t>
      </w:r>
    </w:p>
    <w:p w14:paraId="0CEA6E2E" w14:textId="31F55DB0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BZPH. Zu mehr Gleichberechtigung zwischen den Geschlechtern: Erkennen und Vermeiden von Gender Bias in der Gesundheitsforschung: Deutsche Bearbeitung eines vom kanadischen Gesundheitsministerium herausgegebenen Handbuchs, erarbeitet von Margrit Eichler et al.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Dezember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1999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Berliner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Zentrum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für Public Health; 2002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. </w:t>
      </w:r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>Accessed 25 Jun 2021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</w:p>
    <w:p w14:paraId="1891814D" w14:textId="4F5D3795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GB"/>
        </w:rPr>
        <w:t>Clow B, Pederson A, Haworth-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Brockmann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M, Bernier J. Rising to the Challenge: Sex- and gender-based analysis for health planning, policy and research in National Collaborating Centre for Determinants of Health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2009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617976" w:rsidRPr="004920D9">
        <w:rPr>
          <w:rFonts w:asciiTheme="minorHAnsi" w:hAnsiTheme="minorHAnsi" w:cstheme="minorHAnsi"/>
          <w:sz w:val="24"/>
          <w:szCs w:val="24"/>
          <w:lang w:val="en-GB"/>
        </w:rPr>
        <w:t>https://nccdh.ca/resources/entry/rising-to-the-challenge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>Accessed 25 Jun 2021.</w:t>
      </w:r>
    </w:p>
    <w:p w14:paraId="211A2F5B" w14:textId="4E29BBF4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GB"/>
        </w:rPr>
        <w:lastRenderedPageBreak/>
        <w:t xml:space="preserve">Day S, Mason R,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Lagosky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S, Rochon PA. Integrating and evaluating sex and gender in health research. Health Res Policy Syst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2016; 14(1):75.</w:t>
      </w:r>
      <w:r w:rsidR="00ED6E62"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>doi:10.1186/s12961-016-0147-7.</w:t>
      </w:r>
    </w:p>
    <w:p w14:paraId="04977B5F" w14:textId="5B0F6A7D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US"/>
        </w:rPr>
      </w:pP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Day S, Mason R, Tannenbaum C, Rochon PA. Essential metrics for assessing sex &amp; gender integration in health research proposals involving human participants.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PLoS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One</w:t>
      </w:r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>.</w:t>
      </w: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2017; 12(8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):e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0182812.</w:t>
      </w:r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gramStart"/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>doi:10.1371/journal.pone</w:t>
      </w:r>
      <w:proofErr w:type="gramEnd"/>
      <w:r w:rsidR="00ED6E62" w:rsidRPr="004920D9">
        <w:rPr>
          <w:rFonts w:asciiTheme="minorHAnsi" w:hAnsiTheme="minorHAnsi" w:cstheme="minorHAnsi"/>
          <w:sz w:val="24"/>
          <w:szCs w:val="24"/>
          <w:lang w:val="en-US"/>
        </w:rPr>
        <w:t>.0182812.</w:t>
      </w:r>
    </w:p>
    <w:p w14:paraId="42649FA9" w14:textId="462A39FA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r w:rsidRPr="004920D9">
        <w:rPr>
          <w:rFonts w:asciiTheme="minorHAnsi" w:hAnsiTheme="minorHAnsi" w:cstheme="minorHAnsi"/>
          <w:sz w:val="24"/>
          <w:szCs w:val="24"/>
        </w:rPr>
        <w:t>DFG. Die „Forschungsorientierten Gleichstellungsstandards“ der DFG: Zusammenfassung und Empfehlungen 2020: 1) Rekrutierungsverfahren zur Gewinnung von Wissenschaftlerinnen 2) Entlastung von Wissenschaftlerinnen für die Gremienarbeit 2020</w:t>
      </w:r>
      <w:r w:rsidR="00ED6E62" w:rsidRPr="004920D9">
        <w:rPr>
          <w:rFonts w:asciiTheme="minorHAnsi" w:hAnsiTheme="minorHAnsi" w:cstheme="minorHAnsi"/>
          <w:sz w:val="24"/>
          <w:szCs w:val="24"/>
        </w:rPr>
        <w:t xml:space="preserve">; </w:t>
      </w:r>
      <w:r w:rsidRPr="004920D9">
        <w:rPr>
          <w:rFonts w:asciiTheme="minorHAnsi" w:hAnsiTheme="minorHAnsi" w:cstheme="minorHAnsi"/>
          <w:sz w:val="24"/>
          <w:szCs w:val="24"/>
        </w:rPr>
        <w:t>1–49.</w:t>
      </w:r>
      <w:r w:rsidR="00ED6E62" w:rsidRPr="004920D9">
        <w:rPr>
          <w:rFonts w:asciiTheme="minorHAnsi" w:hAnsiTheme="minorHAnsi" w:cstheme="minorHAnsi"/>
          <w:sz w:val="24"/>
          <w:szCs w:val="24"/>
        </w:rPr>
        <w:t xml:space="preserve"> </w:t>
      </w:r>
      <w:r w:rsidR="00617976" w:rsidRPr="004920D9">
        <w:rPr>
          <w:rFonts w:asciiTheme="minorHAnsi" w:hAnsiTheme="minorHAnsi" w:cstheme="minorHAnsi"/>
          <w:sz w:val="24"/>
          <w:szCs w:val="24"/>
        </w:rPr>
        <w:t>https://www.dfg.de/de/grundlagen-rahmenbedingungen/grundlagen-und-prinzipien-der-foerderung/chancengleichheit/allg-informationen/gleichstellungsstandards</w:t>
      </w:r>
      <w:r w:rsidR="00ED6E62" w:rsidRPr="004920D9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ED6E62" w:rsidRPr="004920D9">
        <w:rPr>
          <w:rFonts w:asciiTheme="minorHAnsi" w:hAnsiTheme="minorHAnsi" w:cstheme="minorHAnsi"/>
          <w:sz w:val="24"/>
          <w:szCs w:val="24"/>
        </w:rPr>
        <w:t>Accessed</w:t>
      </w:r>
      <w:proofErr w:type="spellEnd"/>
      <w:r w:rsidR="00ED6E62" w:rsidRPr="004920D9">
        <w:rPr>
          <w:rFonts w:asciiTheme="minorHAnsi" w:hAnsiTheme="minorHAnsi" w:cstheme="minorHAnsi"/>
          <w:sz w:val="24"/>
          <w:szCs w:val="24"/>
        </w:rPr>
        <w:t xml:space="preserve"> 20 </w:t>
      </w:r>
      <w:proofErr w:type="spellStart"/>
      <w:r w:rsidR="00ED6E62" w:rsidRPr="004920D9">
        <w:rPr>
          <w:rFonts w:asciiTheme="minorHAnsi" w:hAnsiTheme="minorHAnsi" w:cstheme="minorHAnsi"/>
          <w:sz w:val="24"/>
          <w:szCs w:val="24"/>
        </w:rPr>
        <w:t>Dec</w:t>
      </w:r>
      <w:proofErr w:type="spellEnd"/>
      <w:r w:rsidR="00ED6E62" w:rsidRPr="004920D9">
        <w:rPr>
          <w:rFonts w:asciiTheme="minorHAnsi" w:hAnsiTheme="minorHAnsi" w:cstheme="minorHAnsi"/>
          <w:sz w:val="24"/>
          <w:szCs w:val="24"/>
        </w:rPr>
        <w:t xml:space="preserve"> 2023. </w:t>
      </w:r>
    </w:p>
    <w:p w14:paraId="294E006B" w14:textId="36EDC88C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Döring N. Zur Operationalisierung von Geschlecht im Fragebogen: Probleme und Lösungsansätze aus Sicht von Mess-, Umfrage-, Gender- und Queer-Theorie. 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>GENDER</w:t>
      </w:r>
      <w:r w:rsidR="00A1465B"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proofErr w:type="gramStart"/>
      <w:r w:rsidR="00A1465B" w:rsidRPr="004920D9">
        <w:rPr>
          <w:rFonts w:asciiTheme="minorHAnsi" w:hAnsiTheme="minorHAnsi" w:cstheme="minorHAnsi"/>
          <w:sz w:val="24"/>
          <w:szCs w:val="24"/>
          <w:lang w:val="en-US"/>
        </w:rPr>
        <w:t>2013;5:17</w:t>
      </w:r>
      <w:proofErr w:type="gramEnd"/>
      <w:r w:rsidR="00A1465B" w:rsidRPr="004920D9">
        <w:rPr>
          <w:rFonts w:asciiTheme="minorHAnsi" w:hAnsiTheme="minorHAnsi" w:cstheme="minorHAnsi"/>
          <w:sz w:val="24"/>
          <w:szCs w:val="24"/>
          <w:lang w:val="en-US"/>
        </w:rPr>
        <w:t>–8</w:t>
      </w:r>
      <w:r w:rsidR="00A1465B" w:rsidRPr="004920D9">
        <w:rPr>
          <w:rFonts w:asciiTheme="minorHAnsi" w:hAnsiTheme="minorHAnsi" w:cstheme="minorHAnsi"/>
          <w:sz w:val="24"/>
          <w:szCs w:val="24"/>
          <w:lang w:val="en-GB"/>
        </w:rPr>
        <w:t>. https://elibrary.utb.de/doi/abs/10.3224/gender.v5i2.09. Accessed 25 Jun 2021.</w:t>
      </w:r>
    </w:p>
    <w:p w14:paraId="4C7A8FC6" w14:textId="5FD6A11F" w:rsidR="00A1465B" w:rsidRPr="004920D9" w:rsidRDefault="00A1465B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Doull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M, Welch V,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Puil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L, Runnels V, Coen SE, Shea B, et al. Development and evaluation of 'briefing notes' as a novel knowledge translation tool to aid the implementation of sex/gender analysis in systematic reviews: a pilot study.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PLoS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One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>. 2014;</w:t>
      </w:r>
      <w:proofErr w:type="gramStart"/>
      <w:r w:rsidRPr="004920D9">
        <w:rPr>
          <w:rFonts w:asciiTheme="minorHAnsi" w:hAnsiTheme="minorHAnsi" w:cstheme="minorHAnsi"/>
          <w:sz w:val="24"/>
          <w:szCs w:val="24"/>
        </w:rPr>
        <w:t>9:e</w:t>
      </w:r>
      <w:proofErr w:type="gramEnd"/>
      <w:r w:rsidRPr="004920D9">
        <w:rPr>
          <w:rFonts w:asciiTheme="minorHAnsi" w:hAnsiTheme="minorHAnsi" w:cstheme="minorHAnsi"/>
          <w:sz w:val="24"/>
          <w:szCs w:val="24"/>
        </w:rPr>
        <w:t xml:space="preserve">110786. </w:t>
      </w:r>
      <w:proofErr w:type="gramStart"/>
      <w:r w:rsidRPr="004920D9">
        <w:rPr>
          <w:rFonts w:asciiTheme="minorHAnsi" w:hAnsiTheme="minorHAnsi" w:cstheme="minorHAnsi"/>
          <w:sz w:val="24"/>
          <w:szCs w:val="24"/>
        </w:rPr>
        <w:t>doi:10.1371/journal.pone</w:t>
      </w:r>
      <w:proofErr w:type="gramEnd"/>
      <w:r w:rsidRPr="004920D9">
        <w:rPr>
          <w:rFonts w:asciiTheme="minorHAnsi" w:hAnsiTheme="minorHAnsi" w:cstheme="minorHAnsi"/>
          <w:sz w:val="24"/>
          <w:szCs w:val="24"/>
        </w:rPr>
        <w:t>.0110786.</w:t>
      </w:r>
    </w:p>
    <w:p w14:paraId="0833038C" w14:textId="43ACEEF8" w:rsidR="00A1465B" w:rsidRPr="004920D9" w:rsidRDefault="00A1465B" w:rsidP="00A1465B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  <w:bookmarkStart w:id="2" w:name="_CTVL0016653885f295e4f6ebe40cddbd042d695"/>
      <w:proofErr w:type="spellStart"/>
      <w:r w:rsidRPr="004920D9">
        <w:rPr>
          <w:rFonts w:asciiTheme="minorHAnsi" w:hAnsiTheme="minorHAnsi" w:cstheme="minorHAnsi"/>
          <w:lang w:val="de-DE"/>
        </w:rPr>
        <w:t>Doyal</w:t>
      </w:r>
      <w:proofErr w:type="spellEnd"/>
      <w:r w:rsidRPr="004920D9">
        <w:rPr>
          <w:rFonts w:asciiTheme="minorHAnsi" w:hAnsiTheme="minorHAnsi" w:cstheme="minorHAnsi"/>
          <w:lang w:val="de-DE"/>
        </w:rPr>
        <w:t xml:space="preserve"> L. Sex und Gender: Fünf Herausforderungen für </w:t>
      </w:r>
      <w:proofErr w:type="spellStart"/>
      <w:r w:rsidRPr="004920D9">
        <w:rPr>
          <w:rFonts w:asciiTheme="minorHAnsi" w:hAnsiTheme="minorHAnsi" w:cstheme="minorHAnsi"/>
          <w:lang w:val="de-DE"/>
        </w:rPr>
        <w:t>Epidemiologinnen</w:t>
      </w:r>
      <w:proofErr w:type="spellEnd"/>
      <w:r w:rsidRPr="004920D9">
        <w:rPr>
          <w:rFonts w:asciiTheme="minorHAnsi" w:hAnsiTheme="minorHAnsi" w:cstheme="minorHAnsi"/>
          <w:lang w:val="de-DE"/>
        </w:rPr>
        <w:t xml:space="preserve"> und Epidemiologen. </w:t>
      </w:r>
      <w:r w:rsidRPr="004920D9">
        <w:rPr>
          <w:rFonts w:asciiTheme="minorHAnsi" w:hAnsiTheme="minorHAnsi" w:cstheme="minorHAnsi"/>
        </w:rPr>
        <w:t xml:space="preserve">[Sex and gender: five challenges for epidemiologists]. </w:t>
      </w:r>
      <w:proofErr w:type="spellStart"/>
      <w:r w:rsidRPr="004920D9">
        <w:rPr>
          <w:rFonts w:asciiTheme="minorHAnsi" w:hAnsiTheme="minorHAnsi" w:cstheme="minorHAnsi"/>
        </w:rPr>
        <w:t>Gesundheitswesen</w:t>
      </w:r>
      <w:proofErr w:type="spellEnd"/>
      <w:r w:rsidRPr="004920D9">
        <w:rPr>
          <w:rFonts w:asciiTheme="minorHAnsi" w:hAnsiTheme="minorHAnsi" w:cstheme="minorHAnsi"/>
        </w:rPr>
        <w:t xml:space="preserve">. </w:t>
      </w:r>
      <w:proofErr w:type="gramStart"/>
      <w:r w:rsidRPr="004920D9">
        <w:rPr>
          <w:rFonts w:asciiTheme="minorHAnsi" w:hAnsiTheme="minorHAnsi" w:cstheme="minorHAnsi"/>
        </w:rPr>
        <w:t>2004;66:153</w:t>
      </w:r>
      <w:proofErr w:type="gramEnd"/>
      <w:r w:rsidRPr="004920D9">
        <w:rPr>
          <w:rFonts w:asciiTheme="minorHAnsi" w:hAnsiTheme="minorHAnsi" w:cstheme="minorHAnsi"/>
        </w:rPr>
        <w:t>–7. doi:10.1055/s-2004-813040.</w:t>
      </w:r>
    </w:p>
    <w:p w14:paraId="15120305" w14:textId="77777777" w:rsidR="00A1465B" w:rsidRPr="004920D9" w:rsidRDefault="00A1465B" w:rsidP="00617976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</w:p>
    <w:bookmarkEnd w:id="2"/>
    <w:p w14:paraId="6BCC734B" w14:textId="30EE3FDD" w:rsidR="00A1465B" w:rsidRPr="004920D9" w:rsidRDefault="00A1465B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Eichler M, Burke MA. The BIAS FREE Framework: a new analytical tool for global health research. </w:t>
      </w:r>
      <w:r w:rsidRPr="004920D9">
        <w:rPr>
          <w:rFonts w:asciiTheme="minorHAnsi" w:hAnsiTheme="minorHAnsi" w:cstheme="minorHAnsi"/>
          <w:sz w:val="24"/>
          <w:szCs w:val="24"/>
        </w:rPr>
        <w:t xml:space="preserve">Can J Public Health. </w:t>
      </w:r>
      <w:proofErr w:type="gramStart"/>
      <w:r w:rsidRPr="004920D9">
        <w:rPr>
          <w:rFonts w:asciiTheme="minorHAnsi" w:hAnsiTheme="minorHAnsi" w:cstheme="minorHAnsi"/>
          <w:sz w:val="24"/>
          <w:szCs w:val="24"/>
        </w:rPr>
        <w:t>2006;97:63</w:t>
      </w:r>
      <w:proofErr w:type="gramEnd"/>
      <w:r w:rsidRPr="004920D9">
        <w:rPr>
          <w:rFonts w:asciiTheme="minorHAnsi" w:hAnsiTheme="minorHAnsi" w:cstheme="minorHAnsi"/>
          <w:sz w:val="24"/>
          <w:szCs w:val="24"/>
        </w:rPr>
        <w:t>–8. doi:10.1007/BF03405218.</w:t>
      </w:r>
    </w:p>
    <w:p w14:paraId="0A2C8D21" w14:textId="1A67177F" w:rsidR="00A1465B" w:rsidRPr="004920D9" w:rsidRDefault="00A1465B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Eichler M, Fuchs J,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Maschewsky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 xml:space="preserve">-Schneider U. Richtlinien zur Vermeidung von Gender Bias in der Gesundheitsforschung. J Public Health. </w:t>
      </w:r>
      <w:proofErr w:type="gramStart"/>
      <w:r w:rsidRPr="004920D9">
        <w:rPr>
          <w:rFonts w:asciiTheme="minorHAnsi" w:hAnsiTheme="minorHAnsi" w:cstheme="minorHAnsi"/>
          <w:sz w:val="24"/>
          <w:szCs w:val="24"/>
        </w:rPr>
        <w:t>2000;8:293</w:t>
      </w:r>
      <w:proofErr w:type="gramEnd"/>
      <w:r w:rsidRPr="004920D9">
        <w:rPr>
          <w:rFonts w:asciiTheme="minorHAnsi" w:hAnsiTheme="minorHAnsi" w:cstheme="minorHAnsi"/>
          <w:sz w:val="24"/>
          <w:szCs w:val="24"/>
        </w:rPr>
        <w:t>–310. doi:10.1007/BF02955909.</w:t>
      </w:r>
    </w:p>
    <w:p w14:paraId="0E0AC0E2" w14:textId="7B113EFA" w:rsidR="00A1465B" w:rsidRPr="004920D9" w:rsidRDefault="00A1465B" w:rsidP="00A1465B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  <w:bookmarkStart w:id="3" w:name="_CTVL00129f0a2c8dd494d4f980ac9bdb4a9643c"/>
      <w:r w:rsidRPr="004920D9">
        <w:rPr>
          <w:rFonts w:asciiTheme="minorHAnsi" w:hAnsiTheme="minorHAnsi" w:cstheme="minorHAnsi"/>
          <w:lang w:val="de-DE"/>
        </w:rPr>
        <w:t xml:space="preserve">Elm E von, Altman DG, Egger M, </w:t>
      </w:r>
      <w:proofErr w:type="spellStart"/>
      <w:r w:rsidRPr="004920D9">
        <w:rPr>
          <w:rFonts w:asciiTheme="minorHAnsi" w:hAnsiTheme="minorHAnsi" w:cstheme="minorHAnsi"/>
          <w:lang w:val="de-DE"/>
        </w:rPr>
        <w:t>Pocock</w:t>
      </w:r>
      <w:proofErr w:type="spellEnd"/>
      <w:r w:rsidRPr="004920D9">
        <w:rPr>
          <w:rFonts w:asciiTheme="minorHAnsi" w:hAnsiTheme="minorHAnsi" w:cstheme="minorHAnsi"/>
          <w:lang w:val="de-DE"/>
        </w:rPr>
        <w:t xml:space="preserve"> SJ, </w:t>
      </w:r>
      <w:proofErr w:type="spellStart"/>
      <w:r w:rsidRPr="004920D9">
        <w:rPr>
          <w:rFonts w:asciiTheme="minorHAnsi" w:hAnsiTheme="minorHAnsi" w:cstheme="minorHAnsi"/>
          <w:lang w:val="de-DE"/>
        </w:rPr>
        <w:t>Gøtzsche</w:t>
      </w:r>
      <w:proofErr w:type="spellEnd"/>
      <w:r w:rsidRPr="004920D9">
        <w:rPr>
          <w:rFonts w:asciiTheme="minorHAnsi" w:hAnsiTheme="minorHAnsi" w:cstheme="minorHAnsi"/>
          <w:lang w:val="de-DE"/>
        </w:rPr>
        <w:t xml:space="preserve"> PC, Vandenbroucke JP. </w:t>
      </w:r>
      <w:r w:rsidRPr="004920D9">
        <w:rPr>
          <w:rFonts w:asciiTheme="minorHAnsi" w:hAnsiTheme="minorHAnsi" w:cstheme="minorHAnsi"/>
        </w:rPr>
        <w:t>Das Strengthening the Reporting of Observational Studies in Epidemiology (STROBE-) Statement. [The Strengthening the Reporting of Observational Studies in Epidemiology (STROBE) statement: guidelines for reporting of observational studies]. Internist (</w:t>
      </w:r>
      <w:proofErr w:type="spellStart"/>
      <w:r w:rsidRPr="004920D9">
        <w:rPr>
          <w:rFonts w:asciiTheme="minorHAnsi" w:hAnsiTheme="minorHAnsi" w:cstheme="minorHAnsi"/>
        </w:rPr>
        <w:t>Berl</w:t>
      </w:r>
      <w:proofErr w:type="spellEnd"/>
      <w:r w:rsidRPr="004920D9">
        <w:rPr>
          <w:rFonts w:asciiTheme="minorHAnsi" w:hAnsiTheme="minorHAnsi" w:cstheme="minorHAnsi"/>
        </w:rPr>
        <w:t xml:space="preserve">). </w:t>
      </w:r>
      <w:proofErr w:type="gramStart"/>
      <w:r w:rsidRPr="004920D9">
        <w:rPr>
          <w:rFonts w:asciiTheme="minorHAnsi" w:hAnsiTheme="minorHAnsi" w:cstheme="minorHAnsi"/>
        </w:rPr>
        <w:t>2008;49:688</w:t>
      </w:r>
      <w:proofErr w:type="gramEnd"/>
      <w:r w:rsidRPr="004920D9">
        <w:rPr>
          <w:rFonts w:asciiTheme="minorHAnsi" w:hAnsiTheme="minorHAnsi" w:cstheme="minorHAnsi"/>
        </w:rPr>
        <w:t>–93. doi:10.1007/s00108-008-2138-4.</w:t>
      </w:r>
    </w:p>
    <w:p w14:paraId="75BB9FA0" w14:textId="77777777" w:rsidR="00A1465B" w:rsidRPr="004920D9" w:rsidRDefault="00A1465B" w:rsidP="00617976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</w:p>
    <w:p w14:paraId="6C0A5566" w14:textId="4FE12ACE" w:rsidR="00A1465B" w:rsidRPr="004920D9" w:rsidRDefault="00A1465B" w:rsidP="00A1465B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  <w:bookmarkStart w:id="4" w:name="_CTVL0017a0bca2dd34f42f3a5b2cc78e576b619"/>
      <w:bookmarkEnd w:id="3"/>
      <w:r w:rsidRPr="004920D9">
        <w:rPr>
          <w:rFonts w:asciiTheme="minorHAnsi" w:hAnsiTheme="minorHAnsi" w:cstheme="minorHAnsi"/>
        </w:rPr>
        <w:t>European Commission. Toolkit Gender in EU-funded research. 2011. https://op.europa.eu/de/publication-detail/-/publication/c17a4eba-49ab-40f1-bb7b-bb6faaf8dec8. Accessed 25 Jun 2021.</w:t>
      </w:r>
    </w:p>
    <w:p w14:paraId="64A6AECE" w14:textId="77777777" w:rsidR="00A1465B" w:rsidRPr="004920D9" w:rsidRDefault="00A1465B" w:rsidP="00617976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</w:p>
    <w:bookmarkEnd w:id="4"/>
    <w:p w14:paraId="48D780E3" w14:textId="08502CE9" w:rsidR="00A1465B" w:rsidRPr="004920D9" w:rsidRDefault="00A1465B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European Commission. Gendered Innovations: How Gender Analysis Contributes to Research: Report of the Expert Group 'Innovation through Gender'. 2013. </w:t>
      </w:r>
      <w:r w:rsidR="00617976" w:rsidRPr="004920D9">
        <w:rPr>
          <w:rFonts w:asciiTheme="minorHAnsi" w:hAnsiTheme="minorHAnsi" w:cstheme="minorHAnsi"/>
          <w:sz w:val="24"/>
          <w:szCs w:val="24"/>
          <w:lang w:val="en-US"/>
        </w:rPr>
        <w:t>https://data.europa.eu/doi/10.2777/11868</w:t>
      </w: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Accessed</w:t>
      </w:r>
      <w:r w:rsidRPr="004920D9" w:rsidDel="001301A7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20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Dec 2023.</w:t>
      </w:r>
    </w:p>
    <w:p w14:paraId="02023E5E" w14:textId="7E19C835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GB"/>
        </w:rPr>
        <w:t>European Commission. Gendered Innovations 2: How Inclusive Analysis Contributes to Research and Innovation: Policy Review: European Commission. Directorate General for Research and Innovation. 2020.</w:t>
      </w:r>
      <w:r w:rsidR="00A759F9"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617976" w:rsidRPr="004920D9">
        <w:rPr>
          <w:rFonts w:asciiTheme="minorHAnsi" w:eastAsia="Times New Roman" w:hAnsiTheme="minorHAnsi" w:cstheme="minorHAnsi"/>
          <w:color w:val="0000FF"/>
          <w:sz w:val="24"/>
          <w:szCs w:val="24"/>
          <w:u w:val="single"/>
          <w:lang w:val="en-US" w:eastAsia="de-DE"/>
        </w:rPr>
        <w:t>https://data.europa.eu/doi/10.2777/316197</w:t>
      </w:r>
      <w:r w:rsidR="00A1465B" w:rsidRPr="004920D9">
        <w:rPr>
          <w:rFonts w:asciiTheme="minorHAnsi" w:eastAsia="Times New Roman" w:hAnsiTheme="minorHAnsi" w:cstheme="minorHAnsi"/>
          <w:sz w:val="24"/>
          <w:szCs w:val="24"/>
          <w:lang w:val="en-US" w:eastAsia="de-DE"/>
        </w:rPr>
        <w:t xml:space="preserve">. </w:t>
      </w:r>
      <w:proofErr w:type="gramStart"/>
      <w:r w:rsidR="00A1465B" w:rsidRPr="004920D9">
        <w:rPr>
          <w:rFonts w:asciiTheme="minorHAnsi" w:hAnsiTheme="minorHAnsi" w:cstheme="minorHAnsi"/>
          <w:sz w:val="24"/>
          <w:szCs w:val="24"/>
          <w:lang w:val="en-US"/>
        </w:rPr>
        <w:t>Accessed</w:t>
      </w:r>
      <w:r w:rsidR="00A1465B" w:rsidRPr="004920D9" w:rsidDel="001301A7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A1465B"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20</w:t>
      </w:r>
      <w:proofErr w:type="gramEnd"/>
      <w:r w:rsidR="00A1465B"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Dec 2023.</w:t>
      </w:r>
    </w:p>
    <w:p w14:paraId="2B1F40F1" w14:textId="1A90742D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Hammarström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A. A Tool for Developing Gender Research in Medicine: Examples from the Medical Literature on Work Life. Gender Medicine 2007;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GB"/>
        </w:rPr>
        <w:t>4:S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GB"/>
        </w:rPr>
        <w:t>123-S132.</w:t>
      </w:r>
      <w:r w:rsidR="00A1465B"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A1465B" w:rsidRPr="004920D9">
        <w:rPr>
          <w:rFonts w:asciiTheme="minorHAnsi" w:hAnsiTheme="minorHAnsi" w:cstheme="minorHAnsi"/>
          <w:sz w:val="24"/>
          <w:szCs w:val="24"/>
          <w:lang w:val="en-US"/>
        </w:rPr>
        <w:t>doi:10.1016/S1550-8579(07)80053-2.</w:t>
      </w:r>
    </w:p>
    <w:p w14:paraId="690B1825" w14:textId="7F64F7E8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Hammarström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A,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Wiklund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M,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Stålnacke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B-M,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Lehti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A,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Haukenes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I,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Fjellman-Wiklund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A. Developing a Tool for Increasing the Awareness about Gendered and Intersectional Processes in the Clinical Assessment of Patients--A Study of Pain Rehabilitation.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GB"/>
        </w:rPr>
        <w:t>PLoS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One 2016; 11(4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GB"/>
        </w:rPr>
        <w:t>):e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GB"/>
        </w:rPr>
        <w:t>0152735.</w:t>
      </w:r>
      <w:r w:rsidR="00A1465B"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proofErr w:type="gramStart"/>
      <w:r w:rsidR="00A1465B" w:rsidRPr="004920D9">
        <w:rPr>
          <w:rFonts w:asciiTheme="minorHAnsi" w:hAnsiTheme="minorHAnsi" w:cstheme="minorHAnsi"/>
          <w:sz w:val="24"/>
          <w:szCs w:val="24"/>
          <w:lang w:val="en-US"/>
        </w:rPr>
        <w:t>doi:10.1371/journal.pone</w:t>
      </w:r>
      <w:proofErr w:type="gramEnd"/>
      <w:r w:rsidR="00A1465B" w:rsidRPr="004920D9">
        <w:rPr>
          <w:rFonts w:asciiTheme="minorHAnsi" w:hAnsiTheme="minorHAnsi" w:cstheme="minorHAnsi"/>
          <w:sz w:val="24"/>
          <w:szCs w:val="24"/>
          <w:lang w:val="en-US"/>
        </w:rPr>
        <w:t>.0152735.</w:t>
      </w:r>
    </w:p>
    <w:p w14:paraId="6D1E87E1" w14:textId="1B1FCBEF" w:rsidR="00A1465B" w:rsidRPr="004920D9" w:rsidRDefault="00A1465B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Hankivsky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O. Women's health, men's health, and gender and health: implications of intersectionality. Soc Sci Med.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2012;74:1712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–20.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doi:10.1016/j.socscimed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.2011.11.029.</w:t>
      </w:r>
    </w:p>
    <w:p w14:paraId="60A46F3D" w14:textId="79674313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Heidari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S,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Babor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TF, Castro P de, Tort S,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Curno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M. Sex and Gender Equity in Research: rationale for the SAGER guidelines and recommended use. </w:t>
      </w:r>
      <w:r w:rsidRPr="004920D9">
        <w:rPr>
          <w:rFonts w:asciiTheme="minorHAnsi" w:hAnsiTheme="minorHAnsi" w:cstheme="minorHAnsi"/>
          <w:sz w:val="24"/>
          <w:szCs w:val="24"/>
        </w:rPr>
        <w:t xml:space="preserve">Res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Integr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 xml:space="preserve"> Peer Rev. </w:t>
      </w:r>
      <w:proofErr w:type="gramStart"/>
      <w:r w:rsidRPr="004920D9">
        <w:rPr>
          <w:rFonts w:asciiTheme="minorHAnsi" w:hAnsiTheme="minorHAnsi" w:cstheme="minorHAnsi"/>
          <w:sz w:val="24"/>
          <w:szCs w:val="24"/>
        </w:rPr>
        <w:t>2016;1:2</w:t>
      </w:r>
      <w:proofErr w:type="gramEnd"/>
      <w:r w:rsidRPr="004920D9">
        <w:rPr>
          <w:rFonts w:asciiTheme="minorHAnsi" w:hAnsiTheme="minorHAnsi" w:cstheme="minorHAnsi"/>
          <w:sz w:val="24"/>
          <w:szCs w:val="24"/>
        </w:rPr>
        <w:t>. doi:10.1186/s41073-016-0007-6.</w:t>
      </w:r>
    </w:p>
    <w:p w14:paraId="5D39C86F" w14:textId="03A9C891" w:rsidR="006D035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Hoffmann W, Latza U, Baumeister SE,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Brünger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 xml:space="preserve"> M, Buttmann-Schweiger N, Hardt J, et al. </w:t>
      </w: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Guidelines and recommendations for ensuring Good Epidemiological Practice (GEP): a guideline developed by the German Society for Epidemiology.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Eur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 xml:space="preserve"> J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Epidemiol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 xml:space="preserve">. </w:t>
      </w:r>
      <w:proofErr w:type="gramStart"/>
      <w:r w:rsidRPr="004920D9">
        <w:rPr>
          <w:rFonts w:asciiTheme="minorHAnsi" w:hAnsiTheme="minorHAnsi" w:cstheme="minorHAnsi"/>
          <w:sz w:val="24"/>
          <w:szCs w:val="24"/>
        </w:rPr>
        <w:t>2019;34:301</w:t>
      </w:r>
      <w:proofErr w:type="gramEnd"/>
      <w:r w:rsidRPr="004920D9">
        <w:rPr>
          <w:rFonts w:asciiTheme="minorHAnsi" w:hAnsiTheme="minorHAnsi" w:cstheme="minorHAnsi"/>
          <w:sz w:val="24"/>
          <w:szCs w:val="24"/>
        </w:rPr>
        <w:t>–17. doi:10.1007/s10654-019-00500-x.</w:t>
      </w:r>
    </w:p>
    <w:p w14:paraId="62591E07" w14:textId="7AAFB593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Jahn I. Die Berücksichtigung der Geschlechterperspektive: Neue Chancen für Qualitätsverbesserungen in Epidemiologie und Gesundheitsforschung. </w:t>
      </w: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[Taking into consideration gender and sex. New chances to improve the quality of epidemiological and health research]. </w:t>
      </w:r>
      <w:r w:rsidRPr="004920D9">
        <w:rPr>
          <w:rFonts w:asciiTheme="minorHAnsi" w:hAnsiTheme="minorHAnsi" w:cstheme="minorHAnsi"/>
          <w:sz w:val="24"/>
          <w:szCs w:val="24"/>
        </w:rPr>
        <w:t xml:space="preserve">Bundesgesundheitsblatt Gesundheitsforschung Gesundheitsschutz. </w:t>
      </w:r>
      <w:proofErr w:type="gramStart"/>
      <w:r w:rsidRPr="004920D9">
        <w:rPr>
          <w:rFonts w:asciiTheme="minorHAnsi" w:hAnsiTheme="minorHAnsi" w:cstheme="minorHAnsi"/>
          <w:sz w:val="24"/>
          <w:szCs w:val="24"/>
        </w:rPr>
        <w:t>2005;48:287</w:t>
      </w:r>
      <w:proofErr w:type="gramEnd"/>
      <w:r w:rsidRPr="004920D9">
        <w:rPr>
          <w:rFonts w:asciiTheme="minorHAnsi" w:hAnsiTheme="minorHAnsi" w:cstheme="minorHAnsi"/>
          <w:sz w:val="24"/>
          <w:szCs w:val="24"/>
        </w:rPr>
        <w:t>–95. doi:10.1007/s00103-004-0993-2.</w:t>
      </w:r>
    </w:p>
    <w:p w14:paraId="2EC7F59E" w14:textId="08304216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Jahn I. Geschlechtergerechte Gesundheitsforschung - Aktuelle Vorgaben der National Institutes </w:t>
      </w:r>
      <w:proofErr w:type="spellStart"/>
      <w:r w:rsidRPr="004920D9">
        <w:rPr>
          <w:rFonts w:asciiTheme="minorHAnsi" w:hAnsiTheme="minorHAnsi" w:cstheme="minorHAnsi"/>
          <w:sz w:val="24"/>
          <w:szCs w:val="24"/>
        </w:rPr>
        <w:t>of</w:t>
      </w:r>
      <w:proofErr w:type="spellEnd"/>
      <w:r w:rsidRPr="004920D9">
        <w:rPr>
          <w:rFonts w:asciiTheme="minorHAnsi" w:hAnsiTheme="minorHAnsi" w:cstheme="minorHAnsi"/>
          <w:sz w:val="24"/>
          <w:szCs w:val="24"/>
        </w:rPr>
        <w:t xml:space="preserve"> Health in den USA können neuen Schwung auch nach Deutschland bringen - Diskussionsbeitrag. </w:t>
      </w: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[Sex/Gender-Responsive Health Research: New Funding Guidelines of the USA National Institutes of Health Can Bring a New Impetus to Germany].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Gesundheitswesen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2016;78:469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–72. doi:10.1055/s-0042-106647.</w:t>
      </w:r>
    </w:p>
    <w:p w14:paraId="03769DD0" w14:textId="1A66994A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lastRenderedPageBreak/>
        <w:t xml:space="preserve">Johnson JL, Greaves L,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Repta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R. Better science with sex and gender: Facilitating the use of a sex and gender-based analysis in health research. Int J Equity Health.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2009;8:14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 doi:10.1186/1475-9276-8-14.</w:t>
      </w:r>
    </w:p>
    <w:p w14:paraId="2C620CAD" w14:textId="587C8222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Johnson JL,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Repta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R. Sex and Gender: Beyond the Binaries. In: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Oliffe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JL, Greaves L, editors. Designing and conducting gender, sex, and health research. Thousand Oaks: SAGE Publications, Inc; 2012. p. 17–38. doi:10.4135/9781452230610.n2.</w:t>
      </w:r>
    </w:p>
    <w:p w14:paraId="442B7E66" w14:textId="77777777" w:rsidR="003725A0" w:rsidRPr="004920D9" w:rsidRDefault="003725A0" w:rsidP="003725A0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  <w:bookmarkStart w:id="5" w:name="_CTVL001ecea406d283b4a238db66ac31e6031ef"/>
      <w:r w:rsidRPr="004920D9">
        <w:rPr>
          <w:rFonts w:asciiTheme="minorHAnsi" w:hAnsiTheme="minorHAnsi" w:cstheme="minorHAnsi"/>
        </w:rPr>
        <w:t xml:space="preserve">Johnson JL, </w:t>
      </w:r>
      <w:proofErr w:type="spellStart"/>
      <w:r w:rsidRPr="004920D9">
        <w:rPr>
          <w:rFonts w:asciiTheme="minorHAnsi" w:hAnsiTheme="minorHAnsi" w:cstheme="minorHAnsi"/>
        </w:rPr>
        <w:t>Repta</w:t>
      </w:r>
      <w:proofErr w:type="spellEnd"/>
      <w:r w:rsidRPr="004920D9">
        <w:rPr>
          <w:rFonts w:asciiTheme="minorHAnsi" w:hAnsiTheme="minorHAnsi" w:cstheme="minorHAnsi"/>
        </w:rPr>
        <w:t xml:space="preserve"> R, Kalyan S. Implications of Sex and Gender for Health Research: From Concepts to Study Design. In: </w:t>
      </w:r>
      <w:proofErr w:type="spellStart"/>
      <w:r w:rsidRPr="004920D9">
        <w:rPr>
          <w:rFonts w:asciiTheme="minorHAnsi" w:hAnsiTheme="minorHAnsi" w:cstheme="minorHAnsi"/>
        </w:rPr>
        <w:t>Oliffe</w:t>
      </w:r>
      <w:proofErr w:type="spellEnd"/>
      <w:r w:rsidRPr="004920D9">
        <w:rPr>
          <w:rFonts w:asciiTheme="minorHAnsi" w:hAnsiTheme="minorHAnsi" w:cstheme="minorHAnsi"/>
        </w:rPr>
        <w:t xml:space="preserve"> JL, Greaves L, editors. Designing and conducting gender, sex, and health research. Thousand Oaks: SAGE Publications, Inc; 2012. p. 39–64. doi:10.4135/9781452230610.n3.</w:t>
      </w:r>
    </w:p>
    <w:p w14:paraId="01A05E8E" w14:textId="77777777" w:rsidR="003725A0" w:rsidRPr="004920D9" w:rsidRDefault="003725A0" w:rsidP="00617976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</w:p>
    <w:p w14:paraId="2807F939" w14:textId="77777777" w:rsidR="003725A0" w:rsidRPr="004920D9" w:rsidRDefault="003725A0" w:rsidP="003725A0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  <w:bookmarkStart w:id="6" w:name="_CTVL001f5b950093b764c7490fbef705a1b6345"/>
      <w:bookmarkEnd w:id="5"/>
      <w:proofErr w:type="spellStart"/>
      <w:r w:rsidRPr="004920D9">
        <w:rPr>
          <w:rFonts w:asciiTheme="minorHAnsi" w:hAnsiTheme="minorHAnsi" w:cstheme="minorHAnsi"/>
        </w:rPr>
        <w:t>Klinge</w:t>
      </w:r>
      <w:proofErr w:type="spellEnd"/>
      <w:r w:rsidRPr="004920D9">
        <w:rPr>
          <w:rFonts w:asciiTheme="minorHAnsi" w:hAnsiTheme="minorHAnsi" w:cstheme="minorHAnsi"/>
        </w:rPr>
        <w:t xml:space="preserve"> I. Gender perspectives in European research. </w:t>
      </w:r>
      <w:proofErr w:type="spellStart"/>
      <w:r w:rsidRPr="004920D9">
        <w:rPr>
          <w:rFonts w:asciiTheme="minorHAnsi" w:hAnsiTheme="minorHAnsi" w:cstheme="minorHAnsi"/>
        </w:rPr>
        <w:t>Pharmacol</w:t>
      </w:r>
      <w:proofErr w:type="spellEnd"/>
      <w:r w:rsidRPr="004920D9">
        <w:rPr>
          <w:rFonts w:asciiTheme="minorHAnsi" w:hAnsiTheme="minorHAnsi" w:cstheme="minorHAnsi"/>
        </w:rPr>
        <w:t xml:space="preserve"> Res. </w:t>
      </w:r>
      <w:proofErr w:type="gramStart"/>
      <w:r w:rsidRPr="004920D9">
        <w:rPr>
          <w:rFonts w:asciiTheme="minorHAnsi" w:hAnsiTheme="minorHAnsi" w:cstheme="minorHAnsi"/>
        </w:rPr>
        <w:t>2008;58:183</w:t>
      </w:r>
      <w:proofErr w:type="gramEnd"/>
      <w:r w:rsidRPr="004920D9">
        <w:rPr>
          <w:rFonts w:asciiTheme="minorHAnsi" w:hAnsiTheme="minorHAnsi" w:cstheme="minorHAnsi"/>
        </w:rPr>
        <w:t xml:space="preserve">–9. </w:t>
      </w:r>
      <w:proofErr w:type="gramStart"/>
      <w:r w:rsidRPr="004920D9">
        <w:rPr>
          <w:rFonts w:asciiTheme="minorHAnsi" w:hAnsiTheme="minorHAnsi" w:cstheme="minorHAnsi"/>
        </w:rPr>
        <w:t>doi:10.1016/j.phrs</w:t>
      </w:r>
      <w:proofErr w:type="gramEnd"/>
      <w:r w:rsidRPr="004920D9">
        <w:rPr>
          <w:rFonts w:asciiTheme="minorHAnsi" w:hAnsiTheme="minorHAnsi" w:cstheme="minorHAnsi"/>
        </w:rPr>
        <w:t>.2008.07.011.</w:t>
      </w:r>
    </w:p>
    <w:p w14:paraId="77A68BB2" w14:textId="77777777" w:rsidR="003725A0" w:rsidRPr="004920D9" w:rsidRDefault="003725A0" w:rsidP="00617976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</w:p>
    <w:bookmarkEnd w:id="6"/>
    <w:p w14:paraId="2778F023" w14:textId="7EEF0E9E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Klinge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I. Sex and gender in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biomedicine: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promises for women and men.: How incorporation of sex and gender in research will lead to a better health care. In: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Klinge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I,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Wiesemann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C, editors. Sex and Gender in Biomedicine: Theories, Methodologies, Results. Göttingen: Göttingen University Press; 2010. p. 15–32.</w:t>
      </w:r>
    </w:p>
    <w:p w14:paraId="400843D5" w14:textId="03D069D1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Ladd AL. Gendered Innovations in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Orthopaedic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Science: Sex, Lies, and Stereotype: In Praise of the Systematic Review. Clin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Orthop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Relat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Res.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2016;474:27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–30. doi:10.1007/s11999-015-4577-2.</w:t>
      </w:r>
    </w:p>
    <w:p w14:paraId="02E63755" w14:textId="330B851B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>Lawrence K, Rieder A. Methodologic and ethical ramifications of sex and gender differences in public health research. Gender Medicine. 2007;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4:S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96-S105. doi:10.1016/S1550-8579(07)80050-7.</w:t>
      </w:r>
    </w:p>
    <w:p w14:paraId="7D627AEA" w14:textId="3E280228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Leopold SS,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Beadling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L, Dobbs MB, Gebhardt MC,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Lotke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PA, Manner PA, et al. Fairness to all: gender and sex in scientific reporting. Clin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Orthop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Relat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Res.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2014;472:391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–2. doi:10.1007/s11999-013-3397-5.</w:t>
      </w:r>
    </w:p>
    <w:p w14:paraId="55373EC5" w14:textId="0FFE6E2C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McGregor AJ, Hasnain M, Sandberg K, Morrison MF, Berlin M, Trott J. How to study the impact of sex and gender in medical research: a review of resources. Biol Sex Differ.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2016;7:46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 doi:10.1186/s13293-016-0099-1.</w:t>
      </w:r>
    </w:p>
    <w:p w14:paraId="373DC998" w14:textId="47AD0CFC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Nielsen MW, Stefanick ML,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Peragine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D,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Neilands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TB, Ioannidis JPA,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Pilote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L, et al. Gender-related variables for health research. Biol Sex Differ.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2021;12:23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 doi:10.1186/s13293-021-00366-3.</w:t>
      </w:r>
    </w:p>
    <w:p w14:paraId="2D1EA8F2" w14:textId="7DE5CCDB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Nieuwenhoven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L,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Klinge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I. Gender awakening tool / bibliography: sex &amp; gender in research | Canadian Women's Health Network. 2007. https://cwhn.ca/en/node/43342. Accessed 25 Jun 2021.</w:t>
      </w:r>
    </w:p>
    <w:p w14:paraId="214A6D12" w14:textId="77777777" w:rsidR="003725A0" w:rsidRPr="004920D9" w:rsidRDefault="003725A0" w:rsidP="003725A0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  <w:bookmarkStart w:id="7" w:name="_CTVL001cd05e5bb132143a2bcb53978e9f7effc"/>
      <w:proofErr w:type="spellStart"/>
      <w:r w:rsidRPr="004920D9">
        <w:rPr>
          <w:rFonts w:asciiTheme="minorHAnsi" w:hAnsiTheme="minorHAnsi" w:cstheme="minorHAnsi"/>
        </w:rPr>
        <w:lastRenderedPageBreak/>
        <w:t>Nieuwenhoven</w:t>
      </w:r>
      <w:proofErr w:type="spellEnd"/>
      <w:r w:rsidRPr="004920D9">
        <w:rPr>
          <w:rFonts w:asciiTheme="minorHAnsi" w:hAnsiTheme="minorHAnsi" w:cstheme="minorHAnsi"/>
        </w:rPr>
        <w:t xml:space="preserve"> L, </w:t>
      </w:r>
      <w:proofErr w:type="spellStart"/>
      <w:r w:rsidRPr="004920D9">
        <w:rPr>
          <w:rFonts w:asciiTheme="minorHAnsi" w:hAnsiTheme="minorHAnsi" w:cstheme="minorHAnsi"/>
        </w:rPr>
        <w:t>Klinge</w:t>
      </w:r>
      <w:proofErr w:type="spellEnd"/>
      <w:r w:rsidRPr="004920D9">
        <w:rPr>
          <w:rFonts w:asciiTheme="minorHAnsi" w:hAnsiTheme="minorHAnsi" w:cstheme="minorHAnsi"/>
        </w:rPr>
        <w:t xml:space="preserve"> I. Scientific excellence in applying sex- and gender-sensitive methods in biomedical and health research. J </w:t>
      </w:r>
      <w:proofErr w:type="spellStart"/>
      <w:r w:rsidRPr="004920D9">
        <w:rPr>
          <w:rFonts w:asciiTheme="minorHAnsi" w:hAnsiTheme="minorHAnsi" w:cstheme="minorHAnsi"/>
        </w:rPr>
        <w:t>Womens</w:t>
      </w:r>
      <w:proofErr w:type="spellEnd"/>
      <w:r w:rsidRPr="004920D9">
        <w:rPr>
          <w:rFonts w:asciiTheme="minorHAnsi" w:hAnsiTheme="minorHAnsi" w:cstheme="minorHAnsi"/>
        </w:rPr>
        <w:t xml:space="preserve"> Health (</w:t>
      </w:r>
      <w:proofErr w:type="spellStart"/>
      <w:r w:rsidRPr="004920D9">
        <w:rPr>
          <w:rFonts w:asciiTheme="minorHAnsi" w:hAnsiTheme="minorHAnsi" w:cstheme="minorHAnsi"/>
        </w:rPr>
        <w:t>Larchmt</w:t>
      </w:r>
      <w:proofErr w:type="spellEnd"/>
      <w:r w:rsidRPr="004920D9">
        <w:rPr>
          <w:rFonts w:asciiTheme="minorHAnsi" w:hAnsiTheme="minorHAnsi" w:cstheme="minorHAnsi"/>
        </w:rPr>
        <w:t xml:space="preserve">). </w:t>
      </w:r>
      <w:proofErr w:type="gramStart"/>
      <w:r w:rsidRPr="004920D9">
        <w:rPr>
          <w:rFonts w:asciiTheme="minorHAnsi" w:hAnsiTheme="minorHAnsi" w:cstheme="minorHAnsi"/>
        </w:rPr>
        <w:t>2010;19:313</w:t>
      </w:r>
      <w:proofErr w:type="gramEnd"/>
      <w:r w:rsidRPr="004920D9">
        <w:rPr>
          <w:rFonts w:asciiTheme="minorHAnsi" w:hAnsiTheme="minorHAnsi" w:cstheme="minorHAnsi"/>
        </w:rPr>
        <w:t>–21. doi:10.1089/jwh.2008.1156.</w:t>
      </w:r>
    </w:p>
    <w:p w14:paraId="714B2C82" w14:textId="77777777" w:rsidR="003725A0" w:rsidRPr="004920D9" w:rsidRDefault="003725A0" w:rsidP="00617976">
      <w:pPr>
        <w:pStyle w:val="CitaviBibliographyEntry"/>
        <w:numPr>
          <w:ilvl w:val="0"/>
          <w:numId w:val="0"/>
        </w:numPr>
        <w:ind w:left="397" w:hanging="397"/>
        <w:rPr>
          <w:rFonts w:asciiTheme="minorHAnsi" w:hAnsiTheme="minorHAnsi" w:cstheme="minorHAnsi"/>
        </w:rPr>
      </w:pPr>
    </w:p>
    <w:bookmarkEnd w:id="7"/>
    <w:p w14:paraId="704D5241" w14:textId="3FC9299C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>NIH. Consideration of Sex as a Biological Variable in NIH-funded Research. 2015. https://www.genderportal.eu/resources/consideration-sex-biological-variable-nih-funded-research. Accessed 25 Jun 2021.</w:t>
      </w:r>
    </w:p>
    <w:p w14:paraId="4E3DDE35" w14:textId="2E031211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</w:rPr>
        <w:t xml:space="preserve">Rich-Edwards JW, Kaiser UB, Chen GL, Manson JE, Goldstein JM. </w:t>
      </w: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Sex and Gender Differences Research Design for Basic, Clinical, and Population Studies: Essentials for Investigators.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Endocr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Rev.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2018;39:424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–39. doi:10.1210/er.2017-00246.</w:t>
      </w:r>
    </w:p>
    <w:p w14:paraId="78DD79C3" w14:textId="0ACD4304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Rippon G, Jordan-Young R, Kaiser A, Fine C. Recommendations for sex/gender neuroimaging research: key principles and implications for research design, analysis, and interpretation. Front Hum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Neurosci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2014;8:650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 doi:10.3389/fnhum.2014.00650.</w:t>
      </w:r>
    </w:p>
    <w:p w14:paraId="4B195807" w14:textId="6E09EF4F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Ritz SA,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Antle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DM,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Côté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J,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Deroy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K,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Fraleigh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N, Messing K, et al. First steps for integrating sex and gender considerations into basic experimental biomedical research. FASEB J.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2014;28:4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–13. doi:10.1096/fj.13-233395.</w:t>
      </w:r>
    </w:p>
    <w:p w14:paraId="10DE4292" w14:textId="2AD2075D" w:rsidR="003725A0" w:rsidRPr="004920D9" w:rsidRDefault="003725A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Runnels V,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Tudiver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S,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Doull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M,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Boscoe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M. The challenges of including sex/gender analysis in systematic reviews: a qualitative survey. Syst Rev.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2014;3:33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 doi:10.1186/2046-4053-3-33.</w:t>
      </w:r>
    </w:p>
    <w:p w14:paraId="6ECECC9E" w14:textId="302B7CD8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Schiebinger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L,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Klinge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I. Gendered innovation in health and medicine. </w:t>
      </w:r>
      <w:r w:rsidRPr="004920D9">
        <w:rPr>
          <w:rFonts w:asciiTheme="minorHAnsi" w:hAnsiTheme="minorHAnsi" w:cstheme="minorHAnsi"/>
          <w:sz w:val="24"/>
          <w:szCs w:val="24"/>
        </w:rPr>
        <w:t xml:space="preserve">GENDER – Zeitschrift für Geschlecht, Kultur und Gesellschaft. </w:t>
      </w:r>
      <w:proofErr w:type="gramStart"/>
      <w:r w:rsidRPr="004920D9">
        <w:rPr>
          <w:rFonts w:asciiTheme="minorHAnsi" w:hAnsiTheme="minorHAnsi" w:cstheme="minorHAnsi"/>
          <w:sz w:val="24"/>
          <w:szCs w:val="24"/>
        </w:rPr>
        <w:t>2015;7:29</w:t>
      </w:r>
      <w:proofErr w:type="gramEnd"/>
      <w:r w:rsidRPr="004920D9">
        <w:rPr>
          <w:rFonts w:asciiTheme="minorHAnsi" w:hAnsiTheme="minorHAnsi" w:cstheme="minorHAnsi"/>
          <w:sz w:val="24"/>
          <w:szCs w:val="24"/>
        </w:rPr>
        <w:t>–50. doi:10.3224/gender.v7i2.19311.</w:t>
      </w:r>
    </w:p>
    <w:p w14:paraId="53902987" w14:textId="67C65CA7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Schiebinger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L,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Schraudner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M. Interdisciplinary Approaches to Achieving Gendered Innovations in Science, Medicine, and Engineering. Interdisciplinary Science Reviews.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2011;36:154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–67. doi:10.1179/030801811X13013181961518.</w:t>
      </w:r>
    </w:p>
    <w:p w14:paraId="1D166F98" w14:textId="28C13DE8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>Sex/Gender Methods Group. Addressing Sex and Gender in Systematic Reviews: Briefing Note. 2014. https://webcache.googleusercontent.com/search?q=cache:l8HpP-9q3C0J:https://methods.cochrane.org/sites/methods.cochrane.org.equity/files/public/uploads/KTBriefingNote_MSKFINAL.pdf+&amp;cd=1&amp;hl=de&amp;ct=clnk&amp;gl=de&amp;client=firefox-b-d. Accessed 25 Jun 2021.</w:t>
      </w:r>
    </w:p>
    <w:p w14:paraId="0EB1E3B9" w14:textId="38C1EB60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Smiler AP, Epstein M. Measuring Gender: Options and Issues. In: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Chrisler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JC, McCreary DR, editors. Handbook of gender research in psychology. New York, London: Springer; 2010. p. 133–157. doi:10.1007/978-1-4419-1465-1_7.</w:t>
      </w:r>
    </w:p>
    <w:p w14:paraId="5B1D8995" w14:textId="0DBB7868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Springer KW,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Mager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Stellman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J, Jordan-Young RM. Beyond a catalogue of differences: a theoretical frame and good practice guidelines for researching sex/gender in </w:t>
      </w:r>
      <w:r w:rsidRPr="004920D9">
        <w:rPr>
          <w:rFonts w:asciiTheme="minorHAnsi" w:hAnsiTheme="minorHAnsi" w:cstheme="minorHAnsi"/>
          <w:sz w:val="24"/>
          <w:szCs w:val="24"/>
          <w:lang w:val="en-US"/>
        </w:rPr>
        <w:lastRenderedPageBreak/>
        <w:t xml:space="preserve">human health. Soc Sci Med.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2012;74:1817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–24.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doi:10.1016/j.socscimed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.2011.05.033.</w:t>
      </w:r>
    </w:p>
    <w:p w14:paraId="2178A324" w14:textId="60E81389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Tadiri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CP,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Raparelli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V,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Abrahamowicz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M,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Kautzy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-Willer A,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Kublickiene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K, Herrero M-T, et al. Methods for prospectively incorporating gender into health sciences research. J Clin Epidemiol.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2021;129:191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–7.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doi:10.1016/j.jclinepi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.2020.08.018.</w:t>
      </w:r>
    </w:p>
    <w:p w14:paraId="7921585A" w14:textId="71C7CDED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Tannenbaum C, Greaves L, Graham ID. Why sex and gender matter in implementation research. BMC Med Res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Methodol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2016;16:145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 doi:10.1186/s12874-016-0247-7.</w:t>
      </w:r>
    </w:p>
    <w:p w14:paraId="69C5636C" w14:textId="1933EE64" w:rsidR="006D0350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Tomás C,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Yago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T,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Eguiluz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M, </w:t>
      </w:r>
      <w:proofErr w:type="spellStart"/>
      <w:r w:rsidRPr="004920D9">
        <w:rPr>
          <w:rFonts w:asciiTheme="minorHAnsi" w:hAnsiTheme="minorHAnsi" w:cstheme="minorHAnsi"/>
          <w:sz w:val="24"/>
          <w:szCs w:val="24"/>
          <w:lang w:val="en-US"/>
        </w:rPr>
        <w:t>Samitier</w:t>
      </w:r>
      <w:proofErr w:type="spell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 MAL, Oliveros T, Palacios G. A tool to assess sex-gender when selecting health research projects. Aten Primaria.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2015;47:220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 xml:space="preserve">–7. </w:t>
      </w:r>
      <w:proofErr w:type="gramStart"/>
      <w:r w:rsidRPr="004920D9">
        <w:rPr>
          <w:rFonts w:asciiTheme="minorHAnsi" w:hAnsiTheme="minorHAnsi" w:cstheme="minorHAnsi"/>
          <w:sz w:val="24"/>
          <w:szCs w:val="24"/>
          <w:lang w:val="en-US"/>
        </w:rPr>
        <w:t>doi:10.1016/j.aprim</w:t>
      </w:r>
      <w:proofErr w:type="gramEnd"/>
      <w:r w:rsidRPr="004920D9">
        <w:rPr>
          <w:rFonts w:asciiTheme="minorHAnsi" w:hAnsiTheme="minorHAnsi" w:cstheme="minorHAnsi"/>
          <w:sz w:val="24"/>
          <w:szCs w:val="24"/>
          <w:lang w:val="en-US"/>
        </w:rPr>
        <w:t>.2014.05.010.</w:t>
      </w:r>
    </w:p>
    <w:p w14:paraId="1604B0FE" w14:textId="30080CCB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>Victorian Government. Gender and diversity lens for health and human services Victorian Women’s Health and Wellbeing Strategy: Stage Two 2006–2010. 2008. www.health.vic.gov.au/vwhp. Accessed 20 Dec 2023.</w:t>
      </w:r>
    </w:p>
    <w:p w14:paraId="6A2E461A" w14:textId="3FDFA149" w:rsidR="006D0350" w:rsidRPr="004920D9" w:rsidRDefault="006D0350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WHO. Gender analysis in health: a review of selected tools: World Health Organization; 2002. Available from: URL: </w:t>
      </w:r>
      <w:r w:rsidR="00617976" w:rsidRPr="004920D9">
        <w:rPr>
          <w:rFonts w:asciiTheme="minorHAnsi" w:hAnsiTheme="minorHAnsi" w:cstheme="minorHAnsi"/>
          <w:sz w:val="24"/>
          <w:szCs w:val="24"/>
          <w:lang w:val="en-GB"/>
        </w:rPr>
        <w:t>https://apps.who.int/iris/handle/10665/42600</w:t>
      </w:r>
      <w:r w:rsidRPr="004920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="00617976" w:rsidRPr="004920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617976" w:rsidRPr="004920D9">
        <w:rPr>
          <w:rFonts w:asciiTheme="minorHAnsi" w:hAnsiTheme="minorHAnsi" w:cstheme="minorHAnsi"/>
          <w:sz w:val="24"/>
          <w:szCs w:val="24"/>
          <w:lang w:val="en-US"/>
        </w:rPr>
        <w:t>Accessed 20 Dec 2023.</w:t>
      </w:r>
    </w:p>
    <w:p w14:paraId="69955B0B" w14:textId="7FCE6ADE" w:rsidR="00617976" w:rsidRPr="004920D9" w:rsidRDefault="00617976" w:rsidP="00085EB6">
      <w:pPr>
        <w:ind w:left="425" w:hanging="425"/>
        <w:rPr>
          <w:rFonts w:asciiTheme="minorHAnsi" w:hAnsiTheme="minorHAnsi" w:cstheme="min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US"/>
        </w:rPr>
        <w:t>WHO. Incorporating intersectional gender analysis into research on infectious diseases of poverty: a toolkit for health researchers. Geneva, Switzerland: World Health Organization; 2020.</w:t>
      </w:r>
    </w:p>
    <w:p w14:paraId="061EDE39" w14:textId="1ACA12DC" w:rsidR="006D0350" w:rsidRPr="00617976" w:rsidRDefault="006D0350" w:rsidP="00085EB6">
      <w:pPr>
        <w:ind w:left="425" w:hanging="425"/>
        <w:rPr>
          <w:rFonts w:asciiTheme="majorHAnsi" w:hAnsiTheme="majorHAnsi" w:cstheme="majorHAnsi"/>
          <w:sz w:val="24"/>
          <w:szCs w:val="24"/>
          <w:lang w:val="en-GB"/>
        </w:rPr>
      </w:pPr>
      <w:r w:rsidRPr="004920D9">
        <w:rPr>
          <w:rFonts w:asciiTheme="minorHAnsi" w:hAnsiTheme="minorHAnsi" w:cstheme="minorHAnsi"/>
          <w:sz w:val="24"/>
          <w:szCs w:val="24"/>
          <w:lang w:val="en-GB"/>
        </w:rPr>
        <w:t>Zeitler JUS. Sex/Gender equitable healthcare: Attention, challenges, and recommendations for a sex and gender sensitive approach in guideline development- using the example of German National Disease Management Guid</w:t>
      </w:r>
      <w:r w:rsidRPr="00617976">
        <w:rPr>
          <w:rFonts w:asciiTheme="majorHAnsi" w:hAnsiTheme="majorHAnsi" w:cstheme="majorHAnsi"/>
          <w:sz w:val="24"/>
          <w:szCs w:val="24"/>
          <w:lang w:val="en-GB"/>
        </w:rPr>
        <w:t>elines [Dissertation]. Osnabrück: Universität Osnabrück; 2018.</w:t>
      </w:r>
    </w:p>
    <w:sectPr w:rsidR="006D0350" w:rsidRPr="00617976" w:rsidSect="00780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DCD54" w14:textId="77777777" w:rsidR="00E546B0" w:rsidRDefault="00E546B0" w:rsidP="00E42FD5">
      <w:pPr>
        <w:spacing w:after="0" w:line="240" w:lineRule="auto"/>
      </w:pPr>
      <w:r>
        <w:separator/>
      </w:r>
    </w:p>
  </w:endnote>
  <w:endnote w:type="continuationSeparator" w:id="0">
    <w:p w14:paraId="437E7E85" w14:textId="77777777" w:rsidR="00E546B0" w:rsidRDefault="00E546B0" w:rsidP="00E42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C955" w14:textId="77777777" w:rsidR="00E42FD5" w:rsidRDefault="00E42FD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2350209"/>
      <w:docPartObj>
        <w:docPartGallery w:val="Page Numbers (Bottom of Page)"/>
        <w:docPartUnique/>
      </w:docPartObj>
    </w:sdtPr>
    <w:sdtContent>
      <w:p w14:paraId="6E2A36FA" w14:textId="6D85338C" w:rsidR="00E42FD5" w:rsidRDefault="00E42FD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796DF8" w14:textId="77777777" w:rsidR="00E42FD5" w:rsidRDefault="00E42FD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31CA4" w14:textId="77777777" w:rsidR="00E42FD5" w:rsidRDefault="00E42F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16901" w14:textId="77777777" w:rsidR="00E546B0" w:rsidRDefault="00E546B0" w:rsidP="00E42FD5">
      <w:pPr>
        <w:spacing w:after="0" w:line="240" w:lineRule="auto"/>
      </w:pPr>
      <w:r>
        <w:separator/>
      </w:r>
    </w:p>
  </w:footnote>
  <w:footnote w:type="continuationSeparator" w:id="0">
    <w:p w14:paraId="2237B069" w14:textId="77777777" w:rsidR="00E546B0" w:rsidRDefault="00E546B0" w:rsidP="00E42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ACBCE" w14:textId="77777777" w:rsidR="00E42FD5" w:rsidRDefault="00E42F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E1CC" w14:textId="77777777" w:rsidR="00E42FD5" w:rsidRDefault="00E42FD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C6A8C" w14:textId="77777777" w:rsidR="00E42FD5" w:rsidRDefault="00E42F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55FAC"/>
    <w:multiLevelType w:val="hybridMultilevel"/>
    <w:tmpl w:val="F5A43ED0"/>
    <w:lvl w:ilvl="0" w:tplc="E8324F4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B5E800A0">
      <w:start w:val="1"/>
      <w:numFmt w:val="bullet"/>
      <w:pStyle w:val="CitaviBibliographyEntry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19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trackRevisio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41"/>
    <w:rsid w:val="00085EB6"/>
    <w:rsid w:val="000C71C1"/>
    <w:rsid w:val="00212799"/>
    <w:rsid w:val="003725A0"/>
    <w:rsid w:val="003D0C46"/>
    <w:rsid w:val="004920D9"/>
    <w:rsid w:val="004E117C"/>
    <w:rsid w:val="004F504F"/>
    <w:rsid w:val="005710E6"/>
    <w:rsid w:val="005721DD"/>
    <w:rsid w:val="005F6690"/>
    <w:rsid w:val="00617976"/>
    <w:rsid w:val="00637079"/>
    <w:rsid w:val="006D0350"/>
    <w:rsid w:val="00730159"/>
    <w:rsid w:val="00780225"/>
    <w:rsid w:val="008064CB"/>
    <w:rsid w:val="00A1465B"/>
    <w:rsid w:val="00A759F9"/>
    <w:rsid w:val="00AE3487"/>
    <w:rsid w:val="00C53D24"/>
    <w:rsid w:val="00CA1960"/>
    <w:rsid w:val="00DA4192"/>
    <w:rsid w:val="00DF7AE2"/>
    <w:rsid w:val="00E42FD5"/>
    <w:rsid w:val="00E546B0"/>
    <w:rsid w:val="00E761A7"/>
    <w:rsid w:val="00ED6E62"/>
    <w:rsid w:val="00EE4B41"/>
    <w:rsid w:val="00FD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1C4A"/>
  <w15:chartTrackingRefBased/>
  <w15:docId w15:val="{78907D15-F026-457E-8F55-EB6F46C3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761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761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761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761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761A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761A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761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761A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itaviBibliographyHeading">
    <w:name w:val="Citavi Bibliography Heading"/>
    <w:basedOn w:val="Listenabsatz"/>
    <w:link w:val="CitaviBibliographyHeadingZchn"/>
    <w:uiPriority w:val="99"/>
    <w:rsid w:val="005F6690"/>
    <w:pPr>
      <w:autoSpaceDE w:val="0"/>
      <w:autoSpaceDN w:val="0"/>
      <w:adjustRightInd w:val="0"/>
      <w:spacing w:after="0" w:line="240" w:lineRule="auto"/>
      <w:ind w:left="1440" w:hanging="360"/>
    </w:pPr>
    <w:rPr>
      <w:rFonts w:ascii="Calibri Light" w:hAnsi="Calibri Light" w:cs="Calibri Light"/>
      <w:sz w:val="24"/>
      <w:szCs w:val="24"/>
      <w:lang w:val="en-US"/>
    </w:rPr>
  </w:style>
  <w:style w:type="character" w:customStyle="1" w:styleId="CitaviBibliographyHeadingZchn">
    <w:name w:val="Citavi Bibliography Heading Zchn"/>
    <w:link w:val="CitaviBibliographyHeading"/>
    <w:uiPriority w:val="99"/>
    <w:rsid w:val="005F6690"/>
    <w:rPr>
      <w:rFonts w:ascii="Calibri Light" w:hAnsi="Calibri Light" w:cs="Calibri Light"/>
      <w:sz w:val="24"/>
      <w:szCs w:val="24"/>
      <w:lang w:val="en-US" w:eastAsia="en-US"/>
    </w:rPr>
  </w:style>
  <w:style w:type="paragraph" w:customStyle="1" w:styleId="CitaviBibliographyEntry">
    <w:name w:val="Citavi Bibliography Entry"/>
    <w:basedOn w:val="Listenabsatz"/>
    <w:link w:val="CitaviBibliographyEntryZchn"/>
    <w:uiPriority w:val="99"/>
    <w:rsid w:val="005F6690"/>
    <w:pPr>
      <w:numPr>
        <w:ilvl w:val="1"/>
        <w:numId w:val="1"/>
      </w:numPr>
      <w:tabs>
        <w:tab w:val="left" w:pos="397"/>
      </w:tabs>
      <w:autoSpaceDE w:val="0"/>
      <w:autoSpaceDN w:val="0"/>
      <w:adjustRightInd w:val="0"/>
      <w:spacing w:after="0" w:line="240" w:lineRule="auto"/>
      <w:ind w:left="397" w:hanging="397"/>
      <w:contextualSpacing w:val="0"/>
    </w:pPr>
    <w:rPr>
      <w:rFonts w:ascii="Calibri Light" w:hAnsi="Calibri Light" w:cs="Calibri Light"/>
      <w:sz w:val="24"/>
      <w:szCs w:val="24"/>
      <w:lang w:val="en-US"/>
    </w:rPr>
  </w:style>
  <w:style w:type="character" w:customStyle="1" w:styleId="CitaviBibliographyEntryZchn">
    <w:name w:val="Citavi Bibliography Entry Zchn"/>
    <w:link w:val="CitaviBibliographyEntry"/>
    <w:uiPriority w:val="99"/>
    <w:rsid w:val="005F6690"/>
    <w:rPr>
      <w:rFonts w:ascii="Calibri Light" w:hAnsi="Calibri Light" w:cs="Calibri Light"/>
      <w:sz w:val="24"/>
      <w:szCs w:val="24"/>
      <w:lang w:val="en-US" w:eastAsia="en-US"/>
    </w:rPr>
  </w:style>
  <w:style w:type="paragraph" w:styleId="Listenabsatz">
    <w:name w:val="List Paragraph"/>
    <w:basedOn w:val="Standard"/>
    <w:uiPriority w:val="34"/>
    <w:qFormat/>
    <w:rsid w:val="005F6690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761A7"/>
    <w:rPr>
      <w:color w:val="808080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E761A7"/>
  </w:style>
  <w:style w:type="character" w:customStyle="1" w:styleId="CitaviChapterBibliographyHeadingZchn">
    <w:name w:val="Citavi Chapter Bibliography Heading Zchn"/>
    <w:basedOn w:val="CitaviBibliographyEntryZchn"/>
    <w:link w:val="CitaviChapterBibliographyHeading"/>
    <w:uiPriority w:val="99"/>
    <w:rsid w:val="00E761A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761A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E761A7"/>
    <w:pPr>
      <w:ind w:left="397" w:hanging="397"/>
      <w:outlineLvl w:val="9"/>
    </w:pPr>
    <w:rPr>
      <w:lang w:val="en-GB"/>
    </w:rPr>
  </w:style>
  <w:style w:type="character" w:customStyle="1" w:styleId="CitaviBibliographySubheading1Zchn">
    <w:name w:val="Citavi Bibliography Subheading 1 Zchn"/>
    <w:basedOn w:val="CitaviBibliographyEntryZchn"/>
    <w:link w:val="CitaviBibliographySubheading1"/>
    <w:uiPriority w:val="99"/>
    <w:rsid w:val="00E761A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E761A7"/>
    <w:pPr>
      <w:ind w:left="397" w:hanging="397"/>
      <w:outlineLvl w:val="9"/>
    </w:pPr>
    <w:rPr>
      <w:lang w:val="en-GB"/>
    </w:rPr>
  </w:style>
  <w:style w:type="character" w:customStyle="1" w:styleId="CitaviBibliographySubheading2Zchn">
    <w:name w:val="Citavi Bibliography Subheading 2 Zchn"/>
    <w:basedOn w:val="CitaviBibliographyEntryZchn"/>
    <w:link w:val="CitaviBibliographySubheading2"/>
    <w:uiPriority w:val="99"/>
    <w:rsid w:val="00E761A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761A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E761A7"/>
    <w:pPr>
      <w:ind w:left="397" w:hanging="397"/>
      <w:outlineLvl w:val="9"/>
    </w:pPr>
    <w:rPr>
      <w:lang w:val="en-GB"/>
    </w:rPr>
  </w:style>
  <w:style w:type="character" w:customStyle="1" w:styleId="CitaviBibliographySubheading3Zchn">
    <w:name w:val="Citavi Bibliography Subheading 3 Zchn"/>
    <w:basedOn w:val="CitaviBibliographyEntryZchn"/>
    <w:link w:val="CitaviBibliographySubheading3"/>
    <w:uiPriority w:val="99"/>
    <w:rsid w:val="00E761A7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GB"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761A7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E761A7"/>
    <w:pPr>
      <w:ind w:left="397" w:hanging="397"/>
      <w:outlineLvl w:val="9"/>
    </w:pPr>
    <w:rPr>
      <w:lang w:val="en-GB"/>
    </w:rPr>
  </w:style>
  <w:style w:type="character" w:customStyle="1" w:styleId="CitaviBibliographySubheading4Zchn">
    <w:name w:val="Citavi Bibliography Subheading 4 Zchn"/>
    <w:basedOn w:val="CitaviBibliographyEntryZchn"/>
    <w:link w:val="CitaviBibliographySubheading4"/>
    <w:uiPriority w:val="99"/>
    <w:rsid w:val="00E761A7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761A7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E761A7"/>
    <w:pPr>
      <w:ind w:left="397" w:hanging="397"/>
      <w:outlineLvl w:val="9"/>
    </w:pPr>
    <w:rPr>
      <w:lang w:val="en-GB"/>
    </w:rPr>
  </w:style>
  <w:style w:type="character" w:customStyle="1" w:styleId="CitaviBibliographySubheading5Zchn">
    <w:name w:val="Citavi Bibliography Subheading 5 Zchn"/>
    <w:basedOn w:val="CitaviBibliographyEntryZchn"/>
    <w:link w:val="CitaviBibliographySubheading5"/>
    <w:uiPriority w:val="99"/>
    <w:rsid w:val="00E761A7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GB"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761A7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E761A7"/>
    <w:pPr>
      <w:ind w:left="397" w:hanging="397"/>
      <w:outlineLvl w:val="9"/>
    </w:pPr>
    <w:rPr>
      <w:lang w:val="en-GB"/>
    </w:rPr>
  </w:style>
  <w:style w:type="character" w:customStyle="1" w:styleId="CitaviBibliographySubheading6Zchn">
    <w:name w:val="Citavi Bibliography Subheading 6 Zchn"/>
    <w:basedOn w:val="CitaviBibliographyEntryZchn"/>
    <w:link w:val="CitaviBibliographySubheading6"/>
    <w:uiPriority w:val="99"/>
    <w:rsid w:val="00E761A7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GB"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761A7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E761A7"/>
    <w:pPr>
      <w:ind w:left="397" w:hanging="397"/>
      <w:outlineLvl w:val="9"/>
    </w:pPr>
    <w:rPr>
      <w:lang w:val="en-GB"/>
    </w:rPr>
  </w:style>
  <w:style w:type="character" w:customStyle="1" w:styleId="CitaviBibliographySubheading7Zchn">
    <w:name w:val="Citavi Bibliography Subheading 7 Zchn"/>
    <w:basedOn w:val="CitaviBibliographyEntryZchn"/>
    <w:link w:val="CitaviBibliographySubheading7"/>
    <w:uiPriority w:val="99"/>
    <w:rsid w:val="00E761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761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E761A7"/>
    <w:pPr>
      <w:ind w:left="397" w:hanging="397"/>
      <w:outlineLvl w:val="9"/>
    </w:pPr>
    <w:rPr>
      <w:lang w:val="en-GB"/>
    </w:rPr>
  </w:style>
  <w:style w:type="character" w:customStyle="1" w:styleId="CitaviBibliographySubheading8Zchn">
    <w:name w:val="Citavi Bibliography Subheading 8 Zchn"/>
    <w:basedOn w:val="CitaviBibliographyEntryZchn"/>
    <w:link w:val="CitaviBibliographySubheading8"/>
    <w:uiPriority w:val="99"/>
    <w:rsid w:val="00E761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761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E42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2FD5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E42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2FD5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3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3487"/>
    <w:rPr>
      <w:rFonts w:ascii="Segoe UI" w:hAnsi="Segoe UI" w:cs="Segoe UI"/>
      <w:sz w:val="18"/>
      <w:szCs w:val="18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E348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E348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E3487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E348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E3487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ED6E62"/>
    <w:rPr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ED6E6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D6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1802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Hartig</dc:creator>
  <cp:keywords/>
  <dc:description/>
  <cp:lastModifiedBy>Sophie Horstmann</cp:lastModifiedBy>
  <cp:revision>3</cp:revision>
  <dcterms:created xsi:type="dcterms:W3CDTF">2023-12-23T11:01:00Z</dcterms:created>
  <dcterms:modified xsi:type="dcterms:W3CDTF">2023-12-23T15:43:00Z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CloudProjectKey=dpmhmk94e1xbnf7264jnhmiuxy09ykc5siwk5; ProjectName=Paper Checklist</vt:lpwstr>
  </property>
  <property fmtid="{D5CDD505-2E9C-101B-9397-08002B2CF9AE}" pid="3" name="CitaviDocumentProperty_7">
    <vt:lpwstr>Paper Checklist</vt:lpwstr>
  </property>
  <property fmtid="{D5CDD505-2E9C-101B-9397-08002B2CF9AE}" pid="4" name="CitaviDocumentProperty_0">
    <vt:lpwstr>70e7de8a-a438-412a-be40-b9224aaa8f12</vt:lpwstr>
  </property>
  <property fmtid="{D5CDD505-2E9C-101B-9397-08002B2CF9AE}" pid="5" name="CitaviDocumentProperty_6">
    <vt:lpwstr>True</vt:lpwstr>
  </property>
  <property fmtid="{D5CDD505-2E9C-101B-9397-08002B2CF9AE}" pid="6" name="CitaviDocumentProperty_1">
    <vt:lpwstr>6.17.0.0</vt:lpwstr>
  </property>
</Properties>
</file>