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4DEC6E3" w14:textId="77777777" w:rsidR="00CD7491" w:rsidRPr="003A3035" w:rsidRDefault="00CD7491" w:rsidP="00CD7491">
      <w:pPr>
        <w:keepNext/>
        <w:keepLines/>
        <w:pBdr>
          <w:top w:val="nil"/>
          <w:left w:val="nil"/>
          <w:bottom w:val="nil"/>
          <w:right w:val="nil"/>
          <w:between w:val="nil"/>
        </w:pBdr>
        <w:rPr>
          <w:b/>
          <w:sz w:val="28"/>
          <w:szCs w:val="28"/>
        </w:rPr>
      </w:pPr>
      <w:r w:rsidRPr="003A3035">
        <w:rPr>
          <w:b/>
          <w:sz w:val="28"/>
          <w:szCs w:val="28"/>
        </w:rPr>
        <w:t>Supplementary materials</w:t>
      </w:r>
    </w:p>
    <w:p w14:paraId="4698AD42" w14:textId="59727CDB" w:rsidR="00BF6C1C" w:rsidRPr="003A3035" w:rsidRDefault="005B0A18" w:rsidP="00CD7491">
      <w:pPr>
        <w:keepNext/>
        <w:keepLines/>
        <w:pBdr>
          <w:top w:val="nil"/>
          <w:left w:val="nil"/>
          <w:bottom w:val="nil"/>
          <w:right w:val="nil"/>
          <w:between w:val="nil"/>
        </w:pBdr>
        <w:rPr>
          <w:bCs/>
          <w:i/>
          <w:iCs/>
          <w:sz w:val="24"/>
          <w:szCs w:val="24"/>
        </w:rPr>
      </w:pPr>
      <w:r w:rsidRPr="003A3035">
        <w:rPr>
          <w:bCs/>
          <w:i/>
          <w:iCs/>
          <w:sz w:val="24"/>
          <w:szCs w:val="24"/>
        </w:rPr>
        <w:t xml:space="preserve">Addressing challenges with Matching-Adjusted Indirect Comparisons to demonstrate the comparative effectiveness of </w:t>
      </w:r>
      <w:proofErr w:type="spellStart"/>
      <w:r w:rsidRPr="003A3035">
        <w:rPr>
          <w:bCs/>
          <w:i/>
          <w:iCs/>
          <w:sz w:val="24"/>
          <w:szCs w:val="24"/>
        </w:rPr>
        <w:t>entrectinib</w:t>
      </w:r>
      <w:proofErr w:type="spellEnd"/>
      <w:r w:rsidRPr="003A3035">
        <w:rPr>
          <w:bCs/>
          <w:i/>
          <w:iCs/>
          <w:sz w:val="24"/>
          <w:szCs w:val="24"/>
        </w:rPr>
        <w:t xml:space="preserve"> in metastatic ROS-1 positive Non-Small Cell Lung Cancer</w:t>
      </w:r>
    </w:p>
    <w:p w14:paraId="0B56ABB7" w14:textId="77777777" w:rsidR="00BF6C1C" w:rsidRPr="003A3035" w:rsidRDefault="00BF6C1C" w:rsidP="00CD7491">
      <w:pPr>
        <w:keepNext/>
        <w:keepLines/>
        <w:pBdr>
          <w:top w:val="nil"/>
          <w:left w:val="nil"/>
          <w:bottom w:val="nil"/>
          <w:right w:val="nil"/>
          <w:between w:val="nil"/>
        </w:pBdr>
        <w:rPr>
          <w:b/>
          <w:sz w:val="28"/>
          <w:szCs w:val="28"/>
        </w:rPr>
      </w:pPr>
    </w:p>
    <w:sdt>
      <w:sdtPr>
        <w:rPr>
          <w:rFonts w:ascii="Times New Roman" w:eastAsia="Times New Roman" w:hAnsi="Times New Roman" w:cs="Times New Roman"/>
          <w:color w:val="000000"/>
          <w:sz w:val="22"/>
          <w:szCs w:val="22"/>
          <w:lang w:val="en-US" w:eastAsia="en-CA"/>
        </w:rPr>
        <w:id w:val="453823477"/>
        <w:docPartObj>
          <w:docPartGallery w:val="Table of Contents"/>
          <w:docPartUnique/>
        </w:docPartObj>
      </w:sdtPr>
      <w:sdtEndPr>
        <w:rPr>
          <w:color w:val="000000" w:themeColor="text1"/>
        </w:rPr>
      </w:sdtEndPr>
      <w:sdtContent>
        <w:p w14:paraId="331B0689" w14:textId="369FAA59" w:rsidR="00CD7491" w:rsidRPr="003A3035" w:rsidRDefault="00CD7491">
          <w:pPr>
            <w:pStyle w:val="En-ttedetabledesmatires"/>
            <w:rPr>
              <w:rFonts w:ascii="Times New Roman" w:hAnsi="Times New Roman" w:cs="Times New Roman"/>
            </w:rPr>
          </w:pPr>
        </w:p>
        <w:p w14:paraId="2A965C4B" w14:textId="226D9910" w:rsidR="00A15893" w:rsidRDefault="00395ED0">
          <w:pPr>
            <w:pStyle w:val="TM1"/>
            <w:tabs>
              <w:tab w:val="left" w:pos="480"/>
              <w:tab w:val="right" w:leader="dot" w:pos="9344"/>
            </w:tabs>
            <w:rPr>
              <w:rFonts w:asciiTheme="minorHAnsi" w:eastAsiaTheme="minorEastAsia" w:hAnsiTheme="minorHAnsi" w:cstheme="minorBidi"/>
              <w:noProof/>
              <w:color w:val="auto"/>
              <w:kern w:val="2"/>
              <w:sz w:val="24"/>
              <w:szCs w:val="24"/>
              <w:lang w:val="fr-FR" w:eastAsia="fr-FR"/>
              <w14:ligatures w14:val="standardContextual"/>
            </w:rPr>
          </w:pPr>
          <w:r w:rsidRPr="003A3035">
            <w:fldChar w:fldCharType="begin"/>
          </w:r>
          <w:r w:rsidR="00CD7491" w:rsidRPr="003A3035">
            <w:instrText>TOC \o "1-3" \z \u \h</w:instrText>
          </w:r>
          <w:r w:rsidRPr="003A3035">
            <w:fldChar w:fldCharType="separate"/>
          </w:r>
          <w:hyperlink w:anchor="_Toc181224694" w:history="1">
            <w:r w:rsidR="00A15893" w:rsidRPr="004F4AAD">
              <w:rPr>
                <w:rStyle w:val="Lienhypertexte"/>
                <w:noProof/>
              </w:rPr>
              <w:t>A.</w:t>
            </w:r>
            <w:r w:rsidR="00A15893">
              <w:rPr>
                <w:rFonts w:asciiTheme="minorHAnsi" w:eastAsiaTheme="minorEastAsia" w:hAnsiTheme="minorHAnsi" w:cstheme="minorBidi"/>
                <w:noProof/>
                <w:color w:val="auto"/>
                <w:kern w:val="2"/>
                <w:sz w:val="24"/>
                <w:szCs w:val="24"/>
                <w:lang w:val="fr-FR" w:eastAsia="fr-FR"/>
                <w14:ligatures w14:val="standardContextual"/>
              </w:rPr>
              <w:tab/>
            </w:r>
            <w:r w:rsidR="00A15893" w:rsidRPr="004F4AAD">
              <w:rPr>
                <w:rStyle w:val="Lienhypertexte"/>
                <w:noProof/>
              </w:rPr>
              <w:t>Population data sources</w:t>
            </w:r>
            <w:r w:rsidR="00A15893">
              <w:rPr>
                <w:noProof/>
                <w:webHidden/>
              </w:rPr>
              <w:tab/>
            </w:r>
            <w:r w:rsidR="00A15893">
              <w:rPr>
                <w:noProof/>
                <w:webHidden/>
              </w:rPr>
              <w:fldChar w:fldCharType="begin"/>
            </w:r>
            <w:r w:rsidR="00A15893">
              <w:rPr>
                <w:noProof/>
                <w:webHidden/>
              </w:rPr>
              <w:instrText xml:space="preserve"> PAGEREF _Toc181224694 \h </w:instrText>
            </w:r>
            <w:r w:rsidR="00A15893">
              <w:rPr>
                <w:noProof/>
                <w:webHidden/>
              </w:rPr>
            </w:r>
            <w:r w:rsidR="00A15893">
              <w:rPr>
                <w:noProof/>
                <w:webHidden/>
              </w:rPr>
              <w:fldChar w:fldCharType="separate"/>
            </w:r>
            <w:r w:rsidR="00712301">
              <w:rPr>
                <w:noProof/>
                <w:webHidden/>
              </w:rPr>
              <w:t>2</w:t>
            </w:r>
            <w:r w:rsidR="00A15893">
              <w:rPr>
                <w:noProof/>
                <w:webHidden/>
              </w:rPr>
              <w:fldChar w:fldCharType="end"/>
            </w:r>
          </w:hyperlink>
        </w:p>
        <w:p w14:paraId="655F7DB0" w14:textId="62E75F1C" w:rsidR="00A15893" w:rsidRDefault="00A15893">
          <w:pPr>
            <w:pStyle w:val="TM1"/>
            <w:tabs>
              <w:tab w:val="left" w:pos="480"/>
              <w:tab w:val="right" w:leader="dot" w:pos="9344"/>
            </w:tabs>
            <w:rPr>
              <w:rFonts w:asciiTheme="minorHAnsi" w:eastAsiaTheme="minorEastAsia" w:hAnsiTheme="minorHAnsi" w:cstheme="minorBidi"/>
              <w:noProof/>
              <w:color w:val="auto"/>
              <w:kern w:val="2"/>
              <w:sz w:val="24"/>
              <w:szCs w:val="24"/>
              <w:lang w:val="fr-FR" w:eastAsia="fr-FR"/>
              <w14:ligatures w14:val="standardContextual"/>
            </w:rPr>
          </w:pPr>
          <w:hyperlink w:anchor="_Toc181224695" w:history="1">
            <w:r w:rsidRPr="004F4AAD">
              <w:rPr>
                <w:rStyle w:val="Lienhypertexte"/>
                <w:noProof/>
              </w:rPr>
              <w:t>B.</w:t>
            </w:r>
            <w:r>
              <w:rPr>
                <w:rFonts w:asciiTheme="minorHAnsi" w:eastAsiaTheme="minorEastAsia" w:hAnsiTheme="minorHAnsi" w:cstheme="minorBidi"/>
                <w:noProof/>
                <w:color w:val="auto"/>
                <w:kern w:val="2"/>
                <w:sz w:val="24"/>
                <w:szCs w:val="24"/>
                <w:lang w:val="fr-FR" w:eastAsia="fr-FR"/>
                <w14:ligatures w14:val="standardContextual"/>
              </w:rPr>
              <w:tab/>
            </w:r>
            <w:r w:rsidRPr="004F4AAD">
              <w:rPr>
                <w:rStyle w:val="Lienhypertexte"/>
                <w:noProof/>
              </w:rPr>
              <w:t>Comparators</w:t>
            </w:r>
            <w:r>
              <w:rPr>
                <w:noProof/>
                <w:webHidden/>
              </w:rPr>
              <w:tab/>
            </w:r>
            <w:r>
              <w:rPr>
                <w:noProof/>
                <w:webHidden/>
              </w:rPr>
              <w:fldChar w:fldCharType="begin"/>
            </w:r>
            <w:r>
              <w:rPr>
                <w:noProof/>
                <w:webHidden/>
              </w:rPr>
              <w:instrText xml:space="preserve"> PAGEREF _Toc181224695 \h </w:instrText>
            </w:r>
            <w:r>
              <w:rPr>
                <w:noProof/>
                <w:webHidden/>
              </w:rPr>
            </w:r>
            <w:r>
              <w:rPr>
                <w:noProof/>
                <w:webHidden/>
              </w:rPr>
              <w:fldChar w:fldCharType="separate"/>
            </w:r>
            <w:r w:rsidR="00712301">
              <w:rPr>
                <w:noProof/>
                <w:webHidden/>
              </w:rPr>
              <w:t>3</w:t>
            </w:r>
            <w:r>
              <w:rPr>
                <w:noProof/>
                <w:webHidden/>
              </w:rPr>
              <w:fldChar w:fldCharType="end"/>
            </w:r>
          </w:hyperlink>
        </w:p>
        <w:p w14:paraId="1B65BDFA" w14:textId="557F2D79" w:rsidR="00A15893" w:rsidRDefault="00A15893">
          <w:pPr>
            <w:pStyle w:val="TM1"/>
            <w:tabs>
              <w:tab w:val="left" w:pos="480"/>
              <w:tab w:val="right" w:leader="dot" w:pos="9344"/>
            </w:tabs>
            <w:rPr>
              <w:rFonts w:asciiTheme="minorHAnsi" w:eastAsiaTheme="minorEastAsia" w:hAnsiTheme="minorHAnsi" w:cstheme="minorBidi"/>
              <w:noProof/>
              <w:color w:val="auto"/>
              <w:kern w:val="2"/>
              <w:sz w:val="24"/>
              <w:szCs w:val="24"/>
              <w:lang w:val="fr-FR" w:eastAsia="fr-FR"/>
              <w14:ligatures w14:val="standardContextual"/>
            </w:rPr>
          </w:pPr>
          <w:hyperlink w:anchor="_Toc181224696" w:history="1">
            <w:r w:rsidRPr="004F4AAD">
              <w:rPr>
                <w:rStyle w:val="Lienhypertexte"/>
                <w:noProof/>
              </w:rPr>
              <w:t>C.</w:t>
            </w:r>
            <w:r>
              <w:rPr>
                <w:rFonts w:asciiTheme="minorHAnsi" w:eastAsiaTheme="minorEastAsia" w:hAnsiTheme="minorHAnsi" w:cstheme="minorBidi"/>
                <w:noProof/>
                <w:color w:val="auto"/>
                <w:kern w:val="2"/>
                <w:sz w:val="24"/>
                <w:szCs w:val="24"/>
                <w:lang w:val="fr-FR" w:eastAsia="fr-FR"/>
                <w14:ligatures w14:val="standardContextual"/>
              </w:rPr>
              <w:tab/>
            </w:r>
            <w:r w:rsidRPr="004F4AAD">
              <w:rPr>
                <w:rStyle w:val="Lienhypertexte"/>
                <w:noProof/>
              </w:rPr>
              <w:t>Comparison of eligibility criteria between entrectinib study and ESME cohort</w:t>
            </w:r>
            <w:r>
              <w:rPr>
                <w:noProof/>
                <w:webHidden/>
              </w:rPr>
              <w:tab/>
            </w:r>
            <w:r>
              <w:rPr>
                <w:noProof/>
                <w:webHidden/>
              </w:rPr>
              <w:fldChar w:fldCharType="begin"/>
            </w:r>
            <w:r>
              <w:rPr>
                <w:noProof/>
                <w:webHidden/>
              </w:rPr>
              <w:instrText xml:space="preserve"> PAGEREF _Toc181224696 \h </w:instrText>
            </w:r>
            <w:r>
              <w:rPr>
                <w:noProof/>
                <w:webHidden/>
              </w:rPr>
            </w:r>
            <w:r>
              <w:rPr>
                <w:noProof/>
                <w:webHidden/>
              </w:rPr>
              <w:fldChar w:fldCharType="separate"/>
            </w:r>
            <w:r w:rsidR="00712301">
              <w:rPr>
                <w:noProof/>
                <w:webHidden/>
              </w:rPr>
              <w:t>4</w:t>
            </w:r>
            <w:r>
              <w:rPr>
                <w:noProof/>
                <w:webHidden/>
              </w:rPr>
              <w:fldChar w:fldCharType="end"/>
            </w:r>
          </w:hyperlink>
        </w:p>
        <w:p w14:paraId="2935EF05" w14:textId="25F5D0F7" w:rsidR="00A15893" w:rsidRDefault="00A15893">
          <w:pPr>
            <w:pStyle w:val="TM1"/>
            <w:tabs>
              <w:tab w:val="left" w:pos="480"/>
              <w:tab w:val="right" w:leader="dot" w:pos="9344"/>
            </w:tabs>
            <w:rPr>
              <w:rFonts w:asciiTheme="minorHAnsi" w:eastAsiaTheme="minorEastAsia" w:hAnsiTheme="minorHAnsi" w:cstheme="minorBidi"/>
              <w:noProof/>
              <w:color w:val="auto"/>
              <w:kern w:val="2"/>
              <w:sz w:val="24"/>
              <w:szCs w:val="24"/>
              <w:lang w:val="fr-FR" w:eastAsia="fr-FR"/>
              <w14:ligatures w14:val="standardContextual"/>
            </w:rPr>
          </w:pPr>
          <w:hyperlink w:anchor="_Toc181224697" w:history="1">
            <w:r w:rsidRPr="004F4AAD">
              <w:rPr>
                <w:rStyle w:val="Lienhypertexte"/>
                <w:noProof/>
              </w:rPr>
              <w:t>D.</w:t>
            </w:r>
            <w:r>
              <w:rPr>
                <w:rFonts w:asciiTheme="minorHAnsi" w:eastAsiaTheme="minorEastAsia" w:hAnsiTheme="minorHAnsi" w:cstheme="minorBidi"/>
                <w:noProof/>
                <w:color w:val="auto"/>
                <w:kern w:val="2"/>
                <w:sz w:val="24"/>
                <w:szCs w:val="24"/>
                <w:lang w:val="fr-FR" w:eastAsia="fr-FR"/>
                <w14:ligatures w14:val="standardContextual"/>
              </w:rPr>
              <w:tab/>
            </w:r>
            <w:r w:rsidRPr="004F4AAD">
              <w:rPr>
                <w:rStyle w:val="Lienhypertexte"/>
                <w:noProof/>
              </w:rPr>
              <w:t>Comparison of Efficacy Outcome Definitions between entrectinib studies and ESME cohort</w:t>
            </w:r>
            <w:r>
              <w:rPr>
                <w:noProof/>
                <w:webHidden/>
              </w:rPr>
              <w:tab/>
            </w:r>
            <w:r>
              <w:rPr>
                <w:noProof/>
                <w:webHidden/>
              </w:rPr>
              <w:fldChar w:fldCharType="begin"/>
            </w:r>
            <w:r>
              <w:rPr>
                <w:noProof/>
                <w:webHidden/>
              </w:rPr>
              <w:instrText xml:space="preserve"> PAGEREF _Toc181224697 \h </w:instrText>
            </w:r>
            <w:r>
              <w:rPr>
                <w:noProof/>
                <w:webHidden/>
              </w:rPr>
            </w:r>
            <w:r>
              <w:rPr>
                <w:noProof/>
                <w:webHidden/>
              </w:rPr>
              <w:fldChar w:fldCharType="separate"/>
            </w:r>
            <w:r w:rsidR="00712301">
              <w:rPr>
                <w:noProof/>
                <w:webHidden/>
              </w:rPr>
              <w:t>5</w:t>
            </w:r>
            <w:r>
              <w:rPr>
                <w:noProof/>
                <w:webHidden/>
              </w:rPr>
              <w:fldChar w:fldCharType="end"/>
            </w:r>
          </w:hyperlink>
        </w:p>
        <w:p w14:paraId="151F6C6F" w14:textId="59680530" w:rsidR="00A15893" w:rsidRDefault="00A15893">
          <w:pPr>
            <w:pStyle w:val="TM1"/>
            <w:tabs>
              <w:tab w:val="left" w:pos="480"/>
              <w:tab w:val="right" w:leader="dot" w:pos="9344"/>
            </w:tabs>
            <w:rPr>
              <w:rFonts w:asciiTheme="minorHAnsi" w:eastAsiaTheme="minorEastAsia" w:hAnsiTheme="minorHAnsi" w:cstheme="minorBidi"/>
              <w:noProof/>
              <w:color w:val="auto"/>
              <w:kern w:val="2"/>
              <w:sz w:val="24"/>
              <w:szCs w:val="24"/>
              <w:lang w:val="fr-FR" w:eastAsia="fr-FR"/>
              <w14:ligatures w14:val="standardContextual"/>
            </w:rPr>
          </w:pPr>
          <w:hyperlink w:anchor="_Toc181224698" w:history="1">
            <w:r w:rsidRPr="004F4AAD">
              <w:rPr>
                <w:rStyle w:val="Lienhypertexte"/>
                <w:noProof/>
              </w:rPr>
              <w:t>E.</w:t>
            </w:r>
            <w:r>
              <w:rPr>
                <w:rFonts w:asciiTheme="minorHAnsi" w:eastAsiaTheme="minorEastAsia" w:hAnsiTheme="minorHAnsi" w:cstheme="minorBidi"/>
                <w:noProof/>
                <w:color w:val="auto"/>
                <w:kern w:val="2"/>
                <w:sz w:val="24"/>
                <w:szCs w:val="24"/>
                <w:lang w:val="fr-FR" w:eastAsia="fr-FR"/>
                <w14:ligatures w14:val="standardContextual"/>
              </w:rPr>
              <w:tab/>
            </w:r>
            <w:r w:rsidRPr="004F4AAD">
              <w:rPr>
                <w:rStyle w:val="Lienhypertexte"/>
                <w:noProof/>
              </w:rPr>
              <w:t>Details on statistical methods</w:t>
            </w:r>
            <w:r>
              <w:rPr>
                <w:noProof/>
                <w:webHidden/>
              </w:rPr>
              <w:tab/>
            </w:r>
            <w:r>
              <w:rPr>
                <w:noProof/>
                <w:webHidden/>
              </w:rPr>
              <w:fldChar w:fldCharType="begin"/>
            </w:r>
            <w:r>
              <w:rPr>
                <w:noProof/>
                <w:webHidden/>
              </w:rPr>
              <w:instrText xml:space="preserve"> PAGEREF _Toc181224698 \h </w:instrText>
            </w:r>
            <w:r>
              <w:rPr>
                <w:noProof/>
                <w:webHidden/>
              </w:rPr>
            </w:r>
            <w:r>
              <w:rPr>
                <w:noProof/>
                <w:webHidden/>
              </w:rPr>
              <w:fldChar w:fldCharType="separate"/>
            </w:r>
            <w:r w:rsidR="00712301">
              <w:rPr>
                <w:noProof/>
                <w:webHidden/>
              </w:rPr>
              <w:t>6</w:t>
            </w:r>
            <w:r>
              <w:rPr>
                <w:noProof/>
                <w:webHidden/>
              </w:rPr>
              <w:fldChar w:fldCharType="end"/>
            </w:r>
          </w:hyperlink>
        </w:p>
        <w:p w14:paraId="718F9B17" w14:textId="253BB782" w:rsidR="00A15893" w:rsidRDefault="00A15893">
          <w:pPr>
            <w:pStyle w:val="TM1"/>
            <w:tabs>
              <w:tab w:val="left" w:pos="480"/>
              <w:tab w:val="right" w:leader="dot" w:pos="9344"/>
            </w:tabs>
            <w:rPr>
              <w:rFonts w:asciiTheme="minorHAnsi" w:eastAsiaTheme="minorEastAsia" w:hAnsiTheme="minorHAnsi" w:cstheme="minorBidi"/>
              <w:noProof/>
              <w:color w:val="auto"/>
              <w:kern w:val="2"/>
              <w:sz w:val="24"/>
              <w:szCs w:val="24"/>
              <w:lang w:val="fr-FR" w:eastAsia="fr-FR"/>
              <w14:ligatures w14:val="standardContextual"/>
            </w:rPr>
          </w:pPr>
          <w:hyperlink w:anchor="_Toc181224699" w:history="1">
            <w:r w:rsidRPr="004F4AAD">
              <w:rPr>
                <w:rStyle w:val="Lienhypertexte"/>
                <w:noProof/>
              </w:rPr>
              <w:t>F.</w:t>
            </w:r>
            <w:r>
              <w:rPr>
                <w:rFonts w:asciiTheme="minorHAnsi" w:eastAsiaTheme="minorEastAsia" w:hAnsiTheme="minorHAnsi" w:cstheme="minorBidi"/>
                <w:noProof/>
                <w:color w:val="auto"/>
                <w:kern w:val="2"/>
                <w:sz w:val="24"/>
                <w:szCs w:val="24"/>
                <w:lang w:val="fr-FR" w:eastAsia="fr-FR"/>
                <w14:ligatures w14:val="standardContextual"/>
              </w:rPr>
              <w:tab/>
            </w:r>
            <w:r w:rsidRPr="004F4AAD">
              <w:rPr>
                <w:rStyle w:val="Lienhypertexte"/>
                <w:noProof/>
              </w:rPr>
              <w:t>Details on Handling missing data: multiple imputation</w:t>
            </w:r>
            <w:r>
              <w:rPr>
                <w:noProof/>
                <w:webHidden/>
              </w:rPr>
              <w:tab/>
            </w:r>
            <w:r>
              <w:rPr>
                <w:noProof/>
                <w:webHidden/>
              </w:rPr>
              <w:fldChar w:fldCharType="begin"/>
            </w:r>
            <w:r>
              <w:rPr>
                <w:noProof/>
                <w:webHidden/>
              </w:rPr>
              <w:instrText xml:space="preserve"> PAGEREF _Toc181224699 \h </w:instrText>
            </w:r>
            <w:r>
              <w:rPr>
                <w:noProof/>
                <w:webHidden/>
              </w:rPr>
            </w:r>
            <w:r>
              <w:rPr>
                <w:noProof/>
                <w:webHidden/>
              </w:rPr>
              <w:fldChar w:fldCharType="separate"/>
            </w:r>
            <w:r w:rsidR="00712301">
              <w:rPr>
                <w:noProof/>
                <w:webHidden/>
              </w:rPr>
              <w:t>11</w:t>
            </w:r>
            <w:r>
              <w:rPr>
                <w:noProof/>
                <w:webHidden/>
              </w:rPr>
              <w:fldChar w:fldCharType="end"/>
            </w:r>
          </w:hyperlink>
        </w:p>
        <w:p w14:paraId="2D3DA71C" w14:textId="1BC9209A" w:rsidR="00A15893" w:rsidRDefault="00A15893">
          <w:pPr>
            <w:pStyle w:val="TM1"/>
            <w:tabs>
              <w:tab w:val="left" w:pos="480"/>
              <w:tab w:val="right" w:leader="dot" w:pos="9344"/>
            </w:tabs>
            <w:rPr>
              <w:rFonts w:asciiTheme="minorHAnsi" w:eastAsiaTheme="minorEastAsia" w:hAnsiTheme="minorHAnsi" w:cstheme="minorBidi"/>
              <w:noProof/>
              <w:color w:val="auto"/>
              <w:kern w:val="2"/>
              <w:sz w:val="24"/>
              <w:szCs w:val="24"/>
              <w:lang w:val="fr-FR" w:eastAsia="fr-FR"/>
              <w14:ligatures w14:val="standardContextual"/>
            </w:rPr>
          </w:pPr>
          <w:hyperlink w:anchor="_Toc181224700" w:history="1">
            <w:r w:rsidRPr="004F4AAD">
              <w:rPr>
                <w:rStyle w:val="Lienhypertexte"/>
                <w:noProof/>
              </w:rPr>
              <w:t>G.</w:t>
            </w:r>
            <w:r>
              <w:rPr>
                <w:rFonts w:asciiTheme="minorHAnsi" w:eastAsiaTheme="minorEastAsia" w:hAnsiTheme="minorHAnsi" w:cstheme="minorBidi"/>
                <w:noProof/>
                <w:color w:val="auto"/>
                <w:kern w:val="2"/>
                <w:sz w:val="24"/>
                <w:szCs w:val="24"/>
                <w:lang w:val="fr-FR" w:eastAsia="fr-FR"/>
                <w14:ligatures w14:val="standardContextual"/>
              </w:rPr>
              <w:tab/>
            </w:r>
            <w:r w:rsidRPr="004F4AAD">
              <w:rPr>
                <w:rStyle w:val="Lienhypertexte"/>
                <w:noProof/>
              </w:rPr>
              <w:t>Loveplots L1</w:t>
            </w:r>
            <w:r>
              <w:rPr>
                <w:noProof/>
                <w:webHidden/>
              </w:rPr>
              <w:tab/>
            </w:r>
            <w:r>
              <w:rPr>
                <w:noProof/>
                <w:webHidden/>
              </w:rPr>
              <w:fldChar w:fldCharType="begin"/>
            </w:r>
            <w:r>
              <w:rPr>
                <w:noProof/>
                <w:webHidden/>
              </w:rPr>
              <w:instrText xml:space="preserve"> PAGEREF _Toc181224700 \h </w:instrText>
            </w:r>
            <w:r>
              <w:rPr>
                <w:noProof/>
                <w:webHidden/>
              </w:rPr>
            </w:r>
            <w:r>
              <w:rPr>
                <w:noProof/>
                <w:webHidden/>
              </w:rPr>
              <w:fldChar w:fldCharType="separate"/>
            </w:r>
            <w:r w:rsidR="00712301">
              <w:rPr>
                <w:noProof/>
                <w:webHidden/>
              </w:rPr>
              <w:t>12</w:t>
            </w:r>
            <w:r>
              <w:rPr>
                <w:noProof/>
                <w:webHidden/>
              </w:rPr>
              <w:fldChar w:fldCharType="end"/>
            </w:r>
          </w:hyperlink>
        </w:p>
        <w:p w14:paraId="3140AA6D" w14:textId="77720666" w:rsidR="00A15893" w:rsidRDefault="00A15893">
          <w:pPr>
            <w:pStyle w:val="TM1"/>
            <w:tabs>
              <w:tab w:val="left" w:pos="480"/>
              <w:tab w:val="right" w:leader="dot" w:pos="9344"/>
            </w:tabs>
            <w:rPr>
              <w:rFonts w:asciiTheme="minorHAnsi" w:eastAsiaTheme="minorEastAsia" w:hAnsiTheme="minorHAnsi" w:cstheme="minorBidi"/>
              <w:noProof/>
              <w:color w:val="auto"/>
              <w:kern w:val="2"/>
              <w:sz w:val="24"/>
              <w:szCs w:val="24"/>
              <w:lang w:val="fr-FR" w:eastAsia="fr-FR"/>
              <w14:ligatures w14:val="standardContextual"/>
            </w:rPr>
          </w:pPr>
          <w:hyperlink w:anchor="_Toc181224701" w:history="1">
            <w:r w:rsidRPr="004F4AAD">
              <w:rPr>
                <w:rStyle w:val="Lienhypertexte"/>
                <w:noProof/>
              </w:rPr>
              <w:t>H.</w:t>
            </w:r>
            <w:r>
              <w:rPr>
                <w:rFonts w:asciiTheme="minorHAnsi" w:eastAsiaTheme="minorEastAsia" w:hAnsiTheme="minorHAnsi" w:cstheme="minorBidi"/>
                <w:noProof/>
                <w:color w:val="auto"/>
                <w:kern w:val="2"/>
                <w:sz w:val="24"/>
                <w:szCs w:val="24"/>
                <w:lang w:val="fr-FR" w:eastAsia="fr-FR"/>
                <w14:ligatures w14:val="standardContextual"/>
              </w:rPr>
              <w:tab/>
            </w:r>
            <w:r w:rsidRPr="004F4AAD">
              <w:rPr>
                <w:rStyle w:val="Lienhypertexte"/>
                <w:noProof/>
              </w:rPr>
              <w:t>Specific discussion of the robustness of 1L results to missing data</w:t>
            </w:r>
            <w:r>
              <w:rPr>
                <w:noProof/>
                <w:webHidden/>
              </w:rPr>
              <w:tab/>
            </w:r>
            <w:r>
              <w:rPr>
                <w:noProof/>
                <w:webHidden/>
              </w:rPr>
              <w:fldChar w:fldCharType="begin"/>
            </w:r>
            <w:r>
              <w:rPr>
                <w:noProof/>
                <w:webHidden/>
              </w:rPr>
              <w:instrText xml:space="preserve"> PAGEREF _Toc181224701 \h </w:instrText>
            </w:r>
            <w:r>
              <w:rPr>
                <w:noProof/>
                <w:webHidden/>
              </w:rPr>
            </w:r>
            <w:r>
              <w:rPr>
                <w:noProof/>
                <w:webHidden/>
              </w:rPr>
              <w:fldChar w:fldCharType="separate"/>
            </w:r>
            <w:r w:rsidR="00712301">
              <w:rPr>
                <w:noProof/>
                <w:webHidden/>
              </w:rPr>
              <w:t>13</w:t>
            </w:r>
            <w:r>
              <w:rPr>
                <w:noProof/>
                <w:webHidden/>
              </w:rPr>
              <w:fldChar w:fldCharType="end"/>
            </w:r>
          </w:hyperlink>
        </w:p>
        <w:p w14:paraId="18D6D57E" w14:textId="17367B97" w:rsidR="00A15893" w:rsidRDefault="00A15893">
          <w:pPr>
            <w:pStyle w:val="TM1"/>
            <w:tabs>
              <w:tab w:val="left" w:pos="480"/>
              <w:tab w:val="right" w:leader="dot" w:pos="9344"/>
            </w:tabs>
            <w:rPr>
              <w:rFonts w:asciiTheme="minorHAnsi" w:eastAsiaTheme="minorEastAsia" w:hAnsiTheme="minorHAnsi" w:cstheme="minorBidi"/>
              <w:noProof/>
              <w:color w:val="auto"/>
              <w:kern w:val="2"/>
              <w:sz w:val="24"/>
              <w:szCs w:val="24"/>
              <w:lang w:val="fr-FR" w:eastAsia="fr-FR"/>
              <w14:ligatures w14:val="standardContextual"/>
            </w:rPr>
          </w:pPr>
          <w:hyperlink w:anchor="_Toc181224702" w:history="1">
            <w:r w:rsidRPr="004F4AAD">
              <w:rPr>
                <w:rStyle w:val="Lienhypertexte"/>
                <w:noProof/>
              </w:rPr>
              <w:t>I.</w:t>
            </w:r>
            <w:r>
              <w:rPr>
                <w:rFonts w:asciiTheme="minorHAnsi" w:eastAsiaTheme="minorEastAsia" w:hAnsiTheme="minorHAnsi" w:cstheme="minorBidi"/>
                <w:noProof/>
                <w:color w:val="auto"/>
                <w:kern w:val="2"/>
                <w:sz w:val="24"/>
                <w:szCs w:val="24"/>
                <w:lang w:val="fr-FR" w:eastAsia="fr-FR"/>
                <w14:ligatures w14:val="standardContextual"/>
              </w:rPr>
              <w:tab/>
            </w:r>
            <w:r w:rsidRPr="004F4AAD">
              <w:rPr>
                <w:rStyle w:val="Lienhypertexte"/>
                <w:noProof/>
              </w:rPr>
              <w:t>Weighted Kaplan-Meier curves</w:t>
            </w:r>
            <w:r>
              <w:rPr>
                <w:noProof/>
                <w:webHidden/>
              </w:rPr>
              <w:tab/>
            </w:r>
            <w:r>
              <w:rPr>
                <w:noProof/>
                <w:webHidden/>
              </w:rPr>
              <w:fldChar w:fldCharType="begin"/>
            </w:r>
            <w:r>
              <w:rPr>
                <w:noProof/>
                <w:webHidden/>
              </w:rPr>
              <w:instrText xml:space="preserve"> PAGEREF _Toc181224702 \h </w:instrText>
            </w:r>
            <w:r>
              <w:rPr>
                <w:noProof/>
                <w:webHidden/>
              </w:rPr>
            </w:r>
            <w:r>
              <w:rPr>
                <w:noProof/>
                <w:webHidden/>
              </w:rPr>
              <w:fldChar w:fldCharType="separate"/>
            </w:r>
            <w:r w:rsidR="00712301">
              <w:rPr>
                <w:noProof/>
                <w:webHidden/>
              </w:rPr>
              <w:t>14</w:t>
            </w:r>
            <w:r>
              <w:rPr>
                <w:noProof/>
                <w:webHidden/>
              </w:rPr>
              <w:fldChar w:fldCharType="end"/>
            </w:r>
          </w:hyperlink>
        </w:p>
        <w:p w14:paraId="04C8F79A" w14:textId="6E1C189E" w:rsidR="00A15893" w:rsidRDefault="00A15893">
          <w:pPr>
            <w:pStyle w:val="TM1"/>
            <w:tabs>
              <w:tab w:val="left" w:pos="480"/>
              <w:tab w:val="right" w:leader="dot" w:pos="9344"/>
            </w:tabs>
            <w:rPr>
              <w:rFonts w:asciiTheme="minorHAnsi" w:eastAsiaTheme="minorEastAsia" w:hAnsiTheme="minorHAnsi" w:cstheme="minorBidi"/>
              <w:noProof/>
              <w:color w:val="auto"/>
              <w:kern w:val="2"/>
              <w:sz w:val="24"/>
              <w:szCs w:val="24"/>
              <w:lang w:val="fr-FR" w:eastAsia="fr-FR"/>
              <w14:ligatures w14:val="standardContextual"/>
            </w:rPr>
          </w:pPr>
          <w:hyperlink w:anchor="_Toc181224703" w:history="1">
            <w:r w:rsidRPr="004F4AAD">
              <w:rPr>
                <w:rStyle w:val="Lienhypertexte"/>
                <w:noProof/>
              </w:rPr>
              <w:t>J.</w:t>
            </w:r>
            <w:r>
              <w:rPr>
                <w:rFonts w:asciiTheme="minorHAnsi" w:eastAsiaTheme="minorEastAsia" w:hAnsiTheme="minorHAnsi" w:cstheme="minorBidi"/>
                <w:noProof/>
                <w:color w:val="auto"/>
                <w:kern w:val="2"/>
                <w:sz w:val="24"/>
                <w:szCs w:val="24"/>
                <w:lang w:val="fr-FR" w:eastAsia="fr-FR"/>
                <w14:ligatures w14:val="standardContextual"/>
              </w:rPr>
              <w:tab/>
            </w:r>
            <w:r w:rsidRPr="004F4AAD">
              <w:rPr>
                <w:rStyle w:val="Lienhypertexte"/>
                <w:noProof/>
              </w:rPr>
              <w:t>Tipping point on missing smoking status</w:t>
            </w:r>
            <w:r>
              <w:rPr>
                <w:noProof/>
                <w:webHidden/>
              </w:rPr>
              <w:tab/>
            </w:r>
            <w:r>
              <w:rPr>
                <w:noProof/>
                <w:webHidden/>
              </w:rPr>
              <w:fldChar w:fldCharType="begin"/>
            </w:r>
            <w:r>
              <w:rPr>
                <w:noProof/>
                <w:webHidden/>
              </w:rPr>
              <w:instrText xml:space="preserve"> PAGEREF _Toc181224703 \h </w:instrText>
            </w:r>
            <w:r>
              <w:rPr>
                <w:noProof/>
                <w:webHidden/>
              </w:rPr>
            </w:r>
            <w:r>
              <w:rPr>
                <w:noProof/>
                <w:webHidden/>
              </w:rPr>
              <w:fldChar w:fldCharType="separate"/>
            </w:r>
            <w:r w:rsidR="00712301">
              <w:rPr>
                <w:noProof/>
                <w:webHidden/>
              </w:rPr>
              <w:t>15</w:t>
            </w:r>
            <w:r>
              <w:rPr>
                <w:noProof/>
                <w:webHidden/>
              </w:rPr>
              <w:fldChar w:fldCharType="end"/>
            </w:r>
          </w:hyperlink>
        </w:p>
        <w:p w14:paraId="2CCF8498" w14:textId="7E96089C" w:rsidR="00A15893" w:rsidRDefault="00A15893">
          <w:pPr>
            <w:pStyle w:val="TM1"/>
            <w:tabs>
              <w:tab w:val="left" w:pos="480"/>
              <w:tab w:val="right" w:leader="dot" w:pos="9344"/>
            </w:tabs>
            <w:rPr>
              <w:rFonts w:asciiTheme="minorHAnsi" w:eastAsiaTheme="minorEastAsia" w:hAnsiTheme="minorHAnsi" w:cstheme="minorBidi"/>
              <w:noProof/>
              <w:color w:val="auto"/>
              <w:kern w:val="2"/>
              <w:sz w:val="24"/>
              <w:szCs w:val="24"/>
              <w:lang w:val="fr-FR" w:eastAsia="fr-FR"/>
              <w14:ligatures w14:val="standardContextual"/>
            </w:rPr>
          </w:pPr>
          <w:hyperlink w:anchor="_Toc181224704" w:history="1">
            <w:r w:rsidRPr="004F4AAD">
              <w:rPr>
                <w:rStyle w:val="Lienhypertexte"/>
                <w:noProof/>
              </w:rPr>
              <w:t>K.</w:t>
            </w:r>
            <w:r>
              <w:rPr>
                <w:rFonts w:asciiTheme="minorHAnsi" w:eastAsiaTheme="minorEastAsia" w:hAnsiTheme="minorHAnsi" w:cstheme="minorBidi"/>
                <w:noProof/>
                <w:color w:val="auto"/>
                <w:kern w:val="2"/>
                <w:sz w:val="24"/>
                <w:szCs w:val="24"/>
                <w:lang w:val="fr-FR" w:eastAsia="fr-FR"/>
                <w14:ligatures w14:val="standardContextual"/>
              </w:rPr>
              <w:tab/>
            </w:r>
            <w:r w:rsidRPr="004F4AAD">
              <w:rPr>
                <w:rStyle w:val="Lienhypertexte"/>
                <w:noProof/>
              </w:rPr>
              <w:t>Limitations related to the case study itself</w:t>
            </w:r>
            <w:r>
              <w:rPr>
                <w:noProof/>
                <w:webHidden/>
              </w:rPr>
              <w:tab/>
            </w:r>
            <w:r>
              <w:rPr>
                <w:noProof/>
                <w:webHidden/>
              </w:rPr>
              <w:fldChar w:fldCharType="begin"/>
            </w:r>
            <w:r>
              <w:rPr>
                <w:noProof/>
                <w:webHidden/>
              </w:rPr>
              <w:instrText xml:space="preserve"> PAGEREF _Toc181224704 \h </w:instrText>
            </w:r>
            <w:r>
              <w:rPr>
                <w:noProof/>
                <w:webHidden/>
              </w:rPr>
            </w:r>
            <w:r>
              <w:rPr>
                <w:noProof/>
                <w:webHidden/>
              </w:rPr>
              <w:fldChar w:fldCharType="separate"/>
            </w:r>
            <w:r w:rsidR="00712301">
              <w:rPr>
                <w:noProof/>
                <w:webHidden/>
              </w:rPr>
              <w:t>16</w:t>
            </w:r>
            <w:r>
              <w:rPr>
                <w:noProof/>
                <w:webHidden/>
              </w:rPr>
              <w:fldChar w:fldCharType="end"/>
            </w:r>
          </w:hyperlink>
        </w:p>
        <w:p w14:paraId="301E9728" w14:textId="7B40033A" w:rsidR="00A15893" w:rsidRDefault="00A15893">
          <w:pPr>
            <w:pStyle w:val="TM1"/>
            <w:tabs>
              <w:tab w:val="left" w:pos="480"/>
              <w:tab w:val="right" w:leader="dot" w:pos="9344"/>
            </w:tabs>
            <w:rPr>
              <w:rFonts w:asciiTheme="minorHAnsi" w:eastAsiaTheme="minorEastAsia" w:hAnsiTheme="minorHAnsi" w:cstheme="minorBidi"/>
              <w:noProof/>
              <w:color w:val="auto"/>
              <w:kern w:val="2"/>
              <w:sz w:val="24"/>
              <w:szCs w:val="24"/>
              <w:lang w:val="fr-FR" w:eastAsia="fr-FR"/>
              <w14:ligatures w14:val="standardContextual"/>
            </w:rPr>
          </w:pPr>
          <w:hyperlink w:anchor="_Toc181224705" w:history="1">
            <w:r w:rsidRPr="004F4AAD">
              <w:rPr>
                <w:rStyle w:val="Lienhypertexte"/>
                <w:noProof/>
              </w:rPr>
              <w:t>L.</w:t>
            </w:r>
            <w:r>
              <w:rPr>
                <w:rFonts w:asciiTheme="minorHAnsi" w:eastAsiaTheme="minorEastAsia" w:hAnsiTheme="minorHAnsi" w:cstheme="minorBidi"/>
                <w:noProof/>
                <w:color w:val="auto"/>
                <w:kern w:val="2"/>
                <w:sz w:val="24"/>
                <w:szCs w:val="24"/>
                <w:lang w:val="fr-FR" w:eastAsia="fr-FR"/>
                <w14:ligatures w14:val="standardContextual"/>
              </w:rPr>
              <w:tab/>
            </w:r>
            <w:r w:rsidRPr="004F4AAD">
              <w:rPr>
                <w:rStyle w:val="Lienhypertexte"/>
                <w:noProof/>
              </w:rPr>
              <w:t>References</w:t>
            </w:r>
            <w:r>
              <w:rPr>
                <w:noProof/>
                <w:webHidden/>
              </w:rPr>
              <w:tab/>
            </w:r>
            <w:r>
              <w:rPr>
                <w:noProof/>
                <w:webHidden/>
              </w:rPr>
              <w:fldChar w:fldCharType="begin"/>
            </w:r>
            <w:r>
              <w:rPr>
                <w:noProof/>
                <w:webHidden/>
              </w:rPr>
              <w:instrText xml:space="preserve"> PAGEREF _Toc181224705 \h </w:instrText>
            </w:r>
            <w:r>
              <w:rPr>
                <w:noProof/>
                <w:webHidden/>
              </w:rPr>
            </w:r>
            <w:r>
              <w:rPr>
                <w:noProof/>
                <w:webHidden/>
              </w:rPr>
              <w:fldChar w:fldCharType="separate"/>
            </w:r>
            <w:r w:rsidR="00712301">
              <w:rPr>
                <w:noProof/>
                <w:webHidden/>
              </w:rPr>
              <w:t>19</w:t>
            </w:r>
            <w:r>
              <w:rPr>
                <w:noProof/>
                <w:webHidden/>
              </w:rPr>
              <w:fldChar w:fldCharType="end"/>
            </w:r>
          </w:hyperlink>
        </w:p>
        <w:p w14:paraId="64AB1F80" w14:textId="2099AE81" w:rsidR="00395ED0" w:rsidRPr="003A3035" w:rsidRDefault="00395ED0" w:rsidP="007D4215">
          <w:pPr>
            <w:pStyle w:val="TM1"/>
            <w:tabs>
              <w:tab w:val="left" w:pos="435"/>
              <w:tab w:val="right" w:leader="dot" w:pos="9330"/>
            </w:tabs>
            <w:rPr>
              <w:rStyle w:val="Lienhypertexte"/>
              <w:noProof/>
              <w:kern w:val="2"/>
              <w:lang w:val="fr-FR" w:eastAsia="fr-FR"/>
              <w14:ligatures w14:val="standardContextual"/>
            </w:rPr>
          </w:pPr>
          <w:r w:rsidRPr="003A3035">
            <w:fldChar w:fldCharType="end"/>
          </w:r>
        </w:p>
      </w:sdtContent>
    </w:sdt>
    <w:p w14:paraId="2ED6900F" w14:textId="1036C55E" w:rsidR="00CD7491" w:rsidRPr="003A3035" w:rsidRDefault="00CD7491"/>
    <w:p w14:paraId="15EAC7B5" w14:textId="77777777" w:rsidR="00CD7491" w:rsidRPr="003A3035" w:rsidRDefault="00CD7491" w:rsidP="00CD7491">
      <w:pPr>
        <w:keepNext/>
        <w:keepLines/>
        <w:pBdr>
          <w:top w:val="nil"/>
          <w:left w:val="nil"/>
          <w:bottom w:val="nil"/>
          <w:right w:val="nil"/>
          <w:between w:val="nil"/>
        </w:pBdr>
        <w:rPr>
          <w:b/>
          <w:sz w:val="28"/>
          <w:szCs w:val="28"/>
        </w:rPr>
      </w:pPr>
    </w:p>
    <w:p w14:paraId="67F20EA4" w14:textId="77777777" w:rsidR="00CD7491" w:rsidRPr="003A3035" w:rsidRDefault="00CD7491" w:rsidP="00CD7491">
      <w:pPr>
        <w:keepNext/>
        <w:keepLines/>
        <w:pBdr>
          <w:top w:val="nil"/>
          <w:left w:val="nil"/>
          <w:bottom w:val="nil"/>
          <w:right w:val="nil"/>
          <w:between w:val="nil"/>
        </w:pBdr>
        <w:rPr>
          <w:b/>
          <w:sz w:val="28"/>
          <w:szCs w:val="28"/>
        </w:rPr>
      </w:pPr>
    </w:p>
    <w:p w14:paraId="2FE78A99" w14:textId="77777777" w:rsidR="00CD7491" w:rsidRPr="003A3035" w:rsidRDefault="00CD7491">
      <w:pPr>
        <w:spacing w:after="160" w:line="259" w:lineRule="auto"/>
        <w:contextualSpacing w:val="0"/>
        <w:jc w:val="left"/>
        <w:rPr>
          <w:rFonts w:eastAsiaTheme="majorEastAsia"/>
          <w:color w:val="0F4761" w:themeColor="accent1" w:themeShade="BF"/>
          <w:sz w:val="32"/>
          <w:szCs w:val="32"/>
        </w:rPr>
      </w:pPr>
      <w:r w:rsidRPr="003A3035">
        <w:br w:type="page"/>
      </w:r>
    </w:p>
    <w:p w14:paraId="6180CDA7" w14:textId="4AC9845C" w:rsidR="00CD7491" w:rsidRPr="003A3035" w:rsidRDefault="00CD7491" w:rsidP="00CD7491">
      <w:pPr>
        <w:pStyle w:val="Titre1"/>
        <w:rPr>
          <w:rFonts w:ascii="Times New Roman" w:hAnsi="Times New Roman" w:cs="Times New Roman"/>
        </w:rPr>
      </w:pPr>
      <w:bookmarkStart w:id="0" w:name="_Toc180526675"/>
      <w:bookmarkStart w:id="1" w:name="_Toc181224694"/>
      <w:r w:rsidRPr="003A3035">
        <w:rPr>
          <w:rFonts w:ascii="Times New Roman" w:hAnsi="Times New Roman" w:cs="Times New Roman"/>
        </w:rPr>
        <w:lastRenderedPageBreak/>
        <w:t>Population data sources</w:t>
      </w:r>
      <w:bookmarkEnd w:id="0"/>
      <w:bookmarkEnd w:id="1"/>
    </w:p>
    <w:p w14:paraId="255E5BAF" w14:textId="21C4E4C0" w:rsidR="00CD7491" w:rsidRPr="003A3035" w:rsidRDefault="00FE69C4" w:rsidP="00CD7491">
      <w:pPr>
        <w:pBdr>
          <w:top w:val="nil"/>
          <w:left w:val="nil"/>
          <w:bottom w:val="nil"/>
          <w:right w:val="nil"/>
          <w:between w:val="nil"/>
        </w:pBdr>
        <w:ind w:left="708"/>
      </w:pPr>
      <w:sdt>
        <w:sdtPr>
          <w:tag w:val="goog_rdk_151"/>
          <w:id w:val="-950628075"/>
        </w:sdtPr>
        <w:sdtEndPr/>
        <w:sdtContent/>
      </w:sdt>
      <w:sdt>
        <w:sdtPr>
          <w:tag w:val="goog_rdk_152"/>
          <w:id w:val="573630496"/>
        </w:sdtPr>
        <w:sdtEndPr/>
        <w:sdtContent/>
      </w:sdt>
      <w:r w:rsidR="00CD7491" w:rsidRPr="003A3035">
        <w:rPr>
          <w:b/>
        </w:rPr>
        <w:t xml:space="preserve">Entrectinib: </w:t>
      </w:r>
      <w:r w:rsidR="00CD7491" w:rsidRPr="003A3035">
        <w:t xml:space="preserve">aggregated data of pooling of clinical trials. All patients who received at least one dose of </w:t>
      </w:r>
      <w:proofErr w:type="spellStart"/>
      <w:r w:rsidR="00CD7491" w:rsidRPr="003A3035">
        <w:t>entrectinib</w:t>
      </w:r>
      <w:proofErr w:type="spellEnd"/>
      <w:r w:rsidR="00CD7491" w:rsidRPr="003A3035">
        <w:t xml:space="preserve">, with disease measurable at inclusion based on investigator's RECIST v1.1 criteria were enrolled in ALKA-372-001 from Oct 26, 2012, to March 27, 2018; in STARTRK-1 from Aug 7, 2014, to May 10, 2018; and in STARTRK-2 from Nov 19, </w:t>
      </w:r>
      <w:r w:rsidR="00925F8F" w:rsidRPr="003A3035">
        <w:t>2015</w:t>
      </w:r>
      <w:r w:rsidR="00CD7491" w:rsidRPr="003A3035">
        <w:t xml:space="preserve"> to October 31</w:t>
      </w:r>
      <w:r w:rsidR="00CD7491" w:rsidRPr="003A3035">
        <w:rPr>
          <w:vertAlign w:val="superscript"/>
        </w:rPr>
        <w:t>st</w:t>
      </w:r>
      <w:r w:rsidR="00CD7491" w:rsidRPr="003A3035">
        <w:t>, 2018 for both 1L and 2L. The clinical cut-off date is May 1</w:t>
      </w:r>
      <w:r w:rsidR="00CD7491" w:rsidRPr="003A3035">
        <w:rPr>
          <w:vertAlign w:val="superscript"/>
        </w:rPr>
        <w:t>st</w:t>
      </w:r>
      <w:r w:rsidR="00CD7491" w:rsidRPr="003A3035">
        <w:t xml:space="preserve">, 2019. The inclusion/exclusion criteria, methods, objectives and endpoints are detailed in the CHMP assessment report of the product </w:t>
      </w:r>
      <w:proofErr w:type="spellStart"/>
      <w:r w:rsidR="00CD7491" w:rsidRPr="003A3035">
        <w:t>Rozlytrek</w:t>
      </w:r>
      <w:proofErr w:type="spellEnd"/>
      <w:r w:rsidR="00CD7491" w:rsidRPr="003A3035">
        <w:t>® (</w:t>
      </w:r>
      <w:proofErr w:type="spellStart"/>
      <w:r w:rsidR="00CD7491" w:rsidRPr="003A3035">
        <w:t>entrectinib</w:t>
      </w:r>
      <w:proofErr w:type="spellEnd"/>
      <w:r w:rsidR="00CD7491" w:rsidRPr="003A3035">
        <w:t>).</w:t>
      </w:r>
    </w:p>
    <w:p w14:paraId="2FEFFE26" w14:textId="69FEDCB2" w:rsidR="00CD7491" w:rsidRPr="003A3035" w:rsidRDefault="00CD7491" w:rsidP="00CD7491">
      <w:pPr>
        <w:pBdr>
          <w:top w:val="nil"/>
          <w:left w:val="nil"/>
          <w:bottom w:val="nil"/>
          <w:right w:val="nil"/>
          <w:between w:val="nil"/>
        </w:pBdr>
        <w:ind w:left="708"/>
      </w:pPr>
      <w:r w:rsidRPr="003A3035">
        <w:rPr>
          <w:b/>
        </w:rPr>
        <w:t>Comparator arm:</w:t>
      </w:r>
      <w:r w:rsidRPr="003A3035">
        <w:t xml:space="preserve"> individual patient data (IPD) from the </w:t>
      </w:r>
      <w:proofErr w:type="spellStart"/>
      <w:r w:rsidRPr="003A3035">
        <w:t>Epidemio</w:t>
      </w:r>
      <w:proofErr w:type="spellEnd"/>
      <w:r w:rsidRPr="003A3035">
        <w:t xml:space="preserve">-Strategy and Medical Economics (ESME) Lung Cancer (LC) Data Platform using a retrospective data collection process (data cut-off: </w:t>
      </w:r>
      <w:r w:rsidR="00925F8F" w:rsidRPr="003A3035">
        <w:t>June</w:t>
      </w:r>
      <w:r w:rsidRPr="003A3035">
        <w:t xml:space="preserve"> 30</w:t>
      </w:r>
      <w:r w:rsidRPr="003A3035">
        <w:rPr>
          <w:vertAlign w:val="superscript"/>
        </w:rPr>
        <w:t>th</w:t>
      </w:r>
      <w:r w:rsidR="00925F8F" w:rsidRPr="003A3035">
        <w:t>, 2020</w:t>
      </w:r>
      <w:r w:rsidRPr="003A3035">
        <w:t>). This database is an ongoing academic French real-word cohort (NCT03848052) managed by UNICANCER and intends to centralize real life patient level data from 38 specialized cancer centers in France (18 private non-profit Comprehensive Cancer Centers spread over 20 sites and 18 public hospitals). There are currently 18 comprehensive cancer centers in France; representing around 8% of all lung cancer patients treated in France. To increase representativeness of the data, general and university hospitals were offered to participate in the ESME LC program.  The dataset used for this work includes data from 2 public hospitals (one university hospital and one general hospital) in addition to that of the 18 comprehensive cancer centers.</w:t>
      </w:r>
    </w:p>
    <w:p w14:paraId="283C676A" w14:textId="77777777" w:rsidR="00CD7491" w:rsidRPr="003A3035" w:rsidRDefault="00CD7491" w:rsidP="00CD7491">
      <w:pPr>
        <w:pBdr>
          <w:top w:val="nil"/>
          <w:left w:val="nil"/>
          <w:bottom w:val="nil"/>
          <w:right w:val="nil"/>
          <w:between w:val="nil"/>
        </w:pBdr>
        <w:ind w:left="708"/>
      </w:pPr>
    </w:p>
    <w:p w14:paraId="4AD7DFF5" w14:textId="77777777" w:rsidR="00CD7491" w:rsidRPr="003A3035" w:rsidRDefault="00CD7491">
      <w:pPr>
        <w:spacing w:after="160" w:line="259" w:lineRule="auto"/>
        <w:contextualSpacing w:val="0"/>
        <w:jc w:val="left"/>
        <w:rPr>
          <w:rFonts w:eastAsiaTheme="majorEastAsia"/>
          <w:color w:val="0F4761" w:themeColor="accent1" w:themeShade="BF"/>
          <w:sz w:val="32"/>
          <w:szCs w:val="32"/>
        </w:rPr>
      </w:pPr>
      <w:r w:rsidRPr="003A3035">
        <w:br w:type="page"/>
      </w:r>
    </w:p>
    <w:p w14:paraId="3D133F3C" w14:textId="60BCECDE" w:rsidR="00CD7491" w:rsidRPr="003A3035" w:rsidRDefault="00CD7491" w:rsidP="00CD7491">
      <w:pPr>
        <w:pStyle w:val="Titre1"/>
        <w:rPr>
          <w:rFonts w:ascii="Times New Roman" w:hAnsi="Times New Roman" w:cs="Times New Roman"/>
        </w:rPr>
      </w:pPr>
      <w:bookmarkStart w:id="2" w:name="_Toc180526676"/>
      <w:bookmarkStart w:id="3" w:name="_Toc181224695"/>
      <w:r w:rsidRPr="003A3035">
        <w:rPr>
          <w:rFonts w:ascii="Times New Roman" w:hAnsi="Times New Roman" w:cs="Times New Roman"/>
        </w:rPr>
        <w:lastRenderedPageBreak/>
        <w:t>Comparators</w:t>
      </w:r>
      <w:bookmarkEnd w:id="2"/>
      <w:bookmarkEnd w:id="3"/>
    </w:p>
    <w:p w14:paraId="79D71587" w14:textId="5B93F012" w:rsidR="00CD7491" w:rsidRPr="003A3035" w:rsidRDefault="00CD7491" w:rsidP="00CD7491">
      <w:pPr>
        <w:numPr>
          <w:ilvl w:val="0"/>
          <w:numId w:val="22"/>
        </w:numPr>
        <w:pBdr>
          <w:top w:val="nil"/>
          <w:left w:val="nil"/>
          <w:bottom w:val="nil"/>
          <w:right w:val="nil"/>
          <w:between w:val="nil"/>
        </w:pBdr>
        <w:rPr>
          <w:i/>
        </w:rPr>
      </w:pPr>
      <w:r w:rsidRPr="003A3035">
        <w:t xml:space="preserve">1L: all patients treated in first line with chemotherapy alone or in combination (pemetrexed / gemcitabine / docetaxel / vinorelbine / </w:t>
      </w:r>
      <w:proofErr w:type="spellStart"/>
      <w:r w:rsidRPr="003A3035">
        <w:t>cisplatine</w:t>
      </w:r>
      <w:proofErr w:type="spellEnd"/>
      <w:r w:rsidRPr="003A3035">
        <w:t xml:space="preserve">) with or without bevacizumab. </w:t>
      </w:r>
      <w:r w:rsidRPr="003A3035">
        <w:br/>
      </w:r>
      <w:r w:rsidRPr="003A3035">
        <w:rPr>
          <w:i/>
        </w:rPr>
        <w:t xml:space="preserve">Remark: Although </w:t>
      </w:r>
      <w:proofErr w:type="spellStart"/>
      <w:r w:rsidRPr="003A3035">
        <w:rPr>
          <w:i/>
        </w:rPr>
        <w:t>ceritinib</w:t>
      </w:r>
      <w:proofErr w:type="spellEnd"/>
      <w:r w:rsidRPr="003A3035">
        <w:rPr>
          <w:i/>
        </w:rPr>
        <w:t xml:space="preserve"> is not approved for this indication (off-label), it is considered a relevant comparator by the HAS</w:t>
      </w:r>
      <w:sdt>
        <w:sdtPr>
          <w:tag w:val="goog_rdk_156"/>
          <w:id w:val="1512724856"/>
        </w:sdtPr>
        <w:sdtEndPr/>
        <w:sdtContent>
          <w:sdt>
            <w:sdtPr>
              <w:tag w:val="goog_rdk_157"/>
              <w:id w:val="-1936355844"/>
            </w:sdtPr>
            <w:sdtEndPr/>
            <w:sdtContent/>
          </w:sdt>
          <w:r w:rsidRPr="003A3035">
            <w:rPr>
              <w:i/>
            </w:rPr>
            <w:t xml:space="preserve"> (https://www.has-sante.fr/upload/docs/evamed/CT-18042_XALKORI_ROS1_PIC_REEV_AvisDef_CT18042.pdf)</w:t>
          </w:r>
        </w:sdtContent>
      </w:sdt>
      <w:r w:rsidRPr="003A3035">
        <w:rPr>
          <w:i/>
        </w:rPr>
        <w:t xml:space="preserve">. However, no ROS1+ </w:t>
      </w:r>
      <w:proofErr w:type="spellStart"/>
      <w:r w:rsidRPr="003A3035">
        <w:rPr>
          <w:i/>
        </w:rPr>
        <w:t>mNSCLC</w:t>
      </w:r>
      <w:proofErr w:type="spellEnd"/>
      <w:r w:rsidRPr="003A3035">
        <w:rPr>
          <w:i/>
        </w:rPr>
        <w:t xml:space="preserve"> patients were identified with </w:t>
      </w:r>
      <w:proofErr w:type="spellStart"/>
      <w:r w:rsidRPr="003A3035">
        <w:rPr>
          <w:i/>
        </w:rPr>
        <w:t>ceritinib</w:t>
      </w:r>
      <w:proofErr w:type="spellEnd"/>
      <w:r w:rsidRPr="003A3035">
        <w:rPr>
          <w:i/>
        </w:rPr>
        <w:t xml:space="preserve"> as 1st line treatment in ESME LC database; chemotherapies are the standard of care in this indication over the study period}.</w:t>
      </w:r>
    </w:p>
    <w:p w14:paraId="4B61DEA5" w14:textId="77777777" w:rsidR="00CD7491" w:rsidRPr="003A3035" w:rsidRDefault="00CD7491" w:rsidP="00CD7491">
      <w:pPr>
        <w:numPr>
          <w:ilvl w:val="0"/>
          <w:numId w:val="22"/>
        </w:numPr>
        <w:pBdr>
          <w:top w:val="nil"/>
          <w:left w:val="nil"/>
          <w:bottom w:val="nil"/>
          <w:right w:val="nil"/>
          <w:between w:val="nil"/>
        </w:pBdr>
      </w:pPr>
      <w:r w:rsidRPr="003A3035">
        <w:t xml:space="preserve">2L: all patients treated in second line with one of the following treatments exclusively: chemotherapy alone or in combination (pemetrexed / gemcitabine / docetaxel / vinorelbine / </w:t>
      </w:r>
      <w:proofErr w:type="spellStart"/>
      <w:r w:rsidRPr="003A3035">
        <w:t>cisplatine</w:t>
      </w:r>
      <w:proofErr w:type="spellEnd"/>
      <w:r w:rsidRPr="003A3035">
        <w:t>) or ROS1 inhibitor (</w:t>
      </w:r>
      <w:proofErr w:type="spellStart"/>
      <w:r w:rsidRPr="003A3035">
        <w:t>crizotinib</w:t>
      </w:r>
      <w:proofErr w:type="spellEnd"/>
      <w:r w:rsidRPr="003A3035">
        <w:t>).</w:t>
      </w:r>
    </w:p>
    <w:p w14:paraId="04A72A80" w14:textId="77777777" w:rsidR="00CD7491" w:rsidRPr="003A3035" w:rsidRDefault="00CD7491" w:rsidP="00CD7491">
      <w:pPr>
        <w:spacing w:line="259" w:lineRule="auto"/>
        <w:jc w:val="left"/>
        <w:rPr>
          <w:b/>
          <w:sz w:val="24"/>
          <w:szCs w:val="24"/>
        </w:rPr>
        <w:sectPr w:rsidR="00CD7491" w:rsidRPr="003A3035" w:rsidSect="00CD7491">
          <w:headerReference w:type="even" r:id="rId11"/>
          <w:headerReference w:type="default" r:id="rId12"/>
          <w:footerReference w:type="even" r:id="rId13"/>
          <w:footerReference w:type="default" r:id="rId14"/>
          <w:headerReference w:type="first" r:id="rId15"/>
          <w:footerReference w:type="first" r:id="rId16"/>
          <w:pgSz w:w="11906" w:h="16838"/>
          <w:pgMar w:top="1418" w:right="1134" w:bottom="1418" w:left="1418" w:header="709" w:footer="709" w:gutter="0"/>
          <w:cols w:space="720"/>
        </w:sectPr>
      </w:pPr>
      <w:r w:rsidRPr="003A3035">
        <w:br w:type="page"/>
      </w:r>
    </w:p>
    <w:p w14:paraId="1C1619B7" w14:textId="77777777" w:rsidR="00CD7491" w:rsidRPr="003A3035" w:rsidRDefault="00CD7491" w:rsidP="00CD7491">
      <w:pPr>
        <w:pStyle w:val="Titre1"/>
        <w:rPr>
          <w:rFonts w:ascii="Times New Roman" w:hAnsi="Times New Roman" w:cs="Times New Roman"/>
        </w:rPr>
      </w:pPr>
      <w:bookmarkStart w:id="4" w:name="_Toc180526677"/>
      <w:bookmarkStart w:id="5" w:name="_Toc181224696"/>
      <w:r w:rsidRPr="003A3035">
        <w:rPr>
          <w:rFonts w:ascii="Times New Roman" w:hAnsi="Times New Roman" w:cs="Times New Roman"/>
        </w:rPr>
        <w:lastRenderedPageBreak/>
        <w:t xml:space="preserve">Comparison of eligibility criteria between </w:t>
      </w:r>
      <w:proofErr w:type="spellStart"/>
      <w:r w:rsidRPr="003A3035">
        <w:rPr>
          <w:rFonts w:ascii="Times New Roman" w:hAnsi="Times New Roman" w:cs="Times New Roman"/>
        </w:rPr>
        <w:t>entrectinib</w:t>
      </w:r>
      <w:proofErr w:type="spellEnd"/>
      <w:r w:rsidRPr="003A3035">
        <w:rPr>
          <w:rFonts w:ascii="Times New Roman" w:hAnsi="Times New Roman" w:cs="Times New Roman"/>
        </w:rPr>
        <w:t xml:space="preserve"> study and ESME cohort</w:t>
      </w:r>
      <w:bookmarkEnd w:id="4"/>
      <w:bookmarkEnd w:id="5"/>
    </w:p>
    <w:bookmarkStart w:id="6" w:name="_heading=h.2et92p0" w:colFirst="0" w:colLast="0"/>
    <w:bookmarkEnd w:id="6"/>
    <w:p w14:paraId="16E53136" w14:textId="77777777" w:rsidR="00CD7491" w:rsidRPr="003A3035" w:rsidRDefault="00FE69C4" w:rsidP="00CD7491">
      <w:pPr>
        <w:pBdr>
          <w:top w:val="nil"/>
          <w:left w:val="nil"/>
          <w:bottom w:val="nil"/>
          <w:right w:val="nil"/>
          <w:between w:val="nil"/>
        </w:pBdr>
        <w:jc w:val="left"/>
        <w:rPr>
          <w:i/>
        </w:rPr>
      </w:pPr>
      <w:sdt>
        <w:sdtPr>
          <w:tag w:val="goog_rdk_158"/>
          <w:id w:val="-1869211807"/>
        </w:sdtPr>
        <w:sdtEndPr/>
        <w:sdtContent/>
      </w:sdt>
      <w:r w:rsidR="00CD7491" w:rsidRPr="003A3035">
        <w:rPr>
          <w:i/>
        </w:rPr>
        <w:t xml:space="preserve">Table S1. Comparison of eligibility criteria between </w:t>
      </w:r>
      <w:proofErr w:type="spellStart"/>
      <w:r w:rsidR="00CD7491" w:rsidRPr="003A3035">
        <w:rPr>
          <w:i/>
        </w:rPr>
        <w:t>entrectinib</w:t>
      </w:r>
      <w:proofErr w:type="spellEnd"/>
      <w:r w:rsidR="00CD7491" w:rsidRPr="003A3035">
        <w:rPr>
          <w:i/>
        </w:rPr>
        <w:t xml:space="preserve"> studies and ESME cohort</w:t>
      </w:r>
    </w:p>
    <w:tbl>
      <w:tblPr>
        <w:tblW w:w="8784"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CellMar>
          <w:left w:w="115" w:type="dxa"/>
          <w:right w:w="115" w:type="dxa"/>
        </w:tblCellMar>
        <w:tblLook w:val="04A0" w:firstRow="1" w:lastRow="0" w:firstColumn="1" w:lastColumn="0" w:noHBand="0" w:noVBand="1"/>
      </w:tblPr>
      <w:tblGrid>
        <w:gridCol w:w="1536"/>
        <w:gridCol w:w="3421"/>
        <w:gridCol w:w="3827"/>
      </w:tblGrid>
      <w:tr w:rsidR="00CD7491" w:rsidRPr="003A3035" w14:paraId="4F7BED23" w14:textId="77777777">
        <w:trPr>
          <w:trHeight w:val="361"/>
        </w:trPr>
        <w:tc>
          <w:tcPr>
            <w:tcW w:w="1536" w:type="dxa"/>
            <w:shd w:val="clear" w:color="auto" w:fill="156082" w:themeFill="accent1"/>
          </w:tcPr>
          <w:p w14:paraId="719DB324" w14:textId="77777777" w:rsidR="00CD7491" w:rsidRPr="003A3035" w:rsidRDefault="00CD7491">
            <w:pPr>
              <w:spacing w:line="240" w:lineRule="auto"/>
              <w:rPr>
                <w:b/>
                <w:sz w:val="20"/>
                <w:szCs w:val="20"/>
              </w:rPr>
            </w:pPr>
            <w:r w:rsidRPr="003A3035">
              <w:rPr>
                <w:b/>
                <w:color w:val="FFFFFF"/>
                <w:sz w:val="20"/>
                <w:szCs w:val="20"/>
              </w:rPr>
              <w:t>Inclusion Criterion</w:t>
            </w:r>
          </w:p>
        </w:tc>
        <w:tc>
          <w:tcPr>
            <w:tcW w:w="3421" w:type="dxa"/>
            <w:shd w:val="clear" w:color="auto" w:fill="156082" w:themeFill="accent1"/>
          </w:tcPr>
          <w:p w14:paraId="49EE53B4" w14:textId="75D3B5D9" w:rsidR="00CD7491" w:rsidRPr="003A3035" w:rsidRDefault="00CD7491">
            <w:pPr>
              <w:spacing w:line="240" w:lineRule="auto"/>
              <w:rPr>
                <w:b/>
                <w:color w:val="FFFFFF" w:themeColor="background1"/>
                <w:sz w:val="20"/>
                <w:szCs w:val="20"/>
              </w:rPr>
            </w:pPr>
            <w:r w:rsidRPr="003A3035">
              <w:rPr>
                <w:b/>
                <w:color w:val="FFFFFF" w:themeColor="background1"/>
                <w:sz w:val="20"/>
                <w:szCs w:val="20"/>
              </w:rPr>
              <w:t>I</w:t>
            </w:r>
            <w:sdt>
              <w:sdtPr>
                <w:rPr>
                  <w:color w:val="FFFFFF" w:themeColor="background1"/>
                  <w:sz w:val="20"/>
                  <w:szCs w:val="20"/>
                </w:rPr>
                <w:tag w:val="goog_rdk_159"/>
                <w:id w:val="355000232"/>
              </w:sdtPr>
              <w:sdtEndPr/>
              <w:sdtContent/>
            </w:sdt>
            <w:r w:rsidRPr="003A3035">
              <w:rPr>
                <w:b/>
                <w:color w:val="FFFFFF" w:themeColor="background1"/>
                <w:sz w:val="20"/>
                <w:szCs w:val="20"/>
              </w:rPr>
              <w:t>ntegrated ENTRECTINIB</w:t>
            </w:r>
            <w:r w:rsidRPr="003A3035">
              <w:rPr>
                <w:color w:val="FFFFFF" w:themeColor="background1"/>
                <w:sz w:val="20"/>
                <w:szCs w:val="20"/>
              </w:rPr>
              <w:br/>
            </w:r>
            <w:r w:rsidRPr="003A3035">
              <w:rPr>
                <w:b/>
                <w:color w:val="FFFFFF" w:themeColor="background1"/>
                <w:sz w:val="20"/>
                <w:szCs w:val="20"/>
              </w:rPr>
              <w:t xml:space="preserve">(ALKA-372-001, STARTRK-1, STARK-2) </w:t>
            </w:r>
            <w:r w:rsidRPr="003A3035">
              <w:rPr>
                <w:b/>
                <w:color w:val="FFFFFF" w:themeColor="background1"/>
                <w:sz w:val="20"/>
                <w:szCs w:val="20"/>
              </w:rPr>
              <w:fldChar w:fldCharType="begin"/>
            </w:r>
            <w:r w:rsidRPr="003A3035">
              <w:rPr>
                <w:b/>
                <w:color w:val="FFFFFF" w:themeColor="background1"/>
                <w:sz w:val="20"/>
                <w:szCs w:val="20"/>
              </w:rPr>
              <w:instrText xml:space="preserve"> ADDIN ZOTERO_ITEM CSL_CITATION {"citationID":"NeclFZVE","properties":{"formattedCitation":"(1)","plainCitation":"(1)","noteIndex":0},"citationItems":[{"id":7689,"uris":["http://zotero.org/groups/4549131/items/FA3XWR9F"],"itemData":{"id":7689,"type":"article-journal","abstract":"Genetic rearrangements of the tyrosine receptor kinase ROS proto-oncogene 1 (ROS1) are oncogenic drivers in non-small-cell lung cancer (NSCLC). We report the results of an updated integrated analysis of three phase I or II clinical trials (ALKA-372-001, STARTRK-1, and STARTRK-2) of the ROS1 tyrosine kinase inhibitor, entrectinib, in ROS1 fusion–positive NSCLC.","container-title":"Journal of Clinical Oncology","DOI":"10.1200/JCO.20.03025","ISSN":"0732-183X","issue":"11","journalAbbreviation":"J Clin Oncol","note":"PMID: 33646820\nPMCID: PMC8078299","page":"1253-1263","source":"PubMed Central","title":"Updated Integrated Analysis of the Efficacy and Safety of Entrectinib in Locally Advanced or Metastatic ROS1 Fusion–Positive Non–Small-Cell Lung Cancer","volume":"39","author":[{"family":"Dziadziuszko","given":"Rafal"},{"family":"Krebs","given":"Matthew G."},{"family":"De Braud","given":"Filippo"},{"family":"Siena","given":"Salvatore"},{"family":"Drilon","given":"Alexander"},{"family":"Doebele","given":"Robert C."},{"family":"Patel","given":"Manish R."},{"family":"Cho","given":"Byoung Chul"},{"family":"Liu","given":"Stephen V."},{"family":"Ahn","given":"Myung-Ju"},{"family":"Chiu","given":"Chao-Hua"},{"family":"Farago","given":"Anna F."},{"family":"Lin","given":"Chia-Chi"},{"family":"Karapetis","given":"Christos S."},{"family":"Li","given":"Yu-Chung"},{"family":"Day","given":"Bann-mo"},{"family":"Chen","given":"David"},{"family":"Wilson","given":"Timothy R."},{"family":"Barlesi","given":"Fabrice"}],"issued":{"date-parts":[["2021",4,10]]}}}],"schema":"https://github.com/citation-style-language/schema/raw/master/csl-citation.json"} </w:instrText>
            </w:r>
            <w:r w:rsidRPr="003A3035">
              <w:rPr>
                <w:b/>
                <w:color w:val="FFFFFF" w:themeColor="background1"/>
                <w:sz w:val="20"/>
                <w:szCs w:val="20"/>
              </w:rPr>
              <w:fldChar w:fldCharType="separate"/>
            </w:r>
            <w:r w:rsidRPr="003A3035">
              <w:rPr>
                <w:color w:val="FFFFFF" w:themeColor="background1"/>
                <w:sz w:val="20"/>
              </w:rPr>
              <w:t>(1)</w:t>
            </w:r>
            <w:r w:rsidRPr="003A3035">
              <w:rPr>
                <w:b/>
                <w:color w:val="FFFFFF" w:themeColor="background1"/>
                <w:sz w:val="20"/>
                <w:szCs w:val="20"/>
              </w:rPr>
              <w:fldChar w:fldCharType="end"/>
            </w:r>
          </w:p>
        </w:tc>
        <w:tc>
          <w:tcPr>
            <w:tcW w:w="3827" w:type="dxa"/>
            <w:shd w:val="clear" w:color="auto" w:fill="156082" w:themeFill="accent1"/>
          </w:tcPr>
          <w:p w14:paraId="570E0252" w14:textId="77777777" w:rsidR="00CD7491" w:rsidRPr="003A3035" w:rsidRDefault="00CD7491">
            <w:pPr>
              <w:spacing w:line="240" w:lineRule="auto"/>
              <w:rPr>
                <w:b/>
                <w:color w:val="FFFFFF" w:themeColor="background1"/>
                <w:sz w:val="20"/>
                <w:szCs w:val="20"/>
              </w:rPr>
            </w:pPr>
            <w:r w:rsidRPr="003A3035">
              <w:rPr>
                <w:b/>
                <w:color w:val="FFFFFF" w:themeColor="background1"/>
                <w:sz w:val="20"/>
                <w:szCs w:val="20"/>
              </w:rPr>
              <w:t>ESME</w:t>
            </w:r>
          </w:p>
        </w:tc>
      </w:tr>
      <w:tr w:rsidR="00CD7491" w:rsidRPr="003A3035" w14:paraId="78E878AF" w14:textId="77777777">
        <w:trPr>
          <w:trHeight w:val="16"/>
        </w:trPr>
        <w:tc>
          <w:tcPr>
            <w:tcW w:w="1536" w:type="dxa"/>
            <w:shd w:val="clear" w:color="auto" w:fill="156082" w:themeFill="accent1"/>
          </w:tcPr>
          <w:p w14:paraId="60454063" w14:textId="77777777" w:rsidR="00CD7491" w:rsidRPr="003A3035" w:rsidRDefault="00CD7491">
            <w:pPr>
              <w:spacing w:line="240" w:lineRule="auto"/>
              <w:rPr>
                <w:color w:val="FFFFFF" w:themeColor="background1"/>
                <w:sz w:val="20"/>
                <w:szCs w:val="20"/>
              </w:rPr>
            </w:pPr>
            <w:r w:rsidRPr="003A3035">
              <w:rPr>
                <w:color w:val="FFFFFF" w:themeColor="background1"/>
                <w:sz w:val="20"/>
                <w:szCs w:val="20"/>
              </w:rPr>
              <w:t>Age</w:t>
            </w:r>
          </w:p>
          <w:p w14:paraId="5BC40CA6" w14:textId="77777777" w:rsidR="00CD7491" w:rsidRPr="003A3035" w:rsidRDefault="00CD7491">
            <w:pPr>
              <w:spacing w:line="240" w:lineRule="auto"/>
              <w:rPr>
                <w:color w:val="FFFFFF" w:themeColor="background1"/>
                <w:sz w:val="20"/>
                <w:szCs w:val="20"/>
              </w:rPr>
            </w:pPr>
          </w:p>
        </w:tc>
        <w:tc>
          <w:tcPr>
            <w:tcW w:w="3421" w:type="dxa"/>
          </w:tcPr>
          <w:p w14:paraId="0B2631B9" w14:textId="77777777" w:rsidR="00CD7491" w:rsidRPr="003A3035" w:rsidRDefault="00FE69C4">
            <w:pPr>
              <w:spacing w:line="240" w:lineRule="auto"/>
              <w:rPr>
                <w:sz w:val="20"/>
                <w:szCs w:val="20"/>
              </w:rPr>
            </w:pPr>
            <w:sdt>
              <w:sdtPr>
                <w:rPr>
                  <w:sz w:val="20"/>
                  <w:szCs w:val="20"/>
                </w:rPr>
                <w:tag w:val="goog_rdk_163"/>
                <w:id w:val="-1331289014"/>
              </w:sdtPr>
              <w:sdtEndPr/>
              <w:sdtContent>
                <w:r w:rsidR="00CD7491" w:rsidRPr="003A3035">
                  <w:rPr>
                    <w:rFonts w:eastAsia="Gungsuh"/>
                    <w:sz w:val="20"/>
                    <w:szCs w:val="20"/>
                  </w:rPr>
                  <w:t>≥ 18 years of age</w:t>
                </w:r>
              </w:sdtContent>
            </w:sdt>
          </w:p>
        </w:tc>
        <w:tc>
          <w:tcPr>
            <w:tcW w:w="3827" w:type="dxa"/>
          </w:tcPr>
          <w:p w14:paraId="534E2B85" w14:textId="77777777" w:rsidR="00CD7491" w:rsidRPr="003A3035" w:rsidRDefault="00FE69C4">
            <w:pPr>
              <w:spacing w:line="240" w:lineRule="auto"/>
              <w:rPr>
                <w:sz w:val="20"/>
                <w:szCs w:val="20"/>
              </w:rPr>
            </w:pPr>
            <w:sdt>
              <w:sdtPr>
                <w:rPr>
                  <w:sz w:val="20"/>
                  <w:szCs w:val="20"/>
                </w:rPr>
                <w:tag w:val="goog_rdk_164"/>
                <w:id w:val="1613471330"/>
              </w:sdtPr>
              <w:sdtEndPr/>
              <w:sdtContent>
                <w:r w:rsidR="00CD7491" w:rsidRPr="003A3035">
                  <w:rPr>
                    <w:rFonts w:eastAsia="Gungsuh"/>
                    <w:sz w:val="20"/>
                    <w:szCs w:val="20"/>
                  </w:rPr>
                  <w:t>≥ 18 years of age</w:t>
                </w:r>
              </w:sdtContent>
            </w:sdt>
          </w:p>
        </w:tc>
      </w:tr>
      <w:tr w:rsidR="00CD7491" w:rsidRPr="003A3035" w14:paraId="09125126" w14:textId="77777777">
        <w:trPr>
          <w:trHeight w:val="976"/>
        </w:trPr>
        <w:tc>
          <w:tcPr>
            <w:tcW w:w="1536" w:type="dxa"/>
            <w:shd w:val="clear" w:color="auto" w:fill="156082" w:themeFill="accent1"/>
          </w:tcPr>
          <w:p w14:paraId="096ADCF2" w14:textId="77777777" w:rsidR="00CD7491" w:rsidRPr="003A3035" w:rsidRDefault="00CD7491">
            <w:pPr>
              <w:spacing w:line="240" w:lineRule="auto"/>
              <w:rPr>
                <w:color w:val="FFFFFF" w:themeColor="background1"/>
                <w:sz w:val="20"/>
                <w:szCs w:val="20"/>
              </w:rPr>
            </w:pPr>
            <w:r w:rsidRPr="003A3035">
              <w:rPr>
                <w:color w:val="FFFFFF" w:themeColor="background1"/>
                <w:sz w:val="20"/>
                <w:szCs w:val="20"/>
              </w:rPr>
              <w:t>Histology</w:t>
            </w:r>
          </w:p>
          <w:p w14:paraId="63AADDB2" w14:textId="77777777" w:rsidR="00CD7491" w:rsidRPr="003A3035" w:rsidRDefault="00CD7491">
            <w:pPr>
              <w:spacing w:line="240" w:lineRule="auto"/>
              <w:rPr>
                <w:color w:val="FFFFFF" w:themeColor="background1"/>
                <w:sz w:val="20"/>
                <w:szCs w:val="20"/>
              </w:rPr>
            </w:pPr>
          </w:p>
          <w:p w14:paraId="2D07CED5" w14:textId="77777777" w:rsidR="00CD7491" w:rsidRPr="003A3035" w:rsidRDefault="00CD7491">
            <w:pPr>
              <w:spacing w:line="240" w:lineRule="auto"/>
              <w:rPr>
                <w:color w:val="FFFFFF" w:themeColor="background1"/>
                <w:sz w:val="20"/>
                <w:szCs w:val="20"/>
              </w:rPr>
            </w:pPr>
          </w:p>
          <w:p w14:paraId="1F967AB4" w14:textId="77777777" w:rsidR="00CD7491" w:rsidRPr="003A3035" w:rsidRDefault="00CD7491">
            <w:pPr>
              <w:spacing w:line="240" w:lineRule="auto"/>
              <w:rPr>
                <w:color w:val="FFFFFF" w:themeColor="background1"/>
                <w:sz w:val="20"/>
                <w:szCs w:val="20"/>
              </w:rPr>
            </w:pPr>
          </w:p>
          <w:p w14:paraId="6AEDFD24" w14:textId="77777777" w:rsidR="00CD7491" w:rsidRPr="003A3035" w:rsidRDefault="00CD7491">
            <w:pPr>
              <w:spacing w:line="240" w:lineRule="auto"/>
              <w:rPr>
                <w:i/>
                <w:color w:val="FFFFFF" w:themeColor="background1"/>
                <w:sz w:val="20"/>
                <w:szCs w:val="20"/>
              </w:rPr>
            </w:pPr>
          </w:p>
        </w:tc>
        <w:tc>
          <w:tcPr>
            <w:tcW w:w="3421" w:type="dxa"/>
          </w:tcPr>
          <w:p w14:paraId="47153F4B" w14:textId="77777777" w:rsidR="00CD7491" w:rsidRPr="003A3035" w:rsidRDefault="00CD7491">
            <w:pPr>
              <w:spacing w:line="240" w:lineRule="auto"/>
              <w:rPr>
                <w:sz w:val="20"/>
                <w:szCs w:val="20"/>
              </w:rPr>
            </w:pPr>
            <w:r w:rsidRPr="003A3035">
              <w:rPr>
                <w:i/>
                <w:iCs/>
                <w:sz w:val="20"/>
                <w:szCs w:val="20"/>
              </w:rPr>
              <w:t xml:space="preserve"> </w:t>
            </w:r>
            <w:r w:rsidRPr="003A3035">
              <w:rPr>
                <w:sz w:val="20"/>
                <w:szCs w:val="20"/>
              </w:rPr>
              <w:t xml:space="preserve">histologically or cytologically confirmed NSCLC diagnosis of relapsed or refractory (locally) advanced or metastatic solid </w:t>
            </w:r>
            <w:proofErr w:type="spellStart"/>
            <w:r w:rsidRPr="003A3035">
              <w:rPr>
                <w:sz w:val="20"/>
                <w:szCs w:val="20"/>
              </w:rPr>
              <w:t>tumours</w:t>
            </w:r>
            <w:proofErr w:type="spellEnd"/>
          </w:p>
        </w:tc>
        <w:tc>
          <w:tcPr>
            <w:tcW w:w="3827" w:type="dxa"/>
          </w:tcPr>
          <w:p w14:paraId="152A0BC5" w14:textId="77777777" w:rsidR="00CD7491" w:rsidRPr="003A3035" w:rsidRDefault="00CD7491">
            <w:pPr>
              <w:spacing w:line="240" w:lineRule="auto"/>
              <w:rPr>
                <w:i/>
                <w:sz w:val="20"/>
                <w:szCs w:val="20"/>
              </w:rPr>
            </w:pPr>
            <w:r w:rsidRPr="003A3035">
              <w:rPr>
                <w:sz w:val="20"/>
                <w:szCs w:val="20"/>
              </w:rPr>
              <w:t>With metastatic NSCLC, histologically confirmed (de novo or relapsed disease)</w:t>
            </w:r>
          </w:p>
        </w:tc>
      </w:tr>
      <w:tr w:rsidR="00CD7491" w:rsidRPr="003A3035" w14:paraId="39BD748C" w14:textId="77777777">
        <w:trPr>
          <w:trHeight w:val="16"/>
        </w:trPr>
        <w:tc>
          <w:tcPr>
            <w:tcW w:w="1536" w:type="dxa"/>
            <w:shd w:val="clear" w:color="auto" w:fill="156082" w:themeFill="accent1"/>
          </w:tcPr>
          <w:p w14:paraId="1EBFC459" w14:textId="77777777" w:rsidR="00CD7491" w:rsidRPr="003A3035" w:rsidRDefault="00CD7491">
            <w:pPr>
              <w:spacing w:line="240" w:lineRule="auto"/>
              <w:rPr>
                <w:color w:val="FFFFFF" w:themeColor="background1"/>
                <w:sz w:val="20"/>
                <w:szCs w:val="20"/>
              </w:rPr>
            </w:pPr>
            <w:r w:rsidRPr="003A3035">
              <w:rPr>
                <w:color w:val="FFFFFF" w:themeColor="background1"/>
                <w:sz w:val="20"/>
                <w:szCs w:val="20"/>
              </w:rPr>
              <w:t>Alterations</w:t>
            </w:r>
          </w:p>
        </w:tc>
        <w:tc>
          <w:tcPr>
            <w:tcW w:w="3421" w:type="dxa"/>
          </w:tcPr>
          <w:p w14:paraId="3DDC3DE2" w14:textId="77777777" w:rsidR="00CD7491" w:rsidRPr="003A3035" w:rsidRDefault="00CD7491">
            <w:pPr>
              <w:spacing w:line="240" w:lineRule="auto"/>
              <w:rPr>
                <w:sz w:val="20"/>
                <w:szCs w:val="20"/>
              </w:rPr>
            </w:pPr>
            <w:r w:rsidRPr="003A3035">
              <w:rPr>
                <w:sz w:val="20"/>
                <w:szCs w:val="20"/>
              </w:rPr>
              <w:t xml:space="preserve">Have tumors that </w:t>
            </w:r>
            <w:proofErr w:type="spellStart"/>
            <w:r w:rsidRPr="003A3035">
              <w:rPr>
                <w:sz w:val="20"/>
                <w:szCs w:val="20"/>
              </w:rPr>
              <w:t>harbour</w:t>
            </w:r>
            <w:proofErr w:type="spellEnd"/>
            <w:r w:rsidRPr="003A3035">
              <w:rPr>
                <w:sz w:val="20"/>
                <w:szCs w:val="20"/>
              </w:rPr>
              <w:t xml:space="preserve"> a ROS1 gene fusion </w:t>
            </w:r>
          </w:p>
          <w:p w14:paraId="453EDFBE" w14:textId="77777777" w:rsidR="00CD7491" w:rsidRPr="003A3035" w:rsidRDefault="00CD7491">
            <w:pPr>
              <w:spacing w:line="240" w:lineRule="auto"/>
              <w:rPr>
                <w:sz w:val="20"/>
                <w:szCs w:val="20"/>
              </w:rPr>
            </w:pPr>
            <w:r w:rsidRPr="003A3035">
              <w:rPr>
                <w:sz w:val="20"/>
                <w:szCs w:val="20"/>
              </w:rPr>
              <w:t xml:space="preserve">Without a concomitant second </w:t>
            </w:r>
            <w:proofErr w:type="spellStart"/>
            <w:r w:rsidRPr="003A3035">
              <w:rPr>
                <w:sz w:val="20"/>
                <w:szCs w:val="20"/>
              </w:rPr>
              <w:t>oncodriver</w:t>
            </w:r>
            <w:proofErr w:type="spellEnd"/>
          </w:p>
          <w:p w14:paraId="181A514B" w14:textId="77777777" w:rsidR="00CD7491" w:rsidRPr="003A3035" w:rsidRDefault="00CD7491">
            <w:pPr>
              <w:spacing w:line="240" w:lineRule="auto"/>
              <w:rPr>
                <w:sz w:val="20"/>
                <w:szCs w:val="20"/>
              </w:rPr>
            </w:pPr>
          </w:p>
        </w:tc>
        <w:tc>
          <w:tcPr>
            <w:tcW w:w="3827" w:type="dxa"/>
          </w:tcPr>
          <w:p w14:paraId="44AD78D9" w14:textId="77777777" w:rsidR="00CD7491" w:rsidRPr="003A3035" w:rsidRDefault="00CD7491">
            <w:pPr>
              <w:spacing w:line="240" w:lineRule="auto"/>
              <w:rPr>
                <w:sz w:val="20"/>
                <w:szCs w:val="20"/>
              </w:rPr>
            </w:pPr>
            <w:r w:rsidRPr="003A3035">
              <w:rPr>
                <w:sz w:val="20"/>
                <w:szCs w:val="20"/>
              </w:rPr>
              <w:t xml:space="preserve">With a ROS1 rearrangement positive testing result, without any concurrent mutation </w:t>
            </w:r>
          </w:p>
          <w:p w14:paraId="4E01E510" w14:textId="77777777" w:rsidR="00CD7491" w:rsidRPr="003A3035" w:rsidRDefault="00CD7491">
            <w:pPr>
              <w:spacing w:line="240" w:lineRule="auto"/>
              <w:rPr>
                <w:sz w:val="20"/>
                <w:szCs w:val="20"/>
              </w:rPr>
            </w:pPr>
          </w:p>
        </w:tc>
      </w:tr>
      <w:tr w:rsidR="00CD7491" w:rsidRPr="003A3035" w14:paraId="55D4C096" w14:textId="77777777">
        <w:trPr>
          <w:trHeight w:val="16"/>
        </w:trPr>
        <w:tc>
          <w:tcPr>
            <w:tcW w:w="1536" w:type="dxa"/>
            <w:shd w:val="clear" w:color="auto" w:fill="156082" w:themeFill="accent1"/>
          </w:tcPr>
          <w:p w14:paraId="342D019E" w14:textId="77777777" w:rsidR="00CD7491" w:rsidRPr="003A3035" w:rsidRDefault="00CD7491">
            <w:pPr>
              <w:spacing w:line="240" w:lineRule="auto"/>
              <w:rPr>
                <w:color w:val="FFFFFF" w:themeColor="background1"/>
                <w:sz w:val="20"/>
                <w:szCs w:val="20"/>
              </w:rPr>
            </w:pPr>
            <w:r w:rsidRPr="003A3035">
              <w:rPr>
                <w:color w:val="FFFFFF" w:themeColor="background1"/>
                <w:sz w:val="20"/>
                <w:szCs w:val="20"/>
              </w:rPr>
              <w:t>Performance score</w:t>
            </w:r>
          </w:p>
          <w:p w14:paraId="50083168" w14:textId="77777777" w:rsidR="00CD7491" w:rsidRPr="003A3035" w:rsidRDefault="00CD7491">
            <w:pPr>
              <w:spacing w:line="240" w:lineRule="auto"/>
              <w:rPr>
                <w:color w:val="FFFFFF" w:themeColor="background1"/>
                <w:sz w:val="20"/>
                <w:szCs w:val="20"/>
              </w:rPr>
            </w:pPr>
          </w:p>
        </w:tc>
        <w:tc>
          <w:tcPr>
            <w:tcW w:w="3421" w:type="dxa"/>
          </w:tcPr>
          <w:p w14:paraId="655C3739" w14:textId="77777777" w:rsidR="00CD7491" w:rsidRPr="003A3035" w:rsidRDefault="00FE69C4">
            <w:pPr>
              <w:spacing w:line="240" w:lineRule="auto"/>
              <w:rPr>
                <w:i/>
                <w:sz w:val="20"/>
                <w:szCs w:val="20"/>
              </w:rPr>
            </w:pPr>
            <w:sdt>
              <w:sdtPr>
                <w:rPr>
                  <w:sz w:val="20"/>
                  <w:szCs w:val="20"/>
                </w:rPr>
                <w:tag w:val="goog_rdk_168"/>
                <w:id w:val="193894801"/>
              </w:sdtPr>
              <w:sdtEndPr/>
              <w:sdtContent>
                <w:r w:rsidR="00CD7491" w:rsidRPr="003A3035">
                  <w:rPr>
                    <w:rFonts w:eastAsia="Gungsuh"/>
                    <w:sz w:val="20"/>
                    <w:szCs w:val="20"/>
                  </w:rPr>
                  <w:t>ECOG PS ≤2</w:t>
                </w:r>
              </w:sdtContent>
            </w:sdt>
          </w:p>
        </w:tc>
        <w:tc>
          <w:tcPr>
            <w:tcW w:w="3827" w:type="dxa"/>
          </w:tcPr>
          <w:p w14:paraId="1DBF7ABF" w14:textId="77777777" w:rsidR="00CD7491" w:rsidRPr="003A3035" w:rsidRDefault="00FE69C4">
            <w:pPr>
              <w:spacing w:line="240" w:lineRule="auto"/>
              <w:rPr>
                <w:i/>
                <w:sz w:val="20"/>
                <w:szCs w:val="20"/>
              </w:rPr>
            </w:pPr>
            <w:sdt>
              <w:sdtPr>
                <w:rPr>
                  <w:sz w:val="20"/>
                  <w:szCs w:val="20"/>
                </w:rPr>
                <w:tag w:val="goog_rdk_168"/>
                <w:id w:val="-171805486"/>
              </w:sdtPr>
              <w:sdtEndPr/>
              <w:sdtContent>
                <w:r w:rsidR="00CD7491" w:rsidRPr="003A3035">
                  <w:rPr>
                    <w:rFonts w:eastAsia="Gungsuh"/>
                    <w:sz w:val="20"/>
                    <w:szCs w:val="20"/>
                  </w:rPr>
                  <w:t>ECOG PS ≤2</w:t>
                </w:r>
              </w:sdtContent>
            </w:sdt>
            <w:r w:rsidR="00CD7491" w:rsidRPr="003A3035">
              <w:rPr>
                <w:i/>
                <w:sz w:val="20"/>
                <w:szCs w:val="20"/>
              </w:rPr>
              <w:t xml:space="preserve"> </w:t>
            </w:r>
            <w:r w:rsidR="00CD7491" w:rsidRPr="003A3035">
              <w:rPr>
                <w:iCs/>
                <w:sz w:val="20"/>
                <w:szCs w:val="20"/>
              </w:rPr>
              <w:t>or missing values</w:t>
            </w:r>
          </w:p>
        </w:tc>
      </w:tr>
      <w:tr w:rsidR="00CD7491" w:rsidRPr="003A3035" w14:paraId="17DB18CE" w14:textId="77777777">
        <w:trPr>
          <w:trHeight w:val="16"/>
        </w:trPr>
        <w:tc>
          <w:tcPr>
            <w:tcW w:w="1536" w:type="dxa"/>
            <w:shd w:val="clear" w:color="auto" w:fill="156082" w:themeFill="accent1"/>
          </w:tcPr>
          <w:p w14:paraId="5DED141B" w14:textId="77777777" w:rsidR="00CD7491" w:rsidRPr="003A3035" w:rsidRDefault="00CD7491">
            <w:pPr>
              <w:spacing w:line="240" w:lineRule="auto"/>
              <w:rPr>
                <w:color w:val="FFFFFF" w:themeColor="background1"/>
                <w:sz w:val="20"/>
                <w:szCs w:val="20"/>
              </w:rPr>
            </w:pPr>
            <w:r w:rsidRPr="003A3035">
              <w:rPr>
                <w:color w:val="FFFFFF" w:themeColor="background1"/>
                <w:sz w:val="20"/>
                <w:szCs w:val="20"/>
              </w:rPr>
              <w:t>Life expectancy</w:t>
            </w:r>
          </w:p>
        </w:tc>
        <w:tc>
          <w:tcPr>
            <w:tcW w:w="3421" w:type="dxa"/>
          </w:tcPr>
          <w:p w14:paraId="6B2932F0" w14:textId="77777777" w:rsidR="00CD7491" w:rsidRPr="003A3035" w:rsidRDefault="00CD7491">
            <w:pPr>
              <w:spacing w:line="240" w:lineRule="auto"/>
              <w:rPr>
                <w:sz w:val="20"/>
                <w:szCs w:val="20"/>
              </w:rPr>
            </w:pPr>
            <w:r w:rsidRPr="003A3035">
              <w:rPr>
                <w:sz w:val="20"/>
                <w:szCs w:val="20"/>
              </w:rPr>
              <w:t>Life expectancy of at least 4 weeks or 3 months</w:t>
            </w:r>
          </w:p>
        </w:tc>
        <w:tc>
          <w:tcPr>
            <w:tcW w:w="3827" w:type="dxa"/>
          </w:tcPr>
          <w:p w14:paraId="269406F1" w14:textId="77777777" w:rsidR="00CD7491" w:rsidRPr="003A3035" w:rsidRDefault="00CD7491">
            <w:pPr>
              <w:spacing w:line="240" w:lineRule="auto"/>
              <w:rPr>
                <w:i/>
                <w:sz w:val="20"/>
                <w:szCs w:val="20"/>
              </w:rPr>
            </w:pPr>
            <w:r w:rsidRPr="003A3035">
              <w:rPr>
                <w:sz w:val="20"/>
                <w:szCs w:val="20"/>
              </w:rPr>
              <w:t xml:space="preserve"> </w:t>
            </w:r>
            <w:r w:rsidRPr="003A3035">
              <w:rPr>
                <w:rFonts w:eastAsia="Gungsuh"/>
                <w:sz w:val="20"/>
                <w:szCs w:val="20"/>
              </w:rPr>
              <w:t>At least ≥6 months follow-up from date of data extraction unless they progressed or died earlier</w:t>
            </w:r>
          </w:p>
        </w:tc>
      </w:tr>
      <w:tr w:rsidR="00CD7491" w:rsidRPr="003A3035" w14:paraId="2B3BBB59" w14:textId="77777777">
        <w:trPr>
          <w:trHeight w:val="16"/>
        </w:trPr>
        <w:tc>
          <w:tcPr>
            <w:tcW w:w="1536" w:type="dxa"/>
            <w:shd w:val="clear" w:color="auto" w:fill="156082" w:themeFill="accent1"/>
          </w:tcPr>
          <w:p w14:paraId="4B5354BA" w14:textId="77777777" w:rsidR="00CD7491" w:rsidRPr="003A3035" w:rsidRDefault="00CD7491">
            <w:pPr>
              <w:spacing w:line="240" w:lineRule="auto"/>
              <w:rPr>
                <w:color w:val="FFFFFF" w:themeColor="background1"/>
                <w:sz w:val="20"/>
                <w:szCs w:val="20"/>
              </w:rPr>
            </w:pPr>
            <w:r w:rsidRPr="003A3035">
              <w:rPr>
                <w:color w:val="FFFFFF" w:themeColor="background1"/>
                <w:sz w:val="20"/>
                <w:szCs w:val="20"/>
              </w:rPr>
              <w:t>Laboratory data</w:t>
            </w:r>
          </w:p>
        </w:tc>
        <w:tc>
          <w:tcPr>
            <w:tcW w:w="3421" w:type="dxa"/>
          </w:tcPr>
          <w:p w14:paraId="56E63EC2" w14:textId="77777777" w:rsidR="00CD7491" w:rsidRPr="003A3035" w:rsidRDefault="00CD7491">
            <w:pPr>
              <w:spacing w:line="240" w:lineRule="auto"/>
              <w:rPr>
                <w:sz w:val="20"/>
                <w:szCs w:val="20"/>
              </w:rPr>
            </w:pPr>
            <w:r w:rsidRPr="003A3035">
              <w:rPr>
                <w:sz w:val="20"/>
                <w:szCs w:val="20"/>
              </w:rPr>
              <w:t>Acceptable baseline laboratory values</w:t>
            </w:r>
          </w:p>
        </w:tc>
        <w:tc>
          <w:tcPr>
            <w:tcW w:w="3827" w:type="dxa"/>
          </w:tcPr>
          <w:p w14:paraId="5A02747D" w14:textId="77777777" w:rsidR="00CD7491" w:rsidRPr="003A3035" w:rsidRDefault="00CD7491">
            <w:pPr>
              <w:spacing w:line="240" w:lineRule="auto"/>
              <w:rPr>
                <w:i/>
                <w:sz w:val="20"/>
                <w:szCs w:val="20"/>
              </w:rPr>
            </w:pPr>
          </w:p>
        </w:tc>
      </w:tr>
      <w:tr w:rsidR="00CD7491" w:rsidRPr="003A3035" w14:paraId="1FB123F9" w14:textId="77777777">
        <w:trPr>
          <w:trHeight w:val="16"/>
        </w:trPr>
        <w:tc>
          <w:tcPr>
            <w:tcW w:w="1536" w:type="dxa"/>
            <w:shd w:val="clear" w:color="auto" w:fill="156082" w:themeFill="accent1"/>
          </w:tcPr>
          <w:p w14:paraId="2D8F1A4D" w14:textId="77777777" w:rsidR="00CD7491" w:rsidRPr="003A3035" w:rsidRDefault="00CD7491">
            <w:pPr>
              <w:spacing w:line="240" w:lineRule="auto"/>
              <w:rPr>
                <w:color w:val="FFFFFF" w:themeColor="background1"/>
                <w:sz w:val="20"/>
                <w:szCs w:val="20"/>
              </w:rPr>
            </w:pPr>
            <w:r w:rsidRPr="003A3035">
              <w:rPr>
                <w:color w:val="FFFFFF" w:themeColor="background1"/>
                <w:sz w:val="20"/>
                <w:szCs w:val="20"/>
              </w:rPr>
              <w:t>CNS involvement</w:t>
            </w:r>
          </w:p>
          <w:p w14:paraId="65F0D50F" w14:textId="77777777" w:rsidR="00CD7491" w:rsidRPr="003A3035" w:rsidRDefault="00CD7491">
            <w:pPr>
              <w:spacing w:line="240" w:lineRule="auto"/>
              <w:rPr>
                <w:i/>
                <w:color w:val="FFFFFF" w:themeColor="background1"/>
                <w:sz w:val="20"/>
                <w:szCs w:val="20"/>
              </w:rPr>
            </w:pPr>
          </w:p>
          <w:p w14:paraId="632A9F87" w14:textId="77777777" w:rsidR="00CD7491" w:rsidRPr="003A3035" w:rsidRDefault="00CD7491">
            <w:pPr>
              <w:spacing w:line="240" w:lineRule="auto"/>
              <w:rPr>
                <w:color w:val="FFFFFF" w:themeColor="background1"/>
                <w:sz w:val="20"/>
                <w:szCs w:val="20"/>
              </w:rPr>
            </w:pPr>
          </w:p>
        </w:tc>
        <w:tc>
          <w:tcPr>
            <w:tcW w:w="3421" w:type="dxa"/>
          </w:tcPr>
          <w:p w14:paraId="7536DA47" w14:textId="77777777" w:rsidR="00CD7491" w:rsidRPr="003A3035" w:rsidRDefault="00CD7491">
            <w:pPr>
              <w:spacing w:line="240" w:lineRule="auto"/>
              <w:rPr>
                <w:sz w:val="20"/>
                <w:szCs w:val="20"/>
              </w:rPr>
            </w:pPr>
            <w:r w:rsidRPr="003A3035">
              <w:rPr>
                <w:sz w:val="20"/>
                <w:szCs w:val="20"/>
              </w:rPr>
              <w:t>Patients with controlled asymptomatic CNS or previously treated and controlled</w:t>
            </w:r>
          </w:p>
        </w:tc>
        <w:tc>
          <w:tcPr>
            <w:tcW w:w="3827" w:type="dxa"/>
          </w:tcPr>
          <w:p w14:paraId="5460C6A2" w14:textId="77777777" w:rsidR="00CD7491" w:rsidRPr="003A3035" w:rsidRDefault="00CD7491">
            <w:pPr>
              <w:spacing w:line="240" w:lineRule="auto"/>
              <w:rPr>
                <w:i/>
                <w:sz w:val="20"/>
                <w:szCs w:val="20"/>
              </w:rPr>
            </w:pPr>
          </w:p>
        </w:tc>
      </w:tr>
      <w:tr w:rsidR="00CD7491" w:rsidRPr="003A3035" w14:paraId="79D0C44B" w14:textId="77777777">
        <w:trPr>
          <w:trHeight w:val="16"/>
        </w:trPr>
        <w:tc>
          <w:tcPr>
            <w:tcW w:w="153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156082" w:themeFill="accent1"/>
          </w:tcPr>
          <w:p w14:paraId="69BDC93E" w14:textId="77777777" w:rsidR="00CD7491" w:rsidRPr="003A3035" w:rsidRDefault="00CD7491">
            <w:pPr>
              <w:spacing w:line="240" w:lineRule="auto"/>
              <w:rPr>
                <w:color w:val="FFFFFF" w:themeColor="background1"/>
                <w:sz w:val="20"/>
                <w:szCs w:val="20"/>
              </w:rPr>
            </w:pPr>
            <w:r w:rsidRPr="003A3035">
              <w:rPr>
                <w:color w:val="FFFFFF" w:themeColor="background1"/>
                <w:sz w:val="20"/>
                <w:szCs w:val="20"/>
              </w:rPr>
              <w:t>Concomitant treatments</w:t>
            </w:r>
          </w:p>
        </w:tc>
        <w:tc>
          <w:tcPr>
            <w:tcW w:w="342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30DE3BCC" w14:textId="77777777" w:rsidR="00CD7491" w:rsidRPr="003A3035" w:rsidRDefault="00FE69C4">
            <w:pPr>
              <w:spacing w:line="240" w:lineRule="auto"/>
              <w:rPr>
                <w:sz w:val="20"/>
                <w:szCs w:val="20"/>
              </w:rPr>
            </w:pPr>
            <w:sdt>
              <w:sdtPr>
                <w:rPr>
                  <w:sz w:val="20"/>
                  <w:szCs w:val="20"/>
                </w:rPr>
                <w:tag w:val="goog_rdk_175"/>
                <w:id w:val="-1349865780"/>
              </w:sdtPr>
              <w:sdtEndPr/>
              <w:sdtContent>
                <w:r w:rsidR="00CD7491" w:rsidRPr="003A3035">
                  <w:rPr>
                    <w:sz w:val="20"/>
                    <w:szCs w:val="20"/>
                  </w:rPr>
                  <w:t>Steroids at a stable dose or decreasing dose (≤8 mg/day dexamethasone or equivalent) or steroids at a stable dose (≤4 mg/day dexamethasone or equivalent) for at least 2 weeks.</w:t>
                </w:r>
              </w:sdtContent>
            </w:sdt>
          </w:p>
          <w:p w14:paraId="58A8C6A4" w14:textId="77777777" w:rsidR="00CD7491" w:rsidRPr="003A3035" w:rsidRDefault="00CD7491">
            <w:pPr>
              <w:spacing w:line="240" w:lineRule="auto"/>
              <w:rPr>
                <w:sz w:val="20"/>
                <w:szCs w:val="20"/>
              </w:rPr>
            </w:pPr>
            <w:r w:rsidRPr="003A3035">
              <w:rPr>
                <w:sz w:val="20"/>
                <w:szCs w:val="20"/>
              </w:rPr>
              <w:t>Seizure prophylaxis is allowed with non-EIAEDs only</w:t>
            </w:r>
          </w:p>
        </w:tc>
        <w:tc>
          <w:tcPr>
            <w:tcW w:w="3827"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5DD970FF" w14:textId="77777777" w:rsidR="00CD7491" w:rsidRPr="003A3035" w:rsidRDefault="00CD7491">
            <w:pPr>
              <w:spacing w:line="240" w:lineRule="auto"/>
              <w:rPr>
                <w:i/>
                <w:sz w:val="20"/>
                <w:szCs w:val="20"/>
              </w:rPr>
            </w:pPr>
          </w:p>
        </w:tc>
      </w:tr>
      <w:tr w:rsidR="00CD7491" w:rsidRPr="003A3035" w14:paraId="70BE1367" w14:textId="77777777">
        <w:trPr>
          <w:trHeight w:val="16"/>
        </w:trPr>
        <w:tc>
          <w:tcPr>
            <w:tcW w:w="153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156082" w:themeFill="accent1"/>
          </w:tcPr>
          <w:p w14:paraId="59077365" w14:textId="77777777" w:rsidR="00CD7491" w:rsidRPr="003A3035" w:rsidRDefault="00CD7491">
            <w:pPr>
              <w:spacing w:line="240" w:lineRule="auto"/>
              <w:rPr>
                <w:color w:val="FFFFFF" w:themeColor="background1"/>
                <w:sz w:val="20"/>
                <w:szCs w:val="20"/>
              </w:rPr>
            </w:pPr>
            <w:r w:rsidRPr="003A3035">
              <w:rPr>
                <w:color w:val="FFFFFF" w:themeColor="background1"/>
                <w:sz w:val="20"/>
                <w:szCs w:val="20"/>
              </w:rPr>
              <w:t>Previous treatments</w:t>
            </w:r>
          </w:p>
        </w:tc>
        <w:tc>
          <w:tcPr>
            <w:tcW w:w="342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0DE2D72A" w14:textId="77777777" w:rsidR="00CD7491" w:rsidRPr="003A3035" w:rsidRDefault="00CD7491">
            <w:pPr>
              <w:spacing w:line="240" w:lineRule="auto"/>
              <w:rPr>
                <w:sz w:val="20"/>
                <w:szCs w:val="20"/>
              </w:rPr>
            </w:pPr>
            <w:r w:rsidRPr="003A3035">
              <w:rPr>
                <w:sz w:val="20"/>
                <w:szCs w:val="20"/>
              </w:rPr>
              <w:t>Prior anticancer therapy is allowed</w:t>
            </w:r>
          </w:p>
          <w:p w14:paraId="52652832" w14:textId="77777777" w:rsidR="00CD7491" w:rsidRPr="003A3035" w:rsidRDefault="00CD7491">
            <w:pPr>
              <w:spacing w:line="240" w:lineRule="auto"/>
              <w:rPr>
                <w:sz w:val="20"/>
                <w:szCs w:val="20"/>
              </w:rPr>
            </w:pPr>
            <w:r w:rsidRPr="003A3035">
              <w:rPr>
                <w:iCs/>
                <w:sz w:val="20"/>
                <w:szCs w:val="20"/>
              </w:rPr>
              <w:t>All patients must be naïve of ROS1 inhibitor treatment at the time of considered line of treatment for comparison.</w:t>
            </w:r>
          </w:p>
        </w:tc>
        <w:tc>
          <w:tcPr>
            <w:tcW w:w="3827"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0DC3DA03" w14:textId="77777777" w:rsidR="00CD7491" w:rsidRPr="003A3035" w:rsidRDefault="00CD7491">
            <w:pPr>
              <w:spacing w:line="240" w:lineRule="auto"/>
              <w:rPr>
                <w:iCs/>
                <w:sz w:val="20"/>
                <w:szCs w:val="20"/>
              </w:rPr>
            </w:pPr>
          </w:p>
          <w:p w14:paraId="2D8F6262" w14:textId="77777777" w:rsidR="00CD7491" w:rsidRPr="003A3035" w:rsidRDefault="00CD7491">
            <w:pPr>
              <w:spacing w:line="240" w:lineRule="auto"/>
              <w:rPr>
                <w:iCs/>
                <w:sz w:val="20"/>
                <w:szCs w:val="20"/>
              </w:rPr>
            </w:pPr>
            <w:r w:rsidRPr="003A3035">
              <w:rPr>
                <w:iCs/>
                <w:sz w:val="20"/>
                <w:szCs w:val="20"/>
              </w:rPr>
              <w:t>All patients must be naïve of ROS1 inhibitor treatment at the time of considered line of treatment for comparison.</w:t>
            </w:r>
          </w:p>
        </w:tc>
      </w:tr>
      <w:tr w:rsidR="00CD7491" w:rsidRPr="003A3035" w14:paraId="5FFDABFC" w14:textId="77777777">
        <w:trPr>
          <w:trHeight w:val="16"/>
        </w:trPr>
        <w:tc>
          <w:tcPr>
            <w:tcW w:w="153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156082" w:themeFill="accent1"/>
          </w:tcPr>
          <w:p w14:paraId="46FB5366" w14:textId="77777777" w:rsidR="00CD7491" w:rsidRPr="003A3035" w:rsidRDefault="00CD7491">
            <w:pPr>
              <w:spacing w:line="240" w:lineRule="auto"/>
              <w:rPr>
                <w:color w:val="FFFFFF" w:themeColor="background1"/>
                <w:sz w:val="20"/>
                <w:szCs w:val="20"/>
              </w:rPr>
            </w:pPr>
            <w:r w:rsidRPr="003A3035">
              <w:rPr>
                <w:color w:val="FFFFFF" w:themeColor="background1"/>
                <w:sz w:val="20"/>
                <w:szCs w:val="20"/>
              </w:rPr>
              <w:t>Drug intake</w:t>
            </w:r>
          </w:p>
        </w:tc>
        <w:tc>
          <w:tcPr>
            <w:tcW w:w="342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32BB48FF" w14:textId="77777777" w:rsidR="00CD7491" w:rsidRPr="003A3035" w:rsidRDefault="00CD7491">
            <w:pPr>
              <w:spacing w:line="240" w:lineRule="auto"/>
              <w:rPr>
                <w:sz w:val="20"/>
                <w:szCs w:val="20"/>
              </w:rPr>
            </w:pPr>
            <w:r w:rsidRPr="003A3035">
              <w:rPr>
                <w:sz w:val="20"/>
                <w:szCs w:val="20"/>
              </w:rPr>
              <w:t xml:space="preserve">Received at least 1 dose of </w:t>
            </w:r>
            <w:proofErr w:type="spellStart"/>
            <w:r w:rsidRPr="003A3035">
              <w:rPr>
                <w:sz w:val="20"/>
                <w:szCs w:val="20"/>
              </w:rPr>
              <w:t>entrectinib</w:t>
            </w:r>
            <w:proofErr w:type="spellEnd"/>
          </w:p>
        </w:tc>
        <w:tc>
          <w:tcPr>
            <w:tcW w:w="3827"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55EC296A" w14:textId="77777777" w:rsidR="00CD7491" w:rsidRPr="003A3035" w:rsidRDefault="00CD7491">
            <w:pPr>
              <w:spacing w:line="240" w:lineRule="auto"/>
              <w:rPr>
                <w:iCs/>
                <w:sz w:val="20"/>
                <w:szCs w:val="20"/>
              </w:rPr>
            </w:pPr>
            <w:r w:rsidRPr="003A3035">
              <w:rPr>
                <w:iCs/>
                <w:sz w:val="20"/>
                <w:szCs w:val="20"/>
              </w:rPr>
              <w:t>At least one treatment line initiated for metastatic NSCLC</w:t>
            </w:r>
          </w:p>
        </w:tc>
      </w:tr>
    </w:tbl>
    <w:p w14:paraId="21BBD2A4" w14:textId="77777777" w:rsidR="00CD7491" w:rsidRPr="003A3035" w:rsidRDefault="00CD7491" w:rsidP="00CD7491"/>
    <w:p w14:paraId="3D8CAD3A" w14:textId="77777777" w:rsidR="00CD7491" w:rsidRPr="003A3035" w:rsidRDefault="00CD7491" w:rsidP="00CD7491"/>
    <w:p w14:paraId="58DE6721" w14:textId="77777777" w:rsidR="00CD7491" w:rsidRPr="003A3035" w:rsidRDefault="00CD7491" w:rsidP="00CD7491">
      <w:pPr>
        <w:sectPr w:rsidR="00CD7491" w:rsidRPr="003A3035" w:rsidSect="00CD7491">
          <w:pgSz w:w="11906" w:h="16838"/>
          <w:pgMar w:top="1418" w:right="1134" w:bottom="1418" w:left="1418" w:header="709" w:footer="709" w:gutter="0"/>
          <w:cols w:space="720"/>
        </w:sectPr>
      </w:pPr>
    </w:p>
    <w:p w14:paraId="67274DC1" w14:textId="77777777" w:rsidR="00CD7491" w:rsidRPr="003A3035" w:rsidRDefault="00CD7491" w:rsidP="00CD7491">
      <w:pPr>
        <w:pStyle w:val="Titre1"/>
        <w:rPr>
          <w:rFonts w:ascii="Times New Roman" w:hAnsi="Times New Roman" w:cs="Times New Roman"/>
        </w:rPr>
      </w:pPr>
      <w:bookmarkStart w:id="7" w:name="_heading=h.tyjcwt"/>
      <w:bookmarkStart w:id="8" w:name="_Toc180526678"/>
      <w:bookmarkStart w:id="9" w:name="_Toc181224697"/>
      <w:bookmarkEnd w:id="7"/>
      <w:r w:rsidRPr="003A3035">
        <w:rPr>
          <w:rFonts w:ascii="Times New Roman" w:hAnsi="Times New Roman" w:cs="Times New Roman"/>
        </w:rPr>
        <w:lastRenderedPageBreak/>
        <w:t xml:space="preserve">Comparison of Efficacy Outcome Definitions between </w:t>
      </w:r>
      <w:proofErr w:type="spellStart"/>
      <w:r w:rsidRPr="003A3035">
        <w:rPr>
          <w:rFonts w:ascii="Times New Roman" w:hAnsi="Times New Roman" w:cs="Times New Roman"/>
        </w:rPr>
        <w:t>entrectinib</w:t>
      </w:r>
      <w:proofErr w:type="spellEnd"/>
      <w:r w:rsidRPr="003A3035">
        <w:rPr>
          <w:rFonts w:ascii="Times New Roman" w:hAnsi="Times New Roman" w:cs="Times New Roman"/>
        </w:rPr>
        <w:t xml:space="preserve"> studies and ESME cohort</w:t>
      </w:r>
      <w:bookmarkEnd w:id="8"/>
      <w:bookmarkEnd w:id="9"/>
    </w:p>
    <w:p w14:paraId="69DECD1D" w14:textId="77777777" w:rsidR="00CD7491" w:rsidRPr="003A3035" w:rsidRDefault="00CD7491" w:rsidP="00CD7491">
      <w:pPr>
        <w:pBdr>
          <w:top w:val="nil"/>
          <w:left w:val="nil"/>
          <w:bottom w:val="nil"/>
          <w:right w:val="nil"/>
          <w:between w:val="nil"/>
        </w:pBdr>
        <w:jc w:val="left"/>
        <w:rPr>
          <w:i/>
        </w:rPr>
      </w:pPr>
      <w:r w:rsidRPr="003A3035">
        <w:rPr>
          <w:i/>
        </w:rPr>
        <w:t xml:space="preserve">Table S2. Comparison of Efficacy Outcome Definitions between </w:t>
      </w:r>
      <w:proofErr w:type="spellStart"/>
      <w:r w:rsidRPr="003A3035">
        <w:rPr>
          <w:i/>
        </w:rPr>
        <w:t>entrectinib</w:t>
      </w:r>
      <w:proofErr w:type="spellEnd"/>
      <w:r w:rsidRPr="003A3035">
        <w:rPr>
          <w:i/>
        </w:rPr>
        <w:t xml:space="preserve"> studies and ESME cohort</w:t>
      </w:r>
    </w:p>
    <w:tbl>
      <w:tblPr>
        <w:tblpPr w:leftFromText="141" w:rightFromText="141" w:vertAnchor="text" w:tblpY="62"/>
        <w:tblW w:w="14029"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CellMar>
          <w:left w:w="115" w:type="dxa"/>
          <w:right w:w="115" w:type="dxa"/>
        </w:tblCellMar>
        <w:tblLook w:val="04A0" w:firstRow="1" w:lastRow="0" w:firstColumn="1" w:lastColumn="0" w:noHBand="0" w:noVBand="1"/>
      </w:tblPr>
      <w:tblGrid>
        <w:gridCol w:w="1065"/>
        <w:gridCol w:w="6127"/>
        <w:gridCol w:w="6837"/>
      </w:tblGrid>
      <w:tr w:rsidR="00CD7491" w:rsidRPr="003A3035" w14:paraId="4B4160A4" w14:textId="77777777" w:rsidTr="6EBB0BD4">
        <w:trPr>
          <w:trHeight w:val="300"/>
        </w:trPr>
        <w:tc>
          <w:tcPr>
            <w:tcW w:w="1065" w:type="dxa"/>
            <w:shd w:val="clear" w:color="auto" w:fill="5B9BD5"/>
          </w:tcPr>
          <w:p w14:paraId="236FAFDF" w14:textId="77777777" w:rsidR="00CD7491" w:rsidRPr="003A3035" w:rsidRDefault="00CD7491">
            <w:pPr>
              <w:spacing w:line="240" w:lineRule="auto"/>
            </w:pPr>
            <w:r w:rsidRPr="003A3035">
              <w:t>Outcome</w:t>
            </w:r>
          </w:p>
        </w:tc>
        <w:tc>
          <w:tcPr>
            <w:tcW w:w="6127" w:type="dxa"/>
            <w:shd w:val="clear" w:color="auto" w:fill="5B9BD5"/>
          </w:tcPr>
          <w:p w14:paraId="0EBACBCA" w14:textId="77777777" w:rsidR="00CD7491" w:rsidRPr="003A3035" w:rsidRDefault="00CD7491">
            <w:pPr>
              <w:spacing w:line="240" w:lineRule="auto"/>
            </w:pPr>
            <w:r w:rsidRPr="003A3035">
              <w:t>ENTRECTINIB</w:t>
            </w:r>
          </w:p>
        </w:tc>
        <w:tc>
          <w:tcPr>
            <w:tcW w:w="6837" w:type="dxa"/>
            <w:shd w:val="clear" w:color="auto" w:fill="5B9BD5"/>
          </w:tcPr>
          <w:p w14:paraId="2F28CCB1" w14:textId="77777777" w:rsidR="00CD7491" w:rsidRPr="003A3035" w:rsidRDefault="00CD7491">
            <w:pPr>
              <w:spacing w:line="240" w:lineRule="auto"/>
            </w:pPr>
            <w:r w:rsidRPr="003A3035">
              <w:t>ESME</w:t>
            </w:r>
          </w:p>
        </w:tc>
      </w:tr>
      <w:tr w:rsidR="00CD7491" w:rsidRPr="003A3035" w14:paraId="4DABA857" w14:textId="77777777" w:rsidTr="6EBB0BD4">
        <w:trPr>
          <w:trHeight w:val="20"/>
        </w:trPr>
        <w:tc>
          <w:tcPr>
            <w:tcW w:w="1065" w:type="dxa"/>
            <w:shd w:val="clear" w:color="auto" w:fill="5B9BD5"/>
          </w:tcPr>
          <w:p w14:paraId="26255237" w14:textId="77777777" w:rsidR="00CD7491" w:rsidRPr="003A3035" w:rsidRDefault="00CD7491">
            <w:pPr>
              <w:spacing w:line="240" w:lineRule="auto"/>
            </w:pPr>
            <w:r w:rsidRPr="003A3035">
              <w:t>PFS by treatment line</w:t>
            </w:r>
          </w:p>
          <w:p w14:paraId="00CFCB45" w14:textId="77777777" w:rsidR="00CD7491" w:rsidRPr="003A3035" w:rsidRDefault="00CD7491">
            <w:pPr>
              <w:spacing w:line="240" w:lineRule="auto"/>
            </w:pPr>
          </w:p>
        </w:tc>
        <w:tc>
          <w:tcPr>
            <w:tcW w:w="6127" w:type="dxa"/>
          </w:tcPr>
          <w:p w14:paraId="3EB5CDE3" w14:textId="77777777" w:rsidR="00CD7491" w:rsidRPr="003A3035" w:rsidRDefault="00CD7491">
            <w:pPr>
              <w:spacing w:line="240" w:lineRule="auto"/>
            </w:pPr>
            <w:r w:rsidRPr="003A3035">
              <w:t xml:space="preserve">Time (months) from first dose of </w:t>
            </w:r>
            <w:proofErr w:type="spellStart"/>
            <w:r w:rsidRPr="003A3035">
              <w:t>entrectinib</w:t>
            </w:r>
            <w:proofErr w:type="spellEnd"/>
            <w:r w:rsidRPr="003A3035">
              <w:t xml:space="preserve"> to first documentation of radiographic disease progression per RECIST v1.1 by Blinded Independent Central Review or death due to any cause. </w:t>
            </w:r>
          </w:p>
          <w:p w14:paraId="5FA863AB" w14:textId="77777777" w:rsidR="00CD7491" w:rsidRPr="003A3035" w:rsidRDefault="00CD7491">
            <w:pPr>
              <w:spacing w:line="240" w:lineRule="auto"/>
            </w:pPr>
            <w:r w:rsidRPr="003A3035">
              <w:t>Censoring rules</w:t>
            </w:r>
          </w:p>
          <w:p w14:paraId="5A047322" w14:textId="77777777" w:rsidR="00CD7491" w:rsidRPr="003A3035" w:rsidRDefault="00CD7491">
            <w:pPr>
              <w:spacing w:line="240" w:lineRule="auto"/>
            </w:pPr>
            <w:r w:rsidRPr="003A3035">
              <w:t xml:space="preserve">Patients without progression or death were censored on the date of the last tumor assessment (or, if no tumor assessment was performed after the baseline visit, at the date of first dose of </w:t>
            </w:r>
            <w:proofErr w:type="spellStart"/>
            <w:r w:rsidRPr="003A3035">
              <w:t>entrectinib</w:t>
            </w:r>
            <w:proofErr w:type="spellEnd"/>
            <w:r w:rsidRPr="003A3035">
              <w:t>) prior to the clinical cut-off date.</w:t>
            </w:r>
          </w:p>
          <w:p w14:paraId="77C1BB49" w14:textId="77777777" w:rsidR="00CD7491" w:rsidRPr="003A3035" w:rsidRDefault="00CD7491">
            <w:pPr>
              <w:spacing w:line="240" w:lineRule="auto"/>
            </w:pPr>
          </w:p>
          <w:p w14:paraId="5E3ADADA" w14:textId="77777777" w:rsidR="00CD7491" w:rsidRPr="003A3035" w:rsidRDefault="00CD7491">
            <w:pPr>
              <w:spacing w:line="240" w:lineRule="auto"/>
            </w:pPr>
          </w:p>
        </w:tc>
        <w:tc>
          <w:tcPr>
            <w:tcW w:w="6837" w:type="dxa"/>
          </w:tcPr>
          <w:p w14:paraId="12EAB670" w14:textId="789D8C25" w:rsidR="00CD7491" w:rsidRPr="003A3035" w:rsidRDefault="252F6BA6">
            <w:pPr>
              <w:spacing w:line="240" w:lineRule="auto"/>
            </w:pPr>
            <w:r w:rsidRPr="003A3035">
              <w:t xml:space="preserve">Time (in months) from the index date </w:t>
            </w:r>
            <w:r w:rsidR="77D2F662" w:rsidRPr="003A3035">
              <w:t xml:space="preserve">(first dose of 1L treatment in real life) </w:t>
            </w:r>
            <w:r w:rsidRPr="003A3035">
              <w:t>to the date of first disease progression or death for any cause.</w:t>
            </w:r>
          </w:p>
          <w:p w14:paraId="5165A6FA" w14:textId="77777777" w:rsidR="00CD7491" w:rsidRPr="003A3035" w:rsidRDefault="00CD7491">
            <w:pPr>
              <w:spacing w:line="240" w:lineRule="auto"/>
            </w:pPr>
            <w:r w:rsidRPr="003A3035">
              <w:t>The date of disease progression was calculated as the date of the first event among:</w:t>
            </w:r>
          </w:p>
          <w:p w14:paraId="43C398D1" w14:textId="77777777" w:rsidR="00CD7491" w:rsidRPr="003A3035" w:rsidRDefault="00CD7491" w:rsidP="00CD7491">
            <w:pPr>
              <w:numPr>
                <w:ilvl w:val="0"/>
                <w:numId w:val="19"/>
              </w:numPr>
              <w:pBdr>
                <w:top w:val="nil"/>
                <w:left w:val="nil"/>
                <w:bottom w:val="nil"/>
                <w:right w:val="nil"/>
                <w:between w:val="nil"/>
              </w:pBdr>
              <w:spacing w:line="240" w:lineRule="auto"/>
            </w:pPr>
            <w:r w:rsidRPr="003A3035">
              <w:t>Diagnosis of regional tumoral or lymph node progression</w:t>
            </w:r>
          </w:p>
          <w:p w14:paraId="41CA5527" w14:textId="77777777" w:rsidR="00CD7491" w:rsidRPr="003A3035" w:rsidRDefault="00CD7491" w:rsidP="00CD7491">
            <w:pPr>
              <w:numPr>
                <w:ilvl w:val="0"/>
                <w:numId w:val="17"/>
              </w:numPr>
              <w:pBdr>
                <w:top w:val="nil"/>
                <w:left w:val="nil"/>
                <w:bottom w:val="nil"/>
                <w:right w:val="nil"/>
                <w:between w:val="nil"/>
              </w:pBdr>
              <w:spacing w:line="240" w:lineRule="auto"/>
            </w:pPr>
            <w:r w:rsidRPr="003A3035">
              <w:t>Diagnosis of a new metastasis (new metastatic site)</w:t>
            </w:r>
          </w:p>
          <w:p w14:paraId="0A31A119" w14:textId="77777777" w:rsidR="00CD7491" w:rsidRPr="003A3035" w:rsidRDefault="00CD7491" w:rsidP="00CD7491">
            <w:pPr>
              <w:numPr>
                <w:ilvl w:val="0"/>
                <w:numId w:val="17"/>
              </w:numPr>
              <w:pBdr>
                <w:top w:val="nil"/>
                <w:left w:val="nil"/>
                <w:bottom w:val="nil"/>
                <w:right w:val="nil"/>
                <w:between w:val="nil"/>
              </w:pBdr>
              <w:spacing w:line="240" w:lineRule="auto"/>
            </w:pPr>
            <w:r w:rsidRPr="003A3035">
              <w:t>Progression of a previously diagnosed metastatic site</w:t>
            </w:r>
          </w:p>
          <w:p w14:paraId="2CFDED16" w14:textId="77777777" w:rsidR="00CD7491" w:rsidRPr="003A3035" w:rsidRDefault="00CD7491" w:rsidP="00CD7491">
            <w:pPr>
              <w:numPr>
                <w:ilvl w:val="0"/>
                <w:numId w:val="17"/>
              </w:numPr>
              <w:pBdr>
                <w:top w:val="nil"/>
                <w:left w:val="nil"/>
                <w:bottom w:val="nil"/>
                <w:right w:val="nil"/>
                <w:between w:val="nil"/>
              </w:pBdr>
              <w:spacing w:line="240" w:lineRule="auto"/>
            </w:pPr>
            <w:r w:rsidRPr="003A3035">
              <w:t xml:space="preserve">End of chemotherapy / targeted therapy / immunotherapy with termination due to “Progression” </w:t>
            </w:r>
          </w:p>
          <w:p w14:paraId="247D36E4" w14:textId="77777777" w:rsidR="00CD7491" w:rsidRPr="003A3035" w:rsidRDefault="00CD7491">
            <w:pPr>
              <w:spacing w:line="240" w:lineRule="auto"/>
            </w:pPr>
            <w:r w:rsidRPr="003A3035">
              <w:t>Note: for de novo metastatic lung cancer, new metastatic sites diagnosed in the 30 days after the date of diagnosis of primary tumor was be considered as disease progression. For these cases, the date of disease progression was the date of the first clinical event listed above, diagnosed more than 30 days after the primary tumor diagnosis.</w:t>
            </w:r>
          </w:p>
          <w:p w14:paraId="72AF90C2" w14:textId="77777777" w:rsidR="00CD7491" w:rsidRPr="003A3035" w:rsidRDefault="00CD7491">
            <w:pPr>
              <w:spacing w:line="240" w:lineRule="auto"/>
            </w:pPr>
            <w:r w:rsidRPr="003A3035">
              <w:t>Censoring rules</w:t>
            </w:r>
          </w:p>
          <w:p w14:paraId="54514AB3" w14:textId="77777777" w:rsidR="00CD7491" w:rsidRPr="003A3035" w:rsidRDefault="00CD7491">
            <w:pPr>
              <w:spacing w:line="240" w:lineRule="auto"/>
            </w:pPr>
            <w:r w:rsidRPr="003A3035">
              <w:t>Patients without progression or death during the line of treatment were censored at the date of last contact or cut-off date whichever occurred first.</w:t>
            </w:r>
          </w:p>
        </w:tc>
      </w:tr>
    </w:tbl>
    <w:p w14:paraId="4D660059" w14:textId="77777777" w:rsidR="00CD7491" w:rsidRPr="003A3035" w:rsidRDefault="00CD7491" w:rsidP="00CD7491"/>
    <w:p w14:paraId="5D284201" w14:textId="77777777" w:rsidR="00CD7491" w:rsidRPr="003A3035" w:rsidRDefault="00CD7491" w:rsidP="00CD7491"/>
    <w:p w14:paraId="6C78FAE0" w14:textId="77777777" w:rsidR="00CD7491" w:rsidRPr="003A3035" w:rsidRDefault="00CD7491" w:rsidP="00CD7491">
      <w:pPr>
        <w:spacing w:line="259" w:lineRule="auto"/>
        <w:jc w:val="left"/>
        <w:sectPr w:rsidR="00CD7491" w:rsidRPr="003A3035" w:rsidSect="00CD7491">
          <w:pgSz w:w="16838" w:h="11906" w:orient="landscape"/>
          <w:pgMar w:top="1134" w:right="1418" w:bottom="1418" w:left="1418" w:header="709" w:footer="709" w:gutter="0"/>
          <w:cols w:space="720"/>
        </w:sectPr>
      </w:pPr>
      <w:r w:rsidRPr="003A3035">
        <w:br w:type="page"/>
      </w:r>
    </w:p>
    <w:p w14:paraId="783D4D65" w14:textId="541E03D0" w:rsidR="00CD7491" w:rsidRPr="003A3035" w:rsidRDefault="00CD7491" w:rsidP="00CD7491">
      <w:pPr>
        <w:pStyle w:val="Titre1"/>
        <w:rPr>
          <w:rFonts w:ascii="Times New Roman" w:hAnsi="Times New Roman" w:cs="Times New Roman"/>
        </w:rPr>
      </w:pPr>
      <w:bookmarkStart w:id="10" w:name="_heading=h.3dy6vkm"/>
      <w:bookmarkStart w:id="11" w:name="_Toc180526679"/>
      <w:bookmarkStart w:id="12" w:name="_Toc181224698"/>
      <w:bookmarkEnd w:id="10"/>
      <w:r w:rsidRPr="003A3035">
        <w:rPr>
          <w:rFonts w:ascii="Times New Roman" w:hAnsi="Times New Roman" w:cs="Times New Roman"/>
        </w:rPr>
        <w:lastRenderedPageBreak/>
        <w:t>Details on statistical methods</w:t>
      </w:r>
      <w:bookmarkEnd w:id="11"/>
      <w:bookmarkEnd w:id="12"/>
    </w:p>
    <w:p w14:paraId="62CF1CCB" w14:textId="77777777" w:rsidR="00CD7491" w:rsidRPr="003A3035" w:rsidRDefault="00CD7491" w:rsidP="00CD7491">
      <w:pPr>
        <w:keepNext/>
        <w:keepLines/>
        <w:pBdr>
          <w:top w:val="nil"/>
          <w:left w:val="nil"/>
          <w:bottom w:val="nil"/>
          <w:right w:val="nil"/>
          <w:between w:val="nil"/>
        </w:pBdr>
        <w:rPr>
          <w:b/>
          <w:i/>
        </w:rPr>
      </w:pPr>
      <w:r w:rsidRPr="003A3035">
        <w:rPr>
          <w:b/>
          <w:i/>
        </w:rPr>
        <w:t>General considerations</w:t>
      </w:r>
    </w:p>
    <w:p w14:paraId="3E907063" w14:textId="77777777" w:rsidR="00CD7491" w:rsidRPr="003A3035" w:rsidRDefault="00CD7491" w:rsidP="00CD7491">
      <w:r w:rsidRPr="003A3035">
        <w:t>The analysis was conducted using R, in particular the mice package version 3.16.0.</w:t>
      </w:r>
    </w:p>
    <w:p w14:paraId="46345B3C" w14:textId="556DCBF6" w:rsidR="00CD7491" w:rsidRPr="003A3035" w:rsidRDefault="00CD7491" w:rsidP="00CD7491">
      <w:pPr>
        <w:spacing w:line="300" w:lineRule="auto"/>
      </w:pPr>
      <w:r w:rsidRPr="003A3035">
        <w:t xml:space="preserve">During the feasibility step, among the 7 prognostic factors selected to balance the two populations, missing data were highlighted for smoking status (binary variable) and ECOG status (ordinal variable) at the index date. As planned in the protocol and in the SAP, multiple imputation by chained equation </w:t>
      </w:r>
      <w:r w:rsidRPr="003A3035">
        <w:fldChar w:fldCharType="begin"/>
      </w:r>
      <w:r w:rsidRPr="003A3035">
        <w:instrText xml:space="preserve"> ADDIN ZOTERO_ITEM CSL_CITATION {"citationID":"LaIALI9d","properties":{"formattedCitation":"(2)","plainCitation":"(2)","noteIndex":0},"citationItems":[{"id":7734,"uris":["http://zotero.org/groups/4549131/items/5RLKWRGA"],"itemData":{"id":7734,"type":"book","abstract":"Flexible Imputation of Missing Data, Second Edition","source":"stefvanbuuren.name","title":"https://stefvanbuuren.name/fimd/sec-choices.html","title-short":"https","URL":"https://stefvanbuuren.name/fimd/sec-choices.html","accessed":{"date-parts":[["2024",6,11]]}}}],"schema":"https://github.com/citation-style-language/schema/raw/master/csl-citation.json"} </w:instrText>
      </w:r>
      <w:r w:rsidRPr="003A3035">
        <w:fldChar w:fldCharType="separate"/>
      </w:r>
      <w:r w:rsidRPr="003A3035">
        <w:t>(2)</w:t>
      </w:r>
      <w:r w:rsidRPr="003A3035">
        <w:fldChar w:fldCharType="end"/>
      </w:r>
      <w:r w:rsidRPr="003A3035">
        <w:t xml:space="preserve"> was applied even for the ECOG status to impute more than 40% of missing data. The age, gender, histology, brain metastases at the index date were used as predictor variables in the imputation model. Then, smoking status was firstly imputed, a simple logistic regression was used for the smoking status. To finish, the ECOG status was included lastly in this imputation step, a logistic regression with an ordinal variable was used for this factor. The maximum number of missing data observed was 53%, therefore for all objectives, a total of 50 imputed data sets were generated. The number of iterations was fixed at 20 for all objectives and a prespecified seed was used for reproducibility. Assumptions underlying multiple imputation were checked by describing missing data (descriptive comparisons between patients with no missing data and patients with missing data were presented and Little’s test for MCAR assumption was applied). </w:t>
      </w:r>
    </w:p>
    <w:p w14:paraId="333491BA" w14:textId="6A4C8D52" w:rsidR="00732E5C" w:rsidRPr="003A3035" w:rsidRDefault="5879D41D" w:rsidP="00732E5C">
      <w:pPr>
        <w:spacing w:line="300" w:lineRule="auto"/>
      </w:pPr>
      <w:r w:rsidRPr="003A3035">
        <w:t xml:space="preserve">For the weights, </w:t>
      </w:r>
      <w:r w:rsidR="04FBAC03" w:rsidRPr="003A3035">
        <w:t>we use</w:t>
      </w:r>
      <w:r w:rsidR="3A084EAE" w:rsidRPr="003A3035">
        <w:t xml:space="preserve"> a</w:t>
      </w:r>
      <w:r w:rsidR="04FBAC03" w:rsidRPr="003A3035">
        <w:t xml:space="preserve"> logistic regression and the method of moments for weight estimation </w:t>
      </w:r>
      <w:r w:rsidR="00732E5C" w:rsidRPr="003A3035">
        <w:fldChar w:fldCharType="begin"/>
      </w:r>
      <w:r w:rsidR="00732E5C" w:rsidRPr="003A3035">
        <w:instrText xml:space="preserve"> ADDIN ZOTERO_ITEM CSL_CITATION {"citationID":"63kzbEO9","properties":{"formattedCitation":"(3)","plainCitation":"(3)","noteIndex":0},"citationItems":[{"id":8625,"uris":["http://zotero.org/groups/4549131/items/QZ44Z5KB"],"itemData":{"id":8625,"type":"document","title":"NICE DSU Technical Support Document 18: Methods for population-adjusted indirect comparisons in submissions to NICE","URL":"https://research-information.bris.ac.uk/en/publications/nice-dsu-technical-support-document-18-methods-for-population-adj","author":[{"family":"Phillippo","given":"David"},{"family":"Ades","given":"Tony"},{"family":"Dias","given":"Sofia"},{"family":"Palmer","given":"Stephen"},{"family":"Abrams","given":"Keith R"},{"family":"Welton","given":"Nicky J"}],"issued":{"date-parts":[["2016",12,7]]}}}],"schema":"https://github.com/citation-style-language/schema/raw/master/csl-citation.json"} </w:instrText>
      </w:r>
      <w:r w:rsidR="00732E5C" w:rsidRPr="003A3035">
        <w:fldChar w:fldCharType="separate"/>
      </w:r>
      <w:r w:rsidR="33FE821F" w:rsidRPr="003A3035">
        <w:t>(3)</w:t>
      </w:r>
      <w:r w:rsidR="00732E5C" w:rsidRPr="003A3035">
        <w:fldChar w:fldCharType="end"/>
      </w:r>
      <w:r w:rsidR="04FBAC03" w:rsidRPr="003A3035">
        <w:t xml:space="preserve">. </w:t>
      </w:r>
      <w:r w:rsidR="3A084EAE" w:rsidRPr="003A3035">
        <w:t xml:space="preserve">According to the NICE recommendations </w:t>
      </w:r>
      <w:r w:rsidR="00732E5C" w:rsidRPr="003A3035">
        <w:fldChar w:fldCharType="begin"/>
      </w:r>
      <w:r w:rsidR="00732E5C" w:rsidRPr="003A3035">
        <w:instrText xml:space="preserve"> ADDIN ZOTERO_ITEM CSL_CITATION {"citationID":"gWrkNxS6","properties":{"formattedCitation":"(3)","plainCitation":"(3)","noteIndex":0},"citationItems":[{"id":8625,"uris":["http://zotero.org/groups/4549131/items/QZ44Z5KB"],"itemData":{"id":8625,"type":"document","title":"NICE DSU Technical Support Document 18: Methods for population-adjusted indirect comparisons in submissions to NICE","URL":"https://research-information.bris.ac.uk/en/publications/nice-dsu-technical-support-document-18-methods-for-population-adj","author":[{"family":"Phillippo","given":"David"},{"family":"Ades","given":"Tony"},{"family":"Dias","given":"Sofia"},{"family":"Palmer","given":"Stephen"},{"family":"Abrams","given":"Keith R"},{"family":"Welton","given":"Nicky J"}],"issued":{"date-parts":[["2016",12,7]]}}}],"schema":"https://github.com/citation-style-language/schema/raw/master/csl-citation.json"} </w:instrText>
      </w:r>
      <w:r w:rsidR="00732E5C" w:rsidRPr="003A3035">
        <w:fldChar w:fldCharType="separate"/>
      </w:r>
      <w:r w:rsidR="33FE821F" w:rsidRPr="003A3035">
        <w:t>(3)</w:t>
      </w:r>
      <w:r w:rsidR="00732E5C" w:rsidRPr="003A3035">
        <w:fldChar w:fldCharType="end"/>
      </w:r>
      <w:r w:rsidR="3A084EAE" w:rsidRPr="003A3035">
        <w:t>, t</w:t>
      </w:r>
      <w:r w:rsidRPr="003A3035">
        <w:t xml:space="preserve">he method </w:t>
      </w:r>
      <w:r w:rsidR="3D52C927" w:rsidRPr="003A3035">
        <w:t xml:space="preserve">of </w:t>
      </w:r>
      <w:r w:rsidR="57974579" w:rsidRPr="003A3035">
        <w:t>optimization was the quasi-Newton</w:t>
      </w:r>
      <w:r w:rsidRPr="003A3035">
        <w:t xml:space="preserve"> BFGS (after </w:t>
      </w:r>
      <w:proofErr w:type="spellStart"/>
      <w:r w:rsidRPr="003A3035">
        <w:t>Broyden</w:t>
      </w:r>
      <w:proofErr w:type="spellEnd"/>
      <w:r w:rsidRPr="003A3035">
        <w:t xml:space="preserve">, Fletcher, Goldfarb and Shanno), which makes use of the gradient function that we specified to aid </w:t>
      </w:r>
      <w:r w:rsidR="57974579" w:rsidRPr="003A3035">
        <w:t>minimization</w:t>
      </w:r>
      <w:r w:rsidRPr="003A3035">
        <w:t>.</w:t>
      </w:r>
    </w:p>
    <w:p w14:paraId="3533D34F" w14:textId="77777777" w:rsidR="001E6702" w:rsidRPr="003A3035" w:rsidRDefault="001E6702" w:rsidP="00CD7491">
      <w:pPr>
        <w:spacing w:line="300" w:lineRule="auto"/>
      </w:pPr>
    </w:p>
    <w:p w14:paraId="0E32F76A" w14:textId="77777777" w:rsidR="0007496A" w:rsidRPr="003A3035" w:rsidRDefault="00CD7491" w:rsidP="00CD7491">
      <w:pPr>
        <w:spacing w:line="300" w:lineRule="auto"/>
      </w:pPr>
      <w:r w:rsidRPr="003A3035">
        <w:t xml:space="preserve">The results from the 50 complete datasets were combined for the inference providing: </w:t>
      </w:r>
    </w:p>
    <w:p w14:paraId="4111D0BB" w14:textId="77777777" w:rsidR="0007496A" w:rsidRPr="003A3035" w:rsidRDefault="00CD7491" w:rsidP="00CD7491">
      <w:pPr>
        <w:spacing w:line="300" w:lineRule="auto"/>
      </w:pPr>
      <w:r w:rsidRPr="003A3035">
        <w:t xml:space="preserve">- the estimate of the hazard ratio between </w:t>
      </w:r>
      <w:proofErr w:type="spellStart"/>
      <w:r w:rsidRPr="003A3035">
        <w:t>entrectinib</w:t>
      </w:r>
      <w:proofErr w:type="spellEnd"/>
      <w:r w:rsidRPr="003A3035">
        <w:t xml:space="preserve"> and comparator group, </w:t>
      </w:r>
    </w:p>
    <w:p w14:paraId="7511CE79" w14:textId="77777777" w:rsidR="0007496A" w:rsidRPr="003A3035" w:rsidRDefault="00CD7491" w:rsidP="00CD7491">
      <w:pPr>
        <w:spacing w:line="300" w:lineRule="auto"/>
      </w:pPr>
      <w:r w:rsidRPr="003A3035">
        <w:t xml:space="preserve">- its 95% confidence interval </w:t>
      </w:r>
    </w:p>
    <w:p w14:paraId="619CDB65" w14:textId="63815E76" w:rsidR="00CD7491" w:rsidRPr="003A3035" w:rsidRDefault="00CD7491" w:rsidP="00CD7491">
      <w:pPr>
        <w:spacing w:line="300" w:lineRule="auto"/>
      </w:pPr>
      <w:r w:rsidRPr="003A3035">
        <w:t>- and the associated p-value. Rubin’s rule was used to pool the analyses.</w:t>
      </w:r>
    </w:p>
    <w:p w14:paraId="555CBBC7" w14:textId="77777777" w:rsidR="0007496A" w:rsidRPr="003A3035" w:rsidRDefault="0007496A" w:rsidP="00CD7491">
      <w:pPr>
        <w:spacing w:line="300" w:lineRule="auto"/>
      </w:pPr>
    </w:p>
    <w:p w14:paraId="58196169" w14:textId="5F050F4E" w:rsidR="00E20C6F" w:rsidRPr="003A3035" w:rsidRDefault="00CD7491" w:rsidP="00CD7491">
      <w:pPr>
        <w:spacing w:line="300" w:lineRule="auto"/>
      </w:pPr>
      <w:r w:rsidRPr="003A3035">
        <w:t xml:space="preserve">For degrees of freedom, the formulas presented by </w:t>
      </w:r>
      <w:proofErr w:type="spellStart"/>
      <w:r w:rsidRPr="003A3035">
        <w:t>Martjin</w:t>
      </w:r>
      <w:proofErr w:type="spellEnd"/>
      <w:r w:rsidRPr="003A3035">
        <w:t xml:space="preserve"> W Heymans and Riris Eekhout were used</w:t>
      </w:r>
      <w:r w:rsidR="0007496A" w:rsidRPr="003A3035">
        <w:t xml:space="preserve">: </w:t>
      </w:r>
      <w:r w:rsidRPr="003A3035">
        <w:fldChar w:fldCharType="begin"/>
      </w:r>
      <w:r w:rsidR="00BF7139" w:rsidRPr="003A3035">
        <w:instrText xml:space="preserve"> ADDIN ZOTERO_ITEM CSL_CITATION {"citationID":"zJ2nNUUw","properties":{"formattedCitation":"(4)","plainCitation":"(4)","noteIndex":0},"citationItems":[{"id":1025,"uris":["http://zotero.org/groups/4549131/items/FU7BSMVK"],"itemData":{"id":1025,"type":"book","source":"bookdown.org","title":"Chapter9 Rubin’s Rules | Book_MI.knit","URL":"https://bookdown.org/mwheymans/bookmi/rubins-rules.html#degrees-of-freedom-and-p-values","accessed":{"date-parts":[["2022",3,9]]}}}],"schema":"https://github.com/citation-style-language/schema/raw/master/csl-citation.json"} </w:instrText>
      </w:r>
      <w:r w:rsidRPr="003A3035">
        <w:fldChar w:fldCharType="separate"/>
      </w:r>
      <w:r w:rsidR="00BF7139" w:rsidRPr="003A3035">
        <w:t>(4)</w:t>
      </w:r>
      <w:r w:rsidRPr="003A3035">
        <w:fldChar w:fldCharType="end"/>
      </w:r>
      <w:r w:rsidR="00E20C6F" w:rsidRPr="003A3035">
        <w:t xml:space="preserve"> </w:t>
      </w:r>
    </w:p>
    <w:p w14:paraId="48D7C845" w14:textId="77777777" w:rsidR="00CE1C15" w:rsidRPr="003A3035" w:rsidRDefault="00CE1C15" w:rsidP="00CD7491">
      <w:pPr>
        <w:spacing w:line="300" w:lineRule="auto"/>
      </w:pPr>
    </w:p>
    <w:p w14:paraId="55925DD3" w14:textId="7F823800" w:rsidR="002D0F9F" w:rsidRPr="003A3035" w:rsidRDefault="002D0F9F" w:rsidP="002D0F9F">
      <w:pPr>
        <w:spacing w:line="300" w:lineRule="auto"/>
      </w:pPr>
      <w:r w:rsidRPr="003A3035">
        <w:t>The proportion of total variance due to missingness, lambda,</w:t>
      </w:r>
      <w:r w:rsidR="00457DA9" w:rsidRPr="003A3035">
        <w:t xml:space="preserve"> </w:t>
      </w:r>
      <w:r w:rsidR="00457DA9" w:rsidRPr="003A3035">
        <w:fldChar w:fldCharType="begin"/>
      </w:r>
      <w:r w:rsidR="004A64A5" w:rsidRPr="003A3035">
        <w:instrText xml:space="preserve"> ADDIN ZOTERO_ITEM CSL_CITATION {"citationID":"vHHpzgt4","properties":{"formattedCitation":"(5,6)","plainCitation":"(5,6)","noteIndex":0},"citationItems":[{"id":1931,"uris":["http://zotero.org/groups/4549131/items/3TZYBKXK"],"itemData":{"id":1931,"type":"chapter","abstract":"Flexible Imputation of Missing Data, Second Edition","container-title":"Flexible Imputation of Missing Data, Second Edition","source":"stefvanbuuren.name","title":"Part I : Basics","title-short":"https","URL":"https://stefvanbuuren.name/fimd/sec-whyandwhen.html","author":[{"literal":"Stef van Buuren"}],"accessed":{"date-parts":[["2023",8,16]]}}},{"id":8707,"uris":["http://zotero.org/groups/4549131/items/9P36KZUQ"],"itemData":{"id":8707,"type":"article-journal","container-title":"Journal of Biopharmaceutical Statistics","DOI":"10.1080/10543406.2016.1226147","ISSN":"1054-3406, 1520-5711","issue":"6","journalAbbreviation":"Journal of Biopharmaceutical Statistics","language":"en","page":"1146-1147","source":"DOI.org (Crossref)","title":"&lt;i&gt;Missing Data Analysis in Practice&lt;/i&gt; , by Trivellore Raghunathan: Boca Raton, FL: CRC Press, 2016, $63.96, ISBN 978-1-4822-1192-4","title-short":"&lt;i&gt;Missing Data Analysis in Practice&lt;/i&gt; , by Trivellore Raghunathan","volume":"26","author":[{"family":"Raghunathan","given":"Trivellore"}],"issued":{"date-parts":[["2016",11]]}}}],"schema":"https://github.com/citation-style-language/schema/raw/master/csl-citation.json"} </w:instrText>
      </w:r>
      <w:r w:rsidR="00457DA9" w:rsidRPr="003A3035">
        <w:fldChar w:fldCharType="separate"/>
      </w:r>
      <w:r w:rsidR="004A64A5" w:rsidRPr="003A3035">
        <w:t>(5,6)</w:t>
      </w:r>
      <w:r w:rsidR="00457DA9" w:rsidRPr="003A3035">
        <w:fldChar w:fldCharType="end"/>
      </w:r>
      <w:r w:rsidRPr="003A3035">
        <w:t xml:space="preserve"> can be derived from the between and total missing data variance as:</w:t>
      </w:r>
    </w:p>
    <w:p w14:paraId="4CD04C76" w14:textId="77777777" w:rsidR="00CE1C15" w:rsidRPr="003A3035" w:rsidRDefault="00CE1C15" w:rsidP="002D0F9F">
      <w:pPr>
        <w:spacing w:line="300" w:lineRule="auto"/>
      </w:pPr>
      <w:r w:rsidRPr="003A3035">
        <w:rPr>
          <w:noProof/>
          <w14:ligatures w14:val="standardContextual"/>
        </w:rPr>
        <w:drawing>
          <wp:inline distT="0" distB="0" distL="0" distR="0" wp14:anchorId="3B285374" wp14:editId="4B2FE57A">
            <wp:extent cx="1558137" cy="576186"/>
            <wp:effectExtent l="0" t="0" r="4445" b="0"/>
            <wp:docPr id="1486182065" name="Image 1" descr="Une image contenant Police, texte, ligne, blanc&#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86182065" name="Image 1" descr="Une image contenant Police, texte, ligne, blanc&#10;&#10;Description générée automatiquement"/>
                    <pic:cNvPicPr/>
                  </pic:nvPicPr>
                  <pic:blipFill>
                    <a:blip r:embed="rId17"/>
                    <a:stretch>
                      <a:fillRect/>
                    </a:stretch>
                  </pic:blipFill>
                  <pic:spPr>
                    <a:xfrm>
                      <a:off x="0" y="0"/>
                      <a:ext cx="1567354" cy="579594"/>
                    </a:xfrm>
                    <a:prstGeom prst="rect">
                      <a:avLst/>
                    </a:prstGeom>
                  </pic:spPr>
                </pic:pic>
              </a:graphicData>
            </a:graphic>
          </wp:inline>
        </w:drawing>
      </w:r>
      <w:r w:rsidRPr="003A3035">
        <w:t xml:space="preserve"> </w:t>
      </w:r>
    </w:p>
    <w:p w14:paraId="19500B6F" w14:textId="4DE8F895" w:rsidR="002D0F9F" w:rsidRPr="003A3035" w:rsidRDefault="002D0F9F" w:rsidP="002D0F9F">
      <w:pPr>
        <w:spacing w:line="300" w:lineRule="auto"/>
      </w:pPr>
      <w:r w:rsidRPr="003A3035">
        <w:t>Where m is the number of imputed datasets and V</w:t>
      </w:r>
      <w:r w:rsidRPr="003A3035">
        <w:rPr>
          <w:vertAlign w:val="subscript"/>
        </w:rPr>
        <w:t>B</w:t>
      </w:r>
      <w:r w:rsidR="00A4673F" w:rsidRPr="003A3035">
        <w:t xml:space="preserve"> </w:t>
      </w:r>
      <w:r w:rsidRPr="003A3035">
        <w:t>and V</w:t>
      </w:r>
      <w:r w:rsidRPr="003A3035">
        <w:rPr>
          <w:vertAlign w:val="subscript"/>
        </w:rPr>
        <w:t>T</w:t>
      </w:r>
      <w:r w:rsidRPr="003A3035">
        <w:t xml:space="preserve"> are the between and total variance respectively. This value can be interpreted as the proportion of variation in the parameter of interest due to the missing data.</w:t>
      </w:r>
    </w:p>
    <w:p w14:paraId="1DEDE7EE" w14:textId="77777777" w:rsidR="00F57902" w:rsidRPr="003A3035" w:rsidRDefault="00F57902" w:rsidP="002D0F9F">
      <w:pPr>
        <w:spacing w:line="300" w:lineRule="auto"/>
      </w:pPr>
    </w:p>
    <w:p w14:paraId="62D52AD3" w14:textId="4AA925F2" w:rsidR="00A4673F" w:rsidRPr="003A3035" w:rsidRDefault="00F57902" w:rsidP="002D0F9F">
      <w:pPr>
        <w:spacing w:line="300" w:lineRule="auto"/>
      </w:pPr>
      <w:r w:rsidRPr="003A3035">
        <w:t>The relative increase in variance due to nonresponse is calculated as:</w:t>
      </w:r>
    </w:p>
    <w:p w14:paraId="053D7962" w14:textId="68BB0518" w:rsidR="00457DA9" w:rsidRPr="003A3035" w:rsidRDefault="00457DA9" w:rsidP="002D0F9F">
      <w:pPr>
        <w:spacing w:line="300" w:lineRule="auto"/>
      </w:pPr>
      <w:r w:rsidRPr="003A3035">
        <w:rPr>
          <w:noProof/>
          <w14:ligatures w14:val="standardContextual"/>
        </w:rPr>
        <w:lastRenderedPageBreak/>
        <w:drawing>
          <wp:inline distT="0" distB="0" distL="0" distR="0" wp14:anchorId="69BF5756" wp14:editId="052DAD4C">
            <wp:extent cx="1224564" cy="592531"/>
            <wp:effectExtent l="0" t="0" r="0" b="0"/>
            <wp:docPr id="833693407" name="Image 1" descr="Une image contenant Police, texte, ligne, blanc&#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33693407" name="Image 1" descr="Une image contenant Police, texte, ligne, blanc&#10;&#10;Description générée automatiquement"/>
                    <pic:cNvPicPr/>
                  </pic:nvPicPr>
                  <pic:blipFill>
                    <a:blip r:embed="rId18"/>
                    <a:stretch>
                      <a:fillRect/>
                    </a:stretch>
                  </pic:blipFill>
                  <pic:spPr>
                    <a:xfrm>
                      <a:off x="0" y="0"/>
                      <a:ext cx="1227985" cy="594186"/>
                    </a:xfrm>
                    <a:prstGeom prst="rect">
                      <a:avLst/>
                    </a:prstGeom>
                  </pic:spPr>
                </pic:pic>
              </a:graphicData>
            </a:graphic>
          </wp:inline>
        </w:drawing>
      </w:r>
    </w:p>
    <w:p w14:paraId="69829369" w14:textId="1871D07F" w:rsidR="000616A2" w:rsidRPr="003A3035" w:rsidRDefault="000616A2" w:rsidP="002D0F9F">
      <w:pPr>
        <w:spacing w:line="300" w:lineRule="auto"/>
      </w:pPr>
      <w:r w:rsidRPr="003A3035">
        <w:t>Where V</w:t>
      </w:r>
      <w:r w:rsidRPr="003A3035">
        <w:rPr>
          <w:vertAlign w:val="subscript"/>
        </w:rPr>
        <w:t>W</w:t>
      </w:r>
      <w:r w:rsidRPr="003A3035">
        <w:t xml:space="preserve"> </w:t>
      </w:r>
      <w:r w:rsidR="007D6A3B" w:rsidRPr="003A3035">
        <w:t xml:space="preserve">is the </w:t>
      </w:r>
      <w:r w:rsidRPr="003A3035">
        <w:t>within variance.</w:t>
      </w:r>
    </w:p>
    <w:p w14:paraId="2BD5149D" w14:textId="77777777" w:rsidR="00200581" w:rsidRPr="003A3035" w:rsidRDefault="00200581" w:rsidP="00CD7491">
      <w:pPr>
        <w:spacing w:line="300" w:lineRule="auto"/>
      </w:pPr>
      <w:r w:rsidRPr="003A3035">
        <w:t xml:space="preserve">The degrees of freedom are </w:t>
      </w:r>
      <w:proofErr w:type="spellStart"/>
      <w:r w:rsidRPr="003A3035">
        <w:t>calculed</w:t>
      </w:r>
      <w:proofErr w:type="spellEnd"/>
      <w:r w:rsidRPr="003A3035">
        <w:t xml:space="preserve"> as:</w:t>
      </w:r>
    </w:p>
    <w:p w14:paraId="5747D5C3" w14:textId="3C412FD7" w:rsidR="004D3773" w:rsidRPr="003A3035" w:rsidRDefault="00C34C10" w:rsidP="00CD7491">
      <w:pPr>
        <w:spacing w:line="300" w:lineRule="auto"/>
      </w:pPr>
      <w:r w:rsidRPr="003A3035">
        <w:rPr>
          <w:noProof/>
          <w14:ligatures w14:val="standardContextual"/>
        </w:rPr>
        <w:drawing>
          <wp:inline distT="0" distB="0" distL="0" distR="0" wp14:anchorId="53C24D02" wp14:editId="440FC9F4">
            <wp:extent cx="1923897" cy="456399"/>
            <wp:effectExtent l="0" t="0" r="635" b="1270"/>
            <wp:docPr id="904976360" name="Image 1" descr="Une image contenant Police, texte, typographie, ligne&#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04976360" name="Image 1" descr="Une image contenant Police, texte, typographie, ligne&#10;&#10;Description générée automatiquement"/>
                    <pic:cNvPicPr/>
                  </pic:nvPicPr>
                  <pic:blipFill>
                    <a:blip r:embed="rId19"/>
                    <a:stretch>
                      <a:fillRect/>
                    </a:stretch>
                  </pic:blipFill>
                  <pic:spPr>
                    <a:xfrm>
                      <a:off x="0" y="0"/>
                      <a:ext cx="1946422" cy="461742"/>
                    </a:xfrm>
                    <a:prstGeom prst="rect">
                      <a:avLst/>
                    </a:prstGeom>
                  </pic:spPr>
                </pic:pic>
              </a:graphicData>
            </a:graphic>
          </wp:inline>
        </w:drawing>
      </w:r>
    </w:p>
    <w:p w14:paraId="3BB3FA6F" w14:textId="58C89A90" w:rsidR="004D3773" w:rsidRPr="003A3035" w:rsidRDefault="00634014" w:rsidP="00CD7491">
      <w:pPr>
        <w:spacing w:line="300" w:lineRule="auto"/>
      </w:pPr>
      <w:r w:rsidRPr="003A3035">
        <w:t xml:space="preserve">With </w:t>
      </w:r>
      <w:r w:rsidR="004D3773" w:rsidRPr="003A3035">
        <w:rPr>
          <w:noProof/>
          <w14:ligatures w14:val="standardContextual"/>
        </w:rPr>
        <w:drawing>
          <wp:inline distT="0" distB="0" distL="0" distR="0" wp14:anchorId="4F7752F8" wp14:editId="03AD18F0">
            <wp:extent cx="2715818" cy="471450"/>
            <wp:effectExtent l="0" t="0" r="0" b="5080"/>
            <wp:docPr id="119852867" name="Image 1" descr="Une image contenant texte, Police, ligne, blanc&#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9852867" name="Image 1" descr="Une image contenant texte, Police, ligne, blanc&#10;&#10;Description générée automatiquement"/>
                    <pic:cNvPicPr/>
                  </pic:nvPicPr>
                  <pic:blipFill>
                    <a:blip r:embed="rId20"/>
                    <a:stretch>
                      <a:fillRect/>
                    </a:stretch>
                  </pic:blipFill>
                  <pic:spPr>
                    <a:xfrm>
                      <a:off x="0" y="0"/>
                      <a:ext cx="2760967" cy="479288"/>
                    </a:xfrm>
                    <a:prstGeom prst="rect">
                      <a:avLst/>
                    </a:prstGeom>
                  </pic:spPr>
                </pic:pic>
              </a:graphicData>
            </a:graphic>
          </wp:inline>
        </w:drawing>
      </w:r>
    </w:p>
    <w:p w14:paraId="1C92B5A9" w14:textId="267BDC9B" w:rsidR="00F62672" w:rsidRPr="003A3035" w:rsidRDefault="00634014" w:rsidP="00CD7491">
      <w:pPr>
        <w:spacing w:line="300" w:lineRule="auto"/>
      </w:pPr>
      <w:r w:rsidRPr="003A3035">
        <w:t xml:space="preserve">And </w:t>
      </w:r>
      <w:r w:rsidR="004D3773" w:rsidRPr="003A3035">
        <w:rPr>
          <w:noProof/>
          <w14:ligatures w14:val="standardContextual"/>
        </w:rPr>
        <w:drawing>
          <wp:inline distT="0" distB="0" distL="0" distR="0" wp14:anchorId="1EDF357D" wp14:editId="7CD0B7A9">
            <wp:extent cx="2450592" cy="545343"/>
            <wp:effectExtent l="0" t="0" r="6985" b="7620"/>
            <wp:docPr id="1515358266" name="Image 1" descr="Une image contenant Police, texte, ligne, typographie&#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15358266" name="Image 1" descr="Une image contenant Police, texte, ligne, typographie&#10;&#10;Description générée automatiquement"/>
                    <pic:cNvPicPr/>
                  </pic:nvPicPr>
                  <pic:blipFill>
                    <a:blip r:embed="rId21"/>
                    <a:stretch>
                      <a:fillRect/>
                    </a:stretch>
                  </pic:blipFill>
                  <pic:spPr>
                    <a:xfrm>
                      <a:off x="0" y="0"/>
                      <a:ext cx="2484209" cy="552824"/>
                    </a:xfrm>
                    <a:prstGeom prst="rect">
                      <a:avLst/>
                    </a:prstGeom>
                  </pic:spPr>
                </pic:pic>
              </a:graphicData>
            </a:graphic>
          </wp:inline>
        </w:drawing>
      </w:r>
    </w:p>
    <w:p w14:paraId="5999A049" w14:textId="7CE1D552" w:rsidR="00CD7491" w:rsidRPr="003A3035" w:rsidRDefault="00F62672" w:rsidP="00CD7491">
      <w:pPr>
        <w:spacing w:line="300" w:lineRule="auto"/>
      </w:pPr>
      <w:r w:rsidRPr="003A3035">
        <w:t>Where r is the relative increase in variance due to nonresponse (RIV),</w:t>
      </w:r>
      <w:r w:rsidR="00200581" w:rsidRPr="003A3035">
        <w:t xml:space="preserve"> and</w:t>
      </w:r>
      <w:r w:rsidR="00CD7491" w:rsidRPr="003A3035">
        <w:t xml:space="preserve"> </w:t>
      </w:r>
      <w:proofErr w:type="spellStart"/>
      <w:r w:rsidR="00CD7491" w:rsidRPr="003A3035">
        <w:t>n</w:t>
      </w:r>
      <w:proofErr w:type="spellEnd"/>
      <w:r w:rsidR="00CD7491" w:rsidRPr="003A3035">
        <w:t xml:space="preserve"> the number of events.</w:t>
      </w:r>
    </w:p>
    <w:p w14:paraId="207EBD37" w14:textId="77777777" w:rsidR="00DE7B73" w:rsidRPr="003A3035" w:rsidRDefault="00DE7B73" w:rsidP="00CD7491">
      <w:pPr>
        <w:spacing w:line="300" w:lineRule="auto"/>
      </w:pPr>
    </w:p>
    <w:p w14:paraId="75A6EE40" w14:textId="77777777" w:rsidR="00CD7491" w:rsidRPr="003A3035" w:rsidRDefault="00CD7491" w:rsidP="00CD7491">
      <w:pPr>
        <w:spacing w:line="300" w:lineRule="auto"/>
      </w:pPr>
      <w:r w:rsidRPr="003A3035">
        <w:t>The Kaplan-Meier survival probabilities (for OS and PFS) of the 50 complete datasets was pooled using Rubin’s rule after complementary log-log transformation to obtain the survival probabilities and the corresponding 95% confidence interval for each treatment group. The method developed by Morisot and al. was applied.</w:t>
      </w:r>
    </w:p>
    <w:p w14:paraId="200F165F" w14:textId="77777777" w:rsidR="00CD7491" w:rsidRPr="003A3035" w:rsidRDefault="00CD7491" w:rsidP="00CD7491">
      <w:pPr>
        <w:spacing w:line="300" w:lineRule="auto"/>
      </w:pPr>
      <w:r w:rsidRPr="003A3035">
        <w:t>Also, the results from the 50 complete datasets were combined for the inference providing median PFS and OS, 95% confidence interval (95% CI), PFS and OS rate with its 95% CI at the different time points (Kaplan-Meier curves). There is no standard error associated with median survival time, so the median survival times can be estimated using the pooled Kaplan Meier estimators, by estimating the intersection between the curve (resp. its 95% boundaries), and the 0.5 reference value.</w:t>
      </w:r>
    </w:p>
    <w:p w14:paraId="0C5E3200" w14:textId="77777777" w:rsidR="00406CA5" w:rsidRPr="003A3035" w:rsidRDefault="00406CA5" w:rsidP="007D4215">
      <w:pPr>
        <w:keepNext/>
        <w:keepLines/>
        <w:pBdr>
          <w:top w:val="nil"/>
          <w:left w:val="nil"/>
          <w:bottom w:val="nil"/>
          <w:right w:val="nil"/>
          <w:between w:val="nil"/>
        </w:pBdr>
        <w:rPr>
          <w:b/>
          <w:i/>
        </w:rPr>
      </w:pPr>
    </w:p>
    <w:p w14:paraId="23A8CB8D" w14:textId="32A2031D" w:rsidR="00A71F2A" w:rsidRPr="003A3035" w:rsidRDefault="00BB37E1" w:rsidP="007D4215">
      <w:pPr>
        <w:keepNext/>
        <w:keepLines/>
        <w:pBdr>
          <w:top w:val="nil"/>
          <w:left w:val="nil"/>
          <w:bottom w:val="nil"/>
          <w:right w:val="nil"/>
          <w:between w:val="nil"/>
        </w:pBdr>
        <w:rPr>
          <w:b/>
          <w:i/>
        </w:rPr>
      </w:pPr>
      <w:r w:rsidRPr="003A3035">
        <w:rPr>
          <w:b/>
          <w:i/>
        </w:rPr>
        <w:t>Proportional hazard assumption</w:t>
      </w:r>
      <w:r w:rsidR="00210F32" w:rsidRPr="003A3035">
        <w:rPr>
          <w:b/>
          <w:i/>
        </w:rPr>
        <w:t xml:space="preserve"> assessment</w:t>
      </w:r>
    </w:p>
    <w:p w14:paraId="25CF7ADB" w14:textId="40C0EE84" w:rsidR="00A71F2A" w:rsidRPr="003A3035" w:rsidRDefault="00A71F2A" w:rsidP="00A71F2A">
      <w:pPr>
        <w:spacing w:line="300" w:lineRule="auto"/>
      </w:pPr>
      <w:r w:rsidRPr="003A3035">
        <w:t>The underlying assumption of the Cox’s proportional hazard model was checked. This was achieved by checking the hazard proportionality and by investigating residuals. For this step, among the 50 complete datasets, 5 datasets were randomly selected.</w:t>
      </w:r>
    </w:p>
    <w:p w14:paraId="23A8EF2A" w14:textId="76F8BE0A" w:rsidR="00A71F2A" w:rsidRPr="003A3035" w:rsidRDefault="00A71F2A" w:rsidP="00A71F2A">
      <w:pPr>
        <w:spacing w:line="300" w:lineRule="auto"/>
      </w:pPr>
      <w:r w:rsidRPr="003A3035">
        <w:t xml:space="preserve">The survival analysis was based on the semi-parametric Cox model. The proportional hazards assumption between groups were studied using graphical methods. The log cumulative hazard curves based on Kaplan-Meier estimates according to the time (in months) using the same model as planned were plotted for each imputed dataset. The curves should be parallel between groups. </w:t>
      </w:r>
    </w:p>
    <w:p w14:paraId="22EBE7CD" w14:textId="735D5F27" w:rsidR="00A71F2A" w:rsidRPr="003A3035" w:rsidRDefault="00A71F2A" w:rsidP="00A71F2A">
      <w:pPr>
        <w:spacing w:line="300" w:lineRule="auto"/>
      </w:pPr>
      <w:r w:rsidRPr="003A3035">
        <w:t xml:space="preserve">In order to study the adequacy of the fitted model, a plot of standardized Schoenfeld residuals versus rank of time (months) were displayed. If the model is satisfactory, residuals distribution should be similar according to treatment groups. </w:t>
      </w:r>
    </w:p>
    <w:p w14:paraId="7DD9FD92" w14:textId="1B065C22" w:rsidR="00CD7491" w:rsidRPr="003A3035" w:rsidRDefault="00A71F2A" w:rsidP="00A71F2A">
      <w:pPr>
        <w:spacing w:line="300" w:lineRule="auto"/>
      </w:pPr>
      <w:r w:rsidRPr="003A3035">
        <w:t>Among the 5 datasets randomly selected, if the log cumulative hazard curves are not parallel and if the Schoenfeld residual distribution are not similar between groups for at least 3 of the datasets, then the Cox model was considered as not appropriate with evidence of departure from the hazard proportionality. In this case, another model could be tested as a piecewise Cox model. Otherwise, the Cox’s proportional hazard model was considered as appropriate.</w:t>
      </w:r>
    </w:p>
    <w:p w14:paraId="176D97F7" w14:textId="77777777" w:rsidR="00A71F2A" w:rsidRPr="003A3035" w:rsidRDefault="00A71F2A" w:rsidP="00A71F2A">
      <w:pPr>
        <w:spacing w:line="300" w:lineRule="auto"/>
      </w:pPr>
    </w:p>
    <w:p w14:paraId="2EE1B9AF" w14:textId="77777777" w:rsidR="00CD7491" w:rsidRPr="003A3035" w:rsidRDefault="00CD7491" w:rsidP="00CD7491">
      <w:pPr>
        <w:keepNext/>
        <w:keepLines/>
        <w:pBdr>
          <w:top w:val="nil"/>
          <w:left w:val="nil"/>
          <w:bottom w:val="nil"/>
          <w:right w:val="nil"/>
          <w:between w:val="nil"/>
        </w:pBdr>
        <w:rPr>
          <w:b/>
          <w:i/>
        </w:rPr>
      </w:pPr>
      <w:bookmarkStart w:id="13" w:name="_heading=h.1t3h5sf" w:colFirst="0" w:colLast="0"/>
      <w:bookmarkEnd w:id="13"/>
      <w:r w:rsidRPr="003A3035">
        <w:rPr>
          <w:b/>
          <w:i/>
        </w:rPr>
        <w:lastRenderedPageBreak/>
        <w:t>QBA on unknown factors</w:t>
      </w:r>
    </w:p>
    <w:p w14:paraId="249D3AEE" w14:textId="1448B9BB" w:rsidR="00CD7491" w:rsidRPr="003A3035" w:rsidRDefault="00CD7491" w:rsidP="00CD7491">
      <w:pPr>
        <w:spacing w:line="300" w:lineRule="auto"/>
      </w:pPr>
      <w:r w:rsidRPr="003A3035">
        <w:t>As bias factor was mentioned regularly in the scoping review, we used this quantity to assess the bias of our results to unmeasured confounders for PFS Cox results between L1 vs HTA. We plan to calculate Bias factor according to different values of risk ratio.</w:t>
      </w:r>
    </w:p>
    <w:p w14:paraId="3EEA7375" w14:textId="77777777" w:rsidR="00CD7491" w:rsidRPr="003A3035" w:rsidRDefault="00CD7491" w:rsidP="00CD7491">
      <w:pPr>
        <w:spacing w:line="300" w:lineRule="auto"/>
      </w:pPr>
      <w:r w:rsidRPr="003A3035">
        <w:t xml:space="preserve">Since </w:t>
      </w:r>
      <w:proofErr w:type="spellStart"/>
      <w:r w:rsidRPr="003A3035">
        <w:t>Evalue</w:t>
      </w:r>
      <w:proofErr w:type="spellEnd"/>
      <w:r w:rsidRPr="003A3035">
        <w:t xml:space="preserve"> was the most commonly used method cited in our scoping review, we plan to calculate </w:t>
      </w:r>
      <w:proofErr w:type="spellStart"/>
      <w:r w:rsidRPr="003A3035">
        <w:t>Evalue</w:t>
      </w:r>
      <w:proofErr w:type="spellEnd"/>
      <w:r w:rsidRPr="003A3035">
        <w:t xml:space="preserve"> on the HR and its upper bound from the PFS Cox results between L1 vs HTA to quantify the bias for unmeasured confounder.</w:t>
      </w:r>
    </w:p>
    <w:p w14:paraId="435C35C8" w14:textId="77777777" w:rsidR="00CD7491" w:rsidRPr="003A3035" w:rsidRDefault="00CD7491" w:rsidP="00CD7491">
      <w:pPr>
        <w:spacing w:line="300" w:lineRule="auto"/>
      </w:pPr>
      <w:r w:rsidRPr="003A3035">
        <w:t xml:space="preserve">The bias factor and </w:t>
      </w:r>
      <w:proofErr w:type="spellStart"/>
      <w:r w:rsidRPr="003A3035">
        <w:t>Evalue</w:t>
      </w:r>
      <w:proofErr w:type="spellEnd"/>
      <w:r w:rsidRPr="003A3035">
        <w:t xml:space="preserve"> are used in the following context:</w:t>
      </w:r>
    </w:p>
    <w:p w14:paraId="4388112C" w14:textId="77777777" w:rsidR="00CD7491" w:rsidRPr="003A3035" w:rsidRDefault="00CD7491" w:rsidP="00CD7491">
      <w:pPr>
        <w:spacing w:line="300" w:lineRule="auto"/>
      </w:pPr>
      <w:r w:rsidRPr="003A3035">
        <w:t>U is an unmeasured binary confounder, RRUY is the risk ratio between U and the outcome Y and RRXU is the risk ratio between the exposure X and the confounder U.</w:t>
      </w:r>
    </w:p>
    <w:p w14:paraId="5607A4D1" w14:textId="77777777" w:rsidR="00CD7491" w:rsidRPr="003A3035" w:rsidRDefault="00CD7491" w:rsidP="00CD7491">
      <w:pPr>
        <w:rPr>
          <w:rFonts w:eastAsia="Arial"/>
          <w:b/>
          <w:color w:val="525252"/>
          <w:sz w:val="20"/>
          <w:szCs w:val="20"/>
        </w:rPr>
      </w:pPr>
    </w:p>
    <w:p w14:paraId="7E4ACBFA" w14:textId="61D49EA1" w:rsidR="00CD7491" w:rsidRPr="003A3035" w:rsidRDefault="00CD7491" w:rsidP="00CD7491">
      <w:pPr>
        <w:spacing w:line="300" w:lineRule="auto"/>
      </w:pPr>
      <w:r w:rsidRPr="003A3035">
        <w:t xml:space="preserve">Bias factor answers the question: “Given unmeasured confounding of specific strength, how strong would the true causal effect still be?” </w:t>
      </w:r>
      <w:r w:rsidRPr="003A3035">
        <w:fldChar w:fldCharType="begin"/>
      </w:r>
      <w:r w:rsidR="004A64A5" w:rsidRPr="003A3035">
        <w:instrText xml:space="preserve"> ADDIN ZOTERO_ITEM CSL_CITATION {"citationID":"pAg59hqS","properties":{"formattedCitation":"(7)","plainCitation":"(7)","noteIndex":0},"citationItems":[{"id":556,"uris":["http://zotero.org/groups/4549131/items/RBE2I6AX"],"itemData":{"id":556,"type":"article-journal","abstract":"Unmeasured confounding can bias the relationship between exposure and outcome. Sensitivity analyses generate bias-adjusted measures but these are not much used; this may change with the availability of the E-value (for evidence for causality in observational studies), appealing for its ease of calculation. However, as currently proposed, the E-value has some practical limitations that may reduce its use.We first provide some insight into the relationship between two established measures for unmeasured confounding: ‘the bias factor’ and the maximum value this bias factor can take (‘the B bias’). These measures are the statistical foundation for the E-value. We use them to develop new E-value formulas for situations when it is not currently applicable such as e.g. when, not unusually, a negative relation between unmeasured confounder and outcome and a positive one with exposure are postulated. We also provide E-values on the odds ratio scale because, currently, even when using the odds ratio as the study measure in the calculation of E-value, the result is to be interpreted as a relative risk, which is somewhat inconvenient.The additional formulas for the E-value measure make it applicable in all possible scenarios defined by the combined directions between unmeasured confounder and both the exposure and outcome. In addition, E-value measures can now be interpreted as odds ratios if the observed results are reported on the same scale.The E-value is part of newer sensitivity analyses methods for unmeasured confounding. We provide insight into its structure, underscoring its advantages and limitations, and expand its applications.","container-title":"International Journal of Epidemiology","DOI":"10.1093/ije/dyaa127","ISSN":"0300-5771","issue":"5","journalAbbreviation":"International Journal of Epidemiology","page":"1509-1516","source":"Silverchair","title":"Bias factor, maximum bias and the E-value: insight and extended applications","title-short":"Bias factor, maximum bias and the E-value","volume":"49","author":[{"family":"Cusson","given":"Alexandre"},{"family":"Infante-Rivard","given":"Claire"}],"issued":{"date-parts":[["2020",10,1]]}}}],"schema":"https://github.com/citation-style-language/schema/raw/master/csl-citation.json"} </w:instrText>
      </w:r>
      <w:r w:rsidRPr="003A3035">
        <w:fldChar w:fldCharType="separate"/>
      </w:r>
      <w:r w:rsidR="004A64A5" w:rsidRPr="003A3035">
        <w:t>(7)</w:t>
      </w:r>
      <w:r w:rsidRPr="003A3035">
        <w:fldChar w:fldCharType="end"/>
      </w:r>
      <w:r w:rsidRPr="003A3035">
        <w:t>.</w:t>
      </w:r>
    </w:p>
    <w:p w14:paraId="16801ECC" w14:textId="52B869E9" w:rsidR="00CD7491" w:rsidRPr="003A3035" w:rsidRDefault="00CD7491" w:rsidP="00CD7491">
      <w:pPr>
        <w:spacing w:line="300" w:lineRule="auto"/>
        <w:rPr>
          <w:sz w:val="16"/>
          <w:szCs w:val="16"/>
        </w:rPr>
      </w:pPr>
      <w:r w:rsidRPr="003A3035">
        <w:t xml:space="preserve">According to VanderWeele and Ding (2017) </w:t>
      </w:r>
      <w:r w:rsidRPr="003A3035">
        <w:fldChar w:fldCharType="begin"/>
      </w:r>
      <w:r w:rsidR="004A64A5" w:rsidRPr="003A3035">
        <w:instrText xml:space="preserve"> ADDIN ZOTERO_ITEM CSL_CITATION {"citationID":"fXc6IW4V","properties":{"formattedCitation":"(8)","plainCitation":"(8)","noteIndex":0},"citationItems":[{"id":6506,"uris":["http://zotero.org/groups/5081594/items/3C8V6UDE"],"itemData":{"id":6506,"type":"article-journal","abstract":"Sensitivity analysis is useful in assessing how robust an association is to potential unmeasured or uncontrolled confounding. This article introduces a new measure called the \"E-value,\" which is related to the evidence for causality in observational studies that are potentially subject to confounding. The E-value is defined as the minimum strength of association, on the risk ratio scale, that an unmeasured confounder would need to have with both the treatment and the outcome to fully explain away a specific treatment-outcome association, conditional on the measured covariates. A large E-value implies that considerable unmeasured confounding would be needed to explain away an effect estimate. A small E-value implies little unmeasured confounding would be needed to explain away an effect estimate. The authors propose that in all observational studies intended to produce evidence for causality, the E-value be reported or some other sensitivity analysis be used. They suggest calculating the E-value for both the observed association estimate (after adjustments for measured confounders) and the limit of the confidence interval closest to the null. If this were to become standard practice, the ability of the scientific community to assess evidence from observational studies would improve considerably, and ultimately, science would be strengthened.","container-title":"Annals of Internal Medicine","DOI":"10.7326/M16-2607","ISSN":"1539-3704","issue":"4","journalAbbreviation":"Ann Intern Med","language":"eng","note":"PMID: 28693043","page":"268-274","source":"PubMed","title":"Sensitivity Analysis in Observational Research: Introducing the E-Value","title-short":"Sensitivity Analysis in Observational Research","volume":"167","author":[{"family":"VanderWeele","given":"Tyler J."},{"family":"Ding","given":"Peng"}],"issued":{"date-parts":[["2017",8,15]]}}}],"schema":"https://github.com/citation-style-language/schema/raw/master/csl-citation.json"} </w:instrText>
      </w:r>
      <w:r w:rsidRPr="003A3035">
        <w:fldChar w:fldCharType="separate"/>
      </w:r>
      <w:r w:rsidR="004A64A5" w:rsidRPr="003A3035">
        <w:t>(8)</w:t>
      </w:r>
      <w:r w:rsidRPr="003A3035">
        <w:fldChar w:fldCharType="end"/>
      </w:r>
      <w:r w:rsidRPr="003A3035">
        <w:t>, the bias factor is calculated with the following formula:</w:t>
      </w:r>
    </w:p>
    <w:p w14:paraId="4C2A3E04" w14:textId="77777777" w:rsidR="00CD7491" w:rsidRPr="003A3035" w:rsidRDefault="00CD7491" w:rsidP="00CD7491">
      <w:pPr>
        <w:jc w:val="center"/>
        <w:rPr>
          <w:rFonts w:eastAsia="Cambria Math"/>
          <w:sz w:val="16"/>
          <w:szCs w:val="16"/>
        </w:rPr>
      </w:pPr>
      <m:oMathPara>
        <m:oMath>
          <m:r>
            <w:rPr>
              <w:rFonts w:ascii="Cambria Math" w:eastAsia="Cambria Math" w:hAnsi="Cambria Math"/>
              <w:sz w:val="16"/>
              <w:szCs w:val="16"/>
            </w:rPr>
            <m:t>BF=</m:t>
          </m:r>
          <m:f>
            <m:fPr>
              <m:ctrlPr>
                <w:rPr>
                  <w:rFonts w:ascii="Cambria Math" w:eastAsia="Cambria Math" w:hAnsi="Cambria Math"/>
                  <w:sz w:val="16"/>
                  <w:szCs w:val="16"/>
                </w:rPr>
              </m:ctrlPr>
            </m:fPr>
            <m:num>
              <m:r>
                <w:rPr>
                  <w:rFonts w:ascii="Cambria Math" w:eastAsia="Cambria Math" w:hAnsi="Cambria Math"/>
                  <w:sz w:val="16"/>
                  <w:szCs w:val="16"/>
                </w:rPr>
                <m:t>R</m:t>
              </m:r>
              <m:sSub>
                <m:sSubPr>
                  <m:ctrlPr>
                    <w:rPr>
                      <w:rFonts w:ascii="Cambria Math" w:eastAsia="Cambria Math" w:hAnsi="Cambria Math"/>
                      <w:sz w:val="16"/>
                      <w:szCs w:val="16"/>
                    </w:rPr>
                  </m:ctrlPr>
                </m:sSubPr>
                <m:e>
                  <m:r>
                    <w:rPr>
                      <w:rFonts w:ascii="Cambria Math" w:eastAsia="Cambria Math" w:hAnsi="Cambria Math"/>
                      <w:sz w:val="16"/>
                      <w:szCs w:val="16"/>
                    </w:rPr>
                    <m:t>R</m:t>
                  </m:r>
                </m:e>
                <m:sub>
                  <m:r>
                    <w:rPr>
                      <w:rFonts w:ascii="Cambria Math" w:eastAsia="Cambria Math" w:hAnsi="Cambria Math"/>
                      <w:sz w:val="16"/>
                      <w:szCs w:val="16"/>
                    </w:rPr>
                    <m:t>UY</m:t>
                  </m:r>
                </m:sub>
              </m:sSub>
              <m:r>
                <w:rPr>
                  <w:rFonts w:ascii="Cambria Math" w:eastAsia="Cambria Math" w:hAnsi="Cambria Math"/>
                  <w:sz w:val="16"/>
                  <w:szCs w:val="16"/>
                </w:rPr>
                <m:t>×R</m:t>
              </m:r>
              <m:sSub>
                <m:sSubPr>
                  <m:ctrlPr>
                    <w:rPr>
                      <w:rFonts w:ascii="Cambria Math" w:eastAsia="Cambria Math" w:hAnsi="Cambria Math"/>
                      <w:sz w:val="16"/>
                      <w:szCs w:val="16"/>
                    </w:rPr>
                  </m:ctrlPr>
                </m:sSubPr>
                <m:e>
                  <m:r>
                    <w:rPr>
                      <w:rFonts w:ascii="Cambria Math" w:eastAsia="Cambria Math" w:hAnsi="Cambria Math"/>
                      <w:sz w:val="16"/>
                      <w:szCs w:val="16"/>
                    </w:rPr>
                    <m:t>R</m:t>
                  </m:r>
                </m:e>
                <m:sub>
                  <m:r>
                    <w:rPr>
                      <w:rFonts w:ascii="Cambria Math" w:eastAsia="Cambria Math" w:hAnsi="Cambria Math"/>
                      <w:sz w:val="16"/>
                      <w:szCs w:val="16"/>
                    </w:rPr>
                    <m:t>XU</m:t>
                  </m:r>
                </m:sub>
              </m:sSub>
            </m:num>
            <m:den>
              <m:r>
                <w:rPr>
                  <w:rFonts w:ascii="Cambria Math" w:eastAsia="Cambria Math" w:hAnsi="Cambria Math"/>
                  <w:sz w:val="16"/>
                  <w:szCs w:val="16"/>
                </w:rPr>
                <m:t>R</m:t>
              </m:r>
              <m:sSub>
                <m:sSubPr>
                  <m:ctrlPr>
                    <w:rPr>
                      <w:rFonts w:ascii="Cambria Math" w:eastAsia="Cambria Math" w:hAnsi="Cambria Math"/>
                      <w:sz w:val="16"/>
                      <w:szCs w:val="16"/>
                    </w:rPr>
                  </m:ctrlPr>
                </m:sSubPr>
                <m:e>
                  <m:r>
                    <w:rPr>
                      <w:rFonts w:ascii="Cambria Math" w:eastAsia="Cambria Math" w:hAnsi="Cambria Math"/>
                      <w:sz w:val="16"/>
                      <w:szCs w:val="16"/>
                    </w:rPr>
                    <m:t>R</m:t>
                  </m:r>
                </m:e>
                <m:sub>
                  <m:r>
                    <w:rPr>
                      <w:rFonts w:ascii="Cambria Math" w:eastAsia="Cambria Math" w:hAnsi="Cambria Math"/>
                      <w:sz w:val="16"/>
                      <w:szCs w:val="16"/>
                    </w:rPr>
                    <m:t>UY</m:t>
                  </m:r>
                </m:sub>
              </m:sSub>
              <m:r>
                <w:rPr>
                  <w:rFonts w:ascii="Cambria Math" w:eastAsia="Cambria Math" w:hAnsi="Cambria Math"/>
                  <w:sz w:val="16"/>
                  <w:szCs w:val="16"/>
                </w:rPr>
                <m:t>+R</m:t>
              </m:r>
              <m:sSub>
                <m:sSubPr>
                  <m:ctrlPr>
                    <w:rPr>
                      <w:rFonts w:ascii="Cambria Math" w:eastAsia="Cambria Math" w:hAnsi="Cambria Math"/>
                      <w:sz w:val="16"/>
                      <w:szCs w:val="16"/>
                    </w:rPr>
                  </m:ctrlPr>
                </m:sSubPr>
                <m:e>
                  <m:r>
                    <w:rPr>
                      <w:rFonts w:ascii="Cambria Math" w:eastAsia="Cambria Math" w:hAnsi="Cambria Math"/>
                      <w:sz w:val="16"/>
                      <w:szCs w:val="16"/>
                    </w:rPr>
                    <m:t>R</m:t>
                  </m:r>
                </m:e>
                <m:sub>
                  <m:r>
                    <w:rPr>
                      <w:rFonts w:ascii="Cambria Math" w:eastAsia="Cambria Math" w:hAnsi="Cambria Math"/>
                      <w:sz w:val="16"/>
                      <w:szCs w:val="16"/>
                    </w:rPr>
                    <m:t>XU</m:t>
                  </m:r>
                </m:sub>
              </m:sSub>
              <m:r>
                <w:rPr>
                  <w:rFonts w:ascii="Cambria Math" w:eastAsia="Cambria Math" w:hAnsi="Cambria Math"/>
                  <w:sz w:val="16"/>
                  <w:szCs w:val="16"/>
                </w:rPr>
                <m:t>-1</m:t>
              </m:r>
            </m:den>
          </m:f>
        </m:oMath>
      </m:oMathPara>
    </w:p>
    <w:p w14:paraId="0B9A0B5A" w14:textId="77777777" w:rsidR="00CD7491" w:rsidRPr="003A3035" w:rsidRDefault="00CD7491" w:rsidP="00CD7491">
      <w:pPr>
        <w:spacing w:line="240" w:lineRule="auto"/>
      </w:pPr>
      <w:r w:rsidRPr="003A3035">
        <w:t xml:space="preserve"> and requires providing plausible values for RRUY, RRUX.</w:t>
      </w:r>
    </w:p>
    <w:p w14:paraId="2FB244C0" w14:textId="77777777" w:rsidR="00CD7491" w:rsidRPr="003A3035" w:rsidRDefault="00CD7491" w:rsidP="00CD7491">
      <w:pPr>
        <w:spacing w:line="300" w:lineRule="auto"/>
      </w:pPr>
    </w:p>
    <w:p w14:paraId="65045769" w14:textId="3DEF6E90" w:rsidR="00CD7491" w:rsidRPr="003A3035" w:rsidRDefault="00CD7491" w:rsidP="00CD7491">
      <w:pPr>
        <w:spacing w:line="300" w:lineRule="auto"/>
      </w:pPr>
      <w:r w:rsidRPr="003A3035">
        <w:t xml:space="preserve">As we conducted a survival analysis, our estimates are Hazard ratio (HR) and not Risk Ratio. However, it is possible to use the previous formula with HR. Ding and VanderWeele (2016) </w:t>
      </w:r>
      <w:r w:rsidRPr="003A3035">
        <w:fldChar w:fldCharType="begin"/>
      </w:r>
      <w:r w:rsidR="004A64A5" w:rsidRPr="003A3035">
        <w:instrText xml:space="preserve"> ADDIN ZOTERO_ITEM CSL_CITATION {"citationID":"Z2HPLzyB","properties":{"formattedCitation":"(9)","plainCitation":"(9)","noteIndex":0},"citationItems":[{"id":2373,"uris":["http://zotero.org/groups/4549131/items/YTFG5FTM"],"itemData":{"id":2373,"type":"article-journal","abstract":"Unmeasured confounding may undermine the validity of causal inference with observational studies. Sensitivity analysis provides an attractive way to partially circumvent this issue by assessing the potential influence of unmeasured confounding on causal conclusions. However, previous sensitivity analysis approaches often make strong and untestable assumptions such as having an unmeasured confounder that is binary, or having no interaction between the effects of the exposure and the confounder on the outcome, or having only one unmeasured confounder. Without imposing any assumptions on the unmeasured confounder or confounders, we derive a bounding factor and a sharp inequality such that the sensitivity analysis parameters must satisfy the inequality if an unmeasured confounder is to explain away the observed effect estimate or reduce it to a particular level. Our approach is easy to implement and involves only two sensitivity parameters. Surprisingly, our bounding factor, which makes no simplifying assumptions, is no more conservative than a number of previous sensitivity analysis techniques that do make assumptions. Our new bounding factor implies not only the traditional Cornfield conditions that both the relative risk of the exposure on the confounder and that of the confounder on the outcome must satisfy but also a high threshold that the maximum of these relative risks must satisfy. Furthermore, this new bounding factor can be viewed as a measure of the strength of confounding between the exposure and the outcome induced by a confounder.","container-title":"Epidemiology (Cambridge, Mass.)","DOI":"10.1097/EDE.0000000000000457","ISSN":"1531-5487","issue":"3","journalAbbreviation":"Epidemiology","language":"eng","note":"PMID: 26841057\nPMCID: PMC4820664","page":"368-377","source":"PubMed","title":"Sensitivity Analysis Without Assumptions","volume":"27","author":[{"family":"Ding","given":"Peng"},{"family":"VanderWeele","given":"Tyler J."}],"issued":{"date-parts":[["2016",5]]}}}],"schema":"https://github.com/citation-style-language/schema/raw/master/csl-citation.json"} </w:instrText>
      </w:r>
      <w:r w:rsidRPr="003A3035">
        <w:fldChar w:fldCharType="separate"/>
      </w:r>
      <w:r w:rsidR="004A64A5" w:rsidRPr="003A3035">
        <w:t>(9)</w:t>
      </w:r>
      <w:r w:rsidRPr="003A3035">
        <w:fldChar w:fldCharType="end"/>
      </w:r>
      <w:r w:rsidRPr="003A3035">
        <w:t xml:space="preserve"> showed that the equation can be applied in survival analyses under the assumption of a rare time-to event outcome (&lt;15% at the end of the follow-up). In this case, RRUY is then replaced by HRUY.</w:t>
      </w:r>
    </w:p>
    <w:p w14:paraId="729A32EE" w14:textId="61D0D4B5" w:rsidR="00CD7491" w:rsidRPr="003A3035" w:rsidRDefault="00CD7491" w:rsidP="00CD7491">
      <w:pPr>
        <w:spacing w:line="300" w:lineRule="auto"/>
      </w:pPr>
      <w:r w:rsidRPr="003A3035">
        <w:t xml:space="preserve">If the outcome is not rare, it is possible to use the following formula introduced by VanderWeele (2017) </w:t>
      </w:r>
      <w:r w:rsidRPr="003A3035">
        <w:fldChar w:fldCharType="begin"/>
      </w:r>
      <w:r w:rsidR="004A64A5" w:rsidRPr="003A3035">
        <w:instrText xml:space="preserve"> ADDIN ZOTERO_ITEM CSL_CITATION {"citationID":"Fj44y1up","properties":{"formattedCitation":"(10)","plainCitation":"(10)","noteIndex":0},"citationItems":[{"id":2376,"uris":["http://zotero.org/groups/4549131/items/4XIGNT7W"],"itemData":{"id":2376,"type":"article-journal","container-title":"Epidemiology (Cambridge, Mass.)","DOI":"10.1097/EDE.0000000000000733","ISSN":"1044-3983","issue":"6","journalAbbreviation":"Epidemiology","note":"PMID: 28816709\nPMCID: PMC5617805","page":"e58-e60","source":"PubMed Central","title":"On a square-root transformation of the odds ratio for a common outcome","volume":"28","author":[{"family":"VanderWeele","given":"Tyler"}],"issued":{"date-parts":[["2017",11]]}}}],"schema":"https://github.com/citation-style-language/schema/raw/master/csl-citation.json"} </w:instrText>
      </w:r>
      <w:r w:rsidRPr="003A3035">
        <w:fldChar w:fldCharType="separate"/>
      </w:r>
      <w:r w:rsidR="004A64A5" w:rsidRPr="003A3035">
        <w:t>(10)</w:t>
      </w:r>
      <w:r w:rsidRPr="003A3035">
        <w:fldChar w:fldCharType="end"/>
      </w:r>
      <w:r w:rsidRPr="003A3035">
        <w:t>:</w:t>
      </w:r>
    </w:p>
    <w:p w14:paraId="20A0C1DC" w14:textId="77777777" w:rsidR="00CD7491" w:rsidRPr="003A3035" w:rsidRDefault="00CD7491" w:rsidP="00CD7491">
      <w:pPr>
        <w:rPr>
          <w:rFonts w:eastAsia="Arial"/>
          <w:sz w:val="20"/>
          <w:szCs w:val="20"/>
        </w:rPr>
      </w:pPr>
      <m:oMath>
        <m:r>
          <w:rPr>
            <w:rFonts w:ascii="Cambria Math" w:eastAsia="Cambria Math" w:hAnsi="Cambria Math"/>
          </w:rPr>
          <m:t>RR≈</m:t>
        </m:r>
        <m:f>
          <m:fPr>
            <m:ctrlPr>
              <w:rPr>
                <w:rFonts w:ascii="Cambria Math" w:eastAsia="Cambria Math" w:hAnsi="Cambria Math"/>
              </w:rPr>
            </m:ctrlPr>
          </m:fPr>
          <m:num>
            <m:d>
              <m:dPr>
                <m:ctrlPr>
                  <w:rPr>
                    <w:rFonts w:ascii="Cambria Math" w:eastAsia="Cambria Math" w:hAnsi="Cambria Math"/>
                  </w:rPr>
                </m:ctrlPr>
              </m:dPr>
              <m:e>
                <m:r>
                  <w:rPr>
                    <w:rFonts w:ascii="Cambria Math" w:eastAsia="Cambria Math" w:hAnsi="Cambria Math"/>
                  </w:rPr>
                  <m:t>1-</m:t>
                </m:r>
                <m:sSup>
                  <m:sSupPr>
                    <m:ctrlPr>
                      <w:rPr>
                        <w:rFonts w:ascii="Cambria Math" w:eastAsia="Cambria Math" w:hAnsi="Cambria Math"/>
                      </w:rPr>
                    </m:ctrlPr>
                  </m:sSupPr>
                  <m:e>
                    <m:r>
                      <w:rPr>
                        <w:rFonts w:ascii="Cambria Math" w:eastAsia="Cambria Math" w:hAnsi="Cambria Math"/>
                      </w:rPr>
                      <m:t>0.5</m:t>
                    </m:r>
                  </m:e>
                  <m:sup>
                    <m:r>
                      <w:rPr>
                        <w:rFonts w:ascii="Cambria Math" w:eastAsia="Cambria Math" w:hAnsi="Cambria Math"/>
                      </w:rPr>
                      <m:t>sqrt</m:t>
                    </m:r>
                    <m:d>
                      <m:dPr>
                        <m:ctrlPr>
                          <w:rPr>
                            <w:rFonts w:ascii="Cambria Math" w:eastAsia="Cambria Math" w:hAnsi="Cambria Math"/>
                          </w:rPr>
                        </m:ctrlPr>
                      </m:dPr>
                      <m:e>
                        <m:r>
                          <w:rPr>
                            <w:rFonts w:ascii="Cambria Math" w:eastAsia="Cambria Math" w:hAnsi="Cambria Math"/>
                          </w:rPr>
                          <m:t>HR</m:t>
                        </m:r>
                      </m:e>
                    </m:d>
                  </m:sup>
                </m:sSup>
              </m:e>
            </m:d>
          </m:num>
          <m:den>
            <m:r>
              <w:rPr>
                <w:rFonts w:ascii="Cambria Math" w:eastAsia="Cambria Math" w:hAnsi="Cambria Math"/>
              </w:rPr>
              <m:t>1-</m:t>
            </m:r>
            <m:sSup>
              <m:sSupPr>
                <m:ctrlPr>
                  <w:rPr>
                    <w:rFonts w:ascii="Cambria Math" w:eastAsia="Cambria Math" w:hAnsi="Cambria Math"/>
                  </w:rPr>
                </m:ctrlPr>
              </m:sSupPr>
              <m:e>
                <m:r>
                  <w:rPr>
                    <w:rFonts w:ascii="Cambria Math" w:eastAsia="Cambria Math" w:hAnsi="Cambria Math"/>
                  </w:rPr>
                  <m:t>0.5</m:t>
                </m:r>
              </m:e>
              <m:sup>
                <m:r>
                  <w:rPr>
                    <w:rFonts w:ascii="Cambria Math" w:eastAsia="Cambria Math" w:hAnsi="Cambria Math"/>
                  </w:rPr>
                  <m:t>sqrt</m:t>
                </m:r>
                <m:d>
                  <m:dPr>
                    <m:ctrlPr>
                      <w:rPr>
                        <w:rFonts w:ascii="Cambria Math" w:eastAsia="Cambria Math" w:hAnsi="Cambria Math"/>
                      </w:rPr>
                    </m:ctrlPr>
                  </m:dPr>
                  <m:e>
                    <m:r>
                      <w:rPr>
                        <w:rFonts w:ascii="Cambria Math" w:eastAsia="Cambria Math" w:hAnsi="Cambria Math"/>
                      </w:rPr>
                      <m:t>1/HR</m:t>
                    </m:r>
                  </m:e>
                </m:d>
              </m:sup>
            </m:sSup>
          </m:den>
        </m:f>
      </m:oMath>
      <w:r w:rsidRPr="003A3035">
        <w:rPr>
          <w:rFonts w:eastAsia="Arial"/>
          <w:sz w:val="20"/>
          <w:szCs w:val="20"/>
        </w:rPr>
        <w:t xml:space="preserve"> </w:t>
      </w:r>
    </w:p>
    <w:p w14:paraId="5239CFE4" w14:textId="3FB4592F" w:rsidR="00CD7491" w:rsidRPr="003A3035" w:rsidRDefault="00CD7491" w:rsidP="00CD7491">
      <w:r w:rsidRPr="003A3035">
        <w:t>As our event of interest is not rare, this is the formula that was used in our sensitivity analysis.</w:t>
      </w:r>
    </w:p>
    <w:p w14:paraId="0EE935CC" w14:textId="0781F0B7" w:rsidR="00CD7491" w:rsidRPr="003A3035" w:rsidRDefault="00CD7491" w:rsidP="00CD7491">
      <w:r w:rsidRPr="003A3035">
        <w:t>The potential true unobserved RR were plotted in a bias plot (where the x-axis corresponds to RR of confounder-exposure association and y-axis corresponds to RR of confounder-outcome association). If appropriate, the y-axis was transformed back numerically into HR estimations.</w:t>
      </w:r>
    </w:p>
    <w:p w14:paraId="23C19007" w14:textId="70F38FA3" w:rsidR="00CD7491" w:rsidRPr="003A3035" w:rsidRDefault="00CD7491" w:rsidP="00CD7491">
      <w:r w:rsidRPr="003A3035">
        <w:t>To illustrate the impact of such confounder, the graph displayed thresholds of RR:</w:t>
      </w:r>
    </w:p>
    <w:p w14:paraId="53BF29DE" w14:textId="77A61B4A" w:rsidR="00CD7491" w:rsidRPr="003A3035" w:rsidRDefault="00CD7491" w:rsidP="00D44273">
      <w:pPr>
        <w:numPr>
          <w:ilvl w:val="0"/>
          <w:numId w:val="21"/>
        </w:numPr>
        <w:pBdr>
          <w:top w:val="nil"/>
          <w:left w:val="nil"/>
          <w:bottom w:val="nil"/>
          <w:right w:val="nil"/>
          <w:between w:val="nil"/>
        </w:pBdr>
        <w:spacing w:line="300" w:lineRule="auto"/>
        <w:ind w:hanging="357"/>
      </w:pPr>
      <w:r w:rsidRPr="003A3035">
        <w:t xml:space="preserve">where the upper 95% CI of true RR is equal to 1 (rendering the effect of </w:t>
      </w:r>
      <w:sdt>
        <w:sdtPr>
          <w:tag w:val="goog_rdk_179"/>
          <w:id w:val="-798217612"/>
        </w:sdtPr>
        <w:sdtEndPr/>
        <w:sdtContent>
          <w:r w:rsidRPr="003A3035">
            <w:t xml:space="preserve">the </w:t>
          </w:r>
          <w:proofErr w:type="spellStart"/>
          <w:r w:rsidRPr="003A3035">
            <w:t>e</w:t>
          </w:r>
        </w:sdtContent>
      </w:sdt>
      <w:r w:rsidRPr="003A3035">
        <w:t>ntrectinib</w:t>
      </w:r>
      <w:proofErr w:type="spellEnd"/>
      <w:r w:rsidRPr="003A3035">
        <w:t xml:space="preserve"> non-significant),</w:t>
      </w:r>
    </w:p>
    <w:p w14:paraId="67B614DE" w14:textId="77777777" w:rsidR="00CD7491" w:rsidRPr="003A3035" w:rsidRDefault="00CD7491" w:rsidP="00D44273">
      <w:pPr>
        <w:numPr>
          <w:ilvl w:val="0"/>
          <w:numId w:val="21"/>
        </w:numPr>
        <w:pBdr>
          <w:top w:val="nil"/>
          <w:left w:val="nil"/>
          <w:bottom w:val="nil"/>
          <w:right w:val="nil"/>
          <w:between w:val="nil"/>
        </w:pBdr>
        <w:spacing w:line="300" w:lineRule="auto"/>
        <w:ind w:hanging="357"/>
      </w:pPr>
      <w:r w:rsidRPr="003A3035">
        <w:t>where the true RR of the treatment effect is equal to 1,</w:t>
      </w:r>
    </w:p>
    <w:p w14:paraId="4F4B8614" w14:textId="76983D1A" w:rsidR="00CD7491" w:rsidRPr="003A3035" w:rsidRDefault="00CD7491" w:rsidP="00D44273">
      <w:pPr>
        <w:numPr>
          <w:ilvl w:val="0"/>
          <w:numId w:val="21"/>
        </w:numPr>
        <w:pBdr>
          <w:top w:val="nil"/>
          <w:left w:val="nil"/>
          <w:bottom w:val="nil"/>
          <w:right w:val="nil"/>
          <w:between w:val="nil"/>
        </w:pBdr>
        <w:spacing w:line="300" w:lineRule="auto"/>
        <w:ind w:hanging="357"/>
      </w:pPr>
      <w:r w:rsidRPr="003A3035">
        <w:t xml:space="preserve">where the lower 95%CI of the true RR is equal to 1 (meaning the </w:t>
      </w:r>
      <w:sdt>
        <w:sdtPr>
          <w:tag w:val="goog_rdk_181"/>
          <w:id w:val="2110082587"/>
        </w:sdtPr>
        <w:sdtEndPr/>
        <w:sdtContent>
          <w:proofErr w:type="spellStart"/>
          <w:r w:rsidRPr="003A3035">
            <w:t>e</w:t>
          </w:r>
        </w:sdtContent>
      </w:sdt>
      <w:r w:rsidRPr="003A3035">
        <w:t>ntrectinib</w:t>
      </w:r>
      <w:proofErr w:type="spellEnd"/>
      <w:r w:rsidRPr="003A3035">
        <w:t xml:space="preserve"> would be significantly worse than the comparator: French HTA)</w:t>
      </w:r>
    </w:p>
    <w:p w14:paraId="1F6389A8" w14:textId="32CC5E25" w:rsidR="00CD7491" w:rsidRPr="003A3035" w:rsidRDefault="00CD7491" w:rsidP="00CD7491">
      <w:r w:rsidRPr="003A3035">
        <w:t>To illustrate the range of the plausible RR tested, we calculated:</w:t>
      </w:r>
    </w:p>
    <w:p w14:paraId="48A4A415" w14:textId="496D17F0" w:rsidR="00CD7491" w:rsidRPr="003A3035" w:rsidRDefault="00CD7491" w:rsidP="00D44273">
      <w:pPr>
        <w:numPr>
          <w:ilvl w:val="0"/>
          <w:numId w:val="20"/>
        </w:numPr>
        <w:pBdr>
          <w:top w:val="nil"/>
          <w:left w:val="nil"/>
          <w:bottom w:val="nil"/>
          <w:right w:val="nil"/>
          <w:between w:val="nil"/>
        </w:pBdr>
        <w:spacing w:line="300" w:lineRule="auto"/>
        <w:ind w:hanging="357"/>
      </w:pPr>
      <w:r w:rsidRPr="003A3035">
        <w:t>the RR associations of some measured covariates (if possible, every covariate used in the propensity score) with the outcome (HR obtained from each imputed dataset from ESME cohort and pooled with Rubin’s rule adjusted on all the other illustrated covariates, then converted into RR)</w:t>
      </w:r>
    </w:p>
    <w:p w14:paraId="6F37A05A" w14:textId="40CB7DC4" w:rsidR="00CD7491" w:rsidRPr="003A3035" w:rsidRDefault="00CD7491" w:rsidP="00D44273">
      <w:pPr>
        <w:numPr>
          <w:ilvl w:val="0"/>
          <w:numId w:val="20"/>
        </w:numPr>
        <w:pBdr>
          <w:top w:val="nil"/>
          <w:left w:val="nil"/>
          <w:bottom w:val="nil"/>
          <w:right w:val="nil"/>
          <w:between w:val="nil"/>
        </w:pBdr>
        <w:spacing w:line="300" w:lineRule="auto"/>
        <w:ind w:hanging="357"/>
      </w:pPr>
      <w:r w:rsidRPr="003A3035">
        <w:lastRenderedPageBreak/>
        <w:t xml:space="preserve">the RR associations of the same measured covariates with the treatment group (unadjusted RR obtained on the aggregated data from L1 HTA ESME cohort and L1 </w:t>
      </w:r>
      <w:sdt>
        <w:sdtPr>
          <w:tag w:val="goog_rdk_183"/>
          <w:id w:val="-1340086012"/>
        </w:sdtPr>
        <w:sdtEndPr/>
        <w:sdtContent>
          <w:proofErr w:type="spellStart"/>
          <w:r w:rsidRPr="003A3035">
            <w:t>e</w:t>
          </w:r>
        </w:sdtContent>
      </w:sdt>
      <w:r w:rsidRPr="003A3035">
        <w:t>ntrectinib</w:t>
      </w:r>
      <w:proofErr w:type="spellEnd"/>
      <w:r w:rsidRPr="003A3035">
        <w:t xml:space="preserve"> population from each imputed dataset and pooled with Rubin’s rule).</w:t>
      </w:r>
    </w:p>
    <w:p w14:paraId="440F9E06" w14:textId="22CEFE63" w:rsidR="00CD7491" w:rsidRPr="003A3035" w:rsidRDefault="00CD7491" w:rsidP="00CD7491">
      <w:pPr>
        <w:ind w:left="420"/>
      </w:pPr>
      <w:r w:rsidRPr="003A3035">
        <w:t xml:space="preserve">that were displayed on the bias plot. If the covariate has more than two modalities, some categories </w:t>
      </w:r>
      <w:r w:rsidR="00942810" w:rsidRPr="003A3035">
        <w:t>were</w:t>
      </w:r>
      <w:r w:rsidRPr="003A3035">
        <w:t xml:space="preserve"> combined to end-up with only 2 possible modalities.</w:t>
      </w:r>
    </w:p>
    <w:p w14:paraId="262E1370" w14:textId="77777777" w:rsidR="00CD7491" w:rsidRPr="003A3035" w:rsidRDefault="00CD7491" w:rsidP="00CD7491">
      <w:pPr>
        <w:pBdr>
          <w:top w:val="nil"/>
          <w:left w:val="nil"/>
          <w:bottom w:val="nil"/>
          <w:right w:val="nil"/>
          <w:between w:val="nil"/>
        </w:pBdr>
        <w:spacing w:line="240" w:lineRule="auto"/>
        <w:jc w:val="left"/>
        <w:rPr>
          <w:rFonts w:eastAsia="Arial"/>
          <w:b/>
          <w:color w:val="806000"/>
          <w:sz w:val="24"/>
          <w:szCs w:val="24"/>
        </w:rPr>
      </w:pPr>
    </w:p>
    <w:p w14:paraId="50AC7F8F" w14:textId="41191DF9" w:rsidR="00CD7491" w:rsidRPr="003A3035" w:rsidRDefault="00CD7491" w:rsidP="00CD7491">
      <w:proofErr w:type="spellStart"/>
      <w:r w:rsidRPr="003A3035">
        <w:t>Evalue</w:t>
      </w:r>
      <w:proofErr w:type="spellEnd"/>
      <w:r w:rsidRPr="003A3035">
        <w:t xml:space="preserve"> was introduced by VanderWeele and Ding </w:t>
      </w:r>
      <w:r w:rsidRPr="003A3035">
        <w:fldChar w:fldCharType="begin"/>
      </w:r>
      <w:r w:rsidR="004A64A5" w:rsidRPr="003A3035">
        <w:instrText xml:space="preserve"> ADDIN ZOTERO_ITEM CSL_CITATION {"citationID":"YMMsAmd8","properties":{"formattedCitation":"(8)","plainCitation":"(8)","noteIndex":0},"citationItems":[{"id":6506,"uris":["http://zotero.org/groups/5081594/items/3C8V6UDE"],"itemData":{"id":6506,"type":"article-journal","abstract":"Sensitivity analysis is useful in assessing how robust an association is to potential unmeasured or uncontrolled confounding. This article introduces a new measure called the \"E-value,\" which is related to the evidence for causality in observational studies that are potentially subject to confounding. The E-value is defined as the minimum strength of association, on the risk ratio scale, that an unmeasured confounder would need to have with both the treatment and the outcome to fully explain away a specific treatment-outcome association, conditional on the measured covariates. A large E-value implies that considerable unmeasured confounding would be needed to explain away an effect estimate. A small E-value implies little unmeasured confounding would be needed to explain away an effect estimate. The authors propose that in all observational studies intended to produce evidence for causality, the E-value be reported or some other sensitivity analysis be used. They suggest calculating the E-value for both the observed association estimate (after adjustments for measured confounders) and the limit of the confidence interval closest to the null. If this were to become standard practice, the ability of the scientific community to assess evidence from observational studies would improve considerably, and ultimately, science would be strengthened.","container-title":"Annals of Internal Medicine","DOI":"10.7326/M16-2607","ISSN":"1539-3704","issue":"4","journalAbbreviation":"Ann Intern Med","language":"eng","note":"PMID: 28693043","page":"268-274","source":"PubMed","title":"Sensitivity Analysis in Observational Research: Introducing the E-Value","title-short":"Sensitivity Analysis in Observational Research","volume":"167","author":[{"family":"VanderWeele","given":"Tyler J."},{"family":"Ding","given":"Peng"}],"issued":{"date-parts":[["2017",8,15]]}}}],"schema":"https://github.com/citation-style-language/schema/raw/master/csl-citation.json"} </w:instrText>
      </w:r>
      <w:r w:rsidRPr="003A3035">
        <w:fldChar w:fldCharType="separate"/>
      </w:r>
      <w:r w:rsidR="004A64A5" w:rsidRPr="003A3035">
        <w:t>(8)</w:t>
      </w:r>
      <w:r w:rsidRPr="003A3035">
        <w:fldChar w:fldCharType="end"/>
      </w:r>
      <w:r w:rsidRPr="003A3035">
        <w:t xml:space="preserve">. It is derived from the Bias Factor and based on the assumption that RRUY=RRXU. As a result, the </w:t>
      </w:r>
      <w:proofErr w:type="spellStart"/>
      <w:r w:rsidRPr="003A3035">
        <w:t>Evalue</w:t>
      </w:r>
      <w:proofErr w:type="spellEnd"/>
      <w:r w:rsidRPr="003A3035">
        <w:t xml:space="preserve"> is the solution of the equation:</w:t>
      </w:r>
    </w:p>
    <w:p w14:paraId="04A682EB" w14:textId="77777777" w:rsidR="00CD7491" w:rsidRPr="003A3035" w:rsidRDefault="00CD7491" w:rsidP="00CD7491">
      <w:pPr>
        <w:jc w:val="left"/>
        <w:rPr>
          <w:rFonts w:eastAsia="Cambria Math"/>
        </w:rPr>
      </w:pPr>
      <m:oMathPara>
        <m:oMath>
          <m:r>
            <w:rPr>
              <w:rFonts w:ascii="Cambria Math" w:eastAsia="Cambria Math" w:hAnsi="Cambria Math"/>
            </w:rPr>
            <m:t>R</m:t>
          </m:r>
          <m:sSub>
            <m:sSubPr>
              <m:ctrlPr>
                <w:rPr>
                  <w:rFonts w:ascii="Cambria Math" w:eastAsia="Cambria Math" w:hAnsi="Cambria Math"/>
                </w:rPr>
              </m:ctrlPr>
            </m:sSubPr>
            <m:e>
              <m:r>
                <w:rPr>
                  <w:rFonts w:ascii="Cambria Math" w:eastAsia="Cambria Math" w:hAnsi="Cambria Math"/>
                </w:rPr>
                <m:t>R</m:t>
              </m:r>
            </m:e>
            <m:sub>
              <m:r>
                <w:rPr>
                  <w:rFonts w:ascii="Cambria Math" w:eastAsia="Cambria Math" w:hAnsi="Cambria Math"/>
                </w:rPr>
                <m:t>obs</m:t>
              </m:r>
            </m:sub>
          </m:sSub>
          <m:r>
            <w:rPr>
              <w:rFonts w:ascii="Cambria Math" w:eastAsia="Cambria Math" w:hAnsi="Cambria Math"/>
            </w:rPr>
            <m:t>=BF⟺R</m:t>
          </m:r>
          <m:sSub>
            <m:sSubPr>
              <m:ctrlPr>
                <w:rPr>
                  <w:rFonts w:ascii="Cambria Math" w:eastAsia="Cambria Math" w:hAnsi="Cambria Math"/>
                </w:rPr>
              </m:ctrlPr>
            </m:sSubPr>
            <m:e>
              <m:r>
                <w:rPr>
                  <w:rFonts w:ascii="Cambria Math" w:eastAsia="Cambria Math" w:hAnsi="Cambria Math"/>
                </w:rPr>
                <m:t>R</m:t>
              </m:r>
            </m:e>
            <m:sub>
              <m:r>
                <w:rPr>
                  <w:rFonts w:ascii="Cambria Math" w:eastAsia="Cambria Math" w:hAnsi="Cambria Math"/>
                </w:rPr>
                <m:t>obs</m:t>
              </m:r>
            </m:sub>
          </m:sSub>
          <m:r>
            <w:rPr>
              <w:rFonts w:ascii="Cambria Math" w:eastAsia="Cambria Math" w:hAnsi="Cambria Math"/>
            </w:rPr>
            <m:t>=</m:t>
          </m:r>
          <m:f>
            <m:fPr>
              <m:ctrlPr>
                <w:rPr>
                  <w:rFonts w:ascii="Cambria Math" w:eastAsia="Cambria Math" w:hAnsi="Cambria Math"/>
                </w:rPr>
              </m:ctrlPr>
            </m:fPr>
            <m:num>
              <m:r>
                <w:rPr>
                  <w:rFonts w:ascii="Cambria Math" w:eastAsia="Cambria Math" w:hAnsi="Cambria Math"/>
                </w:rPr>
                <m:t>Evalue²</m:t>
              </m:r>
            </m:num>
            <m:den>
              <m:r>
                <w:rPr>
                  <w:rFonts w:ascii="Cambria Math" w:eastAsia="Cambria Math" w:hAnsi="Cambria Math"/>
                </w:rPr>
                <m:t>2Evalue-1</m:t>
              </m:r>
            </m:den>
          </m:f>
        </m:oMath>
      </m:oMathPara>
    </w:p>
    <w:p w14:paraId="02F92F6A" w14:textId="77777777" w:rsidR="00CD7491" w:rsidRPr="003A3035" w:rsidRDefault="00CD7491" w:rsidP="00CD7491">
      <w:pPr>
        <w:jc w:val="left"/>
        <w:rPr>
          <w:rFonts w:eastAsia="Cambria Math"/>
        </w:rPr>
      </w:pPr>
      <m:oMathPara>
        <m:oMath>
          <m:r>
            <w:rPr>
              <w:rFonts w:ascii="Cambria Math" w:eastAsia="Cambria Math" w:hAnsi="Cambria Math"/>
            </w:rPr>
            <m:t>⟺Evalue=R</m:t>
          </m:r>
          <m:sSub>
            <m:sSubPr>
              <m:ctrlPr>
                <w:rPr>
                  <w:rFonts w:ascii="Cambria Math" w:eastAsia="Cambria Math" w:hAnsi="Cambria Math"/>
                </w:rPr>
              </m:ctrlPr>
            </m:sSubPr>
            <m:e>
              <m:r>
                <w:rPr>
                  <w:rFonts w:ascii="Cambria Math" w:eastAsia="Cambria Math" w:hAnsi="Cambria Math"/>
                </w:rPr>
                <m:t>R</m:t>
              </m:r>
            </m:e>
            <m:sub>
              <m:r>
                <w:rPr>
                  <w:rFonts w:ascii="Cambria Math" w:eastAsia="Cambria Math" w:hAnsi="Cambria Math"/>
                </w:rPr>
                <m:t>obs</m:t>
              </m:r>
            </m:sub>
          </m:sSub>
          <m:r>
            <w:rPr>
              <w:rFonts w:ascii="Cambria Math" w:eastAsia="Cambria Math" w:hAnsi="Cambria Math"/>
            </w:rPr>
            <m:t>+</m:t>
          </m:r>
          <m:rad>
            <m:radPr>
              <m:degHide m:val="1"/>
              <m:ctrlPr>
                <w:rPr>
                  <w:rFonts w:ascii="Cambria Math" w:eastAsia="Cambria Math" w:hAnsi="Cambria Math"/>
                </w:rPr>
              </m:ctrlPr>
            </m:radPr>
            <m:deg/>
            <m:e>
              <m:r>
                <w:rPr>
                  <w:rFonts w:ascii="Cambria Math" w:eastAsia="Cambria Math" w:hAnsi="Cambria Math"/>
                </w:rPr>
                <m:t>R</m:t>
              </m:r>
              <m:sSub>
                <m:sSubPr>
                  <m:ctrlPr>
                    <w:rPr>
                      <w:rFonts w:ascii="Cambria Math" w:eastAsia="Cambria Math" w:hAnsi="Cambria Math"/>
                    </w:rPr>
                  </m:ctrlPr>
                </m:sSubPr>
                <m:e>
                  <m:r>
                    <w:rPr>
                      <w:rFonts w:ascii="Cambria Math" w:eastAsia="Cambria Math" w:hAnsi="Cambria Math"/>
                    </w:rPr>
                    <m:t>R</m:t>
                  </m:r>
                </m:e>
                <m:sub>
                  <m:r>
                    <w:rPr>
                      <w:rFonts w:ascii="Cambria Math" w:eastAsia="Cambria Math" w:hAnsi="Cambria Math"/>
                    </w:rPr>
                    <m:t>obs</m:t>
                  </m:r>
                </m:sub>
              </m:sSub>
              <m:r>
                <w:rPr>
                  <w:rFonts w:ascii="Cambria Math" w:eastAsia="Cambria Math" w:hAnsi="Cambria Math"/>
                </w:rPr>
                <m:t>×</m:t>
              </m:r>
              <m:d>
                <m:dPr>
                  <m:ctrlPr>
                    <w:rPr>
                      <w:rFonts w:ascii="Cambria Math" w:eastAsia="Cambria Math" w:hAnsi="Cambria Math"/>
                    </w:rPr>
                  </m:ctrlPr>
                </m:dPr>
                <m:e>
                  <m:r>
                    <w:rPr>
                      <w:rFonts w:ascii="Cambria Math" w:eastAsia="Cambria Math" w:hAnsi="Cambria Math"/>
                    </w:rPr>
                    <m:t>R</m:t>
                  </m:r>
                  <m:sSub>
                    <m:sSubPr>
                      <m:ctrlPr>
                        <w:rPr>
                          <w:rFonts w:ascii="Cambria Math" w:eastAsia="Cambria Math" w:hAnsi="Cambria Math"/>
                        </w:rPr>
                      </m:ctrlPr>
                    </m:sSubPr>
                    <m:e>
                      <m:r>
                        <w:rPr>
                          <w:rFonts w:ascii="Cambria Math" w:eastAsia="Cambria Math" w:hAnsi="Cambria Math"/>
                        </w:rPr>
                        <m:t>R</m:t>
                      </m:r>
                    </m:e>
                    <m:sub>
                      <m:r>
                        <w:rPr>
                          <w:rFonts w:ascii="Cambria Math" w:eastAsia="Cambria Math" w:hAnsi="Cambria Math"/>
                        </w:rPr>
                        <m:t>obs</m:t>
                      </m:r>
                    </m:sub>
                  </m:sSub>
                  <m:r>
                    <w:rPr>
                      <w:rFonts w:ascii="Cambria Math" w:eastAsia="Cambria Math" w:hAnsi="Cambria Math"/>
                    </w:rPr>
                    <m:t>-1</m:t>
                  </m:r>
                </m:e>
              </m:d>
            </m:e>
          </m:rad>
        </m:oMath>
      </m:oMathPara>
    </w:p>
    <w:p w14:paraId="2C9CB845" w14:textId="77777777" w:rsidR="00CD7491" w:rsidRPr="003A3035" w:rsidRDefault="00CD7491" w:rsidP="00CD7491">
      <w:r w:rsidRPr="003A3035">
        <w:t>It captures the minimum strength of association, on the RR scale, that an unmeasured confounder needs to have with both Y and X for the observed RR to be nullified (</w:t>
      </w:r>
      <w:proofErr w:type="spellStart"/>
      <w:r w:rsidRPr="003A3035">
        <w:t>RRtrue</w:t>
      </w:r>
      <w:proofErr w:type="spellEnd"/>
      <w:r w:rsidRPr="003A3035">
        <w:t xml:space="preserve"> = 1).</w:t>
      </w:r>
    </w:p>
    <w:p w14:paraId="135602D7" w14:textId="561108C7" w:rsidR="00CD7491" w:rsidRPr="003A3035" w:rsidRDefault="00CD7491" w:rsidP="00CD7491">
      <w:r w:rsidRPr="003A3035">
        <w:t xml:space="preserve">To perform a </w:t>
      </w:r>
      <w:proofErr w:type="spellStart"/>
      <w:r w:rsidRPr="003A3035">
        <w:t>Evalue</w:t>
      </w:r>
      <w:proofErr w:type="spellEnd"/>
      <w:r w:rsidRPr="003A3035">
        <w:t xml:space="preserve"> calculation, we also convert</w:t>
      </w:r>
      <w:r w:rsidR="00942810" w:rsidRPr="003A3035">
        <w:t>ed</w:t>
      </w:r>
      <w:r w:rsidRPr="003A3035">
        <w:t xml:space="preserve"> our Hazard Ratios into Risk Ratios according to VanderWeele formula </w:t>
      </w:r>
      <w:r w:rsidRPr="003A3035">
        <w:fldChar w:fldCharType="begin"/>
      </w:r>
      <w:r w:rsidR="004A64A5" w:rsidRPr="003A3035">
        <w:instrText xml:space="preserve"> ADDIN ZOTERO_ITEM CSL_CITATION {"citationID":"ngCDt6sE","properties":{"formattedCitation":"(10)","plainCitation":"(10)","noteIndex":0},"citationItems":[{"id":2376,"uris":["http://zotero.org/groups/4549131/items/4XIGNT7W"],"itemData":{"id":2376,"type":"article-journal","container-title":"Epidemiology (Cambridge, Mass.)","DOI":"10.1097/EDE.0000000000000733","ISSN":"1044-3983","issue":"6","journalAbbreviation":"Epidemiology","note":"PMID: 28816709\nPMCID: PMC5617805","page":"e58-e60","source":"PubMed Central","title":"On a square-root transformation of the odds ratio for a common outcome","volume":"28","author":[{"family":"VanderWeele","given":"Tyler"}],"issued":{"date-parts":[["2017",11]]}}}],"schema":"https://github.com/citation-style-language/schema/raw/master/csl-citation.json"} </w:instrText>
      </w:r>
      <w:r w:rsidRPr="003A3035">
        <w:fldChar w:fldCharType="separate"/>
      </w:r>
      <w:r w:rsidR="004A64A5" w:rsidRPr="003A3035">
        <w:t>(10)</w:t>
      </w:r>
      <w:r w:rsidRPr="003A3035">
        <w:fldChar w:fldCharType="end"/>
      </w:r>
      <w:r w:rsidRPr="003A3035">
        <w:t xml:space="preserve">. The </w:t>
      </w:r>
      <w:proofErr w:type="spellStart"/>
      <w:r w:rsidRPr="003A3035">
        <w:t>Evalue</w:t>
      </w:r>
      <w:proofErr w:type="spellEnd"/>
      <w:r w:rsidRPr="003A3035">
        <w:t xml:space="preserve"> w</w:t>
      </w:r>
      <w:r w:rsidR="00942810" w:rsidRPr="003A3035">
        <w:t>as</w:t>
      </w:r>
      <w:r w:rsidRPr="003A3035">
        <w:t xml:space="preserve"> then be converted back numerically into HR equivalent.</w:t>
      </w:r>
    </w:p>
    <w:p w14:paraId="65B7BF6E" w14:textId="77777777" w:rsidR="00CD7491" w:rsidRPr="003A3035" w:rsidRDefault="00CD7491" w:rsidP="00CD7491">
      <w:pPr>
        <w:keepNext/>
        <w:keepLines/>
        <w:pBdr>
          <w:top w:val="nil"/>
          <w:left w:val="nil"/>
          <w:bottom w:val="nil"/>
          <w:right w:val="nil"/>
          <w:between w:val="nil"/>
        </w:pBdr>
        <w:rPr>
          <w:b/>
          <w:i/>
        </w:rPr>
      </w:pPr>
    </w:p>
    <w:p w14:paraId="5537CA2F" w14:textId="77777777" w:rsidR="00CD7491" w:rsidRPr="003A3035" w:rsidRDefault="00CD7491" w:rsidP="00CD7491">
      <w:pPr>
        <w:keepNext/>
        <w:keepLines/>
        <w:pBdr>
          <w:top w:val="nil"/>
          <w:left w:val="nil"/>
          <w:bottom w:val="nil"/>
          <w:right w:val="nil"/>
          <w:between w:val="nil"/>
        </w:pBdr>
        <w:rPr>
          <w:b/>
          <w:i/>
        </w:rPr>
      </w:pPr>
      <w:r w:rsidRPr="003A3035">
        <w:rPr>
          <w:b/>
          <w:i/>
        </w:rPr>
        <w:t>Tipping point analysis</w:t>
      </w:r>
    </w:p>
    <w:p w14:paraId="58544424" w14:textId="77777777" w:rsidR="00CD7491" w:rsidRPr="003A3035" w:rsidRDefault="00CD7491" w:rsidP="00CD7491">
      <w:r w:rsidRPr="003A3035">
        <w:t>A tipping point analysis is a sensitivity analysis that helps to assess the robustness of the results to departure from MAR by modifying the imputations to partially missing variables towards MNAR.</w:t>
      </w:r>
    </w:p>
    <w:p w14:paraId="33C6F577" w14:textId="77777777" w:rsidR="00CD7491" w:rsidRPr="003A3035" w:rsidRDefault="00CD7491" w:rsidP="00CD7491"/>
    <w:p w14:paraId="72C3AEA5" w14:textId="34F07E47" w:rsidR="00CD7491" w:rsidRPr="003A3035" w:rsidRDefault="00CD7491" w:rsidP="00CD7491">
      <w:r w:rsidRPr="003A3035">
        <w:t xml:space="preserve">Under MAR, an imputation model for the incomplete dichotomous variable </w:t>
      </w:r>
      <m:oMath>
        <m:r>
          <w:rPr>
            <w:rFonts w:ascii="Cambria Math" w:eastAsia="Cambria Math" w:hAnsi="Cambria Math"/>
          </w:rPr>
          <m:t>Z</m:t>
        </m:r>
      </m:oMath>
      <w:r w:rsidRPr="003A3035">
        <w:t xml:space="preserve"> (like smoking status) is </w:t>
      </w:r>
      <w:r w:rsidRPr="003A3035">
        <w:fldChar w:fldCharType="begin"/>
      </w:r>
      <w:r w:rsidR="004A64A5" w:rsidRPr="003A3035">
        <w:instrText xml:space="preserve"> ADDIN ZOTERO_ITEM CSL_CITATION {"citationID":"cFCE2PDr","properties":{"formattedCitation":"(11)","plainCitation":"(11)","noteIndex":0},"citationItems":[{"id":6959,"uris":["http://zotero.org/groups/4549131/items/TJNZMUDJ"],"itemData":{"id":6959,"type":"article-journal","container-title":"American Journal of Epidemiology","DOI":"10.1093/aje/kww107","ISSN":"0002-9262, 1476-6256","journalAbbreviation":"Am. J. Epidemiol.","language":"en","page":"amjepid;kww107v1","source":"DOI.org (Crossref)","title":"Analyses of Sensitivity to the Missing-at-Random Assumption Using Multiple Imputation With Delta Adjustment: Application to a Tuberculosis/HIV Prevalence Survey With Incomplete HIV-Status Data","title-short":"Analyses of Sensitivity to the Missing-at-Random Assumption Using Multiple Imputation With Delta Adjustment","author":[{"family":"Leacy","given":"Finbarr P."},{"family":"Floyd","given":"Sian"},{"family":"Yates","given":"Tom A."},{"family":"White","given":"Ian R."}],"issued":{"date-parts":[["2017",1,10]]}}}],"schema":"https://github.com/citation-style-language/schema/raw/master/csl-citation.json"} </w:instrText>
      </w:r>
      <w:r w:rsidRPr="003A3035">
        <w:fldChar w:fldCharType="separate"/>
      </w:r>
      <w:r w:rsidR="004A64A5" w:rsidRPr="003A3035">
        <w:t>(11)</w:t>
      </w:r>
      <w:r w:rsidRPr="003A3035">
        <w:fldChar w:fldCharType="end"/>
      </w:r>
      <w:r w:rsidRPr="003A3035">
        <w:t>:</w:t>
      </w:r>
    </w:p>
    <w:p w14:paraId="580FD6AB" w14:textId="1EBC2EBE" w:rsidR="00CD7491" w:rsidRPr="003A3035" w:rsidRDefault="00CD7491" w:rsidP="00CD7491">
      <w:pPr>
        <w:jc w:val="center"/>
        <w:rPr>
          <w:rFonts w:eastAsia="Cambria Math"/>
          <w:sz w:val="24"/>
          <w:szCs w:val="24"/>
        </w:rPr>
      </w:pPr>
      <m:oMathPara>
        <m:oMath>
          <m:r>
            <w:rPr>
              <w:rFonts w:ascii="Cambria Math" w:eastAsia="Cambria Math" w:hAnsi="Cambria Math"/>
              <w:sz w:val="24"/>
              <w:szCs w:val="24"/>
            </w:rPr>
            <m:t>logit</m:t>
          </m:r>
          <m:d>
            <m:dPr>
              <m:begChr m:val="{"/>
              <m:endChr m:val="}"/>
              <m:ctrlPr>
                <w:rPr>
                  <w:rFonts w:ascii="Cambria Math" w:hAnsi="Cambria Math"/>
                </w:rPr>
              </m:ctrlPr>
            </m:dPr>
            <m:e>
              <m:r>
                <m:rPr>
                  <m:sty m:val="p"/>
                </m:rPr>
                <w:rPr>
                  <w:rFonts w:ascii="Cambria Math" w:hAnsi="Cambria Math"/>
                </w:rPr>
                <m:t>Pr⁡</m:t>
              </m:r>
              <m:r>
                <w:rPr>
                  <w:rFonts w:ascii="Cambria Math" w:hAnsi="Cambria Math"/>
                </w:rPr>
                <m:t xml:space="preserve">(Z=1|X) </m:t>
              </m:r>
              <m:r>
                <w:rPr>
                  <w:rFonts w:ascii="Cambria Math" w:hAnsi="Cambria Math"/>
                </w:rPr>
                <m:t xml:space="preserve"> </m:t>
              </m:r>
            </m:e>
          </m:d>
          <m:r>
            <w:rPr>
              <w:rFonts w:ascii="Cambria Math" w:eastAsia="Cambria Math" w:hAnsi="Cambria Math"/>
              <w:sz w:val="24"/>
              <w:szCs w:val="24"/>
            </w:rPr>
            <m:t>=</m:t>
          </m:r>
          <m:sSub>
            <m:sSubPr>
              <m:ctrlPr>
                <w:rPr>
                  <w:rFonts w:ascii="Cambria Math" w:eastAsia="Cambria Math" w:hAnsi="Cambria Math"/>
                  <w:sz w:val="24"/>
                  <w:szCs w:val="24"/>
                </w:rPr>
              </m:ctrlPr>
            </m:sSubPr>
            <m:e>
              <m:r>
                <w:rPr>
                  <w:rFonts w:ascii="Cambria Math" w:eastAsia="Cambria Math" w:hAnsi="Cambria Math"/>
                  <w:sz w:val="24"/>
                  <w:szCs w:val="24"/>
                </w:rPr>
                <m:t>β</m:t>
              </m:r>
            </m:e>
            <m:sub>
              <m:r>
                <w:rPr>
                  <w:rFonts w:ascii="Cambria Math" w:eastAsia="Cambria Math" w:hAnsi="Cambria Math"/>
                  <w:sz w:val="24"/>
                  <w:szCs w:val="24"/>
                </w:rPr>
                <m:t>0</m:t>
              </m:r>
            </m:sub>
          </m:sSub>
          <m:r>
            <w:rPr>
              <w:rFonts w:ascii="Cambria Math" w:eastAsia="Cambria Math" w:hAnsi="Cambria Math"/>
              <w:sz w:val="24"/>
              <w:szCs w:val="24"/>
            </w:rPr>
            <m:t>+β</m:t>
          </m:r>
          <m:sSub>
            <m:sSubPr>
              <m:ctrlPr>
                <w:rPr>
                  <w:rFonts w:ascii="Cambria Math" w:eastAsia="Cambria Math" w:hAnsi="Cambria Math"/>
                  <w:sz w:val="24"/>
                  <w:szCs w:val="24"/>
                </w:rPr>
              </m:ctrlPr>
            </m:sSubPr>
            <m:e>
              <m:r>
                <w:rPr>
                  <w:rFonts w:ascii="Cambria Math" w:eastAsia="Cambria Math" w:hAnsi="Cambria Math"/>
                  <w:sz w:val="24"/>
                  <w:szCs w:val="24"/>
                </w:rPr>
                <m:t>X</m:t>
              </m:r>
            </m:e>
            <m:sub>
              <m:r>
                <w:rPr>
                  <w:rFonts w:ascii="Cambria Math" w:eastAsia="Cambria Math" w:hAnsi="Cambria Math"/>
                  <w:sz w:val="24"/>
                  <w:szCs w:val="24"/>
                </w:rPr>
                <m:t>i</m:t>
              </m:r>
            </m:sub>
          </m:sSub>
        </m:oMath>
      </m:oMathPara>
    </w:p>
    <w:p w14:paraId="72AB3928" w14:textId="77777777" w:rsidR="00CD7491" w:rsidRPr="003A3035" w:rsidRDefault="00CD7491" w:rsidP="00CD7491"/>
    <w:p w14:paraId="2DBCA7F9" w14:textId="77777777" w:rsidR="00CD7491" w:rsidRPr="003A3035" w:rsidRDefault="00CD7491" w:rsidP="00CD7491">
      <w:pPr>
        <w:rPr>
          <w:rFonts w:eastAsia="Arial"/>
        </w:rPr>
      </w:pPr>
      <w:r w:rsidRPr="003A3035">
        <w:rPr>
          <w:rFonts w:eastAsia="Arial"/>
        </w:rPr>
        <w:t>A corresponding imputation model under MNAR is:</w:t>
      </w:r>
    </w:p>
    <w:p w14:paraId="3984B96C" w14:textId="3CD35E76" w:rsidR="00CD7491" w:rsidRPr="003A3035" w:rsidRDefault="00CD7491" w:rsidP="00CD7491">
      <w:pPr>
        <w:jc w:val="center"/>
        <w:rPr>
          <w:rFonts w:eastAsia="Cambria Math"/>
          <w:sz w:val="24"/>
          <w:szCs w:val="24"/>
        </w:rPr>
      </w:pPr>
      <m:oMathPara>
        <m:oMath>
          <m:r>
            <w:rPr>
              <w:rFonts w:ascii="Cambria Math" w:eastAsia="Cambria Math" w:hAnsi="Cambria Math"/>
              <w:sz w:val="24"/>
              <w:szCs w:val="24"/>
            </w:rPr>
            <m:t>logit</m:t>
          </m:r>
          <m:d>
            <m:dPr>
              <m:begChr m:val="{"/>
              <m:endChr m:val="}"/>
              <m:ctrlPr>
                <w:rPr>
                  <w:rFonts w:ascii="Cambria Math" w:hAnsi="Cambria Math"/>
                </w:rPr>
              </m:ctrlPr>
            </m:dPr>
            <m:e>
              <m:func>
                <m:funcPr>
                  <m:ctrlPr>
                    <w:rPr>
                      <w:rFonts w:ascii="Cambria Math" w:hAnsi="Cambria Math"/>
                    </w:rPr>
                  </m:ctrlPr>
                </m:funcPr>
                <m:fName>
                  <m:r>
                    <m:rPr>
                      <m:sty m:val="p"/>
                    </m:rPr>
                    <w:rPr>
                      <w:rFonts w:ascii="Cambria Math" w:hAnsi="Cambria Math"/>
                    </w:rPr>
                    <m:t>Pr</m:t>
                  </m:r>
                </m:fName>
                <m:e>
                  <m:d>
                    <m:dPr>
                      <m:ctrlPr>
                        <w:rPr>
                          <w:rFonts w:ascii="Cambria Math" w:hAnsi="Cambria Math"/>
                          <w:i/>
                        </w:rPr>
                      </m:ctrlPr>
                    </m:dPr>
                    <m:e>
                      <m:r>
                        <w:rPr>
                          <w:rFonts w:ascii="Cambria Math" w:hAnsi="Cambria Math"/>
                        </w:rPr>
                        <m:t>Z=1|X</m:t>
                      </m:r>
                      <m:r>
                        <w:rPr>
                          <w:rFonts w:ascii="Cambria Math" w:hAnsi="Cambria Math"/>
                        </w:rPr>
                        <m:t>,R</m:t>
                      </m:r>
                    </m:e>
                  </m:d>
                </m:e>
              </m:func>
              <m:r>
                <w:rPr>
                  <w:rFonts w:ascii="Cambria Math" w:hAnsi="Cambria Math"/>
                </w:rPr>
                <m:t xml:space="preserve"> </m:t>
              </m:r>
            </m:e>
          </m:d>
          <m:r>
            <w:rPr>
              <w:rFonts w:ascii="Cambria Math" w:eastAsia="Cambria Math" w:hAnsi="Cambria Math"/>
              <w:sz w:val="24"/>
              <w:szCs w:val="24"/>
            </w:rPr>
            <m:t>=</m:t>
          </m:r>
          <m:sSub>
            <m:sSubPr>
              <m:ctrlPr>
                <w:rPr>
                  <w:rFonts w:ascii="Cambria Math" w:eastAsia="Cambria Math" w:hAnsi="Cambria Math"/>
                  <w:sz w:val="24"/>
                  <w:szCs w:val="24"/>
                </w:rPr>
              </m:ctrlPr>
            </m:sSubPr>
            <m:e>
              <m:r>
                <w:rPr>
                  <w:rFonts w:ascii="Cambria Math" w:eastAsia="Cambria Math" w:hAnsi="Cambria Math"/>
                  <w:sz w:val="24"/>
                  <w:szCs w:val="24"/>
                </w:rPr>
                <m:t>β</m:t>
              </m:r>
            </m:e>
            <m:sub>
              <m:r>
                <w:rPr>
                  <w:rFonts w:ascii="Cambria Math" w:eastAsia="Cambria Math" w:hAnsi="Cambria Math"/>
                  <w:sz w:val="24"/>
                  <w:szCs w:val="24"/>
                </w:rPr>
                <m:t>0</m:t>
              </m:r>
            </m:sub>
          </m:sSub>
          <m:r>
            <w:rPr>
              <w:rFonts w:ascii="Cambria Math" w:eastAsia="Cambria Math" w:hAnsi="Cambria Math"/>
              <w:sz w:val="24"/>
              <w:szCs w:val="24"/>
            </w:rPr>
            <m:t>+β</m:t>
          </m:r>
          <m:sSub>
            <m:sSubPr>
              <m:ctrlPr>
                <w:rPr>
                  <w:rFonts w:ascii="Cambria Math" w:eastAsia="Cambria Math" w:hAnsi="Cambria Math"/>
                  <w:sz w:val="24"/>
                  <w:szCs w:val="24"/>
                </w:rPr>
              </m:ctrlPr>
            </m:sSubPr>
            <m:e>
              <m:r>
                <w:rPr>
                  <w:rFonts w:ascii="Cambria Math" w:eastAsia="Cambria Math" w:hAnsi="Cambria Math"/>
                  <w:sz w:val="24"/>
                  <w:szCs w:val="24"/>
                </w:rPr>
                <m:t>X</m:t>
              </m:r>
            </m:e>
            <m:sub>
              <m:r>
                <w:rPr>
                  <w:rFonts w:ascii="Cambria Math" w:eastAsia="Cambria Math" w:hAnsi="Cambria Math"/>
                  <w:sz w:val="24"/>
                  <w:szCs w:val="24"/>
                </w:rPr>
                <m:t>i</m:t>
              </m:r>
            </m:sub>
          </m:sSub>
          <m:r>
            <w:rPr>
              <w:rFonts w:ascii="Cambria Math" w:eastAsia="Cambria Math" w:hAnsi="Cambria Math"/>
              <w:sz w:val="24"/>
              <w:szCs w:val="24"/>
            </w:rPr>
            <m:t>+δ(1-R)</m:t>
          </m:r>
        </m:oMath>
      </m:oMathPara>
    </w:p>
    <w:p w14:paraId="33CA4664" w14:textId="77777777" w:rsidR="00CD7491" w:rsidRPr="003A3035" w:rsidRDefault="00CD7491" w:rsidP="00CD7491">
      <w:pPr>
        <w:pBdr>
          <w:top w:val="nil"/>
          <w:left w:val="nil"/>
          <w:bottom w:val="nil"/>
          <w:right w:val="nil"/>
          <w:between w:val="nil"/>
        </w:pBdr>
        <w:spacing w:line="240" w:lineRule="auto"/>
        <w:rPr>
          <w:rFonts w:eastAsia="Arial"/>
          <w:sz w:val="20"/>
          <w:szCs w:val="20"/>
        </w:rPr>
      </w:pPr>
    </w:p>
    <w:p w14:paraId="71FB4237" w14:textId="7619B2C5" w:rsidR="00CD7491" w:rsidRPr="003A3035" w:rsidRDefault="00CD7491" w:rsidP="00CD7491">
      <w:r w:rsidRPr="003A3035">
        <w:t xml:space="preserve">With </w:t>
      </w:r>
      <m:oMath>
        <m:r>
          <w:rPr>
            <w:rFonts w:ascii="Cambria Math" w:eastAsia="Cambria Math" w:hAnsi="Cambria Math"/>
          </w:rPr>
          <m:t>X</m:t>
        </m:r>
      </m:oMath>
      <w:r w:rsidRPr="003A3035">
        <w:t xml:space="preserve"> being the covariables and R a dichotomous variable that equals 1 if </w:t>
      </w:r>
      <m:oMath>
        <m:r>
          <w:rPr>
            <w:rFonts w:ascii="Cambria Math" w:eastAsia="Cambria Math" w:hAnsi="Cambria Math"/>
          </w:rPr>
          <m:t>Z</m:t>
        </m:r>
      </m:oMath>
      <w:r w:rsidRPr="003A3035">
        <w:t xml:space="preserve"> is observed and 0 if </w:t>
      </w:r>
      <m:oMath>
        <m:r>
          <w:rPr>
            <w:rFonts w:ascii="Cambria Math" w:eastAsia="Cambria Math" w:hAnsi="Cambria Math"/>
          </w:rPr>
          <m:t>Z</m:t>
        </m:r>
      </m:oMath>
      <w:r w:rsidRPr="003A3035">
        <w:t xml:space="preserve"> is missing. If </w:t>
      </w:r>
      <m:oMath>
        <m:r>
          <w:rPr>
            <w:rFonts w:ascii="Cambria Math" w:hAnsi="Cambria Math"/>
          </w:rPr>
          <m:t>δ</m:t>
        </m:r>
        <m:r>
          <w:rPr>
            <w:rFonts w:ascii="Cambria Math" w:eastAsia="Cambria Math" w:hAnsi="Cambria Math"/>
          </w:rPr>
          <m:t>=0</m:t>
        </m:r>
      </m:oMath>
      <w:r w:rsidRPr="003A3035">
        <w:t xml:space="preserve">, given the fully observed data, the mechanism causing the missing data of </w:t>
      </w:r>
      <m:oMath>
        <m:r>
          <w:rPr>
            <w:rFonts w:ascii="Cambria Math" w:eastAsia="Cambria Math" w:hAnsi="Cambria Math"/>
          </w:rPr>
          <m:t>Z</m:t>
        </m:r>
      </m:oMath>
      <w:r w:rsidRPr="003A3035">
        <w:t xml:space="preserve"> does not depend on </w:t>
      </w:r>
      <m:oMath>
        <m:r>
          <w:rPr>
            <w:rFonts w:ascii="Cambria Math" w:eastAsia="Cambria Math" w:hAnsi="Cambria Math"/>
          </w:rPr>
          <m:t>Z</m:t>
        </m:r>
      </m:oMath>
      <w:r w:rsidRPr="003A3035">
        <w:t xml:space="preserve">, meaning the mechanism is MAR. However, if </w:t>
      </w:r>
      <m:oMath>
        <m:r>
          <w:rPr>
            <w:rFonts w:ascii="Cambria Math" w:hAnsi="Cambria Math"/>
          </w:rPr>
          <m:t>δ</m:t>
        </m:r>
        <m:r>
          <w:rPr>
            <w:rFonts w:ascii="Cambria Math" w:eastAsia="Cambria Math" w:hAnsi="Cambria Math"/>
          </w:rPr>
          <m:t>≠0</m:t>
        </m:r>
      </m:oMath>
      <w:r w:rsidRPr="003A3035">
        <w:t xml:space="preserve">, the missingness mechanism depends on the missing </w:t>
      </w:r>
      <m:oMath>
        <m:r>
          <w:rPr>
            <w:rFonts w:ascii="Cambria Math" w:eastAsia="Cambria Math" w:hAnsi="Cambria Math"/>
          </w:rPr>
          <m:t>Z</m:t>
        </m:r>
      </m:oMath>
      <w:r w:rsidRPr="003A3035">
        <w:t xml:space="preserve">, meaning the mechanism is MNAR. In practice, the goal is to vary the value of </w:t>
      </w:r>
      <m:oMath>
        <m:r>
          <w:rPr>
            <w:rFonts w:ascii="Cambria Math" w:hAnsi="Cambria Math"/>
          </w:rPr>
          <m:t>δ</m:t>
        </m:r>
      </m:oMath>
      <w:r w:rsidRPr="003A3035">
        <w:t xml:space="preserve"> to assess the “tipping point” where the treatment outcome is no longer significant.</w:t>
      </w:r>
    </w:p>
    <w:p w14:paraId="4F283AA8" w14:textId="77777777" w:rsidR="00CD7491" w:rsidRPr="003A3035" w:rsidRDefault="00CD7491" w:rsidP="00CD7491"/>
    <w:p w14:paraId="555F107A" w14:textId="77777777" w:rsidR="00CD7491" w:rsidRPr="003A3035" w:rsidRDefault="00CD7491" w:rsidP="00CD7491">
      <w:r w:rsidRPr="003A3035">
        <w:t>Since the ECOG status is a variable with three levels (0,1,2), the corresponding imputation model under MNAR in our case is a multinomial model that can be written as a succession of logistic regressions:</w:t>
      </w:r>
    </w:p>
    <w:p w14:paraId="3B08032B" w14:textId="77777777" w:rsidR="00CD7491" w:rsidRPr="003A3035" w:rsidRDefault="00CD7491" w:rsidP="00CD7491">
      <w:pPr>
        <w:pBdr>
          <w:top w:val="nil"/>
          <w:left w:val="nil"/>
          <w:bottom w:val="nil"/>
          <w:right w:val="nil"/>
          <w:between w:val="nil"/>
        </w:pBdr>
        <w:spacing w:line="240" w:lineRule="auto"/>
        <w:rPr>
          <w:rFonts w:eastAsia="Arial"/>
          <w:sz w:val="20"/>
          <w:szCs w:val="20"/>
        </w:rPr>
      </w:pPr>
    </w:p>
    <w:p w14:paraId="3D6E6336" w14:textId="77777777" w:rsidR="00CD7491" w:rsidRPr="003A3035" w:rsidRDefault="00CD7491" w:rsidP="00CD7491">
      <w:pPr>
        <w:pBdr>
          <w:top w:val="nil"/>
          <w:left w:val="nil"/>
          <w:bottom w:val="nil"/>
          <w:right w:val="nil"/>
          <w:between w:val="nil"/>
        </w:pBdr>
        <w:spacing w:line="240" w:lineRule="auto"/>
        <w:rPr>
          <w:rFonts w:eastAsia="Arial"/>
          <w:sz w:val="20"/>
          <w:szCs w:val="20"/>
        </w:rPr>
      </w:pPr>
    </w:p>
    <w:p w14:paraId="4EE0D93F" w14:textId="77777777" w:rsidR="00CD7491" w:rsidRPr="003A3035" w:rsidRDefault="00CD7491" w:rsidP="00CD7491">
      <w:pPr>
        <w:jc w:val="center"/>
        <w:rPr>
          <w:rFonts w:eastAsia="Cambria Math"/>
          <w:sz w:val="24"/>
          <w:szCs w:val="24"/>
        </w:rPr>
      </w:pPr>
      <m:oMathPara>
        <m:oMath>
          <m:r>
            <w:rPr>
              <w:rFonts w:ascii="Cambria Math" w:eastAsia="Cambria Math" w:hAnsi="Cambria Math"/>
              <w:sz w:val="24"/>
              <w:szCs w:val="24"/>
            </w:rPr>
            <m:t>ln</m:t>
          </m:r>
          <m:f>
            <m:fPr>
              <m:ctrlPr>
                <w:rPr>
                  <w:rFonts w:ascii="Cambria Math" w:eastAsia="Cambria Math" w:hAnsi="Cambria Math"/>
                  <w:sz w:val="24"/>
                  <w:szCs w:val="24"/>
                </w:rPr>
              </m:ctrlPr>
            </m:fPr>
            <m:num>
              <m:r>
                <w:rPr>
                  <w:rFonts w:ascii="Cambria Math" w:eastAsia="Cambria Math" w:hAnsi="Cambria Math"/>
                  <w:sz w:val="24"/>
                  <w:szCs w:val="24"/>
                </w:rPr>
                <m:t>Pr⁡(ECOG=1)</m:t>
              </m:r>
            </m:num>
            <m:den>
              <m:r>
                <w:rPr>
                  <w:rFonts w:ascii="Cambria Math" w:eastAsia="Cambria Math" w:hAnsi="Cambria Math"/>
                  <w:sz w:val="24"/>
                  <w:szCs w:val="24"/>
                </w:rPr>
                <m:t>Pr⁡(ECOG=0)</m:t>
              </m:r>
            </m:den>
          </m:f>
          <m:r>
            <w:rPr>
              <w:rFonts w:ascii="Cambria Math" w:eastAsia="Cambria Math" w:hAnsi="Cambria Math"/>
              <w:sz w:val="24"/>
              <w:szCs w:val="24"/>
            </w:rPr>
            <m:t>=</m:t>
          </m:r>
          <m:sSub>
            <m:sSubPr>
              <m:ctrlPr>
                <w:rPr>
                  <w:rFonts w:ascii="Cambria Math" w:eastAsia="Cambria Math" w:hAnsi="Cambria Math"/>
                  <w:sz w:val="24"/>
                  <w:szCs w:val="24"/>
                </w:rPr>
              </m:ctrlPr>
            </m:sSubPr>
            <m:e>
              <m:r>
                <w:rPr>
                  <w:rFonts w:ascii="Cambria Math" w:eastAsia="Cambria Math" w:hAnsi="Cambria Math"/>
                  <w:sz w:val="24"/>
                  <w:szCs w:val="24"/>
                </w:rPr>
                <m:t>β</m:t>
              </m:r>
            </m:e>
            <m:sub>
              <m:r>
                <w:rPr>
                  <w:rFonts w:ascii="Cambria Math" w:eastAsia="Cambria Math" w:hAnsi="Cambria Math"/>
                  <w:sz w:val="24"/>
                  <w:szCs w:val="24"/>
                </w:rPr>
                <m:t>01</m:t>
              </m:r>
            </m:sub>
          </m:sSub>
          <m:r>
            <w:rPr>
              <w:rFonts w:ascii="Cambria Math" w:eastAsia="Cambria Math" w:hAnsi="Cambria Math"/>
              <w:sz w:val="24"/>
              <w:szCs w:val="24"/>
            </w:rPr>
            <m:t xml:space="preserve">+ </m:t>
          </m:r>
          <m:sSub>
            <m:sSubPr>
              <m:ctrlPr>
                <w:rPr>
                  <w:rFonts w:ascii="Cambria Math" w:eastAsia="Cambria Math" w:hAnsi="Cambria Math"/>
                  <w:sz w:val="24"/>
                  <w:szCs w:val="24"/>
                </w:rPr>
              </m:ctrlPr>
            </m:sSubPr>
            <m:e>
              <m:r>
                <w:rPr>
                  <w:rFonts w:ascii="Cambria Math" w:eastAsia="Cambria Math" w:hAnsi="Cambria Math"/>
                  <w:sz w:val="24"/>
                  <w:szCs w:val="24"/>
                </w:rPr>
                <m:t>β</m:t>
              </m:r>
            </m:e>
            <m:sub>
              <m:r>
                <w:rPr>
                  <w:rFonts w:ascii="Cambria Math" w:eastAsia="Cambria Math" w:hAnsi="Cambria Math"/>
                  <w:sz w:val="24"/>
                  <w:szCs w:val="24"/>
                </w:rPr>
                <m:t>11</m:t>
              </m:r>
            </m:sub>
          </m:sSub>
          <m:sSub>
            <m:sSubPr>
              <m:ctrlPr>
                <w:rPr>
                  <w:rFonts w:ascii="Cambria Math" w:eastAsia="Cambria Math" w:hAnsi="Cambria Math"/>
                  <w:sz w:val="24"/>
                  <w:szCs w:val="24"/>
                </w:rPr>
              </m:ctrlPr>
            </m:sSubPr>
            <m:e>
              <m:r>
                <w:rPr>
                  <w:rFonts w:ascii="Cambria Math" w:eastAsia="Cambria Math" w:hAnsi="Cambria Math"/>
                  <w:sz w:val="24"/>
                  <w:szCs w:val="24"/>
                </w:rPr>
                <m:t>X</m:t>
              </m:r>
            </m:e>
            <m:sub>
              <m:r>
                <w:rPr>
                  <w:rFonts w:ascii="Cambria Math" w:eastAsia="Cambria Math" w:hAnsi="Cambria Math"/>
                  <w:sz w:val="24"/>
                  <w:szCs w:val="24"/>
                </w:rPr>
                <m:t>1i</m:t>
              </m:r>
            </m:sub>
          </m:sSub>
          <m:r>
            <w:rPr>
              <w:rFonts w:ascii="Cambria Math" w:eastAsia="Cambria Math" w:hAnsi="Cambria Math"/>
              <w:sz w:val="24"/>
              <w:szCs w:val="24"/>
            </w:rPr>
            <m:t>+</m:t>
          </m:r>
          <m:sSub>
            <m:sSubPr>
              <m:ctrlPr>
                <w:rPr>
                  <w:rFonts w:ascii="Cambria Math" w:eastAsia="Cambria Math" w:hAnsi="Cambria Math"/>
                  <w:sz w:val="24"/>
                  <w:szCs w:val="24"/>
                </w:rPr>
              </m:ctrlPr>
            </m:sSubPr>
            <m:e>
              <m:r>
                <w:rPr>
                  <w:rFonts w:ascii="Cambria Math" w:eastAsia="Cambria Math" w:hAnsi="Cambria Math"/>
                  <w:sz w:val="24"/>
                  <w:szCs w:val="24"/>
                </w:rPr>
                <m:t>β</m:t>
              </m:r>
            </m:e>
            <m:sub>
              <m:r>
                <w:rPr>
                  <w:rFonts w:ascii="Cambria Math" w:eastAsia="Cambria Math" w:hAnsi="Cambria Math"/>
                  <w:sz w:val="24"/>
                  <w:szCs w:val="24"/>
                </w:rPr>
                <m:t>21</m:t>
              </m:r>
            </m:sub>
          </m:sSub>
          <m:sSub>
            <m:sSubPr>
              <m:ctrlPr>
                <w:rPr>
                  <w:rFonts w:ascii="Cambria Math" w:eastAsia="Cambria Math" w:hAnsi="Cambria Math"/>
                  <w:sz w:val="24"/>
                  <w:szCs w:val="24"/>
                </w:rPr>
              </m:ctrlPr>
            </m:sSubPr>
            <m:e>
              <m:r>
                <w:rPr>
                  <w:rFonts w:ascii="Cambria Math" w:eastAsia="Cambria Math" w:hAnsi="Cambria Math"/>
                  <w:sz w:val="24"/>
                  <w:szCs w:val="24"/>
                </w:rPr>
                <m:t>X</m:t>
              </m:r>
            </m:e>
            <m:sub>
              <m:r>
                <w:rPr>
                  <w:rFonts w:ascii="Cambria Math" w:eastAsia="Cambria Math" w:hAnsi="Cambria Math"/>
                  <w:sz w:val="24"/>
                  <w:szCs w:val="24"/>
                </w:rPr>
                <m:t>2i</m:t>
              </m:r>
            </m:sub>
          </m:sSub>
          <m:r>
            <w:rPr>
              <w:rFonts w:ascii="Cambria Math" w:eastAsia="Cambria Math" w:hAnsi="Cambria Math"/>
              <w:sz w:val="24"/>
              <w:szCs w:val="24"/>
            </w:rPr>
            <m:t xml:space="preserve"> + …+ </m:t>
          </m:r>
          <m:sSub>
            <m:sSubPr>
              <m:ctrlPr>
                <w:rPr>
                  <w:rFonts w:ascii="Cambria Math" w:eastAsia="Cambria Math" w:hAnsi="Cambria Math"/>
                  <w:sz w:val="24"/>
                  <w:szCs w:val="24"/>
                </w:rPr>
              </m:ctrlPr>
            </m:sSubPr>
            <m:e>
              <m:r>
                <w:rPr>
                  <w:rFonts w:ascii="Cambria Math" w:eastAsia="Cambria Math" w:hAnsi="Cambria Math"/>
                  <w:sz w:val="24"/>
                  <w:szCs w:val="24"/>
                </w:rPr>
                <m:t>β</m:t>
              </m:r>
            </m:e>
            <m:sub>
              <m:r>
                <w:rPr>
                  <w:rFonts w:ascii="Cambria Math" w:eastAsia="Cambria Math" w:hAnsi="Cambria Math"/>
                  <w:sz w:val="24"/>
                  <w:szCs w:val="24"/>
                </w:rPr>
                <m:t>p1</m:t>
              </m:r>
            </m:sub>
          </m:sSub>
          <m:sSub>
            <m:sSubPr>
              <m:ctrlPr>
                <w:rPr>
                  <w:rFonts w:ascii="Cambria Math" w:eastAsia="Cambria Math" w:hAnsi="Cambria Math"/>
                  <w:sz w:val="24"/>
                  <w:szCs w:val="24"/>
                </w:rPr>
              </m:ctrlPr>
            </m:sSubPr>
            <m:e>
              <m:r>
                <w:rPr>
                  <w:rFonts w:ascii="Cambria Math" w:eastAsia="Cambria Math" w:hAnsi="Cambria Math"/>
                  <w:sz w:val="24"/>
                  <w:szCs w:val="24"/>
                </w:rPr>
                <m:t>X</m:t>
              </m:r>
            </m:e>
            <m:sub>
              <m:r>
                <w:rPr>
                  <w:rFonts w:ascii="Cambria Math" w:eastAsia="Cambria Math" w:hAnsi="Cambria Math"/>
                  <w:sz w:val="24"/>
                  <w:szCs w:val="24"/>
                </w:rPr>
                <m:t>pi</m:t>
              </m:r>
            </m:sub>
          </m:sSub>
          <m:r>
            <w:rPr>
              <w:rFonts w:ascii="Cambria Math" w:eastAsia="Cambria Math" w:hAnsi="Cambria Math"/>
              <w:sz w:val="24"/>
              <w:szCs w:val="24"/>
            </w:rPr>
            <m:t xml:space="preserve">+ </m:t>
          </m:r>
          <m:sSub>
            <m:sSubPr>
              <m:ctrlPr>
                <w:rPr>
                  <w:rFonts w:ascii="Cambria Math" w:eastAsia="Cambria Math" w:hAnsi="Cambria Math"/>
                  <w:sz w:val="24"/>
                  <w:szCs w:val="24"/>
                </w:rPr>
              </m:ctrlPr>
            </m:sSubPr>
            <m:e>
              <m:r>
                <w:rPr>
                  <w:rFonts w:ascii="Cambria Math" w:eastAsia="Cambria Math" w:hAnsi="Cambria Math"/>
                  <w:sz w:val="24"/>
                  <w:szCs w:val="24"/>
                </w:rPr>
                <m:t>δ</m:t>
              </m:r>
            </m:e>
            <m:sub>
              <m:r>
                <w:rPr>
                  <w:rFonts w:ascii="Cambria Math" w:eastAsia="Cambria Math" w:hAnsi="Cambria Math"/>
                  <w:sz w:val="24"/>
                  <w:szCs w:val="24"/>
                </w:rPr>
                <m:t>1</m:t>
              </m:r>
            </m:sub>
          </m:sSub>
          <m:r>
            <w:rPr>
              <w:rFonts w:ascii="Cambria Math" w:eastAsia="Cambria Math" w:hAnsi="Cambria Math"/>
              <w:sz w:val="24"/>
              <w:szCs w:val="24"/>
            </w:rPr>
            <m:t>(1-</m:t>
          </m:r>
          <m:sSub>
            <m:sSubPr>
              <m:ctrlPr>
                <w:rPr>
                  <w:rFonts w:ascii="Cambria Math" w:eastAsia="Cambria Math" w:hAnsi="Cambria Math"/>
                  <w:sz w:val="24"/>
                  <w:szCs w:val="24"/>
                </w:rPr>
              </m:ctrlPr>
            </m:sSubPr>
            <m:e>
              <m:r>
                <w:rPr>
                  <w:rFonts w:ascii="Cambria Math" w:eastAsia="Cambria Math" w:hAnsi="Cambria Math"/>
                  <w:sz w:val="24"/>
                  <w:szCs w:val="24"/>
                </w:rPr>
                <m:t>R</m:t>
              </m:r>
            </m:e>
            <m:sub>
              <m:r>
                <w:rPr>
                  <w:rFonts w:ascii="Cambria Math" w:eastAsia="Cambria Math" w:hAnsi="Cambria Math"/>
                  <w:sz w:val="24"/>
                  <w:szCs w:val="24"/>
                </w:rPr>
                <m:t>i</m:t>
              </m:r>
            </m:sub>
          </m:sSub>
          <m:r>
            <w:rPr>
              <w:rFonts w:ascii="Cambria Math" w:eastAsia="Cambria Math" w:hAnsi="Cambria Math"/>
              <w:sz w:val="24"/>
              <w:szCs w:val="24"/>
            </w:rPr>
            <m:t>)</m:t>
          </m:r>
        </m:oMath>
      </m:oMathPara>
    </w:p>
    <w:p w14:paraId="22FB1C6E" w14:textId="77777777" w:rsidR="00CD7491" w:rsidRPr="003A3035" w:rsidRDefault="00CD7491" w:rsidP="00CD7491">
      <w:pPr>
        <w:pBdr>
          <w:top w:val="nil"/>
          <w:left w:val="nil"/>
          <w:bottom w:val="nil"/>
          <w:right w:val="nil"/>
          <w:between w:val="nil"/>
        </w:pBdr>
        <w:spacing w:line="240" w:lineRule="auto"/>
        <w:rPr>
          <w:rFonts w:eastAsia="Arial"/>
          <w:sz w:val="24"/>
          <w:szCs w:val="24"/>
        </w:rPr>
      </w:pPr>
    </w:p>
    <w:p w14:paraId="167E79EF" w14:textId="77777777" w:rsidR="00CD7491" w:rsidRPr="003A3035" w:rsidRDefault="00CD7491" w:rsidP="00CD7491">
      <w:pPr>
        <w:jc w:val="center"/>
        <w:rPr>
          <w:rFonts w:eastAsia="Cambria Math"/>
          <w:sz w:val="24"/>
          <w:szCs w:val="24"/>
        </w:rPr>
      </w:pPr>
      <m:oMathPara>
        <m:oMath>
          <m:r>
            <w:rPr>
              <w:rFonts w:ascii="Cambria Math" w:eastAsia="Cambria Math" w:hAnsi="Cambria Math"/>
              <w:sz w:val="24"/>
              <w:szCs w:val="24"/>
            </w:rPr>
            <m:t>ln</m:t>
          </m:r>
          <m:f>
            <m:fPr>
              <m:ctrlPr>
                <w:rPr>
                  <w:rFonts w:ascii="Cambria Math" w:eastAsia="Cambria Math" w:hAnsi="Cambria Math"/>
                  <w:sz w:val="24"/>
                  <w:szCs w:val="24"/>
                </w:rPr>
              </m:ctrlPr>
            </m:fPr>
            <m:num>
              <m:r>
                <w:rPr>
                  <w:rFonts w:ascii="Cambria Math" w:eastAsia="Cambria Math" w:hAnsi="Cambria Math"/>
                  <w:sz w:val="24"/>
                  <w:szCs w:val="24"/>
                </w:rPr>
                <m:t>Pr⁡(ECOG=2)</m:t>
              </m:r>
            </m:num>
            <m:den>
              <m:r>
                <w:rPr>
                  <w:rFonts w:ascii="Cambria Math" w:eastAsia="Cambria Math" w:hAnsi="Cambria Math"/>
                  <w:sz w:val="24"/>
                  <w:szCs w:val="24"/>
                </w:rPr>
                <m:t>Pr⁡(ECOG=0)</m:t>
              </m:r>
            </m:den>
          </m:f>
          <m:r>
            <w:rPr>
              <w:rFonts w:ascii="Cambria Math" w:eastAsia="Cambria Math" w:hAnsi="Cambria Math"/>
              <w:sz w:val="24"/>
              <w:szCs w:val="24"/>
            </w:rPr>
            <m:t>=</m:t>
          </m:r>
          <m:sSub>
            <m:sSubPr>
              <m:ctrlPr>
                <w:rPr>
                  <w:rFonts w:ascii="Cambria Math" w:eastAsia="Cambria Math" w:hAnsi="Cambria Math"/>
                  <w:sz w:val="24"/>
                  <w:szCs w:val="24"/>
                </w:rPr>
              </m:ctrlPr>
            </m:sSubPr>
            <m:e>
              <m:r>
                <w:rPr>
                  <w:rFonts w:ascii="Cambria Math" w:eastAsia="Cambria Math" w:hAnsi="Cambria Math"/>
                  <w:sz w:val="24"/>
                  <w:szCs w:val="24"/>
                </w:rPr>
                <m:t>β</m:t>
              </m:r>
            </m:e>
            <m:sub>
              <m:r>
                <w:rPr>
                  <w:rFonts w:ascii="Cambria Math" w:eastAsia="Cambria Math" w:hAnsi="Cambria Math"/>
                  <w:sz w:val="24"/>
                  <w:szCs w:val="24"/>
                </w:rPr>
                <m:t>02</m:t>
              </m:r>
            </m:sub>
          </m:sSub>
          <m:r>
            <w:rPr>
              <w:rFonts w:ascii="Cambria Math" w:eastAsia="Cambria Math" w:hAnsi="Cambria Math"/>
              <w:sz w:val="24"/>
              <w:szCs w:val="24"/>
            </w:rPr>
            <m:t xml:space="preserve">+ </m:t>
          </m:r>
          <m:sSub>
            <m:sSubPr>
              <m:ctrlPr>
                <w:rPr>
                  <w:rFonts w:ascii="Cambria Math" w:eastAsia="Cambria Math" w:hAnsi="Cambria Math"/>
                  <w:sz w:val="24"/>
                  <w:szCs w:val="24"/>
                </w:rPr>
              </m:ctrlPr>
            </m:sSubPr>
            <m:e>
              <m:r>
                <w:rPr>
                  <w:rFonts w:ascii="Cambria Math" w:eastAsia="Cambria Math" w:hAnsi="Cambria Math"/>
                  <w:sz w:val="24"/>
                  <w:szCs w:val="24"/>
                </w:rPr>
                <m:t>β</m:t>
              </m:r>
            </m:e>
            <m:sub>
              <m:r>
                <w:rPr>
                  <w:rFonts w:ascii="Cambria Math" w:eastAsia="Cambria Math" w:hAnsi="Cambria Math"/>
                  <w:sz w:val="24"/>
                  <w:szCs w:val="24"/>
                </w:rPr>
                <m:t>12</m:t>
              </m:r>
            </m:sub>
          </m:sSub>
          <m:sSub>
            <m:sSubPr>
              <m:ctrlPr>
                <w:rPr>
                  <w:rFonts w:ascii="Cambria Math" w:eastAsia="Cambria Math" w:hAnsi="Cambria Math"/>
                  <w:sz w:val="24"/>
                  <w:szCs w:val="24"/>
                </w:rPr>
              </m:ctrlPr>
            </m:sSubPr>
            <m:e>
              <m:r>
                <w:rPr>
                  <w:rFonts w:ascii="Cambria Math" w:eastAsia="Cambria Math" w:hAnsi="Cambria Math"/>
                  <w:sz w:val="24"/>
                  <w:szCs w:val="24"/>
                </w:rPr>
                <m:t>X</m:t>
              </m:r>
            </m:e>
            <m:sub>
              <m:r>
                <w:rPr>
                  <w:rFonts w:ascii="Cambria Math" w:eastAsia="Cambria Math" w:hAnsi="Cambria Math"/>
                  <w:sz w:val="24"/>
                  <w:szCs w:val="24"/>
                </w:rPr>
                <m:t>1i</m:t>
              </m:r>
            </m:sub>
          </m:sSub>
          <m:r>
            <w:rPr>
              <w:rFonts w:ascii="Cambria Math" w:eastAsia="Cambria Math" w:hAnsi="Cambria Math"/>
              <w:sz w:val="24"/>
              <w:szCs w:val="24"/>
            </w:rPr>
            <m:t>+</m:t>
          </m:r>
          <m:sSub>
            <m:sSubPr>
              <m:ctrlPr>
                <w:rPr>
                  <w:rFonts w:ascii="Cambria Math" w:eastAsia="Cambria Math" w:hAnsi="Cambria Math"/>
                  <w:sz w:val="24"/>
                  <w:szCs w:val="24"/>
                </w:rPr>
              </m:ctrlPr>
            </m:sSubPr>
            <m:e>
              <m:r>
                <w:rPr>
                  <w:rFonts w:ascii="Cambria Math" w:eastAsia="Cambria Math" w:hAnsi="Cambria Math"/>
                  <w:sz w:val="24"/>
                  <w:szCs w:val="24"/>
                </w:rPr>
                <m:t>β</m:t>
              </m:r>
            </m:e>
            <m:sub>
              <m:r>
                <w:rPr>
                  <w:rFonts w:ascii="Cambria Math" w:eastAsia="Cambria Math" w:hAnsi="Cambria Math"/>
                  <w:sz w:val="24"/>
                  <w:szCs w:val="24"/>
                </w:rPr>
                <m:t>22</m:t>
              </m:r>
            </m:sub>
          </m:sSub>
          <m:sSub>
            <m:sSubPr>
              <m:ctrlPr>
                <w:rPr>
                  <w:rFonts w:ascii="Cambria Math" w:eastAsia="Cambria Math" w:hAnsi="Cambria Math"/>
                  <w:sz w:val="24"/>
                  <w:szCs w:val="24"/>
                </w:rPr>
              </m:ctrlPr>
            </m:sSubPr>
            <m:e>
              <m:r>
                <w:rPr>
                  <w:rFonts w:ascii="Cambria Math" w:eastAsia="Cambria Math" w:hAnsi="Cambria Math"/>
                  <w:sz w:val="24"/>
                  <w:szCs w:val="24"/>
                </w:rPr>
                <m:t>X</m:t>
              </m:r>
            </m:e>
            <m:sub>
              <m:r>
                <w:rPr>
                  <w:rFonts w:ascii="Cambria Math" w:eastAsia="Cambria Math" w:hAnsi="Cambria Math"/>
                  <w:sz w:val="24"/>
                  <w:szCs w:val="24"/>
                </w:rPr>
                <m:t>2i</m:t>
              </m:r>
            </m:sub>
          </m:sSub>
          <m:r>
            <w:rPr>
              <w:rFonts w:ascii="Cambria Math" w:eastAsia="Cambria Math" w:hAnsi="Cambria Math"/>
              <w:sz w:val="24"/>
              <w:szCs w:val="24"/>
            </w:rPr>
            <m:t xml:space="preserve"> + …+ </m:t>
          </m:r>
          <m:sSub>
            <m:sSubPr>
              <m:ctrlPr>
                <w:rPr>
                  <w:rFonts w:ascii="Cambria Math" w:eastAsia="Cambria Math" w:hAnsi="Cambria Math"/>
                  <w:sz w:val="24"/>
                  <w:szCs w:val="24"/>
                </w:rPr>
              </m:ctrlPr>
            </m:sSubPr>
            <m:e>
              <m:r>
                <w:rPr>
                  <w:rFonts w:ascii="Cambria Math" w:eastAsia="Cambria Math" w:hAnsi="Cambria Math"/>
                  <w:sz w:val="24"/>
                  <w:szCs w:val="24"/>
                </w:rPr>
                <m:t>β</m:t>
              </m:r>
            </m:e>
            <m:sub>
              <m:r>
                <w:rPr>
                  <w:rFonts w:ascii="Cambria Math" w:eastAsia="Cambria Math" w:hAnsi="Cambria Math"/>
                  <w:sz w:val="24"/>
                  <w:szCs w:val="24"/>
                </w:rPr>
                <m:t>p2</m:t>
              </m:r>
            </m:sub>
          </m:sSub>
          <m:sSub>
            <m:sSubPr>
              <m:ctrlPr>
                <w:rPr>
                  <w:rFonts w:ascii="Cambria Math" w:eastAsia="Cambria Math" w:hAnsi="Cambria Math"/>
                  <w:sz w:val="24"/>
                  <w:szCs w:val="24"/>
                </w:rPr>
              </m:ctrlPr>
            </m:sSubPr>
            <m:e>
              <m:r>
                <w:rPr>
                  <w:rFonts w:ascii="Cambria Math" w:eastAsia="Cambria Math" w:hAnsi="Cambria Math"/>
                  <w:sz w:val="24"/>
                  <w:szCs w:val="24"/>
                </w:rPr>
                <m:t>X</m:t>
              </m:r>
            </m:e>
            <m:sub>
              <m:r>
                <w:rPr>
                  <w:rFonts w:ascii="Cambria Math" w:eastAsia="Cambria Math" w:hAnsi="Cambria Math"/>
                  <w:sz w:val="24"/>
                  <w:szCs w:val="24"/>
                </w:rPr>
                <m:t>pi</m:t>
              </m:r>
            </m:sub>
          </m:sSub>
          <m:r>
            <w:rPr>
              <w:rFonts w:ascii="Cambria Math" w:eastAsia="Cambria Math" w:hAnsi="Cambria Math"/>
              <w:sz w:val="24"/>
              <w:szCs w:val="24"/>
            </w:rPr>
            <m:t xml:space="preserve">+ </m:t>
          </m:r>
          <m:sSub>
            <m:sSubPr>
              <m:ctrlPr>
                <w:rPr>
                  <w:rFonts w:ascii="Cambria Math" w:eastAsia="Cambria Math" w:hAnsi="Cambria Math"/>
                  <w:sz w:val="24"/>
                  <w:szCs w:val="24"/>
                </w:rPr>
              </m:ctrlPr>
            </m:sSubPr>
            <m:e>
              <m:r>
                <w:rPr>
                  <w:rFonts w:ascii="Cambria Math" w:eastAsia="Cambria Math" w:hAnsi="Cambria Math"/>
                  <w:sz w:val="24"/>
                  <w:szCs w:val="24"/>
                </w:rPr>
                <m:t>δ</m:t>
              </m:r>
            </m:e>
            <m:sub>
              <m:r>
                <w:rPr>
                  <w:rFonts w:ascii="Cambria Math" w:eastAsia="Cambria Math" w:hAnsi="Cambria Math"/>
                  <w:sz w:val="24"/>
                  <w:szCs w:val="24"/>
                </w:rPr>
                <m:t>2</m:t>
              </m:r>
            </m:sub>
          </m:sSub>
          <m:r>
            <w:rPr>
              <w:rFonts w:ascii="Cambria Math" w:eastAsia="Cambria Math" w:hAnsi="Cambria Math"/>
              <w:sz w:val="24"/>
              <w:szCs w:val="24"/>
            </w:rPr>
            <m:t>(1-</m:t>
          </m:r>
          <m:sSub>
            <m:sSubPr>
              <m:ctrlPr>
                <w:rPr>
                  <w:rFonts w:ascii="Cambria Math" w:eastAsia="Cambria Math" w:hAnsi="Cambria Math"/>
                  <w:sz w:val="24"/>
                  <w:szCs w:val="24"/>
                </w:rPr>
              </m:ctrlPr>
            </m:sSubPr>
            <m:e>
              <m:r>
                <w:rPr>
                  <w:rFonts w:ascii="Cambria Math" w:eastAsia="Cambria Math" w:hAnsi="Cambria Math"/>
                  <w:sz w:val="24"/>
                  <w:szCs w:val="24"/>
                </w:rPr>
                <m:t>R</m:t>
              </m:r>
            </m:e>
            <m:sub>
              <m:r>
                <w:rPr>
                  <w:rFonts w:ascii="Cambria Math" w:eastAsia="Cambria Math" w:hAnsi="Cambria Math"/>
                  <w:sz w:val="24"/>
                  <w:szCs w:val="24"/>
                </w:rPr>
                <m:t>i</m:t>
              </m:r>
            </m:sub>
          </m:sSub>
          <m:r>
            <w:rPr>
              <w:rFonts w:ascii="Cambria Math" w:eastAsia="Cambria Math" w:hAnsi="Cambria Math"/>
              <w:sz w:val="24"/>
              <w:szCs w:val="24"/>
            </w:rPr>
            <m:t>)</m:t>
          </m:r>
        </m:oMath>
      </m:oMathPara>
    </w:p>
    <w:p w14:paraId="0D1894BA" w14:textId="77777777" w:rsidR="00CD7491" w:rsidRPr="003A3035" w:rsidRDefault="00CD7491" w:rsidP="00CD7491">
      <w:pPr>
        <w:pBdr>
          <w:top w:val="nil"/>
          <w:left w:val="nil"/>
          <w:bottom w:val="nil"/>
          <w:right w:val="nil"/>
          <w:between w:val="nil"/>
        </w:pBdr>
        <w:spacing w:line="240" w:lineRule="auto"/>
        <w:rPr>
          <w:rFonts w:eastAsia="Arial"/>
          <w:sz w:val="24"/>
          <w:szCs w:val="24"/>
        </w:rPr>
      </w:pPr>
    </w:p>
    <w:p w14:paraId="030E6151" w14:textId="77777777" w:rsidR="00CD7491" w:rsidRPr="003A3035" w:rsidRDefault="00CD7491" w:rsidP="00CD7491">
      <w:pPr>
        <w:pBdr>
          <w:top w:val="nil"/>
          <w:left w:val="nil"/>
          <w:bottom w:val="nil"/>
          <w:right w:val="nil"/>
          <w:between w:val="nil"/>
        </w:pBdr>
        <w:spacing w:line="240" w:lineRule="auto"/>
        <w:rPr>
          <w:rFonts w:eastAsia="Arial"/>
          <w:sz w:val="20"/>
          <w:szCs w:val="20"/>
        </w:rPr>
      </w:pPr>
      <w:r w:rsidRPr="003A3035">
        <w:t xml:space="preserve">With </w:t>
      </w:r>
      <w:r w:rsidRPr="003A3035">
        <w:rPr>
          <w:rFonts w:eastAsia="Arial"/>
          <w:sz w:val="20"/>
          <w:szCs w:val="20"/>
        </w:rPr>
        <w:t xml:space="preserve"> </w:t>
      </w:r>
      <m:oMath>
        <m:sSub>
          <m:sSubPr>
            <m:ctrlPr>
              <w:rPr>
                <w:rFonts w:ascii="Cambria Math" w:eastAsia="Cambria Math" w:hAnsi="Cambria Math"/>
                <w:sz w:val="20"/>
                <w:szCs w:val="20"/>
              </w:rPr>
            </m:ctrlPr>
          </m:sSubPr>
          <m:e>
            <m:r>
              <w:rPr>
                <w:rFonts w:ascii="Cambria Math" w:hAnsi="Cambria Math"/>
              </w:rPr>
              <m:t>δ</m:t>
            </m:r>
          </m:e>
          <m:sub>
            <m:r>
              <w:rPr>
                <w:rFonts w:ascii="Cambria Math" w:eastAsia="Cambria Math" w:hAnsi="Cambria Math"/>
                <w:sz w:val="20"/>
                <w:szCs w:val="20"/>
              </w:rPr>
              <m:t>2</m:t>
            </m:r>
          </m:sub>
        </m:sSub>
        <m:r>
          <w:rPr>
            <w:rFonts w:ascii="Cambria Math" w:eastAsia="Cambria Math" w:hAnsi="Cambria Math"/>
            <w:sz w:val="20"/>
            <w:szCs w:val="20"/>
          </w:rPr>
          <m:t>=2*</m:t>
        </m:r>
        <m:sSub>
          <m:sSubPr>
            <m:ctrlPr>
              <w:rPr>
                <w:rFonts w:ascii="Cambria Math" w:eastAsia="Cambria Math" w:hAnsi="Cambria Math"/>
                <w:sz w:val="20"/>
                <w:szCs w:val="20"/>
              </w:rPr>
            </m:ctrlPr>
          </m:sSubPr>
          <m:e>
            <m:r>
              <w:rPr>
                <w:rFonts w:ascii="Cambria Math" w:eastAsia="Cambria Math" w:hAnsi="Cambria Math"/>
                <w:sz w:val="20"/>
                <w:szCs w:val="20"/>
              </w:rPr>
              <m:t>δ</m:t>
            </m:r>
          </m:e>
          <m:sub>
            <m:r>
              <w:rPr>
                <w:rFonts w:ascii="Cambria Math" w:eastAsia="Cambria Math" w:hAnsi="Cambria Math"/>
                <w:sz w:val="20"/>
                <w:szCs w:val="20"/>
              </w:rPr>
              <m:t>1</m:t>
            </m:r>
          </m:sub>
        </m:sSub>
      </m:oMath>
      <w:r w:rsidRPr="003A3035">
        <w:rPr>
          <w:rFonts w:eastAsia="Arial"/>
          <w:sz w:val="20"/>
          <w:szCs w:val="20"/>
        </w:rPr>
        <w:t>.</w:t>
      </w:r>
    </w:p>
    <w:p w14:paraId="59B80750" w14:textId="77777777" w:rsidR="00CD7491" w:rsidRPr="003A3035" w:rsidRDefault="00CD7491" w:rsidP="00CD7491">
      <w:pPr>
        <w:pBdr>
          <w:top w:val="nil"/>
          <w:left w:val="nil"/>
          <w:bottom w:val="nil"/>
          <w:right w:val="nil"/>
          <w:between w:val="nil"/>
        </w:pBdr>
        <w:spacing w:line="240" w:lineRule="auto"/>
        <w:rPr>
          <w:rFonts w:eastAsia="Arial"/>
          <w:sz w:val="24"/>
          <w:szCs w:val="24"/>
        </w:rPr>
      </w:pPr>
    </w:p>
    <w:p w14:paraId="03FD6C53" w14:textId="77777777" w:rsidR="00CD7491" w:rsidRPr="003A3035" w:rsidRDefault="00CD7491" w:rsidP="00CD7491">
      <w:r w:rsidRPr="003A3035">
        <w:t>For the Smoking status, a logistic regression with delta adjustment  was used, as seen above.</w:t>
      </w:r>
    </w:p>
    <w:p w14:paraId="2C31519E" w14:textId="77777777" w:rsidR="00CD7491" w:rsidRPr="003A3035" w:rsidRDefault="00CD7491" w:rsidP="00CD7491"/>
    <w:p w14:paraId="7B14ED57" w14:textId="77777777" w:rsidR="00CD7491" w:rsidRPr="003A3035" w:rsidRDefault="00CD7491" w:rsidP="00CD7491">
      <w:pPr>
        <w:contextualSpacing w:val="0"/>
        <w:rPr>
          <w:rFonts w:eastAsiaTheme="majorEastAsia"/>
          <w:b/>
          <w:bCs/>
          <w:i/>
          <w:iCs/>
          <w:color w:val="auto"/>
        </w:rPr>
      </w:pPr>
      <w:r w:rsidRPr="003A3035">
        <w:br w:type="page"/>
      </w:r>
    </w:p>
    <w:p w14:paraId="6CE225BA" w14:textId="286A64B8" w:rsidR="00CD7491" w:rsidRPr="003A3035" w:rsidRDefault="00CD7491" w:rsidP="00CD7491">
      <w:pPr>
        <w:pStyle w:val="Titre1"/>
        <w:rPr>
          <w:rFonts w:ascii="Times New Roman" w:hAnsi="Times New Roman" w:cs="Times New Roman"/>
        </w:rPr>
      </w:pPr>
      <w:bookmarkStart w:id="14" w:name="_Toc180526680"/>
      <w:bookmarkStart w:id="15" w:name="_Toc181224699"/>
      <w:r w:rsidRPr="003A3035">
        <w:rPr>
          <w:rFonts w:ascii="Times New Roman" w:hAnsi="Times New Roman" w:cs="Times New Roman"/>
        </w:rPr>
        <w:lastRenderedPageBreak/>
        <w:t xml:space="preserve">Details on </w:t>
      </w:r>
      <w:bookmarkStart w:id="16" w:name="_Toc89418035"/>
      <w:r w:rsidRPr="003A3035">
        <w:rPr>
          <w:rFonts w:ascii="Times New Roman" w:hAnsi="Times New Roman" w:cs="Times New Roman"/>
        </w:rPr>
        <w:t>Handling missing data: multiple imputation</w:t>
      </w:r>
      <w:bookmarkEnd w:id="14"/>
      <w:bookmarkEnd w:id="15"/>
      <w:bookmarkEnd w:id="16"/>
    </w:p>
    <w:p w14:paraId="3ACE4BFA" w14:textId="77777777" w:rsidR="00CD7491" w:rsidRPr="003A3035" w:rsidRDefault="00CD7491" w:rsidP="008763BA">
      <w:pPr>
        <w:pStyle w:val="Titre4"/>
        <w:spacing w:line="240" w:lineRule="auto"/>
        <w:ind w:left="720"/>
        <w:rPr>
          <w:rFonts w:cs="Times New Roman"/>
          <w:b/>
          <w:bCs/>
          <w:i w:val="0"/>
          <w:iCs w:val="0"/>
        </w:rPr>
      </w:pPr>
      <w:r w:rsidRPr="003A3035">
        <w:rPr>
          <w:rFonts w:cs="Times New Roman"/>
          <w:b/>
          <w:bCs/>
          <w:i w:val="0"/>
          <w:iCs w:val="0"/>
        </w:rPr>
        <w:t>Assumption Check</w:t>
      </w:r>
    </w:p>
    <w:p w14:paraId="174595F5" w14:textId="77777777" w:rsidR="00CD7491" w:rsidRPr="003A3035" w:rsidRDefault="00CD7491" w:rsidP="00CD7491">
      <w:pPr>
        <w:autoSpaceDE w:val="0"/>
        <w:autoSpaceDN w:val="0"/>
        <w:adjustRightInd w:val="0"/>
        <w:spacing w:after="240" w:line="300" w:lineRule="exact"/>
      </w:pPr>
    </w:p>
    <w:p w14:paraId="63968D33" w14:textId="77777777" w:rsidR="00CD7491" w:rsidRPr="003A3035" w:rsidRDefault="00CD7491" w:rsidP="00CD7491">
      <w:pPr>
        <w:autoSpaceDE w:val="0"/>
        <w:autoSpaceDN w:val="0"/>
        <w:adjustRightInd w:val="0"/>
        <w:spacing w:after="240" w:line="300" w:lineRule="exact"/>
        <w:rPr>
          <w:sz w:val="20"/>
          <w:szCs w:val="20"/>
        </w:rPr>
      </w:pPr>
      <w:r w:rsidRPr="003A3035">
        <w:rPr>
          <w:sz w:val="20"/>
          <w:szCs w:val="20"/>
        </w:rPr>
        <w:t xml:space="preserve">Before setting up the multiple imputation, the mechanism of the missing data was investigated in the ESME cohort. </w:t>
      </w:r>
    </w:p>
    <w:p w14:paraId="21B3DC62" w14:textId="77777777" w:rsidR="00CD7491" w:rsidRPr="003A3035" w:rsidRDefault="00CD7491" w:rsidP="00CD7491">
      <w:pPr>
        <w:autoSpaceDE w:val="0"/>
        <w:autoSpaceDN w:val="0"/>
        <w:adjustRightInd w:val="0"/>
        <w:spacing w:after="240" w:line="300" w:lineRule="exact"/>
        <w:rPr>
          <w:sz w:val="20"/>
          <w:szCs w:val="20"/>
        </w:rPr>
      </w:pPr>
      <w:r w:rsidRPr="003A3035">
        <w:rPr>
          <w:sz w:val="20"/>
          <w:szCs w:val="20"/>
        </w:rPr>
        <w:t xml:space="preserve">Descriptive statistics and comparison between patients with no missing data and patients with missing data for smoking or ECOG performance status was performed. All p-values are superior to 5% for all prognostic variables planned to be included in the propensity score model, which confirms that no difference was detected between the two groups and leads us to consider the data as missing completely at random (MCAR). </w:t>
      </w:r>
    </w:p>
    <w:p w14:paraId="0C1A62F0" w14:textId="77777777" w:rsidR="00CD7491" w:rsidRPr="003A3035" w:rsidRDefault="00CD7491" w:rsidP="00CD7491">
      <w:pPr>
        <w:autoSpaceDE w:val="0"/>
        <w:autoSpaceDN w:val="0"/>
        <w:adjustRightInd w:val="0"/>
        <w:spacing w:after="240" w:line="300" w:lineRule="exact"/>
        <w:rPr>
          <w:sz w:val="20"/>
          <w:szCs w:val="20"/>
        </w:rPr>
      </w:pPr>
      <w:r w:rsidRPr="003A3035">
        <w:rPr>
          <w:sz w:val="20"/>
          <w:szCs w:val="20"/>
        </w:rPr>
        <w:t xml:space="preserve">This must be considered with caution, as sample sizes were small (14 vs 16) and no adjustment on test multiplicity. </w:t>
      </w:r>
    </w:p>
    <w:p w14:paraId="6B5241AA" w14:textId="77777777" w:rsidR="00CD7491" w:rsidRPr="003A3035" w:rsidRDefault="00CD7491" w:rsidP="00CD7491">
      <w:pPr>
        <w:autoSpaceDE w:val="0"/>
        <w:autoSpaceDN w:val="0"/>
        <w:adjustRightInd w:val="0"/>
        <w:spacing w:after="240" w:line="300" w:lineRule="exact"/>
        <w:rPr>
          <w:sz w:val="20"/>
          <w:szCs w:val="20"/>
        </w:rPr>
      </w:pPr>
      <w:r w:rsidRPr="003A3035">
        <w:rPr>
          <w:sz w:val="20"/>
          <w:szCs w:val="20"/>
        </w:rPr>
        <w:t xml:space="preserve">The Little’s test was also performed, where the null hypothesis is missing data are MCAR. The test gives a p-value of 0.478 which is superior to 5%. </w:t>
      </w:r>
    </w:p>
    <w:p w14:paraId="4DAE049A" w14:textId="77777777" w:rsidR="00CD7491" w:rsidRPr="003A3035" w:rsidRDefault="00CD7491" w:rsidP="00CD7491">
      <w:pPr>
        <w:autoSpaceDE w:val="0"/>
        <w:autoSpaceDN w:val="0"/>
        <w:adjustRightInd w:val="0"/>
        <w:spacing w:after="240" w:line="300" w:lineRule="exact"/>
        <w:rPr>
          <w:sz w:val="20"/>
          <w:szCs w:val="20"/>
        </w:rPr>
      </w:pPr>
      <w:r w:rsidRPr="003A3035">
        <w:rPr>
          <w:sz w:val="20"/>
          <w:szCs w:val="20"/>
        </w:rPr>
        <w:t xml:space="preserve">The null hypothesis cannot be rejected indicating that the data can be MCAR. </w:t>
      </w:r>
    </w:p>
    <w:p w14:paraId="27F36CE0" w14:textId="77777777" w:rsidR="00CD7491" w:rsidRPr="003A3035" w:rsidRDefault="00CD7491" w:rsidP="00CD7491">
      <w:pPr>
        <w:autoSpaceDE w:val="0"/>
        <w:autoSpaceDN w:val="0"/>
        <w:adjustRightInd w:val="0"/>
        <w:spacing w:after="240" w:line="300" w:lineRule="exact"/>
        <w:rPr>
          <w:sz w:val="20"/>
          <w:szCs w:val="20"/>
        </w:rPr>
      </w:pPr>
    </w:p>
    <w:p w14:paraId="40A49A8D" w14:textId="77777777" w:rsidR="00CD7491" w:rsidRPr="003A3035" w:rsidRDefault="00CD7491" w:rsidP="00CD7491">
      <w:pPr>
        <w:pBdr>
          <w:top w:val="single" w:sz="4" w:space="1" w:color="auto"/>
          <w:left w:val="single" w:sz="4" w:space="4" w:color="auto"/>
          <w:bottom w:val="single" w:sz="4" w:space="1" w:color="auto"/>
          <w:right w:val="single" w:sz="4" w:space="4" w:color="auto"/>
        </w:pBdr>
        <w:autoSpaceDE w:val="0"/>
        <w:autoSpaceDN w:val="0"/>
        <w:adjustRightInd w:val="0"/>
        <w:spacing w:line="300" w:lineRule="exact"/>
        <w:rPr>
          <w:b/>
          <w:bCs/>
          <w:sz w:val="20"/>
          <w:szCs w:val="20"/>
        </w:rPr>
      </w:pPr>
      <w:r w:rsidRPr="003A3035">
        <w:rPr>
          <w:b/>
          <w:bCs/>
          <w:sz w:val="20"/>
          <w:szCs w:val="20"/>
          <w:u w:val="single"/>
        </w:rPr>
        <w:t>Conclusion on assumption:</w:t>
      </w:r>
      <w:r w:rsidRPr="003A3035">
        <w:rPr>
          <w:b/>
          <w:bCs/>
          <w:sz w:val="20"/>
          <w:szCs w:val="20"/>
        </w:rPr>
        <w:t xml:space="preserve"> both conclusions converge towards the plausibility of MCAR data, or at least missing at random (MAR) data, for the L1 Recognized French HTA. Therefore, the multiple imputation was used.</w:t>
      </w:r>
    </w:p>
    <w:p w14:paraId="05C9F083" w14:textId="77777777" w:rsidR="00CD7491" w:rsidRPr="003A3035" w:rsidRDefault="00CD7491" w:rsidP="00CD7491">
      <w:pPr>
        <w:autoSpaceDE w:val="0"/>
        <w:autoSpaceDN w:val="0"/>
        <w:adjustRightInd w:val="0"/>
        <w:spacing w:before="240" w:line="300" w:lineRule="exact"/>
        <w:rPr>
          <w:sz w:val="20"/>
          <w:szCs w:val="20"/>
        </w:rPr>
      </w:pPr>
    </w:p>
    <w:p w14:paraId="2F1C8A89" w14:textId="77777777" w:rsidR="00CD7491" w:rsidRPr="003A3035" w:rsidRDefault="00CD7491" w:rsidP="008763BA">
      <w:pPr>
        <w:pStyle w:val="Titre4"/>
        <w:spacing w:line="240" w:lineRule="auto"/>
        <w:ind w:left="720"/>
        <w:rPr>
          <w:rFonts w:cs="Times New Roman"/>
        </w:rPr>
      </w:pPr>
      <w:r w:rsidRPr="003A3035">
        <w:rPr>
          <w:rFonts w:cs="Times New Roman"/>
          <w:b/>
          <w:bCs/>
          <w:i w:val="0"/>
          <w:iCs w:val="0"/>
        </w:rPr>
        <w:t>Convergence</w:t>
      </w:r>
    </w:p>
    <w:p w14:paraId="74FB8567" w14:textId="77777777" w:rsidR="00CD7491" w:rsidRPr="003A3035" w:rsidRDefault="00CD7491" w:rsidP="00CD7491">
      <w:pPr>
        <w:autoSpaceDE w:val="0"/>
        <w:autoSpaceDN w:val="0"/>
        <w:adjustRightInd w:val="0"/>
        <w:spacing w:before="240" w:line="300" w:lineRule="exact"/>
        <w:rPr>
          <w:sz w:val="20"/>
          <w:szCs w:val="20"/>
        </w:rPr>
      </w:pPr>
      <w:r w:rsidRPr="003A3035">
        <w:rPr>
          <w:sz w:val="20"/>
          <w:szCs w:val="20"/>
        </w:rPr>
        <w:t>Multiple imputation was then carried out to be able to include</w:t>
      </w:r>
      <w:r w:rsidRPr="003A3035" w:rsidDel="007564A2">
        <w:rPr>
          <w:sz w:val="20"/>
          <w:szCs w:val="20"/>
        </w:rPr>
        <w:t xml:space="preserve"> </w:t>
      </w:r>
      <w:r w:rsidRPr="003A3035">
        <w:rPr>
          <w:sz w:val="20"/>
          <w:szCs w:val="20"/>
        </w:rPr>
        <w:t xml:space="preserve">smoking status and ECOG performance status in the weighting process. </w:t>
      </w:r>
    </w:p>
    <w:p w14:paraId="06A47BDC" w14:textId="77777777" w:rsidR="00712301" w:rsidRPr="00712301" w:rsidRDefault="00CD7491" w:rsidP="00712301">
      <w:pPr>
        <w:autoSpaceDE w:val="0"/>
        <w:autoSpaceDN w:val="0"/>
        <w:adjustRightInd w:val="0"/>
        <w:spacing w:line="300" w:lineRule="exact"/>
        <w:rPr>
          <w:sz w:val="20"/>
          <w:szCs w:val="20"/>
        </w:rPr>
      </w:pPr>
      <w:r w:rsidRPr="003A3035">
        <w:rPr>
          <w:sz w:val="20"/>
          <w:szCs w:val="20"/>
        </w:rPr>
        <w:t xml:space="preserve">The model for imputation included age, sex, histology of adenocarcinoma and brain metastasis (no, without or with radiography) – and ECOG for smoking status, and smoking status for ECOG. A total of 50 datasets were generated with 20 iterations. To check the convergence of the models, the trace lines for both variables according to the number of iterations are displayed in the next </w:t>
      </w:r>
      <w:r w:rsidRPr="003A3035">
        <w:rPr>
          <w:sz w:val="20"/>
          <w:szCs w:val="20"/>
        </w:rPr>
        <w:fldChar w:fldCharType="begin"/>
      </w:r>
      <w:r w:rsidRPr="003A3035">
        <w:rPr>
          <w:sz w:val="20"/>
          <w:szCs w:val="20"/>
        </w:rPr>
        <w:instrText xml:space="preserve"> REF _Ref89071894 \h  \* MERGEFORMAT </w:instrText>
      </w:r>
      <w:r w:rsidRPr="003A3035">
        <w:rPr>
          <w:sz w:val="20"/>
          <w:szCs w:val="20"/>
        </w:rPr>
      </w:r>
      <w:r w:rsidRPr="003A3035">
        <w:rPr>
          <w:sz w:val="20"/>
          <w:szCs w:val="20"/>
        </w:rPr>
        <w:fldChar w:fldCharType="separate"/>
      </w:r>
    </w:p>
    <w:p w14:paraId="7039C63D" w14:textId="6E334506" w:rsidR="00CD7491" w:rsidRPr="003A3035" w:rsidRDefault="00CD7491" w:rsidP="00CD7491">
      <w:pPr>
        <w:autoSpaceDE w:val="0"/>
        <w:autoSpaceDN w:val="0"/>
        <w:adjustRightInd w:val="0"/>
        <w:spacing w:line="300" w:lineRule="exact"/>
        <w:rPr>
          <w:sz w:val="20"/>
          <w:szCs w:val="20"/>
        </w:rPr>
      </w:pPr>
      <w:r w:rsidRPr="003A3035">
        <w:rPr>
          <w:sz w:val="20"/>
          <w:szCs w:val="20"/>
        </w:rPr>
        <w:fldChar w:fldCharType="end"/>
      </w:r>
      <w:r w:rsidRPr="003A3035">
        <w:rPr>
          <w:sz w:val="20"/>
          <w:szCs w:val="20"/>
        </w:rPr>
        <w:t>with the means on the left and the standard deviance on the right. No trend is observed on the graph and the trace lines intermingle well, indicating the model has converged.</w:t>
      </w:r>
    </w:p>
    <w:p w14:paraId="7376FBE2" w14:textId="77777777" w:rsidR="00CD7491" w:rsidRPr="003A3035" w:rsidRDefault="00CD7491" w:rsidP="00CD7491">
      <w:pPr>
        <w:pStyle w:val="Body"/>
      </w:pPr>
      <w:bookmarkStart w:id="17" w:name="_Ref89071894"/>
      <w:bookmarkStart w:id="18" w:name="_Toc89264479"/>
      <w:bookmarkStart w:id="19" w:name="_Toc162020201"/>
      <w:r w:rsidRPr="003A3035">
        <w:rPr>
          <w:noProof/>
        </w:rPr>
        <w:drawing>
          <wp:anchor distT="0" distB="0" distL="114300" distR="114300" simplePos="0" relativeHeight="251658240" behindDoc="0" locked="0" layoutInCell="1" allowOverlap="1" wp14:anchorId="16CBEAE0" wp14:editId="27FE4940">
            <wp:simplePos x="0" y="0"/>
            <wp:positionH relativeFrom="column">
              <wp:posOffset>3175</wp:posOffset>
            </wp:positionH>
            <wp:positionV relativeFrom="paragraph">
              <wp:posOffset>311785</wp:posOffset>
            </wp:positionV>
            <wp:extent cx="4618355" cy="2249170"/>
            <wp:effectExtent l="0" t="0" r="0" b="0"/>
            <wp:wrapTopAndBottom/>
            <wp:docPr id="3" name="Image 3" descr="Figure 3.7:  Multiple imputations convergence graphs, population HTA L1"/>
            <wp:cNvGraphicFramePr/>
            <a:graphic xmlns:a="http://schemas.openxmlformats.org/drawingml/2006/main">
              <a:graphicData uri="http://schemas.openxmlformats.org/drawingml/2006/picture">
                <pic:pic xmlns:pic="http://schemas.openxmlformats.org/drawingml/2006/picture">
                  <pic:nvPicPr>
                    <pic:cNvPr id="0" name="Picture" descr="..\Reports\Stat%20reports\Stat_Report_Results_Part1_20211125_files/figure-docx/unnamed-chunk-15-1.png"/>
                    <pic:cNvPicPr>
                      <a:picLocks noChangeAspect="1" noChangeArrowheads="1"/>
                    </pic:cNvPicPr>
                  </pic:nvPicPr>
                  <pic:blipFill rotWithShape="1">
                    <a:blip r:embed="rId22"/>
                    <a:srcRect t="5810" b="33303"/>
                    <a:stretch/>
                  </pic:blipFill>
                  <pic:spPr bwMode="auto">
                    <a:xfrm>
                      <a:off x="0" y="0"/>
                      <a:ext cx="4618355" cy="224917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bookmarkEnd w:id="17"/>
    <w:p w14:paraId="36A9F255" w14:textId="40F347D9" w:rsidR="00CD7491" w:rsidRPr="003A3035" w:rsidRDefault="008763BA" w:rsidP="00CD7491">
      <w:pPr>
        <w:pStyle w:val="Lgende"/>
        <w:rPr>
          <w:rFonts w:cs="Times New Roman"/>
        </w:rPr>
      </w:pPr>
      <w:r w:rsidRPr="003A3035">
        <w:rPr>
          <w:rFonts w:cs="Times New Roman"/>
        </w:rPr>
        <w:t xml:space="preserve">Figure </w:t>
      </w:r>
      <w:r w:rsidR="00EF2D46" w:rsidRPr="003A3035">
        <w:rPr>
          <w:rFonts w:cs="Times New Roman"/>
        </w:rPr>
        <w:t xml:space="preserve">S1: </w:t>
      </w:r>
      <w:r w:rsidR="00CD7491" w:rsidRPr="003A3035">
        <w:rPr>
          <w:rFonts w:cs="Times New Roman"/>
        </w:rPr>
        <w:t>Multiple imputations convergence graphs by iteration – L1 Recognized French HTA</w:t>
      </w:r>
      <w:bookmarkEnd w:id="18"/>
      <w:bookmarkEnd w:id="19"/>
    </w:p>
    <w:p w14:paraId="30C269A4" w14:textId="77777777" w:rsidR="00CD7491" w:rsidRPr="003A3035" w:rsidRDefault="00CD7491" w:rsidP="00CD7491">
      <w:pPr>
        <w:autoSpaceDE w:val="0"/>
        <w:autoSpaceDN w:val="0"/>
        <w:adjustRightInd w:val="0"/>
        <w:spacing w:line="300" w:lineRule="exact"/>
        <w:rPr>
          <w:sz w:val="20"/>
          <w:szCs w:val="20"/>
        </w:rPr>
      </w:pPr>
      <w:r w:rsidRPr="003A3035">
        <w:rPr>
          <w:sz w:val="20"/>
          <w:szCs w:val="20"/>
        </w:rPr>
        <w:t xml:space="preserve">Furthermore, the </w:t>
      </w:r>
      <m:oMath>
        <m:acc>
          <m:accPr>
            <m:ctrlPr>
              <w:rPr>
                <w:rFonts w:ascii="Cambria Math" w:hAnsi="Cambria Math"/>
                <w:i/>
                <w:sz w:val="20"/>
                <w:szCs w:val="20"/>
              </w:rPr>
            </m:ctrlPr>
          </m:accPr>
          <m:e>
            <m:r>
              <w:rPr>
                <w:rFonts w:ascii="Cambria Math" w:hAnsi="Cambria Math"/>
                <w:sz w:val="20"/>
                <w:szCs w:val="20"/>
              </w:rPr>
              <m:t xml:space="preserve">R </m:t>
            </m:r>
          </m:e>
        </m:acc>
      </m:oMath>
      <w:r w:rsidRPr="003A3035">
        <w:rPr>
          <w:sz w:val="20"/>
          <w:szCs w:val="20"/>
        </w:rPr>
        <w:t>statistics were calculated. All values are below the threshold of 1.1, the imputation converged. With regards to the values of imputations, it is consistent with the observed values on patients included in the complete-cases analysis.</w:t>
      </w:r>
    </w:p>
    <w:p w14:paraId="2D5B8C59" w14:textId="77777777" w:rsidR="00CD7491" w:rsidRPr="003A3035" w:rsidRDefault="00CD7491" w:rsidP="00CD7491">
      <w:pPr>
        <w:pStyle w:val="Corpsdetexte"/>
        <w:pBdr>
          <w:top w:val="single" w:sz="4" w:space="1" w:color="0070C0" w:shadow="1"/>
          <w:left w:val="single" w:sz="4" w:space="4" w:color="0070C0" w:shadow="1"/>
          <w:bottom w:val="single" w:sz="4" w:space="1" w:color="0070C0" w:shadow="1"/>
          <w:right w:val="single" w:sz="4" w:space="4" w:color="0070C0" w:shadow="1"/>
        </w:pBdr>
        <w:rPr>
          <w:rFonts w:ascii="Times New Roman" w:hAnsi="Times New Roman"/>
          <w:b/>
          <w:bCs/>
          <w:szCs w:val="20"/>
        </w:rPr>
      </w:pPr>
      <w:r w:rsidRPr="003A3035">
        <w:rPr>
          <w:rFonts w:ascii="Times New Roman" w:hAnsi="Times New Roman"/>
          <w:b/>
          <w:bCs/>
          <w:szCs w:val="20"/>
          <w:u w:val="single"/>
        </w:rPr>
        <w:lastRenderedPageBreak/>
        <w:t>Conclusion on validation of multiple imputation model:</w:t>
      </w:r>
      <w:r w:rsidRPr="003A3035">
        <w:rPr>
          <w:rFonts w:ascii="Times New Roman" w:hAnsi="Times New Roman"/>
          <w:b/>
          <w:bCs/>
          <w:szCs w:val="20"/>
        </w:rPr>
        <w:t xml:space="preserve"> </w:t>
      </w:r>
    </w:p>
    <w:p w14:paraId="2C240F05" w14:textId="77777777" w:rsidR="00CD7491" w:rsidRPr="003A3035" w:rsidRDefault="00CD7491" w:rsidP="00CD7491">
      <w:pPr>
        <w:pStyle w:val="Corpsdetexte"/>
        <w:pBdr>
          <w:top w:val="single" w:sz="4" w:space="1" w:color="0070C0" w:shadow="1"/>
          <w:left w:val="single" w:sz="4" w:space="4" w:color="0070C0" w:shadow="1"/>
          <w:bottom w:val="single" w:sz="4" w:space="1" w:color="0070C0" w:shadow="1"/>
          <w:right w:val="single" w:sz="4" w:space="4" w:color="0070C0" w:shadow="1"/>
        </w:pBdr>
        <w:rPr>
          <w:rFonts w:ascii="Times New Roman" w:hAnsi="Times New Roman"/>
          <w:b/>
          <w:bCs/>
          <w:szCs w:val="20"/>
          <w:u w:val="single"/>
        </w:rPr>
      </w:pPr>
      <w:r w:rsidRPr="003A3035">
        <w:rPr>
          <w:rFonts w:ascii="Times New Roman" w:hAnsi="Times New Roman"/>
          <w:b/>
          <w:bCs/>
          <w:szCs w:val="20"/>
        </w:rPr>
        <w:t>All checks showed that imputation model converge for this comparator arm (</w:t>
      </w:r>
      <w:r w:rsidRPr="003A3035">
        <w:rPr>
          <w:rFonts w:ascii="Times New Roman" w:hAnsi="Times New Roman"/>
          <w:b/>
          <w:szCs w:val="20"/>
        </w:rPr>
        <w:t>Recognized French HTA</w:t>
      </w:r>
      <w:r w:rsidRPr="003A3035">
        <w:rPr>
          <w:rFonts w:ascii="Times New Roman" w:hAnsi="Times New Roman"/>
          <w:b/>
          <w:bCs/>
          <w:szCs w:val="20"/>
        </w:rPr>
        <w:t xml:space="preserve">) </w:t>
      </w:r>
      <w:r w:rsidRPr="003A3035">
        <w:rPr>
          <w:rFonts w:ascii="Times New Roman" w:hAnsi="Times New Roman"/>
          <w:b/>
          <w:szCs w:val="20"/>
        </w:rPr>
        <w:t>and population (L1).</w:t>
      </w:r>
    </w:p>
    <w:p w14:paraId="7E6100BD" w14:textId="77777777" w:rsidR="00CD7491" w:rsidRPr="003A3035" w:rsidRDefault="00CD7491" w:rsidP="00CD7491"/>
    <w:p w14:paraId="71FBC03D" w14:textId="1DC8690B" w:rsidR="00CD7491" w:rsidRPr="003A3035" w:rsidRDefault="00CD7491" w:rsidP="00CD7491">
      <w:pPr>
        <w:pStyle w:val="Titre1"/>
        <w:rPr>
          <w:rFonts w:ascii="Times New Roman" w:hAnsi="Times New Roman" w:cs="Times New Roman"/>
        </w:rPr>
      </w:pPr>
      <w:bookmarkStart w:id="20" w:name="_heading=h.4d34og8"/>
      <w:bookmarkStart w:id="21" w:name="_heading=h.2s8eyo1"/>
      <w:bookmarkStart w:id="22" w:name="_heading=h.17dp8vu"/>
      <w:bookmarkStart w:id="23" w:name="_heading=h.3rdcrjn"/>
      <w:bookmarkStart w:id="24" w:name="_heading=h.26in1rg"/>
      <w:bookmarkStart w:id="25" w:name="_Toc180526681"/>
      <w:bookmarkStart w:id="26" w:name="_Toc181224700"/>
      <w:bookmarkEnd w:id="20"/>
      <w:bookmarkEnd w:id="21"/>
      <w:bookmarkEnd w:id="22"/>
      <w:bookmarkEnd w:id="23"/>
      <w:bookmarkEnd w:id="24"/>
      <w:proofErr w:type="spellStart"/>
      <w:r w:rsidRPr="003A3035">
        <w:rPr>
          <w:rFonts w:ascii="Times New Roman" w:hAnsi="Times New Roman" w:cs="Times New Roman"/>
        </w:rPr>
        <w:t>Loveplots</w:t>
      </w:r>
      <w:proofErr w:type="spellEnd"/>
      <w:r w:rsidRPr="003A3035">
        <w:rPr>
          <w:rFonts w:ascii="Times New Roman" w:hAnsi="Times New Roman" w:cs="Times New Roman"/>
        </w:rPr>
        <w:t xml:space="preserve"> L1</w:t>
      </w:r>
      <w:bookmarkEnd w:id="25"/>
      <w:bookmarkEnd w:id="26"/>
    </w:p>
    <w:p w14:paraId="620ACA83" w14:textId="77777777" w:rsidR="00CD7491" w:rsidRPr="003A3035" w:rsidRDefault="00CD7491" w:rsidP="00CD7491">
      <w:pPr>
        <w:keepNext/>
      </w:pPr>
      <w:r w:rsidRPr="003A3035">
        <w:rPr>
          <w:noProof/>
        </w:rPr>
        <w:drawing>
          <wp:inline distT="0" distB="0" distL="0" distR="0" wp14:anchorId="614CE6BA" wp14:editId="0A43EA8D">
            <wp:extent cx="3895725" cy="2152015"/>
            <wp:effectExtent l="0" t="0" r="0" b="0"/>
            <wp:docPr id="1833274595" name="image3.png" descr="Une image contenant texte, capture d’écran, nombre, Police&#10;&#10;Description générée automatiquement"/>
            <wp:cNvGraphicFramePr/>
            <a:graphic xmlns:a="http://schemas.openxmlformats.org/drawingml/2006/main">
              <a:graphicData uri="http://schemas.openxmlformats.org/drawingml/2006/picture">
                <pic:pic xmlns:pic="http://schemas.openxmlformats.org/drawingml/2006/picture">
                  <pic:nvPicPr>
                    <pic:cNvPr id="1833274595" name="image3.png" descr="Une image contenant texte, capture d’écran, nombre, Police&#10;&#10;Description générée automatiquement"/>
                    <pic:cNvPicPr preferRelativeResize="0"/>
                  </pic:nvPicPr>
                  <pic:blipFill>
                    <a:blip r:embed="rId23"/>
                    <a:srcRect/>
                    <a:stretch>
                      <a:fillRect/>
                    </a:stretch>
                  </pic:blipFill>
                  <pic:spPr>
                    <a:xfrm>
                      <a:off x="0" y="0"/>
                      <a:ext cx="3895725" cy="2152015"/>
                    </a:xfrm>
                    <a:prstGeom prst="rect">
                      <a:avLst/>
                    </a:prstGeom>
                    <a:ln/>
                  </pic:spPr>
                </pic:pic>
              </a:graphicData>
            </a:graphic>
          </wp:inline>
        </w:drawing>
      </w:r>
    </w:p>
    <w:p w14:paraId="5307E239" w14:textId="4B2B8FD6" w:rsidR="00CD7491" w:rsidRPr="003A3035" w:rsidRDefault="00CD7491" w:rsidP="00CD7491">
      <w:pPr>
        <w:pBdr>
          <w:top w:val="nil"/>
          <w:left w:val="nil"/>
          <w:bottom w:val="nil"/>
          <w:right w:val="nil"/>
          <w:between w:val="nil"/>
        </w:pBdr>
        <w:spacing w:line="240" w:lineRule="auto"/>
        <w:rPr>
          <w:i/>
        </w:rPr>
      </w:pPr>
      <w:r w:rsidRPr="003A3035">
        <w:rPr>
          <w:i/>
        </w:rPr>
        <w:t>Figure S</w:t>
      </w:r>
      <w:r w:rsidR="00EF2D46" w:rsidRPr="003A3035">
        <w:rPr>
          <w:i/>
        </w:rPr>
        <w:t>2</w:t>
      </w:r>
      <w:r w:rsidRPr="003A3035">
        <w:rPr>
          <w:i/>
        </w:rPr>
        <w:t xml:space="preserve">: </w:t>
      </w:r>
      <w:proofErr w:type="spellStart"/>
      <w:r w:rsidRPr="003A3035">
        <w:rPr>
          <w:i/>
        </w:rPr>
        <w:t>Loveplot</w:t>
      </w:r>
      <w:proofErr w:type="spellEnd"/>
      <w:r w:rsidRPr="003A3035">
        <w:rPr>
          <w:i/>
        </w:rPr>
        <w:t xml:space="preserve"> L1</w:t>
      </w:r>
    </w:p>
    <w:p w14:paraId="5EB02BB9" w14:textId="77777777" w:rsidR="00EF2D46" w:rsidRPr="003A3035" w:rsidRDefault="00EF2D46" w:rsidP="00CD7491"/>
    <w:p w14:paraId="707E8E5A" w14:textId="18285777" w:rsidR="00CD7491" w:rsidRPr="003A3035" w:rsidRDefault="00CD7491" w:rsidP="00CD7491">
      <w:r w:rsidRPr="003A3035">
        <w:t>SMD: standardized mean deviation</w:t>
      </w:r>
    </w:p>
    <w:p w14:paraId="4DF4F3F7" w14:textId="77777777" w:rsidR="008763BA" w:rsidRPr="003A3035" w:rsidRDefault="008763BA">
      <w:pPr>
        <w:spacing w:after="160" w:line="259" w:lineRule="auto"/>
        <w:contextualSpacing w:val="0"/>
        <w:jc w:val="left"/>
        <w:rPr>
          <w:rFonts w:eastAsiaTheme="majorEastAsia"/>
          <w:color w:val="0F4761" w:themeColor="accent1" w:themeShade="BF"/>
          <w:sz w:val="32"/>
          <w:szCs w:val="32"/>
        </w:rPr>
      </w:pPr>
      <w:r w:rsidRPr="003A3035">
        <w:br w:type="page"/>
      </w:r>
    </w:p>
    <w:p w14:paraId="4228173E" w14:textId="08A57137" w:rsidR="00CD7491" w:rsidRPr="003A3035" w:rsidRDefault="00CD7491" w:rsidP="00CD7491">
      <w:pPr>
        <w:pStyle w:val="Titre1"/>
        <w:rPr>
          <w:rFonts w:ascii="Times New Roman" w:hAnsi="Times New Roman" w:cs="Times New Roman"/>
        </w:rPr>
      </w:pPr>
      <w:bookmarkStart w:id="27" w:name="_Toc180526682"/>
      <w:bookmarkStart w:id="28" w:name="_Toc181224701"/>
      <w:r w:rsidRPr="003A3035">
        <w:rPr>
          <w:rFonts w:ascii="Times New Roman" w:hAnsi="Times New Roman" w:cs="Times New Roman"/>
        </w:rPr>
        <w:lastRenderedPageBreak/>
        <w:t>Specific discussion of the robustness of 1L results to missing data</w:t>
      </w:r>
      <w:bookmarkEnd w:id="27"/>
      <w:bookmarkEnd w:id="28"/>
    </w:p>
    <w:p w14:paraId="17108BCE" w14:textId="18C91017" w:rsidR="00CD7491" w:rsidRPr="003A3035" w:rsidRDefault="252F6BA6" w:rsidP="6EBB0BD4">
      <w:pPr>
        <w:keepNext/>
        <w:keepLines/>
        <w:pBdr>
          <w:top w:val="nil"/>
          <w:left w:val="nil"/>
          <w:bottom w:val="nil"/>
          <w:right w:val="nil"/>
          <w:between w:val="nil"/>
        </w:pBdr>
      </w:pPr>
      <w:r w:rsidRPr="003A3035">
        <w:t>A limitation of the analysis of the robustness of the 1L results to missing data is that we initially restricted imputation to ECOG scores between 0 and 2 in the ESME database. We therefore excluded the possibility of ECOG scores &gt; 2, as patients with such recorded values are very rare in ESME (</w:t>
      </w:r>
      <w:r w:rsidR="7F73FF79" w:rsidRPr="003A3035">
        <w:t xml:space="preserve">no ROS1+ </w:t>
      </w:r>
      <w:proofErr w:type="spellStart"/>
      <w:r w:rsidR="7F73FF79" w:rsidRPr="003A3035">
        <w:t>mNSCLC</w:t>
      </w:r>
      <w:proofErr w:type="spellEnd"/>
      <w:r w:rsidR="7F73FF79" w:rsidRPr="003A3035">
        <w:t xml:space="preserve"> patient in 1L</w:t>
      </w:r>
      <w:r w:rsidR="44E128E9" w:rsidRPr="003A3035">
        <w:t xml:space="preserve"> had an ECOG value &gt; 2</w:t>
      </w:r>
      <w:r w:rsidRPr="003A3035">
        <w:t>), making it impossible to model and impute them. Nevertheless, a possible criticism is that there is a bias in the ESME database (e.g. reporting bias for patients with ECOG &gt; 2), which would work to the disadvantage of the comparator arm, as patients with ECOG &gt; 2 would have been incorrectly imputed with 0-2 scores and included in the comparator arm. However, this criticism does not hold thanks to the complete case analysis (sensitivity analysis): if we assume that all patients with missing ECOG data in the comparator arm have a score &gt; 2 and therefore a worse prognosis, the complete case analysis excluding them should drastically change the PFS. However, this is not the case, and the HRs are stable. Our results therefore appear to be quite robust to potential reporting bias for patients with ECOG &gt; 2. This analysis shows the importance of combining sensitivity analyses (here tipping point and complete case analysis).</w:t>
      </w:r>
    </w:p>
    <w:p w14:paraId="70D00EFC" w14:textId="77777777" w:rsidR="00CD7491" w:rsidRPr="003A3035" w:rsidRDefault="00CD7491" w:rsidP="00CD7491">
      <w:pPr>
        <w:keepNext/>
        <w:keepLines/>
        <w:pBdr>
          <w:top w:val="nil"/>
          <w:left w:val="nil"/>
          <w:bottom w:val="nil"/>
          <w:right w:val="nil"/>
          <w:between w:val="nil"/>
        </w:pBdr>
        <w:rPr>
          <w:b/>
          <w:bCs/>
          <w:sz w:val="24"/>
          <w:szCs w:val="24"/>
        </w:rPr>
      </w:pPr>
    </w:p>
    <w:p w14:paraId="6CCCD21C" w14:textId="77777777" w:rsidR="008763BA" w:rsidRPr="003A3035" w:rsidRDefault="008763BA">
      <w:pPr>
        <w:spacing w:after="160" w:line="259" w:lineRule="auto"/>
        <w:contextualSpacing w:val="0"/>
        <w:jc w:val="left"/>
        <w:rPr>
          <w:rFonts w:eastAsiaTheme="majorEastAsia"/>
          <w:color w:val="0F4761" w:themeColor="accent1" w:themeShade="BF"/>
          <w:sz w:val="32"/>
          <w:szCs w:val="32"/>
        </w:rPr>
      </w:pPr>
      <w:r w:rsidRPr="003A3035">
        <w:br w:type="page"/>
      </w:r>
    </w:p>
    <w:p w14:paraId="78DBDFBE" w14:textId="5F0563A6" w:rsidR="00CD7491" w:rsidRPr="003A3035" w:rsidRDefault="00CD7491" w:rsidP="00CD7491">
      <w:pPr>
        <w:pStyle w:val="Titre1"/>
        <w:rPr>
          <w:rFonts w:ascii="Times New Roman" w:hAnsi="Times New Roman" w:cs="Times New Roman"/>
        </w:rPr>
      </w:pPr>
      <w:bookmarkStart w:id="29" w:name="_Toc180526683"/>
      <w:bookmarkStart w:id="30" w:name="_Toc181224702"/>
      <w:r w:rsidRPr="003A3035">
        <w:rPr>
          <w:rFonts w:ascii="Times New Roman" w:hAnsi="Times New Roman" w:cs="Times New Roman"/>
        </w:rPr>
        <w:lastRenderedPageBreak/>
        <w:t>Weighted Kaplan-Meier curves</w:t>
      </w:r>
      <w:bookmarkEnd w:id="29"/>
      <w:bookmarkEnd w:id="30"/>
    </w:p>
    <w:p w14:paraId="36793BD3" w14:textId="77777777" w:rsidR="00CD7491" w:rsidRPr="003A3035" w:rsidRDefault="00CD7491" w:rsidP="00CD7491">
      <w:pPr>
        <w:keepNext/>
        <w:pBdr>
          <w:top w:val="nil"/>
          <w:left w:val="nil"/>
          <w:bottom w:val="nil"/>
          <w:right w:val="nil"/>
          <w:between w:val="nil"/>
        </w:pBdr>
        <w:spacing w:line="240" w:lineRule="auto"/>
        <w:jc w:val="left"/>
        <w:rPr>
          <w:rFonts w:eastAsia="Arial"/>
          <w:sz w:val="20"/>
          <w:szCs w:val="20"/>
        </w:rPr>
      </w:pPr>
      <w:bookmarkStart w:id="31" w:name="_heading=h.lnxbz9" w:colFirst="0" w:colLast="0"/>
      <w:bookmarkEnd w:id="31"/>
      <w:r w:rsidRPr="003A3035">
        <w:rPr>
          <w:rFonts w:eastAsia="Arial"/>
          <w:noProof/>
          <w:sz w:val="24"/>
          <w:szCs w:val="24"/>
        </w:rPr>
        <w:drawing>
          <wp:inline distT="0" distB="0" distL="0" distR="0" wp14:anchorId="4CB6F459" wp14:editId="21C8C87C">
            <wp:extent cx="4991135" cy="3295673"/>
            <wp:effectExtent l="0" t="0" r="0" b="0"/>
            <wp:docPr id="1833274598" name="image2.png" descr="Figure 2.1:  Survival probabilities estimated by weighted KM on Progression-free survival assessed by BICR, L1 Entrectinib vs French HTA"/>
            <wp:cNvGraphicFramePr/>
            <a:graphic xmlns:a="http://schemas.openxmlformats.org/drawingml/2006/main">
              <a:graphicData uri="http://schemas.openxmlformats.org/drawingml/2006/picture">
                <pic:pic xmlns:pic="http://schemas.openxmlformats.org/drawingml/2006/picture">
                  <pic:nvPicPr>
                    <pic:cNvPr id="0" name="image2.png" descr="Figure 2.1:  Survival probabilities estimated by weighted KM on Progression-free survival assessed by BICR, L1 Entrectinib vs French HTA"/>
                    <pic:cNvPicPr preferRelativeResize="0"/>
                  </pic:nvPicPr>
                  <pic:blipFill>
                    <a:blip r:embed="rId24"/>
                    <a:srcRect/>
                    <a:stretch>
                      <a:fillRect/>
                    </a:stretch>
                  </pic:blipFill>
                  <pic:spPr>
                    <a:xfrm>
                      <a:off x="0" y="0"/>
                      <a:ext cx="4991135" cy="3295673"/>
                    </a:xfrm>
                    <a:prstGeom prst="rect">
                      <a:avLst/>
                    </a:prstGeom>
                    <a:ln/>
                  </pic:spPr>
                </pic:pic>
              </a:graphicData>
            </a:graphic>
          </wp:inline>
        </w:drawing>
      </w:r>
    </w:p>
    <w:p w14:paraId="5CF69982" w14:textId="77777777" w:rsidR="00EF2D46" w:rsidRPr="003A3035" w:rsidRDefault="00EF2D46" w:rsidP="00EF2D46">
      <w:pPr>
        <w:keepNext/>
        <w:pBdr>
          <w:top w:val="nil"/>
          <w:left w:val="nil"/>
          <w:bottom w:val="nil"/>
          <w:right w:val="nil"/>
          <w:between w:val="nil"/>
        </w:pBdr>
        <w:spacing w:line="240" w:lineRule="auto"/>
        <w:jc w:val="left"/>
        <w:rPr>
          <w:i/>
        </w:rPr>
      </w:pPr>
      <w:r w:rsidRPr="003A3035">
        <w:rPr>
          <w:i/>
        </w:rPr>
        <w:t xml:space="preserve">Figure S3: Survival probabilities estimated by weighted KM on Progression-free survival assessed by BICR, L1 </w:t>
      </w:r>
      <w:proofErr w:type="spellStart"/>
      <w:r w:rsidRPr="003A3035">
        <w:rPr>
          <w:i/>
        </w:rPr>
        <w:t>entrectinib</w:t>
      </w:r>
      <w:proofErr w:type="spellEnd"/>
      <w:r w:rsidRPr="003A3035">
        <w:rPr>
          <w:i/>
        </w:rPr>
        <w:t xml:space="preserve"> vs French HTA</w:t>
      </w:r>
    </w:p>
    <w:p w14:paraId="6EBA7510" w14:textId="77777777" w:rsidR="00EF2D46" w:rsidRPr="003A3035" w:rsidRDefault="00EF2D46" w:rsidP="00EF2D46">
      <w:pPr>
        <w:keepNext/>
        <w:pBdr>
          <w:top w:val="nil"/>
          <w:left w:val="nil"/>
          <w:bottom w:val="nil"/>
          <w:right w:val="nil"/>
          <w:between w:val="nil"/>
        </w:pBdr>
        <w:spacing w:line="240" w:lineRule="auto"/>
        <w:jc w:val="left"/>
        <w:rPr>
          <w:i/>
        </w:rPr>
      </w:pPr>
    </w:p>
    <w:p w14:paraId="46F4F314" w14:textId="457400B6" w:rsidR="00CD7491" w:rsidRPr="003A3035" w:rsidRDefault="252F6BA6" w:rsidP="00CD7491">
      <w:pPr>
        <w:pBdr>
          <w:top w:val="nil"/>
          <w:left w:val="nil"/>
          <w:bottom w:val="nil"/>
          <w:right w:val="nil"/>
          <w:between w:val="nil"/>
        </w:pBdr>
        <w:spacing w:line="240" w:lineRule="auto"/>
        <w:jc w:val="left"/>
        <w:rPr>
          <w:noProof/>
          <w:sz w:val="24"/>
          <w:szCs w:val="24"/>
        </w:rPr>
      </w:pPr>
      <w:r w:rsidRPr="003A3035">
        <w:t xml:space="preserve">Note: the median PFS under chemotherapies in 1L </w:t>
      </w:r>
      <w:proofErr w:type="spellStart"/>
      <w:r w:rsidRPr="003A3035">
        <w:t>mNSCLC</w:t>
      </w:r>
      <w:proofErr w:type="spellEnd"/>
      <w:r w:rsidRPr="003A3035">
        <w:t xml:space="preserve"> ROS1-positive is 10.58 months in the ESME database</w:t>
      </w:r>
      <w:r w:rsidR="4922BF07" w:rsidRPr="003A3035">
        <w:t>.</w:t>
      </w:r>
      <w:r w:rsidR="00CD7491" w:rsidRPr="003A3035">
        <w:rPr>
          <w:color w:val="222222"/>
        </w:rPr>
        <w:fldChar w:fldCharType="begin"/>
      </w:r>
      <w:r w:rsidR="004A64A5" w:rsidRPr="003A3035">
        <w:rPr>
          <w:color w:val="222222"/>
        </w:rPr>
        <w:instrText xml:space="preserve"> ADDIN ZOTERO_ITEM CSL_CITATION {"citationID":"iPnyBHFT","properties":{"formattedCitation":"(12,13)","plainCitation":"(12,13)","noteIndex":0},"citationItems":[{"id":7750,"uris":["http://zotero.org/groups/4549131/items/DUN8PIUH"],"itemData":{"id":7750,"type":"article-journal","abstract":"OBJECTIVES: Food and Drug Administration (FDA) approved crizotinib for advanced ROS1-rearranged (ROS1+) non-small-cell lung cancer (NSCLC) patients due to a single-arm study PROFILE 1001. However, there is no direct comparison between crizotinib and platinum-pemetrexed chemotherapy.\nMATERIALS AND METHODS: Clinical data of advanced ROS1+NSCLC patients treated with first-line crizotinib or platinum-pemetrexed chemotherapy between August 2010 and December 2017 were analyzed.\nRESULTS: Seventy-seven patients were eligible, including 30 (39.0%) in the crizotinib group and 47 (61.0%) in the platinum-pemetrexed chemotherapy group. The median follow-up was 28.1 months (95% confidence interval [CI]: 19.2-39.0). The objective response rate (ORR) of crizotinib (86.7%, 95% CI: 73.3-96.7) was higher than that of platinum-pemetrexed chemotherapy (44.7%, 95% CI: 29.8-57.4, P &lt; .001). The disease control rate (DCR) was 96.7% (95% CI: 90.0-100) in the crizotinib group and 85.1% (95% CI: 74.5-95.7) in the chemotherapy group (P = .140). Significantly longer progression-free survival (PFS) was observed in the patients treated with crizotinib (18.4 months, 95% CI: 6.4-30.3) versus platinum-pemetrexed chemotherapy (8.6 months, 95% CI: 6.9-10.3, P &lt; .001). Overall survival (OS) was also compared between the two groups and no significant difference was seen (Not reach vs 28.4 months [95% CI: 20.7-36.0], P = .176). Notably, a total of 37 patients have treatment crossover after the failure of first-line treatment. Among those patients, difference in OS was not statistically significant between seven patients who have given first-line crizotinib (38.6 months, 95% CI: 0-81.0) and 30 patients who have given platinum-pemetrexed chemotherapy initially (32.8 months, 95% CI: 11.9-53.8, P = .805).\nCONCLUSIONS: Our results suggested that first-line crizotinib had higher ORR and longer PFS than platinum-pemetrexed chemotherapy in patients with advanced ROS1+NSCLC, but the differences were not observed for OS.","container-title":"Cancer Medicine","DOI":"10.1002/cam4.2972","ISSN":"2045-7634","issue":"10","journalAbbreviation":"Cancer Med","language":"eng","note":"PMID: 32167664\nPMCID: PMC7221427","page":"3310-3318","source":"PubMed","title":"First-line crizotinib versus platinum-pemetrexed chemotherapy in patients with advanced ROS1-rearranged non-small-cell lung cancer","volume":"9","author":[{"family":"Shen","given":"Lan"},{"family":"Qiang","given":"Tan"},{"family":"Li","given":"Ziming"},{"family":"Ding","given":"Ding"},{"family":"Yu","given":"Yongfeng"},{"family":"Lu","given":"Shun"}],"issued":{"date-parts":[["2020",5]]}}},{"id":7747,"uris":["http://zotero.org/groups/4549131/items/NJMKUF2C"],"itemData":{"id":7747,"type":"article-journal","abstract":"BACKGROUND: ROS1 gene fusion represents a specific subtype of non-small cell lung cancer (NSCLC). Crizotinib is recommended for ROS1-positive NSCLC due to its favorable outcome in published clinical trials. However, due to the low incidence of ROS1-positive NSCLC, there is limited information on real-world clinical outcomes in patients treated with either crizotinib or platinum-based doublet chemotherapy.\nMETHODS: Outcomes were recorded in 102 patients with stage Ⅲb or Ⅳ NSCLC who were treated at four Chinese hospitals between April, 2010 and June, 2019.\nRESULTS: Of the 102 patients followed, 71.6% were females, 81.4% were non-smokers, and 98.0% had adenocarcinoma. First-line treatment with crizotinib achieved a significantly longer median progression-free survival (PFS) compared with platinum-based chemotherapy (14.9 months vs 8.5 months, respectively; P &lt; .001). Next-generation sequencing (NGS) identified 61 patients who had ROS1 fusion variants, including CD74 (n = 33) and non-CD74 (n = 28) variants. In patients harboring CD74 fusion variants, the median PFS with first-line crizotinib treatment was significantly longer than in those harboring non-CD74 fusion variants (20.1 months vs 12.0 months, respectively; P = .046). However, in patients treated with platinum-based chemotherapy, there was no significant difference in PFS between the CD74 and non-CD74 variant groups (8.6 months vs 4.3 months, respectively; P = .115). Overall survival (OS) was not reached.\nCONCLUSIONS: First-line therapy with crizotinib is more beneficial than platinum-based chemotherapy in patients with advanced NSCLC with different ROS1 fusion variants. Patients harboring CD74 fusion variants appear to respond better to crizotinib.","container-title":"Cancer Medicine","DOI":"10.1002/cam4.2984","ISSN":"2045-7634","issue":"10","journalAbbreviation":"Cancer Med","language":"eng","note":"PMID: 32168429\nPMCID: PMC7221311","page":"3328-3336","source":"PubMed","title":"Crizotinib vs platinum-based chemotherapy as first-line treatment for advanced non-small cell lung cancer with different ROS1 fusion variants","volume":"9","author":[{"family":"Xu","given":"Haiyan"},{"family":"Zhang","given":"Quan"},{"family":"Liang","given":"Li"},{"family":"Li","given":"Junling"},{"family":"Liu","given":"Zhefeng"},{"family":"Li","given":"Weihua"},{"family":"Yang","given":"Lu"},{"family":"Yang","given":"Guangjian"},{"family":"Xu","given":"Fei"},{"family":"Ying","given":"Jianming"},{"family":"Zhang","given":"Shucai"},{"family":"Wang","given":"Yan"}],"issued":{"date-parts":[["2020",5]]}}}],"schema":"https://github.com/citation-style-language/schema/raw/master/csl-citation.json"} </w:instrText>
      </w:r>
      <w:r w:rsidR="00CD7491" w:rsidRPr="003A3035">
        <w:rPr>
          <w:color w:val="222222"/>
        </w:rPr>
        <w:fldChar w:fldCharType="separate"/>
      </w:r>
      <w:r w:rsidR="004A64A5" w:rsidRPr="003A3035">
        <w:t>(12,13)</w:t>
      </w:r>
      <w:r w:rsidR="00CD7491" w:rsidRPr="003A3035">
        <w:rPr>
          <w:color w:val="222222"/>
        </w:rPr>
        <w:fldChar w:fldCharType="end"/>
      </w:r>
      <w:sdt>
        <w:sdtPr>
          <w:tag w:val="goog_rdk_193"/>
          <w:id w:val="-285199467"/>
          <w:showingPlcHdr/>
        </w:sdtPr>
        <w:sdtEndPr/>
        <w:sdtContent>
          <w:r w:rsidR="007D4215" w:rsidRPr="003A3035">
            <w:t xml:space="preserve">     </w:t>
          </w:r>
        </w:sdtContent>
      </w:sdt>
      <w:bookmarkStart w:id="32" w:name="_heading=h.35nkun2" w:colFirst="0" w:colLast="0"/>
      <w:bookmarkEnd w:id="32"/>
    </w:p>
    <w:p w14:paraId="7F19AB3A" w14:textId="77777777" w:rsidR="008763BA" w:rsidRPr="003A3035" w:rsidRDefault="008763BA">
      <w:pPr>
        <w:spacing w:after="160" w:line="259" w:lineRule="auto"/>
        <w:contextualSpacing w:val="0"/>
        <w:jc w:val="left"/>
        <w:rPr>
          <w:rFonts w:eastAsiaTheme="majorEastAsia"/>
          <w:color w:val="0F4761" w:themeColor="accent1" w:themeShade="BF"/>
          <w:sz w:val="32"/>
          <w:szCs w:val="32"/>
        </w:rPr>
      </w:pPr>
      <w:r w:rsidRPr="003A3035">
        <w:br w:type="page"/>
      </w:r>
    </w:p>
    <w:p w14:paraId="0F6150FA" w14:textId="461A6ECE" w:rsidR="00942810" w:rsidRPr="003A3035" w:rsidRDefault="008763BA" w:rsidP="008763BA">
      <w:pPr>
        <w:pStyle w:val="Titre1"/>
        <w:rPr>
          <w:rFonts w:ascii="Times New Roman" w:hAnsi="Times New Roman" w:cs="Times New Roman"/>
          <w:noProof/>
          <w:sz w:val="24"/>
          <w:szCs w:val="24"/>
        </w:rPr>
      </w:pPr>
      <w:bookmarkStart w:id="33" w:name="_Toc180526684"/>
      <w:bookmarkStart w:id="34" w:name="_Toc181224703"/>
      <w:r w:rsidRPr="003A3035">
        <w:rPr>
          <w:rFonts w:ascii="Times New Roman" w:hAnsi="Times New Roman" w:cs="Times New Roman"/>
        </w:rPr>
        <w:lastRenderedPageBreak/>
        <w:t>Tipping point on missing smoking status</w:t>
      </w:r>
      <w:bookmarkEnd w:id="33"/>
      <w:bookmarkEnd w:id="34"/>
    </w:p>
    <w:p w14:paraId="40EC3FC3" w14:textId="77777777" w:rsidR="00942810" w:rsidRPr="003A3035" w:rsidRDefault="00942810" w:rsidP="00CD7491">
      <w:pPr>
        <w:pBdr>
          <w:top w:val="nil"/>
          <w:left w:val="nil"/>
          <w:bottom w:val="nil"/>
          <w:right w:val="nil"/>
          <w:between w:val="nil"/>
        </w:pBdr>
        <w:spacing w:line="240" w:lineRule="auto"/>
        <w:jc w:val="left"/>
        <w:rPr>
          <w:noProof/>
          <w:sz w:val="24"/>
          <w:szCs w:val="24"/>
        </w:rPr>
      </w:pPr>
    </w:p>
    <w:p w14:paraId="7C829428" w14:textId="61FE7D14" w:rsidR="00942810" w:rsidRPr="003A3035" w:rsidRDefault="00942810" w:rsidP="00CD7491">
      <w:pPr>
        <w:pBdr>
          <w:top w:val="nil"/>
          <w:left w:val="nil"/>
          <w:bottom w:val="nil"/>
          <w:right w:val="nil"/>
          <w:between w:val="nil"/>
        </w:pBdr>
        <w:spacing w:line="240" w:lineRule="auto"/>
        <w:jc w:val="left"/>
        <w:rPr>
          <w:noProof/>
          <w:sz w:val="24"/>
          <w:szCs w:val="24"/>
        </w:rPr>
      </w:pPr>
      <w:r w:rsidRPr="003A3035">
        <w:rPr>
          <w:noProof/>
          <w:sz w:val="24"/>
          <w:szCs w:val="24"/>
        </w:rPr>
        <w:drawing>
          <wp:inline distT="0" distB="0" distL="0" distR="0" wp14:anchorId="7B115CA0" wp14:editId="641B69B2">
            <wp:extent cx="5486400" cy="3657600"/>
            <wp:effectExtent l="0" t="0" r="0" b="0"/>
            <wp:docPr id="1833274597" name="image5.png" descr="Une image contenant texte, capture d’écran, nombre, Parallèle&#10;&#10;Description générée automatiquement"/>
            <wp:cNvGraphicFramePr/>
            <a:graphic xmlns:a="http://schemas.openxmlformats.org/drawingml/2006/main">
              <a:graphicData uri="http://schemas.openxmlformats.org/drawingml/2006/picture">
                <pic:pic xmlns:pic="http://schemas.openxmlformats.org/drawingml/2006/picture">
                  <pic:nvPicPr>
                    <pic:cNvPr id="1833274597" name="image5.png" descr="Une image contenant texte, capture d’écran, nombre, Parallèle&#10;&#10;Description générée automatiquement"/>
                    <pic:cNvPicPr preferRelativeResize="0"/>
                  </pic:nvPicPr>
                  <pic:blipFill>
                    <a:blip r:embed="rId25"/>
                    <a:srcRect/>
                    <a:stretch>
                      <a:fillRect/>
                    </a:stretch>
                  </pic:blipFill>
                  <pic:spPr>
                    <a:xfrm>
                      <a:off x="0" y="0"/>
                      <a:ext cx="5486400" cy="3657600"/>
                    </a:xfrm>
                    <a:prstGeom prst="rect">
                      <a:avLst/>
                    </a:prstGeom>
                    <a:ln/>
                  </pic:spPr>
                </pic:pic>
              </a:graphicData>
            </a:graphic>
          </wp:inline>
        </w:drawing>
      </w:r>
    </w:p>
    <w:p w14:paraId="57A4A298" w14:textId="77777777" w:rsidR="00942810" w:rsidRPr="003A3035" w:rsidRDefault="00942810" w:rsidP="00CD7491">
      <w:pPr>
        <w:pBdr>
          <w:top w:val="nil"/>
          <w:left w:val="nil"/>
          <w:bottom w:val="nil"/>
          <w:right w:val="nil"/>
          <w:between w:val="nil"/>
        </w:pBdr>
        <w:spacing w:line="240" w:lineRule="auto"/>
        <w:jc w:val="left"/>
        <w:rPr>
          <w:sz w:val="24"/>
          <w:szCs w:val="24"/>
        </w:rPr>
      </w:pPr>
    </w:p>
    <w:p w14:paraId="3E1E2BCB" w14:textId="77777777" w:rsidR="00CD7491" w:rsidRPr="003A3035" w:rsidRDefault="00CD7491" w:rsidP="00CD7491">
      <w:pPr>
        <w:pBdr>
          <w:top w:val="nil"/>
          <w:left w:val="nil"/>
          <w:bottom w:val="nil"/>
          <w:right w:val="nil"/>
          <w:between w:val="nil"/>
        </w:pBdr>
        <w:spacing w:line="240" w:lineRule="auto"/>
        <w:jc w:val="left"/>
        <w:rPr>
          <w:i/>
        </w:rPr>
      </w:pPr>
      <w:r w:rsidRPr="003A3035">
        <w:rPr>
          <w:i/>
        </w:rPr>
        <w:t xml:space="preserve">Figure S4: Tipping point analysis on weighted Cox on Progression-free survival assessed by BICR, smoking status - </w:t>
      </w:r>
      <w:r w:rsidRPr="003A3035">
        <w:rPr>
          <w:b/>
          <w:i/>
        </w:rPr>
        <w:t>Legend:</w:t>
      </w:r>
      <w:r w:rsidRPr="003A3035">
        <w:rPr>
          <w:i/>
        </w:rPr>
        <w:t xml:space="preserve"> On the left: the weighted Cox HR on PFS on L1 HTA population with CI95% and p-values, depending on the delta; on the right side: the corresponding distribution of imputed smoking status at Yes.</w:t>
      </w:r>
    </w:p>
    <w:p w14:paraId="2682E94F" w14:textId="77777777" w:rsidR="00CD7491" w:rsidRPr="003A3035" w:rsidRDefault="00CD7491" w:rsidP="00CD7491">
      <w:pPr>
        <w:pBdr>
          <w:top w:val="nil"/>
          <w:left w:val="nil"/>
          <w:bottom w:val="nil"/>
          <w:right w:val="nil"/>
          <w:between w:val="nil"/>
        </w:pBdr>
        <w:rPr>
          <w:rFonts w:eastAsia="Arial"/>
          <w:sz w:val="20"/>
          <w:szCs w:val="20"/>
        </w:rPr>
      </w:pPr>
    </w:p>
    <w:p w14:paraId="073D3805" w14:textId="77777777" w:rsidR="00CD7491" w:rsidRPr="003A3035" w:rsidRDefault="00CD7491" w:rsidP="00CD7491">
      <w:pPr>
        <w:keepNext/>
        <w:pBdr>
          <w:top w:val="nil"/>
          <w:left w:val="nil"/>
          <w:bottom w:val="nil"/>
          <w:right w:val="nil"/>
          <w:between w:val="nil"/>
        </w:pBdr>
        <w:spacing w:after="120" w:line="240" w:lineRule="auto"/>
        <w:jc w:val="left"/>
        <w:rPr>
          <w:i/>
        </w:rPr>
      </w:pPr>
      <w:r w:rsidRPr="003A3035">
        <w:rPr>
          <w:i/>
        </w:rPr>
        <w:t>Table S5: sensitivity analyses on missing smoking status: Results of the weighted Cox by replacing all missing values by a fixed value</w:t>
      </w:r>
    </w:p>
    <w:tbl>
      <w:tblPr>
        <w:tblW w:w="6460" w:type="dxa"/>
        <w:jc w:val="center"/>
        <w:tblLayout w:type="fixed"/>
        <w:tblCellMar>
          <w:left w:w="115" w:type="dxa"/>
          <w:right w:w="115" w:type="dxa"/>
        </w:tblCellMar>
        <w:tblLook w:val="0400" w:firstRow="0" w:lastRow="0" w:firstColumn="0" w:lastColumn="0" w:noHBand="0" w:noVBand="1"/>
      </w:tblPr>
      <w:tblGrid>
        <w:gridCol w:w="2637"/>
        <w:gridCol w:w="902"/>
        <w:gridCol w:w="1740"/>
        <w:gridCol w:w="1181"/>
      </w:tblGrid>
      <w:tr w:rsidR="00CD7491" w:rsidRPr="003A3035" w14:paraId="5C5E84A0" w14:textId="77777777">
        <w:trPr>
          <w:trHeight w:val="300"/>
          <w:tblHeader/>
          <w:jc w:val="center"/>
        </w:trPr>
        <w:tc>
          <w:tcPr>
            <w:tcW w:w="2637" w:type="dxa"/>
            <w:tcBorders>
              <w:top w:val="single" w:sz="12" w:space="0" w:color="3A3A3A" w:themeColor="background2" w:themeShade="40"/>
              <w:bottom w:val="single" w:sz="12" w:space="0" w:color="3A3A3A" w:themeColor="background2" w:themeShade="40"/>
            </w:tcBorders>
            <w:shd w:val="clear" w:color="auto" w:fill="FFFFFF" w:themeFill="background1"/>
          </w:tcPr>
          <w:p w14:paraId="529AD3C2" w14:textId="77777777" w:rsidR="00CD7491" w:rsidRPr="003A3035" w:rsidRDefault="00CD7491">
            <w:r w:rsidRPr="003A3035">
              <w:t>All smoking status missing values replaced by</w:t>
            </w:r>
          </w:p>
        </w:tc>
        <w:tc>
          <w:tcPr>
            <w:tcW w:w="902" w:type="dxa"/>
            <w:tcBorders>
              <w:top w:val="single" w:sz="12" w:space="0" w:color="3A3A3A" w:themeColor="background2" w:themeShade="40"/>
              <w:bottom w:val="single" w:sz="12" w:space="0" w:color="3A3A3A" w:themeColor="background2" w:themeShade="40"/>
            </w:tcBorders>
            <w:shd w:val="clear" w:color="auto" w:fill="FFFFFF" w:themeFill="background1"/>
            <w:tcMar>
              <w:top w:w="0" w:type="dxa"/>
              <w:left w:w="0" w:type="dxa"/>
              <w:bottom w:w="0" w:type="dxa"/>
              <w:right w:w="0" w:type="dxa"/>
            </w:tcMar>
            <w:vAlign w:val="center"/>
          </w:tcPr>
          <w:p w14:paraId="18BA9F4F" w14:textId="77777777" w:rsidR="00CD7491" w:rsidRPr="003A3035" w:rsidRDefault="00CD7491">
            <w:r w:rsidRPr="003A3035">
              <w:t>Hazard Ratio</w:t>
            </w:r>
          </w:p>
        </w:tc>
        <w:tc>
          <w:tcPr>
            <w:tcW w:w="1740" w:type="dxa"/>
            <w:tcBorders>
              <w:top w:val="single" w:sz="12" w:space="0" w:color="3A3A3A" w:themeColor="background2" w:themeShade="40"/>
              <w:bottom w:val="single" w:sz="12" w:space="0" w:color="3A3A3A" w:themeColor="background2" w:themeShade="40"/>
            </w:tcBorders>
            <w:shd w:val="clear" w:color="auto" w:fill="FFFFFF" w:themeFill="background1"/>
            <w:tcMar>
              <w:top w:w="0" w:type="dxa"/>
              <w:left w:w="0" w:type="dxa"/>
              <w:bottom w:w="0" w:type="dxa"/>
              <w:right w:w="0" w:type="dxa"/>
            </w:tcMar>
            <w:vAlign w:val="center"/>
          </w:tcPr>
          <w:p w14:paraId="4A7E4768" w14:textId="77777777" w:rsidR="00CD7491" w:rsidRPr="003A3035" w:rsidRDefault="00CD7491">
            <w:r w:rsidRPr="003A3035">
              <w:t>[CI 95 %]</w:t>
            </w:r>
          </w:p>
        </w:tc>
        <w:tc>
          <w:tcPr>
            <w:tcW w:w="1181" w:type="dxa"/>
            <w:tcBorders>
              <w:top w:val="single" w:sz="12" w:space="0" w:color="3A3A3A" w:themeColor="background2" w:themeShade="40"/>
              <w:bottom w:val="single" w:sz="12" w:space="0" w:color="3A3A3A" w:themeColor="background2" w:themeShade="40"/>
            </w:tcBorders>
            <w:shd w:val="clear" w:color="auto" w:fill="FFFFFF" w:themeFill="background1"/>
            <w:tcMar>
              <w:top w:w="0" w:type="dxa"/>
              <w:left w:w="0" w:type="dxa"/>
              <w:bottom w:w="0" w:type="dxa"/>
              <w:right w:w="0" w:type="dxa"/>
            </w:tcMar>
            <w:vAlign w:val="center"/>
          </w:tcPr>
          <w:p w14:paraId="698632FA" w14:textId="77777777" w:rsidR="00CD7491" w:rsidRPr="003A3035" w:rsidRDefault="00CD7491">
            <w:r w:rsidRPr="003A3035">
              <w:t>p-value</w:t>
            </w:r>
          </w:p>
        </w:tc>
      </w:tr>
      <w:tr w:rsidR="00CD7491" w:rsidRPr="003A3035" w14:paraId="27E66205" w14:textId="77777777">
        <w:trPr>
          <w:trHeight w:val="300"/>
          <w:jc w:val="center"/>
        </w:trPr>
        <w:tc>
          <w:tcPr>
            <w:tcW w:w="2637" w:type="dxa"/>
            <w:tcBorders>
              <w:top w:val="single" w:sz="12" w:space="0" w:color="3A3A3A" w:themeColor="background2" w:themeShade="40"/>
            </w:tcBorders>
            <w:shd w:val="clear" w:color="auto" w:fill="FFFFFF" w:themeFill="background1"/>
          </w:tcPr>
          <w:p w14:paraId="3112C5DE" w14:textId="77777777" w:rsidR="00CD7491" w:rsidRPr="003A3035" w:rsidRDefault="00CD7491">
            <w:r w:rsidRPr="003A3035">
              <w:t>non-smoker</w:t>
            </w:r>
          </w:p>
        </w:tc>
        <w:tc>
          <w:tcPr>
            <w:tcW w:w="902" w:type="dxa"/>
            <w:tcBorders>
              <w:top w:val="single" w:sz="12" w:space="0" w:color="3A3A3A" w:themeColor="background2" w:themeShade="40"/>
            </w:tcBorders>
            <w:shd w:val="clear" w:color="auto" w:fill="FFFFFF" w:themeFill="background1"/>
            <w:tcMar>
              <w:top w:w="0" w:type="dxa"/>
              <w:left w:w="0" w:type="dxa"/>
              <w:bottom w:w="0" w:type="dxa"/>
              <w:right w:w="0" w:type="dxa"/>
            </w:tcMar>
            <w:vAlign w:val="center"/>
          </w:tcPr>
          <w:p w14:paraId="383DA406" w14:textId="77777777" w:rsidR="00CD7491" w:rsidRPr="003A3035" w:rsidRDefault="00CD7491">
            <w:r w:rsidRPr="003A3035">
              <w:t>0.481</w:t>
            </w:r>
          </w:p>
        </w:tc>
        <w:tc>
          <w:tcPr>
            <w:tcW w:w="1740" w:type="dxa"/>
            <w:tcBorders>
              <w:top w:val="single" w:sz="12" w:space="0" w:color="3A3A3A" w:themeColor="background2" w:themeShade="40"/>
            </w:tcBorders>
            <w:shd w:val="clear" w:color="auto" w:fill="FFFFFF" w:themeFill="background1"/>
            <w:tcMar>
              <w:top w:w="0" w:type="dxa"/>
              <w:left w:w="0" w:type="dxa"/>
              <w:bottom w:w="0" w:type="dxa"/>
              <w:right w:w="0" w:type="dxa"/>
            </w:tcMar>
            <w:vAlign w:val="center"/>
          </w:tcPr>
          <w:p w14:paraId="2FCA53DF" w14:textId="77777777" w:rsidR="00CD7491" w:rsidRPr="003A3035" w:rsidRDefault="00CD7491">
            <w:r w:rsidRPr="003A3035">
              <w:t>[0.285, 0.81]</w:t>
            </w:r>
          </w:p>
        </w:tc>
        <w:tc>
          <w:tcPr>
            <w:tcW w:w="1181" w:type="dxa"/>
            <w:tcBorders>
              <w:top w:val="single" w:sz="12" w:space="0" w:color="3A3A3A" w:themeColor="background2" w:themeShade="40"/>
            </w:tcBorders>
            <w:shd w:val="clear" w:color="auto" w:fill="FFFFFF" w:themeFill="background1"/>
            <w:tcMar>
              <w:top w:w="0" w:type="dxa"/>
              <w:left w:w="0" w:type="dxa"/>
              <w:bottom w:w="0" w:type="dxa"/>
              <w:right w:w="0" w:type="dxa"/>
            </w:tcMar>
            <w:vAlign w:val="center"/>
          </w:tcPr>
          <w:p w14:paraId="000055C0" w14:textId="77777777" w:rsidR="00CD7491" w:rsidRPr="003A3035" w:rsidRDefault="00CD7491">
            <w:r w:rsidRPr="003A3035">
              <w:t>0.0068</w:t>
            </w:r>
          </w:p>
        </w:tc>
      </w:tr>
      <w:tr w:rsidR="00CD7491" w:rsidRPr="003A3035" w14:paraId="4DB0E848" w14:textId="77777777">
        <w:trPr>
          <w:trHeight w:val="300"/>
          <w:jc w:val="center"/>
        </w:trPr>
        <w:tc>
          <w:tcPr>
            <w:tcW w:w="2637" w:type="dxa"/>
            <w:tcBorders>
              <w:bottom w:val="single" w:sz="12" w:space="0" w:color="3A3A3A" w:themeColor="background2" w:themeShade="40"/>
            </w:tcBorders>
            <w:shd w:val="clear" w:color="auto" w:fill="FFFFFF" w:themeFill="background1"/>
          </w:tcPr>
          <w:p w14:paraId="4C4B274B" w14:textId="77777777" w:rsidR="00CD7491" w:rsidRPr="003A3035" w:rsidRDefault="00CD7491">
            <w:r w:rsidRPr="003A3035">
              <w:t>smoker</w:t>
            </w:r>
          </w:p>
        </w:tc>
        <w:tc>
          <w:tcPr>
            <w:tcW w:w="902" w:type="dxa"/>
            <w:tcBorders>
              <w:bottom w:val="single" w:sz="12" w:space="0" w:color="3A3A3A" w:themeColor="background2" w:themeShade="40"/>
            </w:tcBorders>
            <w:shd w:val="clear" w:color="auto" w:fill="FFFFFF" w:themeFill="background1"/>
            <w:tcMar>
              <w:top w:w="0" w:type="dxa"/>
              <w:left w:w="0" w:type="dxa"/>
              <w:bottom w:w="0" w:type="dxa"/>
              <w:right w:w="0" w:type="dxa"/>
            </w:tcMar>
            <w:vAlign w:val="center"/>
          </w:tcPr>
          <w:p w14:paraId="7A2F48D3" w14:textId="77777777" w:rsidR="00CD7491" w:rsidRPr="003A3035" w:rsidRDefault="00CD7491">
            <w:r w:rsidRPr="003A3035">
              <w:t>0.499</w:t>
            </w:r>
          </w:p>
        </w:tc>
        <w:tc>
          <w:tcPr>
            <w:tcW w:w="1740" w:type="dxa"/>
            <w:tcBorders>
              <w:bottom w:val="single" w:sz="12" w:space="0" w:color="3A3A3A" w:themeColor="background2" w:themeShade="40"/>
            </w:tcBorders>
            <w:shd w:val="clear" w:color="auto" w:fill="FFFFFF" w:themeFill="background1"/>
            <w:tcMar>
              <w:top w:w="0" w:type="dxa"/>
              <w:left w:w="0" w:type="dxa"/>
              <w:bottom w:w="0" w:type="dxa"/>
              <w:right w:w="0" w:type="dxa"/>
            </w:tcMar>
            <w:vAlign w:val="center"/>
          </w:tcPr>
          <w:p w14:paraId="0309CC07" w14:textId="77777777" w:rsidR="00CD7491" w:rsidRPr="003A3035" w:rsidRDefault="00CD7491">
            <w:r w:rsidRPr="003A3035">
              <w:t>[0.294, 0.849]</w:t>
            </w:r>
          </w:p>
        </w:tc>
        <w:tc>
          <w:tcPr>
            <w:tcW w:w="1181" w:type="dxa"/>
            <w:tcBorders>
              <w:bottom w:val="single" w:sz="12" w:space="0" w:color="3A3A3A" w:themeColor="background2" w:themeShade="40"/>
            </w:tcBorders>
            <w:shd w:val="clear" w:color="auto" w:fill="FFFFFF" w:themeFill="background1"/>
            <w:tcMar>
              <w:top w:w="0" w:type="dxa"/>
              <w:left w:w="0" w:type="dxa"/>
              <w:bottom w:w="0" w:type="dxa"/>
              <w:right w:w="0" w:type="dxa"/>
            </w:tcMar>
            <w:vAlign w:val="center"/>
          </w:tcPr>
          <w:p w14:paraId="29E4E84F" w14:textId="77777777" w:rsidR="00CD7491" w:rsidRPr="003A3035" w:rsidRDefault="00CD7491">
            <w:r w:rsidRPr="003A3035">
              <w:t>0.0113</w:t>
            </w:r>
          </w:p>
        </w:tc>
      </w:tr>
    </w:tbl>
    <w:p w14:paraId="0E9C35F2" w14:textId="77777777" w:rsidR="003E2CA8" w:rsidRPr="003A3035" w:rsidRDefault="003E2CA8"/>
    <w:p w14:paraId="7A6064BB" w14:textId="77777777" w:rsidR="008763BA" w:rsidRPr="003A3035" w:rsidRDefault="008763BA">
      <w:pPr>
        <w:spacing w:after="160" w:line="259" w:lineRule="auto"/>
        <w:contextualSpacing w:val="0"/>
        <w:jc w:val="left"/>
        <w:rPr>
          <w:rFonts w:eastAsiaTheme="majorEastAsia"/>
          <w:color w:val="0F4761" w:themeColor="accent1" w:themeShade="BF"/>
          <w:sz w:val="32"/>
          <w:szCs w:val="32"/>
        </w:rPr>
      </w:pPr>
      <w:r w:rsidRPr="003A3035">
        <w:br w:type="page"/>
      </w:r>
    </w:p>
    <w:p w14:paraId="66A5D730" w14:textId="3B258009" w:rsidR="00CD7491" w:rsidRPr="003A3035" w:rsidRDefault="1C894803" w:rsidP="00CD7491">
      <w:pPr>
        <w:pStyle w:val="Titre1"/>
        <w:rPr>
          <w:rFonts w:ascii="Times New Roman" w:hAnsi="Times New Roman" w:cs="Times New Roman"/>
        </w:rPr>
      </w:pPr>
      <w:bookmarkStart w:id="35" w:name="_Toc180526685"/>
      <w:bookmarkStart w:id="36" w:name="_Toc181224704"/>
      <w:r w:rsidRPr="003A3035">
        <w:rPr>
          <w:rFonts w:ascii="Times New Roman" w:hAnsi="Times New Roman" w:cs="Times New Roman"/>
        </w:rPr>
        <w:lastRenderedPageBreak/>
        <w:t>Limitations related to the case study itself</w:t>
      </w:r>
      <w:bookmarkEnd w:id="35"/>
      <w:bookmarkEnd w:id="36"/>
    </w:p>
    <w:p w14:paraId="6935E307" w14:textId="4C13E6C3" w:rsidR="00CD7491" w:rsidRPr="003A3035" w:rsidRDefault="206CBA3C" w:rsidP="007D4215">
      <w:pPr>
        <w:pStyle w:val="Paragraphedeliste"/>
        <w:numPr>
          <w:ilvl w:val="0"/>
          <w:numId w:val="16"/>
        </w:numPr>
        <w:rPr>
          <w:b/>
          <w:bCs/>
        </w:rPr>
      </w:pPr>
      <w:r w:rsidRPr="003A3035">
        <w:rPr>
          <w:b/>
          <w:bCs/>
        </w:rPr>
        <w:t xml:space="preserve">Limitation of the </w:t>
      </w:r>
      <w:r w:rsidR="575B6B31" w:rsidRPr="003A3035">
        <w:rPr>
          <w:b/>
          <w:bCs/>
        </w:rPr>
        <w:t>endpoint definitions</w:t>
      </w:r>
    </w:p>
    <w:p w14:paraId="2E925BCD" w14:textId="4896601E" w:rsidR="00CD7491" w:rsidRPr="003A3035" w:rsidRDefault="7C046834" w:rsidP="007D4215">
      <w:pPr>
        <w:rPr>
          <w:color w:val="auto"/>
        </w:rPr>
      </w:pPr>
      <w:r w:rsidRPr="003A3035">
        <w:rPr>
          <w:color w:val="auto"/>
        </w:rPr>
        <w:t xml:space="preserve">In </w:t>
      </w:r>
      <w:r w:rsidR="00EE094C" w:rsidRPr="003A3035">
        <w:rPr>
          <w:color w:val="auto"/>
        </w:rPr>
        <w:t xml:space="preserve">Entrectinib </w:t>
      </w:r>
      <w:r w:rsidRPr="003A3035">
        <w:rPr>
          <w:color w:val="auto"/>
        </w:rPr>
        <w:t xml:space="preserve">clinical trials, tumor was commonly assessed using RECIST criteria and PFS is defined as the delay between </w:t>
      </w:r>
      <w:r w:rsidR="00EE094C" w:rsidRPr="003A3035">
        <w:rPr>
          <w:color w:val="auto"/>
        </w:rPr>
        <w:t xml:space="preserve">the first dose of </w:t>
      </w:r>
      <w:proofErr w:type="spellStart"/>
      <w:r w:rsidR="00EE094C" w:rsidRPr="003A3035">
        <w:rPr>
          <w:color w:val="auto"/>
        </w:rPr>
        <w:t>entrectinib</w:t>
      </w:r>
      <w:proofErr w:type="spellEnd"/>
      <w:r w:rsidRPr="003A3035">
        <w:rPr>
          <w:color w:val="auto"/>
        </w:rPr>
        <w:t xml:space="preserve"> and progression using RECIST criteria. As RECIST criteria are not routinely performed outside clinical trials, real world PFS (</w:t>
      </w:r>
      <w:proofErr w:type="spellStart"/>
      <w:r w:rsidRPr="003A3035">
        <w:rPr>
          <w:color w:val="auto"/>
        </w:rPr>
        <w:t>rwPFS</w:t>
      </w:r>
      <w:proofErr w:type="spellEnd"/>
      <w:r w:rsidRPr="003A3035">
        <w:rPr>
          <w:color w:val="auto"/>
        </w:rPr>
        <w:t>) is defined as the delay between treatment initiation and progression based on investigator judgement or death.</w:t>
      </w:r>
    </w:p>
    <w:p w14:paraId="0753277B" w14:textId="0F19A7A0" w:rsidR="00CD7491" w:rsidRPr="003A3035" w:rsidRDefault="7C046834" w:rsidP="007D4215">
      <w:pPr>
        <w:rPr>
          <w:color w:val="auto"/>
        </w:rPr>
      </w:pPr>
      <w:r w:rsidRPr="003A3035">
        <w:rPr>
          <w:color w:val="auto"/>
        </w:rPr>
        <w:t xml:space="preserve">Despite conceptual similarities between PFS and </w:t>
      </w:r>
      <w:proofErr w:type="spellStart"/>
      <w:r w:rsidRPr="003A3035">
        <w:rPr>
          <w:color w:val="auto"/>
        </w:rPr>
        <w:t>rwPFS</w:t>
      </w:r>
      <w:proofErr w:type="spellEnd"/>
      <w:r w:rsidRPr="003A3035">
        <w:rPr>
          <w:color w:val="auto"/>
        </w:rPr>
        <w:t xml:space="preserve">, there are differences: (1) difference in cadence of visits and frequencies of scans between routine clinical practice and trial settings (2) real progression is not defined only using RECIST criteria and other parameters such as performance status or clinical progression may be used to define progression based on investigator judgment. These differences may introduce bias </w:t>
      </w:r>
      <w:r w:rsidR="00BF7139" w:rsidRPr="003A3035">
        <w:rPr>
          <w:color w:val="auto"/>
        </w:rPr>
        <w:fldChar w:fldCharType="begin"/>
      </w:r>
      <w:r w:rsidR="004A64A5" w:rsidRPr="003A3035">
        <w:rPr>
          <w:color w:val="auto"/>
        </w:rPr>
        <w:instrText xml:space="preserve"> ADDIN ZOTERO_ITEM CSL_CITATION {"citationID":"Ns64Epjq","properties":{"formattedCitation":"(14)","plainCitation":"(14)","noteIndex":0},"citationItems":[{"id":8676,"uris":["http://zotero.org/groups/4549131/items/B92HP9D6"],"itemData":{"id":8676,"type":"article-journal","abstract":"Abstract\n            \n              Background\n              Comparative‐effectiveness studies using real‐world data (RWD) can be susceptible to surveillance bias. In solid tumor oncology studies, analyses of endpoints such as progression‐free survival (PFS) are based on progression events detected by imaging assessments. This study aimed to evaluate the potential bias introduced by differential imaging assessment frequency when using electronic health record (EHR)‐derived data to investigate the comparative effectiveness of cancer therapies.\n            \n            \n              Methods\n              Using a nationwide de‐identified EHR‐derived database, we first analyzed imaging assessment frequency patterns in patients diagnosed with advanced non‐small cell lung cancer (aNSCLC). We used those RWD inputs to develop a discrete event simulation model of two treatments where disease progression was the outcome and PFS was the endpoint. Using this model, we induced bias with differential imaging assessment timing and quantified its effect on observed versus true treatment effectiveness. We assessed percent bias in the estimated hazard ratio (HR).\n            \n            \n              Results\n              The frequency of assessments differed by cancer treatment types. In simulated comparative‐effectiveness studies, PFS HRs estimated using real‐world imaging assessment frequencies differed from the true HR by less than 10% in all scenarios (range: 0.4% to −9.6%). The greatest risk of biased effect estimates was found comparing treatments with widely different imaging frequencies, most exaggerated in disease settings where time to progression is very short.\n            \n            \n              Conclusions\n              This study provided evidence that the frequency of imaging assessments to detect disease progression can differ by treatment type in real‐world patients with cancer and may induce some bias in comparative‐effectiveness studies in some situations.","container-title":"Pharmacoepidemiology and Drug Safety","DOI":"10.1002/pds.5323","ISSN":"1053-8569, 1099-1557","issue":"1","journalAbbreviation":"Pharmacoepidemiology and Drug","language":"en","page":"46-54","source":"DOI.org (Crossref)","title":"Differential frequency in &lt;span style=\"font-variant:small-caps;\"&gt;imaging‐based&lt;/span&gt; outcome measurement: Bias in &lt;span style=\"font-variant:small-caps;\"&gt;real‐world&lt;/span&gt; oncology &lt;span style=\"font-variant:small-caps;\"&gt;comparative‐effectiveness&lt;/span&gt; studies","title-short":"Differential frequency in &lt;span style=\"font-variant","volume":"31","author":[{"family":"Adamson","given":"Blythe J. S."},{"family":"Ma","given":"Xinran"},{"family":"Griffith","given":"Sandra D."},{"family":"Sweeney","given":"Elizabeth M."},{"family":"Sarkar","given":"Somnath"},{"family":"Bourla","given":"Ariel B."}],"issued":{"date-parts":[["2022",1]]}}}],"schema":"https://github.com/citation-style-language/schema/raw/master/csl-citation.json"} </w:instrText>
      </w:r>
      <w:r w:rsidR="00BF7139" w:rsidRPr="003A3035">
        <w:rPr>
          <w:color w:val="auto"/>
        </w:rPr>
        <w:fldChar w:fldCharType="separate"/>
      </w:r>
      <w:r w:rsidR="004A64A5" w:rsidRPr="003A3035">
        <w:t>(14)</w:t>
      </w:r>
      <w:r w:rsidR="00BF7139" w:rsidRPr="003A3035">
        <w:rPr>
          <w:color w:val="auto"/>
        </w:rPr>
        <w:fldChar w:fldCharType="end"/>
      </w:r>
      <w:r w:rsidRPr="003A3035">
        <w:rPr>
          <w:color w:val="auto"/>
        </w:rPr>
        <w:t>: (1) misclassification bias (2) surveillance bias</w:t>
      </w:r>
    </w:p>
    <w:p w14:paraId="03225D9B" w14:textId="0EB83B65" w:rsidR="00CD7491" w:rsidRPr="003A3035" w:rsidRDefault="7C046834" w:rsidP="007D4215">
      <w:pPr>
        <w:rPr>
          <w:color w:val="auto"/>
        </w:rPr>
      </w:pPr>
      <w:r w:rsidRPr="003A3035">
        <w:rPr>
          <w:color w:val="auto"/>
        </w:rPr>
        <w:t xml:space="preserve">Despite this discrepancies and bias, the ability of real world data to serve as external controls to single-arm trials with </w:t>
      </w:r>
      <w:proofErr w:type="spellStart"/>
      <w:r w:rsidRPr="003A3035">
        <w:rPr>
          <w:color w:val="auto"/>
        </w:rPr>
        <w:t>rwPFS</w:t>
      </w:r>
      <w:proofErr w:type="spellEnd"/>
      <w:r w:rsidRPr="003A3035">
        <w:rPr>
          <w:color w:val="auto"/>
        </w:rPr>
        <w:t xml:space="preserve"> as endpoint was explored in different studies</w:t>
      </w:r>
      <w:r w:rsidR="00512572" w:rsidRPr="003A3035">
        <w:rPr>
          <w:color w:val="auto"/>
        </w:rPr>
        <w:t xml:space="preserve"> </w:t>
      </w:r>
      <w:r w:rsidR="00512572" w:rsidRPr="003A3035">
        <w:rPr>
          <w:color w:val="auto"/>
        </w:rPr>
        <w:fldChar w:fldCharType="begin"/>
      </w:r>
      <w:r w:rsidR="004A64A5" w:rsidRPr="003A3035">
        <w:rPr>
          <w:color w:val="auto"/>
        </w:rPr>
        <w:instrText xml:space="preserve"> ADDIN ZOTERO_ITEM CSL_CITATION {"citationID":"IGTMY7rX","properties":{"formattedCitation":"(15\\uc0\\u8211{}17)","plainCitation":"(15–17)","noteIndex":0},"citationItems":[{"id":8678,"uris":["http://zotero.org/groups/4549131/items/K3LAXF6L"],"itemData":{"id":8678,"type":"article-journal","abstract":"Abstract\n            \n              Purpose:\n              The utility of real-world data (RWD) for use as external controls in drug development is informed by studies that replicate trial control arms for different endpoints. The purpose of this study was to replicate control arms from four non–small cell lung cancer (NSCLC) randomized controlled trials (RCT) to analyze overall survival (OS), progression-free survival (PFS), and overall response rate (ORR) using RWD.\n            \n            \n              Patients and Methods:\n              This study used RWD from a nationwide de-identified database and a clinico-genomic database to replicate OS, PFS, and ORR endpoints in the chemotherapy control arms of four first-line NSCLC RCTs evaluating atezolizumab [IMpower150–wild-type (WT), IMpower130-WT, IMpower131, and IMpower132]. Additional objectives were to develop a definition of real-world PFS (rwPFS) and to evaluate the real-world response rate (rwRR) endpoint.\n            \n            \n              Results:\n              Baseline demographic and clinical characteristics were balanced after application of propensity score weighting methods. For rwPFS and OS, RWD external controls were generally similar to their RCT control counterparts. Across all four trials, the hazard ratio (HR) point estimates comparing trial controls with external controls were closer to 1.0 for the PFS endpoint than for the OS endpoint. An exploratory assessment of rwRR in RWD revealed a slight but nonsignificant overestimation of RCT ORR, which was unconfounded by baseline characteristics.\n            \n            \n              Conclusions:\n              RWD can be used to reasonably replicate the OS and PFS of chemotherapy control arms of first-line NSCLC RCTs. Additional studies can provide greater insight into the utility of RWD in drug development.","container-title":"Clinical Cancer Research","DOI":"10.1158/1078-0432.CCR-22-0471","ISSN":"1078-0432, 1557-3265","issue":"13","language":"en","page":"2844-2853","source":"DOI.org (Crossref)","title":"Replication of Overall Survival, Progression-Free Survival, and Overall Response in Chemotherapy Arms of Non–Small Cell Lung Cancer Trials Using Real-World Data","volume":"28","author":[{"family":"Ton","given":"Thanh G.N."},{"family":"Pal","given":"Navdeep"},{"family":"Trinh","given":"Huong"},{"family":"Mahrus","given":"Sami"},{"family":"Bretscher","given":"Michael T."},{"family":"Machado","given":"Robson J.M."},{"family":"Sadetsky","given":"Natalia"},{"family":"Chaudhary","given":"Nayan"},{"family":"Lu","given":"Michael W."},{"family":"Riely","given":"Gregory J."}],"issued":{"date-parts":[["2022",7,1]]}}},{"id":8681,"uris":["http://zotero.org/groups/4549131/items/4H3L2BHZ"],"itemData":{"id":8681,"type":"article-journal","abstract":"PURPOSE\n              Large, generalizable real-world data can enhance traditional clinical trial results. The current study evaluates reliability, clinical relevance, and large-scale feasibility for a previously documented method with which to characterize cancer progression outcomes in advanced non–small-cell lung cancer from electronic health record (EHR) data.\n            \n            \n              METHODS\n              Patients who were diagnosed with advanced non–small-cell lung cancer between January 1, 2011, and February 28, 2018, with two or more EHR-documented visits and one or more systemic therapy line initiated were identified in Flatiron Health’s longitudinal EHR-derived database. After institutional review board approval, we retrospectively characterized real-world progression (rwP) dates, with a random duplicate sample to ascertain interabstractor agreement. We calculated real-world progression-free survival, real-world time to progression, real-world time to next treatment, and overall survival (OS) using the Kaplan-Meier method (index date was the date of first-line therapy initiation), and correlations between OS and other end points were assessed at the patient level (Spearman’s ρ).\n            \n            \n              RESULTS\n              Of 30,276 eligible patients,16,606 (55%) had one or more rwP event. Of these patients, 11,366 (68%) had subsequent death, treatment discontinuation, or new treatment initiation. Correlation of real-world progression-free survival with OS was moderate to high (Spearman’s ρ, 0.76; 95% CI, 0.75 to 0.77; evaluable patients, n = 20,020), and for real-world time to progression correlation with OS was lower (Spearman’s ρ, 0.69; 95% CI, 0.68 to 0.70; evaluable patients, n = 11,902). Interabstractor agreement on rwP occurrence was 0.94 (duplicate sample, n = 1,065) and on rwP date 0.85 (95% CI, 0.81 to 0.89; evaluable patients n = 358 [patients with two independent event captures within 30 days]). Median rwP abstraction time from individual EHRs was 18.0 minutes (interquartile range, 9.7 to 34.4 minutes).\n            \n            \n              CONCLUSION\n              We demonstrated that rwP-based end points correlate with OS, and that rwP curation from a large, contemporary EHR data set can be reliable, clinically relevant, and feasible on a large scale.","container-title":"JCO Clinical Cancer Informatics","DOI":"10.1200/CCI.19.00013","ISSN":"2473-4276","issue":"3","journalAbbreviation":"JCO Clinical Cancer Informatics","language":"en","page":"1-13","source":"DOI.org (Crossref)","title":"Characterizing the Feasibility and Performance of Real-World Tumor Progression End Points and Their Association With Overall Survival in a Large Advanced Non–Small-Cell Lung Cancer Data Set","author":[{"family":"Griffith","given":"Sandra D."},{"family":"Miksad","given":"Rebecca A."},{"family":"Calkins","given":"Geoff"},{"family":"You","given":"Paul"},{"family":"Lipitz","given":"Nicole G."},{"family":"Bourla","given":"Ariel B."},{"family":"Williams","given":"Erin"},{"family":"George","given":"Daniel J."},{"family":"Schrag","given":"Deborah"},{"family":"Khozin","given":"Sean"},{"family":"Capra","given":"William B."},{"family":"Taylor","given":"Michael D."},{"family":"Abernethy","given":"Amy P."}],"issued":{"date-parts":[["2019",12]]}}},{"id":8680,"uris":["http://zotero.org/groups/4549131/items/Z4X62CSR"],"itemData":{"id":8680,"type":"article-journal","abstract":"Evaluating cancer treatments in real‐world data (RWD) requires informative endpoints. This study replicated the atezolizumab and docetaxel arms of the OAK trial using RWD and compared progression‐free survival (PFS) outcomes derived from abstracted physician's notes in RWD (rwPFS) against PFS outcomes derived from the clinical trial PFS (ctPFS). Atezolizumab and docetaxel arms of the phase III OAK randomized controlled trial (RCT; NCT02008227) were replicated in a US nationwide real‐world database using selected OAK inclusion/exclusion criteria and propensity score‐based adjustment for baseline prognostic variables. Concordance of outcomes was assessed using Kaplan–Meier medians and hazard ratios (HRs). The RWD cohorts comprised 133 patients on atezolizumab and 479 patients on docetaxel. After adjustment, prognostic variables were balanced between RCT arms and corresponding RWD cohorts. The rwPFS and ctPFS outcomes showed better concordance for docetaxel (2.99 vs. 3.52 months; HR: 0.99, 95% confidence interval (CI): 0.85–1.15) than for atezolizumab (3.71 vs. 2.76 months; HR: 0.8, 95% CI: 0.61–1.02). Excluding events labeled “pseudo‐progression” from both RWD and RCT improved concordance for atezolizumab (4.24 vs. 4.14 months; HR: 0.95, 95% CI: 0.70–1.25). These findings were robust across sensitivity analyses. Replicating RCTs using RWD and comparing outcomes can help characterize RWD endpoints. Similarity of results between rwPFS and ctPFS at the cohort level may depend on drug category, highlighting the need for further studies to verify and understand when the corresponding outcomes can be compared, including within the same patient.","container-title":"Clinical Pharmacology &amp; Therapeutics","DOI":"10.1002/cpt.3045","ISSN":"0009-9236, 1532-6535","issue":"6","journalAbbreviation":"Clin Pharma and Therapeutics","language":"en","page":"1313-1322","source":"DOI.org (Crossref)","title":"Real‐World Progression‐Free Survival as an Endpoint in Lung Cancer: Replicating Atezolizumab and Docetaxel Arms of the OAK Trial Using Real‐World Data","title-short":"Real‐World Progression‐Free Survival as an Endpoint in Lung Cancer","volume":"114","author":[{"family":"Mhatre","given":"Shivani K."},{"family":"Machado","given":"Robson J. M."},{"family":"Ton","given":"Thanh G. N."},{"family":"Trinh","given":"Huong"},{"family":"Mazieres","given":"Julien"},{"family":"Rittmeyer","given":"Achim"},{"family":"Bretscher","given":"Michael T."}],"issued":{"date-parts":[["2023",12]]}}}],"schema":"https://github.com/citation-style-language/schema/raw/master/csl-citation.json"} </w:instrText>
      </w:r>
      <w:r w:rsidR="00512572" w:rsidRPr="003A3035">
        <w:rPr>
          <w:color w:val="auto"/>
        </w:rPr>
        <w:fldChar w:fldCharType="separate"/>
      </w:r>
      <w:r w:rsidR="004A64A5" w:rsidRPr="003A3035">
        <w:t>(15–17)</w:t>
      </w:r>
      <w:r w:rsidR="00512572" w:rsidRPr="003A3035">
        <w:rPr>
          <w:color w:val="auto"/>
        </w:rPr>
        <w:fldChar w:fldCharType="end"/>
      </w:r>
      <w:r w:rsidRPr="003A3035">
        <w:rPr>
          <w:color w:val="auto"/>
        </w:rPr>
        <w:t xml:space="preserve">. It was demonstrated </w:t>
      </w:r>
      <w:proofErr w:type="spellStart"/>
      <w:r w:rsidRPr="003A3035">
        <w:rPr>
          <w:color w:val="auto"/>
        </w:rPr>
        <w:t>thant</w:t>
      </w:r>
      <w:proofErr w:type="spellEnd"/>
      <w:r w:rsidRPr="003A3035">
        <w:rPr>
          <w:color w:val="auto"/>
        </w:rPr>
        <w:t xml:space="preserve"> </w:t>
      </w:r>
      <w:proofErr w:type="spellStart"/>
      <w:r w:rsidRPr="003A3035">
        <w:rPr>
          <w:color w:val="auto"/>
        </w:rPr>
        <w:t>rwPFS</w:t>
      </w:r>
      <w:proofErr w:type="spellEnd"/>
      <w:r w:rsidRPr="003A3035">
        <w:rPr>
          <w:color w:val="auto"/>
        </w:rPr>
        <w:t xml:space="preserve"> can reasonably replicate the PFS of chemotherapy control arms</w:t>
      </w:r>
      <w:r w:rsidR="001902EA" w:rsidRPr="003A3035">
        <w:rPr>
          <w:color w:val="auto"/>
        </w:rPr>
        <w:fldChar w:fldCharType="begin"/>
      </w:r>
      <w:r w:rsidR="004A64A5" w:rsidRPr="003A3035">
        <w:rPr>
          <w:color w:val="auto"/>
        </w:rPr>
        <w:instrText xml:space="preserve"> ADDIN ZOTERO_ITEM CSL_CITATION {"citationID":"PZpdmKUE","properties":{"formattedCitation":"(15)","plainCitation":"(15)","noteIndex":0},"citationItems":[{"id":8678,"uris":["http://zotero.org/groups/4549131/items/K3LAXF6L"],"itemData":{"id":8678,"type":"article-journal","abstract":"Abstract\n            \n              Purpose:\n              The utility of real-world data (RWD) for use as external controls in drug development is informed by studies that replicate trial control arms for different endpoints. The purpose of this study was to replicate control arms from four non–small cell lung cancer (NSCLC) randomized controlled trials (RCT) to analyze overall survival (OS), progression-free survival (PFS), and overall response rate (ORR) using RWD.\n            \n            \n              Patients and Methods:\n              This study used RWD from a nationwide de-identified database and a clinico-genomic database to replicate OS, PFS, and ORR endpoints in the chemotherapy control arms of four first-line NSCLC RCTs evaluating atezolizumab [IMpower150–wild-type (WT), IMpower130-WT, IMpower131, and IMpower132]. Additional objectives were to develop a definition of real-world PFS (rwPFS) and to evaluate the real-world response rate (rwRR) endpoint.\n            \n            \n              Results:\n              Baseline demographic and clinical characteristics were balanced after application of propensity score weighting methods. For rwPFS and OS, RWD external controls were generally similar to their RCT control counterparts. Across all four trials, the hazard ratio (HR) point estimates comparing trial controls with external controls were closer to 1.0 for the PFS endpoint than for the OS endpoint. An exploratory assessment of rwRR in RWD revealed a slight but nonsignificant overestimation of RCT ORR, which was unconfounded by baseline characteristics.\n            \n            \n              Conclusions:\n              RWD can be used to reasonably replicate the OS and PFS of chemotherapy control arms of first-line NSCLC RCTs. Additional studies can provide greater insight into the utility of RWD in drug development.","container-title":"Clinical Cancer Research","DOI":"10.1158/1078-0432.CCR-22-0471","ISSN":"1078-0432, 1557-3265","issue":"13","language":"en","page":"2844-2853","source":"DOI.org (Crossref)","title":"Replication of Overall Survival, Progression-Free Survival, and Overall Response in Chemotherapy Arms of Non–Small Cell Lung Cancer Trials Using Real-World Data","volume":"28","author":[{"family":"Ton","given":"Thanh G.N."},{"family":"Pal","given":"Navdeep"},{"family":"Trinh","given":"Huong"},{"family":"Mahrus","given":"Sami"},{"family":"Bretscher","given":"Michael T."},{"family":"Machado","given":"Robson J.M."},{"family":"Sadetsky","given":"Natalia"},{"family":"Chaudhary","given":"Nayan"},{"family":"Lu","given":"Michael W."},{"family":"Riely","given":"Gregory J."}],"issued":{"date-parts":[["2022",7,1]]}}}],"schema":"https://github.com/citation-style-language/schema/raw/master/csl-citation.json"} </w:instrText>
      </w:r>
      <w:r w:rsidR="001902EA" w:rsidRPr="003A3035">
        <w:rPr>
          <w:color w:val="auto"/>
        </w:rPr>
        <w:fldChar w:fldCharType="separate"/>
      </w:r>
      <w:r w:rsidR="004A64A5" w:rsidRPr="003A3035">
        <w:t>(15)</w:t>
      </w:r>
      <w:r w:rsidR="001902EA" w:rsidRPr="003A3035">
        <w:rPr>
          <w:color w:val="auto"/>
        </w:rPr>
        <w:fldChar w:fldCharType="end"/>
      </w:r>
      <w:r w:rsidRPr="003A3035">
        <w:rPr>
          <w:color w:val="auto"/>
        </w:rPr>
        <w:t>.</w:t>
      </w:r>
    </w:p>
    <w:p w14:paraId="452181BD" w14:textId="6D59DF58" w:rsidR="00CD7491" w:rsidRPr="003A3035" w:rsidRDefault="7C046834" w:rsidP="007D4215">
      <w:pPr>
        <w:rPr>
          <w:color w:val="auto"/>
        </w:rPr>
      </w:pPr>
      <w:r w:rsidRPr="003A3035">
        <w:rPr>
          <w:color w:val="auto"/>
        </w:rPr>
        <w:t xml:space="preserve">Finally, as real-world tumor assessments are less frequent, it is reasonable to assume that the potential bias between </w:t>
      </w:r>
      <w:proofErr w:type="spellStart"/>
      <w:r w:rsidRPr="003A3035">
        <w:rPr>
          <w:color w:val="auto"/>
        </w:rPr>
        <w:t>rwPFS</w:t>
      </w:r>
      <w:proofErr w:type="spellEnd"/>
      <w:r w:rsidRPr="003A3035">
        <w:rPr>
          <w:color w:val="auto"/>
        </w:rPr>
        <w:t xml:space="preserve"> and PFS could be to the detriment of the </w:t>
      </w:r>
      <w:proofErr w:type="spellStart"/>
      <w:r w:rsidRPr="003A3035">
        <w:rPr>
          <w:color w:val="auto"/>
        </w:rPr>
        <w:t>entrectinib</w:t>
      </w:r>
      <w:proofErr w:type="spellEnd"/>
      <w:r w:rsidRPr="003A3035">
        <w:rPr>
          <w:color w:val="auto"/>
        </w:rPr>
        <w:t xml:space="preserve"> arm, as progression may be detected later in real life, artificially lengthening the progression-free survival curve of the ESME (chemotherapy) arm, which is conservative.</w:t>
      </w:r>
    </w:p>
    <w:p w14:paraId="1E72E704" w14:textId="7DA75652" w:rsidR="00CD7491" w:rsidRPr="003A3035" w:rsidRDefault="00CD7491" w:rsidP="007D4215">
      <w:pPr>
        <w:ind w:left="1080" w:hanging="360"/>
        <w:rPr>
          <w:b/>
          <w:bCs/>
        </w:rPr>
      </w:pPr>
    </w:p>
    <w:p w14:paraId="1F758ABF" w14:textId="5CC2A217" w:rsidR="00CD7491" w:rsidRPr="003A3035" w:rsidRDefault="76FB3E54" w:rsidP="007D4215">
      <w:pPr>
        <w:pStyle w:val="Paragraphedeliste"/>
        <w:numPr>
          <w:ilvl w:val="0"/>
          <w:numId w:val="16"/>
        </w:numPr>
        <w:rPr>
          <w:b/>
          <w:bCs/>
        </w:rPr>
      </w:pPr>
      <w:r w:rsidRPr="003A3035">
        <w:rPr>
          <w:b/>
          <w:bCs/>
        </w:rPr>
        <w:t xml:space="preserve">Limitation of the choice of the </w:t>
      </w:r>
      <w:r w:rsidR="4107CA42" w:rsidRPr="003A3035">
        <w:rPr>
          <w:b/>
          <w:bCs/>
        </w:rPr>
        <w:t>efficacy measure</w:t>
      </w:r>
    </w:p>
    <w:p w14:paraId="5F99DC6A" w14:textId="2ACEFDE9" w:rsidR="00CD7491" w:rsidRPr="003A3035" w:rsidRDefault="3BEC22AA" w:rsidP="6EBB0BD4">
      <w:pPr>
        <w:rPr>
          <w:color w:val="D13438"/>
          <w:u w:val="single"/>
        </w:rPr>
      </w:pPr>
      <w:r w:rsidRPr="003A3035">
        <w:rPr>
          <w:color w:val="auto"/>
        </w:rPr>
        <w:t>Despite the strong underlying assumptions, the hazard ratio metric is widely used to estimate the effectiveness of a time-to-event endpoint. However, other metrics could have been used, such as t</w:t>
      </w:r>
      <w:r w:rsidR="4282B981" w:rsidRPr="003A3035">
        <w:rPr>
          <w:color w:val="auto"/>
        </w:rPr>
        <w:t xml:space="preserve">he restricted mean survival time difference as it does not require prior assumptions on the hazards of the groups being compared. Some authors argue </w:t>
      </w:r>
      <w:r w:rsidR="00525F32" w:rsidRPr="003A3035">
        <w:rPr>
          <w:color w:val="D13438"/>
          <w:u w:val="single"/>
        </w:rPr>
        <w:fldChar w:fldCharType="begin"/>
      </w:r>
      <w:r w:rsidR="004A64A5" w:rsidRPr="003A3035">
        <w:rPr>
          <w:color w:val="D13438"/>
          <w:u w:val="single"/>
        </w:rPr>
        <w:instrText xml:space="preserve"> ADDIN ZOTERO_ITEM CSL_CITATION {"citationID":"ZrDYGQgm","properties":{"formattedCitation":"(18)","plainCitation":"(18)","noteIndex":0},"citationItems":[{"id":8704,"uris":["http://zotero.org/groups/4549131/items/ALJ3BHKC"],"itemData":{"id":8704,"type":"article-journal","container-title":"Statistics in Medicine","DOI":"10.1002/sim.8971","ISSN":"0277-6715, 1097-0258","issue":"28","journalAbbreviation":"Statistics in Medicine","language":"en","page":"6235-6242","source":"DOI.org (Crossref)","title":"Choosing clinically interpretable summary measures and robust analytic procedures for quantifying the treatment difference in comparative clinical studies","volume":"40","author":[{"family":"McCaw","given":"Zachary R."},{"family":"Tian","given":"Lu"},{"family":"Wei","given":"Jiawei"},{"family":"Claggett","given":"Brian Lee"},{"family":"Bretz","given":"Frank"},{"family":"Fitzmaurice","given":"Garrett"},{"family":"Wei","given":"Lee‐Jen"}],"issued":{"date-parts":[["2021",12,10]]}}}],"schema":"https://github.com/citation-style-language/schema/raw/master/csl-citation.json"} </w:instrText>
      </w:r>
      <w:r w:rsidR="00525F32" w:rsidRPr="003A3035">
        <w:rPr>
          <w:color w:val="D13438"/>
          <w:u w:val="single"/>
        </w:rPr>
        <w:fldChar w:fldCharType="separate"/>
      </w:r>
      <w:r w:rsidR="004A64A5" w:rsidRPr="003A3035">
        <w:t>(18)</w:t>
      </w:r>
      <w:r w:rsidR="00525F32" w:rsidRPr="003A3035">
        <w:rPr>
          <w:color w:val="D13438"/>
          <w:u w:val="single"/>
        </w:rPr>
        <w:fldChar w:fldCharType="end"/>
      </w:r>
      <w:r w:rsidR="4107CA42" w:rsidRPr="003A3035">
        <w:rPr>
          <w:color w:val="000000" w:themeColor="text1"/>
        </w:rPr>
        <w:t xml:space="preserve"> that estimates of treatment efficacy should be clinically-interpretable and, to the greatest extent possible, assumption-free. </w:t>
      </w:r>
      <w:r w:rsidR="4765F844" w:rsidRPr="003A3035">
        <w:rPr>
          <w:color w:val="000000" w:themeColor="text1"/>
        </w:rPr>
        <w:t xml:space="preserve">To this end, the </w:t>
      </w:r>
      <w:r w:rsidR="4107CA42" w:rsidRPr="003A3035">
        <w:rPr>
          <w:color w:val="000000" w:themeColor="text1"/>
        </w:rPr>
        <w:t xml:space="preserve">pseudo-value approach of Andersen </w:t>
      </w:r>
      <w:r w:rsidR="008917BF" w:rsidRPr="003A3035">
        <w:rPr>
          <w:color w:val="000000" w:themeColor="text1"/>
        </w:rPr>
        <w:fldChar w:fldCharType="begin"/>
      </w:r>
      <w:r w:rsidR="004A64A5" w:rsidRPr="003A3035">
        <w:rPr>
          <w:color w:val="000000" w:themeColor="text1"/>
        </w:rPr>
        <w:instrText xml:space="preserve"> ADDIN ZOTERO_ITEM CSL_CITATION {"citationID":"L6pSy4jC","properties":{"formattedCitation":"(19)","plainCitation":"(19)","noteIndex":0},"citationItems":[{"id":8683,"uris":["http://zotero.org/groups/4549131/items/LQTKCADX"],"itemData":{"id":8683,"type":"article-journal","abstract":"We review recent work on the application of pseudo-observations in survival and event history analysis. This includes regression models for parameters like the survival function in a single point, the restricted mean survival time and transition or state occupation probabilities in multi-state models, e.g. the competing risks cumulative incidence function. Graphical and numerical methods for assessing goodness-of-fit for hazard regression models and for the Fine—Gray model in competing risks studies based on pseudo-observations are also reviewed. Sensitivity to covariate-dependent censoring is studied. The methods are illustrated using a data set from bone marrow transplantation.","container-title":"Statistical Methods in Medical Research","DOI":"10.1177/0962280209105020","ISSN":"0962-2802, 1477-0334","issue":"1","journalAbbreviation":"Stat Methods Med Res","language":"en","license":"https://journals.sagepub.com/page/policies/text-and-data-mining-license","page":"71-99","source":"DOI.org (Crossref)","title":"Pseudo-observations in survival analysis","volume":"19","author":[{"family":"Andersen","given":"Per Kragh"},{"family":"Pohar Perme","given":"Maja"}],"issued":{"date-parts":[["2010",2]]}}}],"schema":"https://github.com/citation-style-language/schema/raw/master/csl-citation.json"} </w:instrText>
      </w:r>
      <w:r w:rsidR="008917BF" w:rsidRPr="003A3035">
        <w:rPr>
          <w:color w:val="000000" w:themeColor="text1"/>
        </w:rPr>
        <w:fldChar w:fldCharType="separate"/>
      </w:r>
      <w:r w:rsidR="004A64A5" w:rsidRPr="003A3035">
        <w:t>(19)</w:t>
      </w:r>
      <w:r w:rsidR="008917BF" w:rsidRPr="003A3035">
        <w:rPr>
          <w:color w:val="000000" w:themeColor="text1"/>
        </w:rPr>
        <w:fldChar w:fldCharType="end"/>
      </w:r>
      <w:r w:rsidR="4107CA42" w:rsidRPr="003A3035">
        <w:rPr>
          <w:color w:val="000000" w:themeColor="text1"/>
        </w:rPr>
        <w:t>, or the estimating-equation approach of Tian</w:t>
      </w:r>
      <w:r w:rsidR="005C38A4" w:rsidRPr="003A3035">
        <w:rPr>
          <w:color w:val="000000" w:themeColor="text1"/>
        </w:rPr>
        <w:t xml:space="preserve"> </w:t>
      </w:r>
      <w:r w:rsidR="00037AA8" w:rsidRPr="003A3035">
        <w:rPr>
          <w:color w:val="000000" w:themeColor="text1"/>
        </w:rPr>
        <w:fldChar w:fldCharType="begin"/>
      </w:r>
      <w:r w:rsidR="004A64A5" w:rsidRPr="003A3035">
        <w:rPr>
          <w:color w:val="000000" w:themeColor="text1"/>
        </w:rPr>
        <w:instrText xml:space="preserve"> ADDIN ZOTERO_ITEM CSL_CITATION {"citationID":"tMTGnuaZ","properties":{"formattedCitation":"(20)","plainCitation":"(20)","noteIndex":0},"citationItems":[{"id":8684,"uris":["http://zotero.org/groups/4549131/items/Y9R8Q2E9"],"itemData":{"id":8684,"type":"article-journal","container-title":"Biostatistics","DOI":"10.1093/biostatistics/kxt050","ISSN":"1465-4644, 1468-4357","issue":"2","journalAbbreviation":"Biostatistics","language":"en","page":"222-233","source":"DOI.org (Crossref)","title":"Predicting the restricted mean event time with the subject's baseline covariates in survival analysis","volume":"15","author":[{"family":"Tian","given":"L."},{"family":"Zhao","given":"L."},{"family":"Wei","given":"L. J."}],"issued":{"date-parts":[["2014",4,1]]}}}],"schema":"https://github.com/citation-style-language/schema/raw/master/csl-citation.json"} </w:instrText>
      </w:r>
      <w:r w:rsidR="00037AA8" w:rsidRPr="003A3035">
        <w:rPr>
          <w:color w:val="000000" w:themeColor="text1"/>
        </w:rPr>
        <w:fldChar w:fldCharType="separate"/>
      </w:r>
      <w:r w:rsidR="004A64A5" w:rsidRPr="003A3035">
        <w:t>(20)</w:t>
      </w:r>
      <w:r w:rsidR="00037AA8" w:rsidRPr="003A3035">
        <w:rPr>
          <w:color w:val="000000" w:themeColor="text1"/>
        </w:rPr>
        <w:fldChar w:fldCharType="end"/>
      </w:r>
      <w:r w:rsidR="1E54A80F" w:rsidRPr="003A3035">
        <w:rPr>
          <w:color w:val="000000" w:themeColor="text1"/>
        </w:rPr>
        <w:t xml:space="preserve"> could be used</w:t>
      </w:r>
      <w:r w:rsidR="4107CA42" w:rsidRPr="003A3035">
        <w:rPr>
          <w:color w:val="000000" w:themeColor="text1"/>
        </w:rPr>
        <w:t>.</w:t>
      </w:r>
    </w:p>
    <w:p w14:paraId="561B82E6" w14:textId="3553D609" w:rsidR="00CD7491" w:rsidRPr="003A3035" w:rsidRDefault="00CD7491" w:rsidP="6EBB0BD4">
      <w:pPr>
        <w:rPr>
          <w:b/>
          <w:bCs/>
        </w:rPr>
      </w:pPr>
    </w:p>
    <w:p w14:paraId="3F1814BE" w14:textId="6E6ACF2C" w:rsidR="00CD7491" w:rsidRPr="003A3035" w:rsidRDefault="1C894803" w:rsidP="007D4215">
      <w:pPr>
        <w:pStyle w:val="Paragraphedeliste"/>
        <w:numPr>
          <w:ilvl w:val="0"/>
          <w:numId w:val="16"/>
        </w:numPr>
        <w:rPr>
          <w:b/>
          <w:bCs/>
        </w:rPr>
      </w:pPr>
      <w:r w:rsidRPr="003A3035">
        <w:rPr>
          <w:b/>
          <w:bCs/>
        </w:rPr>
        <w:t>Limitation of the overlap assumption</w:t>
      </w:r>
      <w:r w:rsidR="78CFDB2D" w:rsidRPr="003A3035">
        <w:rPr>
          <w:b/>
          <w:bCs/>
        </w:rPr>
        <w:t xml:space="preserve"> (eligibility criteria)</w:t>
      </w:r>
    </w:p>
    <w:p w14:paraId="305D72BD" w14:textId="2A119984" w:rsidR="00CD7491" w:rsidRPr="003A3035" w:rsidRDefault="5BD7E85B" w:rsidP="6EBB0BD4">
      <w:pPr>
        <w:shd w:val="clear" w:color="auto" w:fill="FFFFFF" w:themeFill="background1"/>
        <w:rPr>
          <w:color w:val="000000" w:themeColor="text1"/>
        </w:rPr>
      </w:pPr>
      <w:r w:rsidRPr="003A3035">
        <w:rPr>
          <w:color w:val="000000" w:themeColor="text1"/>
        </w:rPr>
        <w:t>Aggregate data of 1</w:t>
      </w:r>
      <w:r w:rsidRPr="003A3035">
        <w:rPr>
          <w:color w:val="000000" w:themeColor="text1"/>
          <w:vertAlign w:val="superscript"/>
        </w:rPr>
        <w:t>st</w:t>
      </w:r>
      <w:r w:rsidRPr="003A3035">
        <w:rPr>
          <w:color w:val="000000" w:themeColor="text1"/>
        </w:rPr>
        <w:t xml:space="preserve">-line patients on </w:t>
      </w:r>
      <w:proofErr w:type="spellStart"/>
      <w:r w:rsidRPr="003A3035">
        <w:rPr>
          <w:color w:val="000000" w:themeColor="text1"/>
        </w:rPr>
        <w:t>entrectinib</w:t>
      </w:r>
      <w:proofErr w:type="spellEnd"/>
      <w:r w:rsidRPr="003A3035">
        <w:rPr>
          <w:color w:val="000000" w:themeColor="text1"/>
        </w:rPr>
        <w:t xml:space="preserve"> included 3 patients out of 60</w:t>
      </w:r>
      <w:r w:rsidR="3715CD2F" w:rsidRPr="003A3035">
        <w:rPr>
          <w:color w:val="000000" w:themeColor="text1"/>
        </w:rPr>
        <w:t xml:space="preserve"> (5%)</w:t>
      </w:r>
      <w:r w:rsidRPr="003A3035">
        <w:rPr>
          <w:color w:val="000000" w:themeColor="text1"/>
        </w:rPr>
        <w:t xml:space="preserve"> that are treated at a locally advanced stage. However, we decided to consider only patients with metastatic stages in the ESME data because it would have been too difficult, if not impossible, to adjust the ESME population for disease stage when there were only 3 affected patients in the </w:t>
      </w:r>
      <w:proofErr w:type="spellStart"/>
      <w:r w:rsidRPr="003A3035">
        <w:rPr>
          <w:color w:val="000000" w:themeColor="text1"/>
        </w:rPr>
        <w:t>entrectinib</w:t>
      </w:r>
      <w:proofErr w:type="spellEnd"/>
      <w:r w:rsidRPr="003A3035">
        <w:rPr>
          <w:color w:val="000000" w:themeColor="text1"/>
        </w:rPr>
        <w:t xml:space="preserve"> arm (large imbalance</w:t>
      </w:r>
      <w:r w:rsidR="5DA5F50E" w:rsidRPr="003A3035">
        <w:rPr>
          <w:color w:val="000000" w:themeColor="text1"/>
        </w:rPr>
        <w:t xml:space="preserve"> between arms,</w:t>
      </w:r>
      <w:r w:rsidRPr="003A3035">
        <w:rPr>
          <w:color w:val="000000" w:themeColor="text1"/>
        </w:rPr>
        <w:t xml:space="preserve"> significant loss of </w:t>
      </w:r>
      <w:r w:rsidR="670BF680" w:rsidRPr="003A3035">
        <w:rPr>
          <w:color w:val="000000" w:themeColor="text1"/>
        </w:rPr>
        <w:t xml:space="preserve">the </w:t>
      </w:r>
      <w:r w:rsidR="2A0475CC" w:rsidRPr="003A3035">
        <w:rPr>
          <w:color w:val="000000" w:themeColor="text1"/>
        </w:rPr>
        <w:t>Effective</w:t>
      </w:r>
      <w:r w:rsidR="5EBF13C4" w:rsidRPr="003A3035">
        <w:rPr>
          <w:color w:val="000000" w:themeColor="text1"/>
        </w:rPr>
        <w:t xml:space="preserve"> </w:t>
      </w:r>
      <w:r w:rsidRPr="003A3035">
        <w:rPr>
          <w:color w:val="000000" w:themeColor="text1"/>
        </w:rPr>
        <w:t>S</w:t>
      </w:r>
      <w:r w:rsidR="3F27665F" w:rsidRPr="003A3035">
        <w:rPr>
          <w:color w:val="000000" w:themeColor="text1"/>
        </w:rPr>
        <w:t xml:space="preserve">ample </w:t>
      </w:r>
      <w:r w:rsidRPr="003A3035">
        <w:rPr>
          <w:color w:val="000000" w:themeColor="text1"/>
        </w:rPr>
        <w:t>S</w:t>
      </w:r>
      <w:r w:rsidR="409D876F" w:rsidRPr="003A3035">
        <w:rPr>
          <w:color w:val="000000" w:themeColor="text1"/>
        </w:rPr>
        <w:t>ize (ESS)</w:t>
      </w:r>
      <w:r w:rsidR="47FCCD03" w:rsidRPr="003A3035">
        <w:rPr>
          <w:color w:val="000000" w:themeColor="text1"/>
        </w:rPr>
        <w:t>, and</w:t>
      </w:r>
      <w:r w:rsidRPr="003A3035">
        <w:rPr>
          <w:color w:val="000000" w:themeColor="text1"/>
        </w:rPr>
        <w:t xml:space="preserve"> unreliable adjustment). In fact, with only 30 ROS1+ </w:t>
      </w:r>
      <w:r w:rsidR="0B254A62" w:rsidRPr="003A3035">
        <w:rPr>
          <w:color w:val="000000" w:themeColor="text1"/>
        </w:rPr>
        <w:t xml:space="preserve">1L </w:t>
      </w:r>
      <w:r w:rsidRPr="003A3035">
        <w:rPr>
          <w:color w:val="000000" w:themeColor="text1"/>
        </w:rPr>
        <w:t xml:space="preserve">metastatic patients in ESME, to obtain 5% locally advanced ESME patients, we would have to </w:t>
      </w:r>
      <w:r w:rsidR="1141E5F7" w:rsidRPr="003A3035">
        <w:rPr>
          <w:color w:val="000000" w:themeColor="text1"/>
        </w:rPr>
        <w:t>sample</w:t>
      </w:r>
      <w:r w:rsidRPr="003A3035">
        <w:rPr>
          <w:color w:val="000000" w:themeColor="text1"/>
        </w:rPr>
        <w:t xml:space="preserve"> "between 1 and 2" locally advanced patient</w:t>
      </w:r>
      <w:r w:rsidR="7D7C3076" w:rsidRPr="003A3035">
        <w:rPr>
          <w:color w:val="000000" w:themeColor="text1"/>
        </w:rPr>
        <w:t>(</w:t>
      </w:r>
      <w:r w:rsidRPr="003A3035">
        <w:rPr>
          <w:color w:val="000000" w:themeColor="text1"/>
        </w:rPr>
        <w:t>s</w:t>
      </w:r>
      <w:r w:rsidR="38FFCF3C" w:rsidRPr="003A3035">
        <w:rPr>
          <w:color w:val="000000" w:themeColor="text1"/>
        </w:rPr>
        <w:t>)</w:t>
      </w:r>
      <w:r w:rsidRPr="003A3035">
        <w:rPr>
          <w:color w:val="000000" w:themeColor="text1"/>
        </w:rPr>
        <w:t xml:space="preserve"> in the </w:t>
      </w:r>
      <w:r w:rsidR="79347499" w:rsidRPr="003A3035">
        <w:rPr>
          <w:color w:val="000000" w:themeColor="text1"/>
        </w:rPr>
        <w:t xml:space="preserve">chemotherapy </w:t>
      </w:r>
      <w:r w:rsidRPr="003A3035">
        <w:rPr>
          <w:color w:val="000000" w:themeColor="text1"/>
        </w:rPr>
        <w:t>arm</w:t>
      </w:r>
      <w:r w:rsidR="54B41B25" w:rsidRPr="003A3035">
        <w:rPr>
          <w:color w:val="000000" w:themeColor="text1"/>
        </w:rPr>
        <w:t xml:space="preserve"> (ESME)</w:t>
      </w:r>
      <w:r w:rsidRPr="003A3035">
        <w:rPr>
          <w:color w:val="000000" w:themeColor="text1"/>
        </w:rPr>
        <w:t xml:space="preserve">. In addition, the </w:t>
      </w:r>
      <w:r w:rsidR="3A7AE7E3" w:rsidRPr="003A3035">
        <w:rPr>
          <w:color w:val="000000" w:themeColor="text1"/>
        </w:rPr>
        <w:t>ESS</w:t>
      </w:r>
      <w:r w:rsidRPr="003A3035">
        <w:rPr>
          <w:color w:val="000000" w:themeColor="text1"/>
        </w:rPr>
        <w:t xml:space="preserve"> of these patients would be further reduced after weighting. Therefore, we </w:t>
      </w:r>
      <w:r w:rsidRPr="003A3035">
        <w:rPr>
          <w:color w:val="000000" w:themeColor="text1"/>
        </w:rPr>
        <w:lastRenderedPageBreak/>
        <w:t xml:space="preserve">found it implausible to claim that we were evaluating the efficacy of </w:t>
      </w:r>
      <w:proofErr w:type="spellStart"/>
      <w:r w:rsidRPr="003A3035">
        <w:rPr>
          <w:color w:val="000000" w:themeColor="text1"/>
        </w:rPr>
        <w:t>entrectinib</w:t>
      </w:r>
      <w:proofErr w:type="spellEnd"/>
      <w:r w:rsidRPr="003A3035">
        <w:rPr>
          <w:color w:val="000000" w:themeColor="text1"/>
        </w:rPr>
        <w:t xml:space="preserve"> in a "representative" population with a mix of locally advanced and metastatic patients, when 95% of patients are</w:t>
      </w:r>
      <w:r w:rsidR="352C6774" w:rsidRPr="003A3035">
        <w:rPr>
          <w:color w:val="000000" w:themeColor="text1"/>
        </w:rPr>
        <w:t xml:space="preserve"> at a</w:t>
      </w:r>
      <w:r w:rsidRPr="003A3035">
        <w:rPr>
          <w:color w:val="000000" w:themeColor="text1"/>
        </w:rPr>
        <w:t xml:space="preserve"> metastatic </w:t>
      </w:r>
      <w:r w:rsidR="77BDE9DE" w:rsidRPr="003A3035">
        <w:rPr>
          <w:color w:val="000000" w:themeColor="text1"/>
        </w:rPr>
        <w:t xml:space="preserve">stage </w:t>
      </w:r>
      <w:r w:rsidRPr="003A3035">
        <w:rPr>
          <w:color w:val="000000" w:themeColor="text1"/>
        </w:rPr>
        <w:t xml:space="preserve">and only 1 to 3 patients are locally advanced </w:t>
      </w:r>
      <w:r w:rsidR="5726220E" w:rsidRPr="003A3035">
        <w:rPr>
          <w:color w:val="000000" w:themeColor="text1"/>
        </w:rPr>
        <w:t>pe</w:t>
      </w:r>
      <w:r w:rsidR="2F5922D5" w:rsidRPr="003A3035">
        <w:rPr>
          <w:color w:val="000000" w:themeColor="text1"/>
        </w:rPr>
        <w:t xml:space="preserve">r </w:t>
      </w:r>
      <w:r w:rsidRPr="003A3035">
        <w:rPr>
          <w:color w:val="000000" w:themeColor="text1"/>
        </w:rPr>
        <w:t>arm.</w:t>
      </w:r>
    </w:p>
    <w:p w14:paraId="66F77A76" w14:textId="0A9F7B80" w:rsidR="00CD7491" w:rsidRPr="003A3035" w:rsidRDefault="00CD7491" w:rsidP="6EBB0BD4">
      <w:pPr>
        <w:shd w:val="clear" w:color="auto" w:fill="FFFFFF" w:themeFill="background1"/>
        <w:rPr>
          <w:color w:val="000000" w:themeColor="text1"/>
        </w:rPr>
      </w:pPr>
    </w:p>
    <w:p w14:paraId="74CBD256" w14:textId="68323BC6" w:rsidR="00CD7491" w:rsidRPr="003A3035" w:rsidRDefault="327D19CB" w:rsidP="007D4215">
      <w:pPr>
        <w:shd w:val="clear" w:color="auto" w:fill="FFFFFF" w:themeFill="background1"/>
        <w:spacing w:after="160"/>
        <w:rPr>
          <w:color w:val="000000" w:themeColor="text1"/>
        </w:rPr>
      </w:pPr>
      <w:r w:rsidRPr="003A3035">
        <w:rPr>
          <w:color w:val="000000" w:themeColor="text1"/>
        </w:rPr>
        <w:t xml:space="preserve">Regarding the potential impact of the absence of locally advanced patients in the </w:t>
      </w:r>
      <w:r w:rsidR="0282E45B" w:rsidRPr="003A3035">
        <w:rPr>
          <w:color w:val="000000" w:themeColor="text1"/>
        </w:rPr>
        <w:t>chemotherapy (</w:t>
      </w:r>
      <w:r w:rsidRPr="003A3035">
        <w:rPr>
          <w:color w:val="000000" w:themeColor="text1"/>
        </w:rPr>
        <w:t>ESME</w:t>
      </w:r>
      <w:r w:rsidR="75F7C9C2" w:rsidRPr="003A3035">
        <w:rPr>
          <w:color w:val="000000" w:themeColor="text1"/>
        </w:rPr>
        <w:t>)</w:t>
      </w:r>
      <w:r w:rsidRPr="003A3035">
        <w:rPr>
          <w:color w:val="000000" w:themeColor="text1"/>
        </w:rPr>
        <w:t xml:space="preserve"> arm, this is considered negligible and unlikely to explain the estimated effect size, considering:  </w:t>
      </w:r>
    </w:p>
    <w:p w14:paraId="1795921D" w14:textId="4861E86E" w:rsidR="00CD7491" w:rsidRPr="003A3035" w:rsidRDefault="1DA0FB68" w:rsidP="007D4215">
      <w:pPr>
        <w:pStyle w:val="Paragraphedeliste"/>
        <w:numPr>
          <w:ilvl w:val="0"/>
          <w:numId w:val="15"/>
        </w:numPr>
        <w:spacing w:before="220" w:after="220"/>
        <w:rPr>
          <w:color w:val="000000" w:themeColor="text1"/>
        </w:rPr>
      </w:pPr>
      <w:r w:rsidRPr="003A3035">
        <w:rPr>
          <w:color w:val="000000" w:themeColor="text1"/>
        </w:rPr>
        <w:t>T</w:t>
      </w:r>
      <w:r w:rsidR="327D19CB" w:rsidRPr="003A3035">
        <w:rPr>
          <w:color w:val="000000" w:themeColor="text1"/>
        </w:rPr>
        <w:t xml:space="preserve">he very small number of locally advanced patients in the </w:t>
      </w:r>
      <w:proofErr w:type="spellStart"/>
      <w:r w:rsidR="327D19CB" w:rsidRPr="003A3035">
        <w:rPr>
          <w:color w:val="000000" w:themeColor="text1"/>
        </w:rPr>
        <w:t>entrectinib</w:t>
      </w:r>
      <w:proofErr w:type="spellEnd"/>
      <w:r w:rsidR="327D19CB" w:rsidRPr="003A3035">
        <w:rPr>
          <w:color w:val="000000" w:themeColor="text1"/>
        </w:rPr>
        <w:t xml:space="preserve"> arm (3 out of 60) </w:t>
      </w:r>
    </w:p>
    <w:p w14:paraId="76C1F3F9" w14:textId="34AE7FA6" w:rsidR="00CD7491" w:rsidRPr="003A3035" w:rsidRDefault="60B1B071" w:rsidP="007D4215">
      <w:pPr>
        <w:pStyle w:val="Paragraphedeliste"/>
        <w:numPr>
          <w:ilvl w:val="0"/>
          <w:numId w:val="14"/>
        </w:numPr>
        <w:spacing w:before="220" w:after="220"/>
        <w:rPr>
          <w:color w:val="000000" w:themeColor="text1"/>
        </w:rPr>
      </w:pPr>
      <w:r w:rsidRPr="003A3035">
        <w:rPr>
          <w:color w:val="000000" w:themeColor="text1"/>
        </w:rPr>
        <w:t xml:space="preserve">No evidence for </w:t>
      </w:r>
      <w:r w:rsidR="6B95D898" w:rsidRPr="003A3035">
        <w:rPr>
          <w:color w:val="000000" w:themeColor="text1"/>
        </w:rPr>
        <w:t xml:space="preserve">PFS </w:t>
      </w:r>
      <w:r w:rsidR="7B41D151" w:rsidRPr="003A3035">
        <w:rPr>
          <w:color w:val="000000" w:themeColor="text1"/>
        </w:rPr>
        <w:t xml:space="preserve">difference between </w:t>
      </w:r>
      <w:r w:rsidR="6B95D898" w:rsidRPr="003A3035">
        <w:rPr>
          <w:color w:val="000000" w:themeColor="text1"/>
        </w:rPr>
        <w:t xml:space="preserve">locally advanced </w:t>
      </w:r>
      <w:r w:rsidR="6F225578" w:rsidRPr="003A3035">
        <w:rPr>
          <w:color w:val="000000" w:themeColor="text1"/>
        </w:rPr>
        <w:t xml:space="preserve">and </w:t>
      </w:r>
      <w:r w:rsidR="6B95D898" w:rsidRPr="003A3035">
        <w:rPr>
          <w:color w:val="000000" w:themeColor="text1"/>
        </w:rPr>
        <w:t xml:space="preserve">metastatic ROS1+ NSCLC patients treated with 1L chemotherapy </w:t>
      </w:r>
    </w:p>
    <w:p w14:paraId="58B338AA" w14:textId="1D07D418" w:rsidR="00CD7491" w:rsidRPr="003A3035" w:rsidRDefault="6B95D898" w:rsidP="007D4215">
      <w:pPr>
        <w:pStyle w:val="Paragraphedeliste"/>
        <w:numPr>
          <w:ilvl w:val="1"/>
          <w:numId w:val="14"/>
        </w:numPr>
        <w:spacing w:before="220" w:after="220"/>
        <w:rPr>
          <w:color w:val="000000" w:themeColor="text1"/>
        </w:rPr>
      </w:pPr>
      <w:r w:rsidRPr="003A3035">
        <w:rPr>
          <w:color w:val="000000" w:themeColor="text1"/>
        </w:rPr>
        <w:t xml:space="preserve">IIIB-IIIC vs. IVA-IVB: HR = 1.051 (0.425-2.600; p = 0.914). Table 2 (ref 1) </w:t>
      </w:r>
    </w:p>
    <w:p w14:paraId="19866A54" w14:textId="04FAE296" w:rsidR="00CD7491" w:rsidRPr="003A3035" w:rsidRDefault="6B95D898" w:rsidP="007D4215">
      <w:pPr>
        <w:pStyle w:val="Paragraphedeliste"/>
        <w:numPr>
          <w:ilvl w:val="1"/>
          <w:numId w:val="14"/>
        </w:numPr>
        <w:spacing w:before="220" w:after="220"/>
        <w:rPr>
          <w:color w:val="000000" w:themeColor="text1"/>
        </w:rPr>
      </w:pPr>
      <w:proofErr w:type="spellStart"/>
      <w:r w:rsidRPr="003A3035">
        <w:rPr>
          <w:color w:val="000000" w:themeColor="text1"/>
        </w:rPr>
        <w:t>IIIb</w:t>
      </w:r>
      <w:proofErr w:type="spellEnd"/>
      <w:r w:rsidRPr="003A3035">
        <w:rPr>
          <w:color w:val="000000" w:themeColor="text1"/>
        </w:rPr>
        <w:t xml:space="preserve"> vs IV: adjusted HR: not found. Univariate HR = 0.851 (0.437-1.661; p= 0.637); Tables 3 and 4 (ref 2) </w:t>
      </w:r>
    </w:p>
    <w:p w14:paraId="138E57AE" w14:textId="69188F0A" w:rsidR="00CD7491" w:rsidRPr="003A3035" w:rsidRDefault="6B95D898" w:rsidP="007D4215">
      <w:pPr>
        <w:pStyle w:val="Paragraphedeliste"/>
        <w:numPr>
          <w:ilvl w:val="0"/>
          <w:numId w:val="14"/>
        </w:numPr>
        <w:spacing w:before="220" w:after="220"/>
        <w:rPr>
          <w:color w:val="000000" w:themeColor="text1"/>
        </w:rPr>
      </w:pPr>
      <w:r w:rsidRPr="003A3035">
        <w:rPr>
          <w:color w:val="000000" w:themeColor="text1"/>
        </w:rPr>
        <w:t xml:space="preserve">A large effect size estimated in our study between the </w:t>
      </w:r>
      <w:proofErr w:type="spellStart"/>
      <w:r w:rsidRPr="003A3035">
        <w:rPr>
          <w:color w:val="000000" w:themeColor="text1"/>
        </w:rPr>
        <w:t>entrectinib</w:t>
      </w:r>
      <w:proofErr w:type="spellEnd"/>
      <w:r w:rsidRPr="003A3035">
        <w:rPr>
          <w:color w:val="000000" w:themeColor="text1"/>
        </w:rPr>
        <w:t xml:space="preserve"> arm and the chemotherapy arm (ESME), i.e. an HR of 0.49.</w:t>
      </w:r>
    </w:p>
    <w:p w14:paraId="4EFB289E" w14:textId="56485316" w:rsidR="00CD7491" w:rsidRPr="003A3035" w:rsidRDefault="0E3F09F3" w:rsidP="007D4215">
      <w:pPr>
        <w:pStyle w:val="Paragraphedeliste"/>
        <w:numPr>
          <w:ilvl w:val="0"/>
          <w:numId w:val="14"/>
        </w:numPr>
        <w:spacing w:before="220" w:after="220"/>
        <w:rPr>
          <w:color w:val="000000" w:themeColor="text1"/>
        </w:rPr>
      </w:pPr>
      <w:r w:rsidRPr="003A3035">
        <w:rPr>
          <w:color w:val="000000" w:themeColor="text1"/>
        </w:rPr>
        <w:t xml:space="preserve">A conservative estimated median PFS </w:t>
      </w:r>
      <w:r w:rsidR="7CA39574" w:rsidRPr="003A3035">
        <w:rPr>
          <w:color w:val="000000" w:themeColor="text1"/>
        </w:rPr>
        <w:t xml:space="preserve">in the chemotherapy (ESME) arm of 10.6 months, which is </w:t>
      </w:r>
      <w:r w:rsidR="6E556DF3" w:rsidRPr="003A3035">
        <w:rPr>
          <w:color w:val="000000" w:themeColor="text1"/>
        </w:rPr>
        <w:t>higher</w:t>
      </w:r>
      <w:r w:rsidR="0F58F2A3" w:rsidRPr="003A3035">
        <w:rPr>
          <w:color w:val="000000" w:themeColor="text1"/>
        </w:rPr>
        <w:t xml:space="preserve"> </w:t>
      </w:r>
      <w:r w:rsidR="25819698" w:rsidRPr="003A3035">
        <w:rPr>
          <w:color w:val="000000" w:themeColor="text1"/>
        </w:rPr>
        <w:t xml:space="preserve">than </w:t>
      </w:r>
      <w:r w:rsidR="7CA39574" w:rsidRPr="003A3035">
        <w:rPr>
          <w:color w:val="000000" w:themeColor="text1"/>
        </w:rPr>
        <w:t xml:space="preserve">what would be expected from the literature, i.e. </w:t>
      </w:r>
      <w:r w:rsidR="7CA39574" w:rsidRPr="003A3035">
        <w:rPr>
          <w:b/>
          <w:bCs/>
          <w:color w:val="000000" w:themeColor="text1"/>
        </w:rPr>
        <w:t>8.6 months</w:t>
      </w:r>
      <w:r w:rsidR="7CA39574" w:rsidRPr="003A3035">
        <w:rPr>
          <w:color w:val="000000" w:themeColor="text1"/>
        </w:rPr>
        <w:t xml:space="preserve"> (1) and </w:t>
      </w:r>
      <w:r w:rsidR="7CA39574" w:rsidRPr="003A3035">
        <w:rPr>
          <w:b/>
          <w:bCs/>
          <w:color w:val="000000" w:themeColor="text1"/>
        </w:rPr>
        <w:t xml:space="preserve">8.5 months </w:t>
      </w:r>
      <w:r w:rsidR="7CA39574" w:rsidRPr="003A3035">
        <w:rPr>
          <w:color w:val="000000" w:themeColor="text1"/>
        </w:rPr>
        <w:t xml:space="preserve">(2) in </w:t>
      </w:r>
      <w:r w:rsidR="6D11A816" w:rsidRPr="003A3035">
        <w:rPr>
          <w:color w:val="000000" w:themeColor="text1"/>
        </w:rPr>
        <w:t xml:space="preserve">in clinical trials on </w:t>
      </w:r>
      <w:r w:rsidR="7CA39574" w:rsidRPr="003A3035">
        <w:rPr>
          <w:color w:val="000000" w:themeColor="text1"/>
        </w:rPr>
        <w:t>ROS1+ NSCLC populations which included 10.6% and 19.6% locally advanced patients, respectively.</w:t>
      </w:r>
    </w:p>
    <w:p w14:paraId="1E27C0FA" w14:textId="531C8DE4" w:rsidR="00CD7491" w:rsidRPr="003A3035" w:rsidRDefault="327D19CB" w:rsidP="007D4215">
      <w:pPr>
        <w:pStyle w:val="Paragraphedeliste"/>
        <w:numPr>
          <w:ilvl w:val="0"/>
          <w:numId w:val="13"/>
        </w:numPr>
        <w:spacing w:before="220" w:after="220"/>
        <w:rPr>
          <w:color w:val="000000" w:themeColor="text1"/>
          <w:sz w:val="18"/>
          <w:szCs w:val="18"/>
        </w:rPr>
      </w:pPr>
      <w:r w:rsidRPr="003A3035">
        <w:rPr>
          <w:i/>
          <w:iCs/>
          <w:color w:val="000000" w:themeColor="text1"/>
          <w:sz w:val="18"/>
          <w:szCs w:val="18"/>
          <w:u w:val="single"/>
        </w:rPr>
        <w:t>Other ROS1+ retrospective study:</w:t>
      </w:r>
      <w:r w:rsidRPr="003A3035">
        <w:rPr>
          <w:color w:val="000000" w:themeColor="text1"/>
          <w:sz w:val="18"/>
          <w:szCs w:val="18"/>
        </w:rPr>
        <w:t xml:space="preserve">  </w:t>
      </w:r>
    </w:p>
    <w:p w14:paraId="2A275CA9" w14:textId="6C9D8C8D" w:rsidR="00CD7491" w:rsidRPr="003A3035" w:rsidRDefault="327D19CB" w:rsidP="007D4215">
      <w:pPr>
        <w:pStyle w:val="Paragraphedeliste"/>
        <w:numPr>
          <w:ilvl w:val="0"/>
          <w:numId w:val="12"/>
        </w:numPr>
        <w:spacing w:before="220" w:after="220"/>
        <w:rPr>
          <w:color w:val="000000" w:themeColor="text1"/>
          <w:sz w:val="18"/>
          <w:szCs w:val="18"/>
        </w:rPr>
      </w:pPr>
      <w:r w:rsidRPr="003A3035">
        <w:rPr>
          <w:color w:val="000000" w:themeColor="text1"/>
          <w:sz w:val="18"/>
          <w:szCs w:val="18"/>
        </w:rPr>
        <w:t>First-line IIIB / IV patients with ROS1 rearrangement-positive NSCLC treated with pemetrexed-based chemotherapy:</w:t>
      </w:r>
      <w:r w:rsidRPr="003A3035">
        <w:rPr>
          <w:b/>
          <w:bCs/>
          <w:color w:val="000000" w:themeColor="text1"/>
          <w:sz w:val="18"/>
          <w:szCs w:val="18"/>
        </w:rPr>
        <w:t xml:space="preserve"> median PFS = 6.8 months</w:t>
      </w:r>
      <w:r w:rsidR="00220523" w:rsidRPr="003A3035">
        <w:rPr>
          <w:b/>
          <w:bCs/>
          <w:color w:val="000000" w:themeColor="text1"/>
          <w:sz w:val="18"/>
          <w:szCs w:val="18"/>
        </w:rPr>
        <w:t xml:space="preserve"> </w:t>
      </w:r>
      <w:r w:rsidR="00220523" w:rsidRPr="003A3035">
        <w:rPr>
          <w:b/>
          <w:bCs/>
          <w:color w:val="000000" w:themeColor="text1"/>
          <w:sz w:val="18"/>
          <w:szCs w:val="18"/>
        </w:rPr>
        <w:fldChar w:fldCharType="begin"/>
      </w:r>
      <w:r w:rsidR="004A64A5" w:rsidRPr="003A3035">
        <w:rPr>
          <w:b/>
          <w:bCs/>
          <w:color w:val="000000" w:themeColor="text1"/>
          <w:sz w:val="18"/>
          <w:szCs w:val="18"/>
        </w:rPr>
        <w:instrText xml:space="preserve"> ADDIN ZOTERO_ITEM CSL_CITATION {"citationID":"JzZuD2eZ","properties":{"formattedCitation":"(21)","plainCitation":"(21)","noteIndex":0},"citationItems":[{"id":8686,"uris":["http://zotero.org/groups/4549131/items/LCN22ETF"],"itemData":{"id":8686,"type":"article-journal","abstract":"Abstract\n            \n              \n                ROS\n                1\n              \n              gene‐rearrangement in non‐small‐cell lung cancer (\n              NSCLC\n              ) patients has recently been identified as a driver gene and benefited from crizotinib treatment. However, no data are available for\n              \n                ROS\n                1\n              \n              ‐positive\n              NSCLC\n              about chemotherapeutic options and prognostic data. We investigated pemetrexed‐based treatment efficacy in\n              \n                ROS\n                1\n              \n              translocation\n              NSCLC\n              patients and determined the expression of thymidylate synthetase (\n              TS\n              ) to provide a rationale for the efficacy results. We determined the\n              \n                ROS\n                1\n              \n              status of 1750 patients with lung adenocarcinoma. Patients' clinical and therapeutic profiles were assessed. In positive cases, thymidylate synthetase (\n              \n                TS\n              \n              )\n              mRNA\n              level was performed by\n              RT\n              ‐\n              PCR\n              . For comparison, we evaluated the\n              TS mRNA\n              status and pemetrexed‐based treatment efficacy from 170\n              NSCLC\n              patients with anaplastic lymphoma kinase (\n              \n                ALK\n              \n              ) translocation (\n              n\n               = 46),\n              \n                EGFR\n              \n              mutation (\n              n\n               = 50),\n              \n                KRAS\n              \n              mutation (\n              n\n               = 32), and wild‐type of\n              \n                EGFR\n                /\n                ALK\n                /\n                ROS\n                1/\n                KRAS\n              \n              (\n              n\n               = 42). Thirty‐four\n              ROS\n              1 translocation patients were identified at two institutions. Among the 34 patients, 12 with advanced stage or recurrence were treated with pemetrexed‐based first‐line chemotherapy. The median progression‐free survivals of pemetrexed‐based first‐line chemotherapy in\n              \n                ROS\n                1\n              \n              translocation,\n              \n                ALK\n              \n              translocation,\n              \n                EGFR\n              \n              mutation,\n              \n                KRAS\n              \n              mutation, and\n              \n                EGFR\n                /\n                ALK\n                /\n                ROS\n                1/\n                KRAS\n              \n              wild‐type patients were 6.8, 6.7, 5.2, 4.2, and 4.5 months, respectively (\n              P\n               = 0.003). The\n              \n                TS\n              \n              mRNA\n              level was lower in patients with\n              \n                ROS\n                1\n              \n              ‐positive than\n              \n                ROS\n                1\n              \n              ‐negative patients (264 ± 469 × 10\n              −4\n              vs. 469 ± 615 × 10\n              −4\n              ,\n              P\n               = 0.03), but similar with\n              \n                ALK\n              \n              ‐positive patients (264 ± 469 × 10\n              −4\n              vs. 317 ± 524 × 10\n              −4\n              ,\n              P\n               = 0.64). Patients diagnosed with\n              \n                ROS\n                1\n              \n              translocation lung adenocarcinoma may benefit from pemetrexed‐based chemotherapy.\n              TS mRNA\n              level enables the selection of therapeutic options for\n              \n                ROS\n                1\n              \n              translocation patients.","container-title":"Cancer Medicine","DOI":"10.1002/cam4.809","ISSN":"2045-7634, 2045-7634","issue":"10","journalAbbreviation":"Cancer Medicine","language":"en","page":"2688-2693","source":"DOI.org (Crossref)","title":"Patients with &lt;span style=\"font-variant:small-caps;\"&gt;ROS&lt;/span&gt; 1 rearrangement‐positive non‐small‐cell lung cancer benefit from pemetrexed‐based chemotherapy","title-short":"Patients with &lt;span style=\"font-variant","volume":"5","author":[{"family":"Song","given":"Zhengbo"},{"family":"Su","given":"Haiyan"},{"family":"Zhang","given":"Yiping"}],"issued":{"date-parts":[["2016",10]]}}}],"schema":"https://github.com/citation-style-language/schema/raw/master/csl-citation.json"} </w:instrText>
      </w:r>
      <w:r w:rsidR="00220523" w:rsidRPr="003A3035">
        <w:rPr>
          <w:b/>
          <w:bCs/>
          <w:color w:val="000000" w:themeColor="text1"/>
          <w:sz w:val="18"/>
          <w:szCs w:val="18"/>
        </w:rPr>
        <w:fldChar w:fldCharType="separate"/>
      </w:r>
      <w:r w:rsidR="004A64A5" w:rsidRPr="003A3035">
        <w:rPr>
          <w:sz w:val="18"/>
        </w:rPr>
        <w:t>(21)</w:t>
      </w:r>
      <w:r w:rsidR="00220523" w:rsidRPr="003A3035">
        <w:rPr>
          <w:b/>
          <w:bCs/>
          <w:color w:val="000000" w:themeColor="text1"/>
          <w:sz w:val="18"/>
          <w:szCs w:val="18"/>
        </w:rPr>
        <w:fldChar w:fldCharType="end"/>
      </w:r>
      <w:r w:rsidRPr="003A3035">
        <w:rPr>
          <w:color w:val="000000" w:themeColor="text1"/>
          <w:sz w:val="18"/>
          <w:szCs w:val="18"/>
        </w:rPr>
        <w:t xml:space="preserve"> </w:t>
      </w:r>
    </w:p>
    <w:p w14:paraId="5C83B37A" w14:textId="103FDE36" w:rsidR="00B61F72" w:rsidRPr="003A3035" w:rsidRDefault="327D19CB">
      <w:pPr>
        <w:pStyle w:val="Paragraphedeliste"/>
        <w:numPr>
          <w:ilvl w:val="0"/>
          <w:numId w:val="11"/>
        </w:numPr>
        <w:spacing w:before="220" w:after="220"/>
        <w:rPr>
          <w:color w:val="000000" w:themeColor="text1"/>
          <w:sz w:val="18"/>
          <w:szCs w:val="18"/>
        </w:rPr>
      </w:pPr>
      <w:r w:rsidRPr="003A3035">
        <w:rPr>
          <w:i/>
          <w:iCs/>
          <w:color w:val="000000" w:themeColor="text1"/>
          <w:sz w:val="18"/>
          <w:szCs w:val="18"/>
          <w:u w:val="single"/>
        </w:rPr>
        <w:t>Other studies but with ALK+ alteration:</w:t>
      </w:r>
    </w:p>
    <w:p w14:paraId="41863374" w14:textId="2ED16A7E" w:rsidR="00CD7491" w:rsidRPr="003A3035" w:rsidRDefault="327D19CB" w:rsidP="007D4215">
      <w:pPr>
        <w:pStyle w:val="Paragraphedeliste"/>
        <w:spacing w:before="220" w:after="220"/>
        <w:ind w:left="1068"/>
        <w:rPr>
          <w:color w:val="000000" w:themeColor="text1"/>
          <w:sz w:val="18"/>
          <w:szCs w:val="18"/>
        </w:rPr>
      </w:pPr>
      <w:r w:rsidRPr="003A3035">
        <w:rPr>
          <w:i/>
          <w:iCs/>
          <w:color w:val="000000" w:themeColor="text1"/>
          <w:sz w:val="18"/>
          <w:szCs w:val="18"/>
        </w:rPr>
        <w:t xml:space="preserve">The kinase domains of ALK and ROS1 share substantial homology </w:t>
      </w:r>
      <w:r w:rsidR="00EA286F" w:rsidRPr="003A3035">
        <w:rPr>
          <w:color w:val="000000" w:themeColor="text1"/>
          <w:sz w:val="18"/>
          <w:szCs w:val="18"/>
        </w:rPr>
        <w:fldChar w:fldCharType="begin"/>
      </w:r>
      <w:r w:rsidR="004A64A5" w:rsidRPr="003A3035">
        <w:rPr>
          <w:color w:val="000000" w:themeColor="text1"/>
          <w:sz w:val="18"/>
          <w:szCs w:val="18"/>
        </w:rPr>
        <w:instrText xml:space="preserve"> ADDIN ZOTERO_ITEM CSL_CITATION {"citationID":"6Y9KAwZ5","properties":{"formattedCitation":"(22)","plainCitation":"(22)","noteIndex":0},"citationItems":[{"id":8694,"uris":["http://zotero.org/groups/4549131/items/EBWS49F4"],"itemData":{"id":8694,"type":"article-journal","container-title":"Nature","DOI":"10.1038/nature13194","ISSN":"0028-0836, 1476-4687","issue":"7495","journalAbbreviation":"Nature","language":"en","page":"222-227","source":"DOI.org (Crossref)","title":"Stereospecific targeting of MTH1 by (S)-crizotinib as an anticancer strategy","volume":"508","author":[{"family":"Huber","given":"Kilian V. M."},{"family":"Salah","given":"Eidarus"},{"family":"Radic","given":"Branka"},{"family":"Gridling","given":"Manuela"},{"family":"Elkins","given":"Jonathan M."},{"family":"Stukalov","given":"Alexey"},{"family":"Jemth","given":"Ann-Sofie"},{"family":"Göktürk","given":"Camilla"},{"family":"Sanjiv","given":"Kumar"},{"family":"Strömberg","given":"Kia"},{"family":"Pham","given":"Therese"},{"family":"Berglund","given":"Ulrika Warpman"},{"family":"Colinge","given":"Jacques"},{"family":"Bennett","given":"Keiryn L."},{"family":"Loizou","given":"Joanna I."},{"family":"Helleday","given":"Thomas"},{"family":"Knapp","given":"Stefan"},{"family":"Superti-Furga","given":"Giulio"}],"issued":{"date-parts":[["2014",4,10]]}}}],"schema":"https://github.com/citation-style-language/schema/raw/master/csl-citation.json"} </w:instrText>
      </w:r>
      <w:r w:rsidR="00EA286F" w:rsidRPr="003A3035">
        <w:rPr>
          <w:color w:val="000000" w:themeColor="text1"/>
          <w:sz w:val="18"/>
          <w:szCs w:val="18"/>
        </w:rPr>
        <w:fldChar w:fldCharType="separate"/>
      </w:r>
      <w:r w:rsidR="004A64A5" w:rsidRPr="003A3035">
        <w:rPr>
          <w:sz w:val="18"/>
        </w:rPr>
        <w:t>(22)</w:t>
      </w:r>
      <w:r w:rsidR="00EA286F" w:rsidRPr="003A3035">
        <w:rPr>
          <w:color w:val="000000" w:themeColor="text1"/>
          <w:sz w:val="18"/>
          <w:szCs w:val="18"/>
        </w:rPr>
        <w:fldChar w:fldCharType="end"/>
      </w:r>
    </w:p>
    <w:p w14:paraId="0AFA70E4" w14:textId="39422F4C" w:rsidR="00CD7491" w:rsidRPr="003A3035" w:rsidRDefault="327D19CB" w:rsidP="007D4215">
      <w:pPr>
        <w:pStyle w:val="Paragraphedeliste"/>
        <w:numPr>
          <w:ilvl w:val="0"/>
          <w:numId w:val="10"/>
        </w:numPr>
        <w:spacing w:before="220" w:after="220"/>
        <w:jc w:val="left"/>
        <w:rPr>
          <w:color w:val="000000" w:themeColor="text1"/>
          <w:sz w:val="18"/>
          <w:szCs w:val="18"/>
        </w:rPr>
      </w:pPr>
      <w:r w:rsidRPr="003A3035">
        <w:rPr>
          <w:color w:val="000000" w:themeColor="text1"/>
          <w:sz w:val="18"/>
          <w:szCs w:val="18"/>
        </w:rPr>
        <w:t xml:space="preserve">First-line stage IIIB / IV ALK rearranged non-squamous NSCLC treated with chemotherapy in the ASCEND-4 trial </w:t>
      </w:r>
      <w:r w:rsidR="006C1701" w:rsidRPr="003A3035">
        <w:rPr>
          <w:color w:val="000000" w:themeColor="text1"/>
          <w:sz w:val="18"/>
          <w:szCs w:val="18"/>
        </w:rPr>
        <w:fldChar w:fldCharType="begin"/>
      </w:r>
      <w:r w:rsidR="004A64A5" w:rsidRPr="003A3035">
        <w:rPr>
          <w:color w:val="000000" w:themeColor="text1"/>
          <w:sz w:val="18"/>
          <w:szCs w:val="18"/>
        </w:rPr>
        <w:instrText xml:space="preserve"> ADDIN ZOTERO_ITEM CSL_CITATION {"citationID":"4DRYyHTn","properties":{"formattedCitation":"(23)","plainCitation":"(23)","noteIndex":0},"citationItems":[{"id":7012,"uris":["http://zotero.org/groups/4549131/items/VJ4MXEAR"],"itemData":{"id":7012,"type":"article-journal","container-title":"The Lancet","DOI":"10.1016/S0140-6736(17)30123-X","ISSN":"01406736","issue":"10072","journalAbbreviation":"The Lancet","language":"en","page":"917-929","source":"DOI.org (Crossref)","title":"First-line ceritinib versus platinum-based chemotherapy in advanced ALK -rearranged non-small-cell lung cancer (ASCEND-4): a randomised, open-label, phase 3 study","title-short":"First-line ceritinib versus platinum-based chemotherapy in advanced ALK -rearranged non-small-cell lung cancer (ASCEND-4)","volume":"389","author":[{"family":"Soria","given":"Jean-Charles"},{"family":"Tan","given":"Daniel S W"},{"family":"Chiari","given":"Rita"},{"family":"Wu","given":"Yi-Long"},{"family":"Paz-Ares","given":"Luis"},{"family":"Wolf","given":"Juergen"},{"family":"Geater","given":"Sarayut L"},{"family":"Orlov","given":"Sergey"},{"family":"Cortinovis","given":"Diego"},{"family":"Yu","given":"Chong-Jen"},{"family":"Hochmair","given":"Maximillian"},{"family":"Cortot","given":"Alexis B"},{"family":"Tsai","given":"Chun-Ming"},{"family":"Moro-Sibilot","given":"Denis"},{"family":"Campelo","given":"Rosario G"},{"family":"McCulloch","given":"Tracey"},{"family":"Sen","given":"Paramita"},{"family":"Dugan","given":"Margaret"},{"family":"Pantano","given":"Serafino"},{"family":"Branle","given":"Fabrice"},{"family":"Massacesi","given":"Cristian"},{"family":"De Castro","given":"Gilberto"}],"issued":{"date-parts":[["2017",3]]}}}],"schema":"https://github.com/citation-style-language/schema/raw/master/csl-citation.json"} </w:instrText>
      </w:r>
      <w:r w:rsidR="006C1701" w:rsidRPr="003A3035">
        <w:rPr>
          <w:color w:val="000000" w:themeColor="text1"/>
          <w:sz w:val="18"/>
          <w:szCs w:val="18"/>
        </w:rPr>
        <w:fldChar w:fldCharType="separate"/>
      </w:r>
      <w:r w:rsidR="004A64A5" w:rsidRPr="003A3035">
        <w:rPr>
          <w:sz w:val="18"/>
        </w:rPr>
        <w:t>(23)</w:t>
      </w:r>
      <w:r w:rsidR="006C1701" w:rsidRPr="003A3035">
        <w:rPr>
          <w:color w:val="000000" w:themeColor="text1"/>
          <w:sz w:val="18"/>
          <w:szCs w:val="18"/>
        </w:rPr>
        <w:fldChar w:fldCharType="end"/>
      </w:r>
      <w:r w:rsidRPr="003A3035">
        <w:rPr>
          <w:color w:val="000000" w:themeColor="text1"/>
          <w:sz w:val="18"/>
          <w:szCs w:val="18"/>
        </w:rPr>
        <w:t xml:space="preserve">: </w:t>
      </w:r>
      <w:r w:rsidRPr="003A3035">
        <w:rPr>
          <w:b/>
          <w:bCs/>
          <w:color w:val="000000" w:themeColor="text1"/>
          <w:sz w:val="18"/>
          <w:szCs w:val="18"/>
        </w:rPr>
        <w:t>median PFS = 8.1 months</w:t>
      </w:r>
      <w:r w:rsidRPr="003A3035">
        <w:rPr>
          <w:color w:val="000000" w:themeColor="text1"/>
          <w:sz w:val="18"/>
          <w:szCs w:val="18"/>
        </w:rPr>
        <w:t xml:space="preserve"> (5.8-11.1). </w:t>
      </w:r>
    </w:p>
    <w:p w14:paraId="653E4D1C" w14:textId="2A984F94" w:rsidR="00CD7491" w:rsidRPr="003A3035" w:rsidRDefault="327D19CB" w:rsidP="007D4215">
      <w:pPr>
        <w:pStyle w:val="Paragraphedeliste"/>
        <w:numPr>
          <w:ilvl w:val="0"/>
          <w:numId w:val="9"/>
        </w:numPr>
        <w:spacing w:before="220" w:after="220"/>
        <w:jc w:val="left"/>
        <w:rPr>
          <w:color w:val="000000" w:themeColor="text1"/>
          <w:sz w:val="18"/>
          <w:szCs w:val="18"/>
        </w:rPr>
      </w:pPr>
      <w:r w:rsidRPr="003A3035">
        <w:rPr>
          <w:color w:val="000000" w:themeColor="text1"/>
          <w:sz w:val="18"/>
          <w:szCs w:val="18"/>
        </w:rPr>
        <w:t>First line locally advanced or metastatic ALK+ NSCLC treated with chemotherapy (pemetrexed and either cisplatin or carboplatin)</w:t>
      </w:r>
      <w:r w:rsidR="00306ADF" w:rsidRPr="003A3035">
        <w:rPr>
          <w:b/>
          <w:bCs/>
          <w:color w:val="000000" w:themeColor="text1"/>
          <w:sz w:val="18"/>
          <w:szCs w:val="18"/>
        </w:rPr>
        <w:t xml:space="preserve"> </w:t>
      </w:r>
      <w:r w:rsidR="00306ADF" w:rsidRPr="003A3035">
        <w:rPr>
          <w:b/>
          <w:bCs/>
          <w:color w:val="000000" w:themeColor="text1"/>
          <w:sz w:val="18"/>
          <w:szCs w:val="18"/>
        </w:rPr>
        <w:fldChar w:fldCharType="begin"/>
      </w:r>
      <w:r w:rsidR="004A64A5" w:rsidRPr="003A3035">
        <w:rPr>
          <w:b/>
          <w:bCs/>
          <w:color w:val="000000" w:themeColor="text1"/>
          <w:sz w:val="18"/>
          <w:szCs w:val="18"/>
        </w:rPr>
        <w:instrText xml:space="preserve"> ADDIN ZOTERO_ITEM CSL_CITATION {"citationID":"aJaYUdpz","properties":{"formattedCitation":"(24)","plainCitation":"(24)","noteIndex":0},"citationItems":[{"id":6917,"uris":["http://zotero.org/groups/4549131/items/TUCU6S49"],"itemData":{"id":6917,"type":"article-journal","container-title":"New England Journal of Medicine","DOI":"10.1056/NEJMoa1408440","ISSN":"0028-4793, 1533-4406","issue":"23","journalAbbreviation":"N Engl J Med","language":"en","page":"2167-2177","source":"DOI.org (Crossref)","title":"First-Line Crizotinib versus Chemotherapy in &lt;i&gt;ALK&lt;/i&gt; -Positive Lung Cancer","volume":"371","author":[{"family":"Solomon","given":"Benjamin J."},{"family":"Mok","given":"Tony"},{"family":"Kim","given":"Dong-Wan"},{"family":"Wu","given":"Yi-Long"},{"family":"Nakagawa","given":"Kazuhiko"},{"family":"Mekhail","given":"Tarek"},{"family":"Felip","given":"Enriqueta"},{"family":"Cappuzzo","given":"Federico"},{"family":"Paolini","given":"Jolanda"},{"family":"Usari","given":"Tiziana"},{"family":"Iyer","given":"Shrividya"},{"family":"Reisman","given":"Arlene"},{"family":"Wilner","given":"Keith D."},{"family":"Tursi","given":"Jennifer"},{"family":"Blackhall","given":"Fiona"}],"issued":{"date-parts":[["2014",12,4]]}}}],"schema":"https://github.com/citation-style-language/schema/raw/master/csl-citation.json"} </w:instrText>
      </w:r>
      <w:r w:rsidR="00306ADF" w:rsidRPr="003A3035">
        <w:rPr>
          <w:b/>
          <w:bCs/>
          <w:color w:val="000000" w:themeColor="text1"/>
          <w:sz w:val="18"/>
          <w:szCs w:val="18"/>
        </w:rPr>
        <w:fldChar w:fldCharType="separate"/>
      </w:r>
      <w:r w:rsidR="004A64A5" w:rsidRPr="003A3035">
        <w:rPr>
          <w:sz w:val="18"/>
        </w:rPr>
        <w:t>(24)</w:t>
      </w:r>
      <w:r w:rsidR="00306ADF" w:rsidRPr="003A3035">
        <w:rPr>
          <w:b/>
          <w:bCs/>
          <w:color w:val="000000" w:themeColor="text1"/>
          <w:sz w:val="18"/>
          <w:szCs w:val="18"/>
        </w:rPr>
        <w:fldChar w:fldCharType="end"/>
      </w:r>
      <w:r w:rsidRPr="003A3035">
        <w:rPr>
          <w:color w:val="000000" w:themeColor="text1"/>
          <w:sz w:val="18"/>
          <w:szCs w:val="18"/>
        </w:rPr>
        <w:t xml:space="preserve">: </w:t>
      </w:r>
      <w:r w:rsidRPr="003A3035">
        <w:rPr>
          <w:b/>
          <w:bCs/>
          <w:color w:val="000000" w:themeColor="text1"/>
          <w:sz w:val="18"/>
          <w:szCs w:val="18"/>
        </w:rPr>
        <w:t xml:space="preserve">median PFS = 7.0 months </w:t>
      </w:r>
      <w:r w:rsidRPr="003A3035">
        <w:rPr>
          <w:color w:val="000000" w:themeColor="text1"/>
          <w:sz w:val="18"/>
          <w:szCs w:val="18"/>
        </w:rPr>
        <w:t xml:space="preserve">  </w:t>
      </w:r>
    </w:p>
    <w:p w14:paraId="3BF04D9D" w14:textId="2223117D" w:rsidR="00CD7491" w:rsidRPr="003A3035" w:rsidRDefault="327D19CB" w:rsidP="007D4215">
      <w:pPr>
        <w:pStyle w:val="Paragraphedeliste"/>
        <w:numPr>
          <w:ilvl w:val="0"/>
          <w:numId w:val="8"/>
        </w:numPr>
        <w:spacing w:before="220" w:after="220"/>
        <w:jc w:val="left"/>
        <w:rPr>
          <w:color w:val="000000" w:themeColor="text1"/>
          <w:sz w:val="18"/>
          <w:szCs w:val="18"/>
        </w:rPr>
      </w:pPr>
      <w:r w:rsidRPr="003A3035">
        <w:rPr>
          <w:color w:val="000000" w:themeColor="text1"/>
          <w:sz w:val="18"/>
          <w:szCs w:val="18"/>
        </w:rPr>
        <w:t>First-line metastatic non-squamous NSCLC with EGFR or ALK genetic alteration, under bevacizumab plus chemotherapy:</w:t>
      </w:r>
      <w:r w:rsidR="006F1905" w:rsidRPr="003A3035">
        <w:rPr>
          <w:color w:val="000000" w:themeColor="text1"/>
          <w:sz w:val="18"/>
          <w:szCs w:val="18"/>
        </w:rPr>
        <w:fldChar w:fldCharType="begin"/>
      </w:r>
      <w:r w:rsidR="004A64A5" w:rsidRPr="003A3035">
        <w:rPr>
          <w:color w:val="000000" w:themeColor="text1"/>
          <w:sz w:val="18"/>
          <w:szCs w:val="18"/>
        </w:rPr>
        <w:instrText xml:space="preserve"> ADDIN ZOTERO_ITEM CSL_CITATION {"citationID":"FSMKxQna","properties":{"formattedCitation":"(25)","plainCitation":"(25)","noteIndex":0},"citationItems":[{"id":8691,"uris":["http://zotero.org/groups/4549131/items/XKRDH9DQ"],"itemData":{"id":8691,"type":"article-journal","container-title":"New England Journal of Medicine","DOI":"10.1056/NEJMoa1716948","ISSN":"0028-4793, 1533-4406","issue":"24","journalAbbreviation":"N Engl J Med","language":"en","license":"http://www.nejmgroup.org/legal/terms-of-use.htm","page":"2288-2301","source":"DOI.org (Crossref)","title":"Atezolizumab for First-Line Treatment of Metastatic Nonsquamous NSCLC","volume":"378","author":[{"family":"Socinski","given":"Mark A."},{"family":"Jotte","given":"Robert M."},{"family":"Cappuzzo","given":"Federico"},{"family":"Orlandi","given":"Francisco"},{"family":"Stroyakovskiy","given":"Daniil"},{"family":"Nogami","given":"Naoyuki"},{"family":"Rodríguez-Abreu","given":"Delvys"},{"family":"Moro-Sibilot","given":"Denis"},{"family":"Thomas","given":"Christian A."},{"family":"Barlesi","given":"Fabrice"},{"family":"Finley","given":"Gene"},{"family":"Kelsch","given":"Claudia"},{"family":"Lee","given":"Anthony"},{"family":"Coleman","given":"Shelley"},{"family":"Deng","given":"Yu"},{"family":"Shen","given":"Yijing"},{"family":"Kowanetz","given":"Marcin"},{"family":"Lopez-Chavez","given":"Ariel"},{"family":"Sandler","given":"Alan"},{"family":"Reck","given":"Martin"}],"issued":{"date-parts":[["2018",6,14]]}}}],"schema":"https://github.com/citation-style-language/schema/raw/master/csl-citation.json"} </w:instrText>
      </w:r>
      <w:r w:rsidR="006F1905" w:rsidRPr="003A3035">
        <w:rPr>
          <w:color w:val="000000" w:themeColor="text1"/>
          <w:sz w:val="18"/>
          <w:szCs w:val="18"/>
        </w:rPr>
        <w:fldChar w:fldCharType="separate"/>
      </w:r>
      <w:r w:rsidR="004A64A5" w:rsidRPr="003A3035">
        <w:rPr>
          <w:sz w:val="18"/>
        </w:rPr>
        <w:t>(25)</w:t>
      </w:r>
      <w:r w:rsidR="006F1905" w:rsidRPr="003A3035">
        <w:rPr>
          <w:color w:val="000000" w:themeColor="text1"/>
          <w:sz w:val="18"/>
          <w:szCs w:val="18"/>
        </w:rPr>
        <w:fldChar w:fldCharType="end"/>
      </w:r>
      <w:r w:rsidRPr="003A3035">
        <w:rPr>
          <w:color w:val="000000" w:themeColor="text1"/>
          <w:sz w:val="18"/>
          <w:szCs w:val="18"/>
        </w:rPr>
        <w:t xml:space="preserve"> </w:t>
      </w:r>
      <w:r w:rsidRPr="003A3035">
        <w:rPr>
          <w:b/>
          <w:bCs/>
          <w:color w:val="000000" w:themeColor="text1"/>
          <w:sz w:val="18"/>
          <w:szCs w:val="18"/>
        </w:rPr>
        <w:t>median PFS = 6.1 months</w:t>
      </w:r>
      <w:r w:rsidRPr="003A3035">
        <w:rPr>
          <w:color w:val="000000" w:themeColor="text1"/>
          <w:sz w:val="18"/>
          <w:szCs w:val="18"/>
        </w:rPr>
        <w:t xml:space="preserve"> (and in the Intention-To-Treat population : median PFS = 6.8 months (6.0-7.1)) </w:t>
      </w:r>
    </w:p>
    <w:p w14:paraId="5C0C717E" w14:textId="1AB67990" w:rsidR="00CD7491" w:rsidRPr="003A3035" w:rsidRDefault="327D19CB" w:rsidP="007D4215">
      <w:pPr>
        <w:pStyle w:val="Paragraphedeliste"/>
        <w:numPr>
          <w:ilvl w:val="0"/>
          <w:numId w:val="7"/>
        </w:numPr>
        <w:spacing w:before="220" w:after="220"/>
        <w:jc w:val="left"/>
        <w:rPr>
          <w:color w:val="000000" w:themeColor="text1"/>
          <w:sz w:val="18"/>
          <w:szCs w:val="18"/>
        </w:rPr>
      </w:pPr>
      <w:r w:rsidRPr="003A3035">
        <w:rPr>
          <w:color w:val="000000" w:themeColor="text1"/>
          <w:sz w:val="18"/>
          <w:szCs w:val="18"/>
        </w:rPr>
        <w:t>First-line immunotherapy in advanced NSCLC with ALK, ROS1, or RET alteration (analyzed together due to the limited sample size for each group):</w:t>
      </w:r>
      <w:r w:rsidR="00321994" w:rsidRPr="003A3035">
        <w:rPr>
          <w:color w:val="000000" w:themeColor="text1"/>
          <w:sz w:val="18"/>
          <w:szCs w:val="18"/>
        </w:rPr>
        <w:t xml:space="preserve"> </w:t>
      </w:r>
      <w:r w:rsidR="00321994" w:rsidRPr="003A3035">
        <w:rPr>
          <w:color w:val="000000" w:themeColor="text1"/>
          <w:sz w:val="18"/>
          <w:szCs w:val="18"/>
        </w:rPr>
        <w:fldChar w:fldCharType="begin"/>
      </w:r>
      <w:r w:rsidR="004A64A5" w:rsidRPr="003A3035">
        <w:rPr>
          <w:color w:val="000000" w:themeColor="text1"/>
          <w:sz w:val="18"/>
          <w:szCs w:val="18"/>
        </w:rPr>
        <w:instrText xml:space="preserve"> ADDIN ZOTERO_ITEM CSL_CITATION {"citationID":"o3u2r59u","properties":{"formattedCitation":"(26)","plainCitation":"(26)","noteIndex":0},"citationItems":[{"id":8693,"uris":["http://zotero.org/groups/4549131/items/AAVJCQVX"],"itemData":{"id":8693,"type":"article-journal","container-title":"Translational Lung Cancer Research","DOI":"10.21037/tlcr-24-116","ISSN":"22186751, 22264477","issue":"4","journalAbbreviation":"Transl Lung Cancer Res","page":"861-874","source":"DOI.org (Crossref)","title":"Immunotherapy for patients with advanced non-small cell lung cancer harboring oncogenic driver alterations other than EGFR: a multicenter real-world analysis","title-short":"Immunotherapy for patients with advanced non-small cell lung cancer harboring oncogenic driver alterations other than EGFR","volume":"13","author":[{"family":"Tian","given":"Tian"},{"family":"Li","given":"Yanying"},{"family":"Li","given":"Juan"},{"family":"Xu","given":"Hongyu"},{"family":"Fan","given":"Hua"},{"family":"Zhu","given":"Jiang"},{"family":"Wang","given":"Yongsheng"},{"family":"Peng","given":"Feng"},{"family":"Gong","given":"Youling"},{"family":"Du","given":"Yijia"},{"family":"Yan","given":"Xiaoyan"},{"family":"He","given":"Xiulan"},{"family":"Daylan","given":"Ayse Ece Cali"},{"family":"Pircher","given":"Andreas"},{"family":"Neibart","given":"Shane S."},{"family":"Okuma","given":"Yusuke"},{"family":"Hong","given":"Min Hee"},{"family":"Huang","given":"Meijuan"},{"family":"Lu","given":"You"}],"issued":{"date-parts":[["2024",4]]}}}],"schema":"https://github.com/citation-style-language/schema/raw/master/csl-citation.json"} </w:instrText>
      </w:r>
      <w:r w:rsidR="00321994" w:rsidRPr="003A3035">
        <w:rPr>
          <w:color w:val="000000" w:themeColor="text1"/>
          <w:sz w:val="18"/>
          <w:szCs w:val="18"/>
        </w:rPr>
        <w:fldChar w:fldCharType="separate"/>
      </w:r>
      <w:r w:rsidR="004A64A5" w:rsidRPr="003A3035">
        <w:rPr>
          <w:sz w:val="18"/>
        </w:rPr>
        <w:t>(26)</w:t>
      </w:r>
      <w:r w:rsidR="00321994" w:rsidRPr="003A3035">
        <w:rPr>
          <w:color w:val="000000" w:themeColor="text1"/>
          <w:sz w:val="18"/>
          <w:szCs w:val="18"/>
        </w:rPr>
        <w:fldChar w:fldCharType="end"/>
      </w:r>
      <w:r w:rsidRPr="003A3035">
        <w:rPr>
          <w:color w:val="000000" w:themeColor="text1"/>
          <w:sz w:val="18"/>
          <w:szCs w:val="18"/>
        </w:rPr>
        <w:t xml:space="preserve"> median FPS (n=12) : </w:t>
      </w:r>
      <w:r w:rsidRPr="003A3035">
        <w:rPr>
          <w:b/>
          <w:bCs/>
          <w:color w:val="000000" w:themeColor="text1"/>
          <w:sz w:val="18"/>
          <w:szCs w:val="18"/>
        </w:rPr>
        <w:t>median PFS = 3.1</w:t>
      </w:r>
      <w:r w:rsidRPr="003A3035">
        <w:rPr>
          <w:color w:val="000000" w:themeColor="text1"/>
          <w:sz w:val="18"/>
          <w:szCs w:val="18"/>
        </w:rPr>
        <w:t xml:space="preserve"> (1.9–4.2). </w:t>
      </w:r>
    </w:p>
    <w:p w14:paraId="38FD688C" w14:textId="0C8217DC" w:rsidR="00CD7491" w:rsidRPr="003A3035" w:rsidRDefault="327D19CB" w:rsidP="007D4215">
      <w:pPr>
        <w:pStyle w:val="Paragraphedeliste"/>
        <w:numPr>
          <w:ilvl w:val="0"/>
          <w:numId w:val="6"/>
        </w:numPr>
        <w:spacing w:before="220" w:after="220"/>
        <w:jc w:val="left"/>
        <w:rPr>
          <w:color w:val="000000" w:themeColor="text1"/>
          <w:sz w:val="18"/>
          <w:szCs w:val="18"/>
        </w:rPr>
      </w:pPr>
      <w:r w:rsidRPr="003A3035">
        <w:rPr>
          <w:color w:val="000000" w:themeColor="text1"/>
          <w:sz w:val="18"/>
          <w:szCs w:val="18"/>
        </w:rPr>
        <w:t xml:space="preserve">Advanced NSCLC in the Flatiron Health-Foundation Medicine </w:t>
      </w:r>
      <w:proofErr w:type="spellStart"/>
      <w:r w:rsidRPr="003A3035">
        <w:rPr>
          <w:color w:val="000000" w:themeColor="text1"/>
          <w:sz w:val="18"/>
          <w:szCs w:val="18"/>
        </w:rPr>
        <w:t>Clinico</w:t>
      </w:r>
      <w:proofErr w:type="spellEnd"/>
      <w:r w:rsidRPr="003A3035">
        <w:rPr>
          <w:color w:val="000000" w:themeColor="text1"/>
          <w:sz w:val="18"/>
          <w:szCs w:val="18"/>
        </w:rPr>
        <w:t>-Genomic Database (CGDB) Chemotherapy cohor</w:t>
      </w:r>
      <w:r w:rsidR="00F0641F" w:rsidRPr="003A3035">
        <w:rPr>
          <w:color w:val="000000" w:themeColor="text1"/>
          <w:sz w:val="18"/>
          <w:szCs w:val="18"/>
        </w:rPr>
        <w:t>t</w:t>
      </w:r>
      <w:r w:rsidRPr="003A3035">
        <w:rPr>
          <w:color w:val="000000" w:themeColor="text1"/>
          <w:sz w:val="18"/>
          <w:szCs w:val="18"/>
        </w:rPr>
        <w:t xml:space="preserve">, in the “Fusion group”, </w:t>
      </w:r>
      <w:r w:rsidRPr="003A3035">
        <w:rPr>
          <w:color w:val="000000" w:themeColor="text1"/>
          <w:sz w:val="18"/>
          <w:szCs w:val="18"/>
          <w:u w:val="single"/>
        </w:rPr>
        <w:t>all lines</w:t>
      </w:r>
      <w:r w:rsidRPr="003A3035">
        <w:rPr>
          <w:color w:val="000000" w:themeColor="text1"/>
          <w:sz w:val="18"/>
          <w:szCs w:val="18"/>
        </w:rPr>
        <w:t>, (ALK: n=39; ROS1: n=12; RET: n=14 ):</w:t>
      </w:r>
      <w:r w:rsidR="00C57649" w:rsidRPr="003A3035">
        <w:rPr>
          <w:color w:val="000000" w:themeColor="text1"/>
          <w:sz w:val="18"/>
          <w:szCs w:val="18"/>
        </w:rPr>
        <w:t xml:space="preserve"> </w:t>
      </w:r>
      <w:r w:rsidR="00C57649" w:rsidRPr="003A3035">
        <w:rPr>
          <w:color w:val="000000" w:themeColor="text1"/>
          <w:sz w:val="18"/>
          <w:szCs w:val="18"/>
        </w:rPr>
        <w:fldChar w:fldCharType="begin"/>
      </w:r>
      <w:r w:rsidR="004A64A5" w:rsidRPr="003A3035">
        <w:rPr>
          <w:color w:val="000000" w:themeColor="text1"/>
          <w:sz w:val="18"/>
          <w:szCs w:val="18"/>
        </w:rPr>
        <w:instrText xml:space="preserve"> ADDIN ZOTERO_ITEM CSL_CITATION {"citationID":"vahWFLM1","properties":{"formattedCitation":"(27)","plainCitation":"(27)","noteIndex":0},"citationItems":[{"id":8696,"uris":["http://zotero.org/groups/4549131/items/779AAT44"],"itemData":{"id":8696,"type":"article-journal","abstract":"Background\n              Non-small cell lung cancer (NSCLC) patients bearing targetable oncogene alterations typically derive limited benefit from immune checkpoint blockade (ICB), which has been attributed to low tumor mutation burden (TMB) and/or PD-L1 levels. We investigated oncogene-specific differences in these markers and clinical outcome.\n            \n            \n              Methods\n              Three cohorts of NSCLC patients with oncogene alterations (n=4189 total) were analyzed. Two clinical cohorts of advanced NSCLC patients treated with ICB monotherapy [MD Anderson (MDACC; n=172) and Flatiron Health-Foundation Medicine Clinico-Genomic Database (CGDB; n=894 patients)] were analyzed for clinical outcome. The FMI biomarker cohort (n=4017) was used to assess the association of oncogene alterations with TMB and PD-L1 expression.\n            \n            \n              Results\n              \n                High PD-L1 expression (PD-L1 ≥50%) rate was 19%–20% in classic\n                EGFR\n                ,\n                EGFR\n                exon 20 and\n                HER2\n                -mutant tumors, and 34%–55% in tumors with\n                ALK\n                ,\n                BRAF\n                V600E,\n                ROS1\n                ,\n                RET\n                , or\n                MET\n                alterations. Compared with\n                KRAS-\n                mutant tumors,\n                BRAF\n                non-V600E group had higher TMB (9.6 vs\n                KRAS\n                7.8 mutations/Mb, p=0.003), while all other oncogene groups had lower TMB (p&lt;0.001). In the two clinical cohorts treated with ICB, molecular groups with\n                EGFR\n                ,\n                HER2\n                ,\n                ALK\n                ,\n                ROS1\n                ,\n                RET\n                , or\n                MET\n                alterations had short progression-free survival (PFS; 1.8–3.7 months), while\n                BRAF\n                V600E group was associated with greater clinical benefit from ICB (CGDB cohort: PFS 9.8 months vs\n                KRAS\n                3.7 months, HR 0.66, p=0.099; MDACC cohort: response rate 62% vs\n                KRAS\n                24%; PFS 7.4 vs\n                KRAS\n                2.8 months, HR 0.36, p=0.026).\n                KRAS\n                G12C and non-G12C subgroups had similar clinical benefit from ICB in both cohorts. In a multivariable analysis,\n                BRAF\n                V600E mutation (HR 0.58, p=0.041), PD-L1 expression (HR 0.57, p=0.022), and high TMB (HR 0.66, p&lt;0.001) were associated with longer PFS.\n              \n            \n            \n              Conclusions\n              \n                High TMB and PD-L1 expression are predictive for benefit from ICB treatment in oncogene-driven NSCLCs. NSCLC harboring\n                BRAF\n                mutations demonstrated superior benefit from ICB that may be attributed to higher TMB and higher PD-L1 expression in these tumors. Meanwhile\n                EGFR\n                and\n                HER2\n                mutations and\n                ALK\n                ,\n                ROS1\n                ,\n                RET\n                , and\n                MET\n                fusions define NSCLC subsets with minimal benefit from ICB despite high PD-L1 expression in NSCLC harboring oncogene fusions. These findings indicate a TMB/PD-L1-independent impact on sensitivity to ICB for certain oncogene alterations.","container-title":"Journal for ImmunoTherapy of Cancer","DOI":"10.1136/jitc-2021-002891","ISSN":"2051-1426","issue":"8","journalAbbreviation":"J Immunother Cancer","language":"en","page":"e002891","source":"DOI.org (Crossref)","title":"Oncogene-specific differences in tumor mutational burden, PD-L1 expression, and outcomes from immunotherapy in non-small cell lung cancer","volume":"9","author":[{"family":"Negrao","given":"Marcelo V"},{"family":"Skoulidis","given":"Ferdinandos"},{"family":"Montesion","given":"Meagan"},{"family":"Schulze","given":"Katja"},{"family":"Bara","given":"Ilze"},{"family":"Shen","given":"Vincent"},{"family":"Xu","given":"Hao"},{"family":"Hu","given":"Sylvia"},{"family":"Sui","given":"Dawen"},{"family":"Elamin","given":"Yasir Y"},{"family":"Le","given":"Xiuning"},{"family":"Goldberg","given":"Michael E"},{"family":"Murugesan","given":"Karthikeyan"},{"family":"Wu","given":"Chang-Jiun"},{"family":"Zhang","given":"Jianhua"},{"family":"Barreto","given":"David S"},{"family":"Robichaux","given":"Jacqulyne P"},{"family":"Reuben","given":"Alexandre"},{"family":"Cascone","given":"Tina"},{"family":"Gay","given":"Carl M"},{"family":"Mitchell","given":"Kyle G"},{"family":"Hong","given":"Lingzhi"},{"family":"Rinsurongkawong","given":"Waree"},{"family":"Roth","given":"Jack A"},{"family":"Swisher","given":"Stephen G"},{"family":"Lee","given":"Jack"},{"family":"Tsao","given":"Anne"},{"family":"Papadimitrakopoulou","given":"Vassiliki"},{"family":"Gibbons","given":"Don L"},{"family":"Glisson","given":"Bonnie S"},{"family":"Singal","given":"Gaurav"},{"family":"Miller","given":"Vincent A"},{"family":"Alexander","given":"Brian"},{"family":"Frampton","given":"Garrett"},{"family":"Albacker","given":"Lee A"},{"family":"Shames","given":"David"},{"family":"Zhang","given":"Jianjun"},{"family":"Heymach","given":"John V"}],"issued":{"date-parts":[["2021",8]]}}}],"schema":"https://github.com/citation-style-language/schema/raw/master/csl-citation.json"} </w:instrText>
      </w:r>
      <w:r w:rsidR="00C57649" w:rsidRPr="003A3035">
        <w:rPr>
          <w:color w:val="000000" w:themeColor="text1"/>
          <w:sz w:val="18"/>
          <w:szCs w:val="18"/>
        </w:rPr>
        <w:fldChar w:fldCharType="separate"/>
      </w:r>
      <w:r w:rsidR="004A64A5" w:rsidRPr="003A3035">
        <w:rPr>
          <w:sz w:val="18"/>
        </w:rPr>
        <w:t>(27)</w:t>
      </w:r>
      <w:r w:rsidR="00C57649" w:rsidRPr="003A3035">
        <w:rPr>
          <w:color w:val="000000" w:themeColor="text1"/>
          <w:sz w:val="18"/>
          <w:szCs w:val="18"/>
        </w:rPr>
        <w:fldChar w:fldCharType="end"/>
      </w:r>
      <w:r w:rsidRPr="003A3035">
        <w:rPr>
          <w:color w:val="000000" w:themeColor="text1"/>
          <w:sz w:val="18"/>
          <w:szCs w:val="18"/>
        </w:rPr>
        <w:t xml:space="preserve"> </w:t>
      </w:r>
      <w:r w:rsidRPr="003A3035">
        <w:rPr>
          <w:b/>
          <w:bCs/>
          <w:color w:val="000000" w:themeColor="text1"/>
          <w:sz w:val="18"/>
          <w:szCs w:val="18"/>
        </w:rPr>
        <w:t xml:space="preserve">median PFS = 3.98 </w:t>
      </w:r>
      <w:proofErr w:type="spellStart"/>
      <w:r w:rsidRPr="003A3035">
        <w:rPr>
          <w:b/>
          <w:bCs/>
          <w:color w:val="000000" w:themeColor="text1"/>
          <w:sz w:val="18"/>
          <w:szCs w:val="18"/>
        </w:rPr>
        <w:t>mo</w:t>
      </w:r>
      <w:proofErr w:type="spellEnd"/>
      <w:r w:rsidRPr="003A3035">
        <w:rPr>
          <w:b/>
          <w:bCs/>
          <w:color w:val="000000" w:themeColor="text1"/>
          <w:sz w:val="18"/>
          <w:szCs w:val="18"/>
        </w:rPr>
        <w:t xml:space="preserve"> </w:t>
      </w:r>
      <w:r w:rsidRPr="003A3035">
        <w:rPr>
          <w:color w:val="000000" w:themeColor="text1"/>
          <w:sz w:val="18"/>
          <w:szCs w:val="18"/>
        </w:rPr>
        <w:t xml:space="preserve">(3.61 – NA). </w:t>
      </w:r>
    </w:p>
    <w:p w14:paraId="23C927D8" w14:textId="3D206780" w:rsidR="00CD7491" w:rsidRPr="003A3035" w:rsidRDefault="327D19CB" w:rsidP="007D4215">
      <w:pPr>
        <w:pStyle w:val="Paragraphedeliste"/>
        <w:numPr>
          <w:ilvl w:val="0"/>
          <w:numId w:val="5"/>
        </w:numPr>
        <w:spacing w:before="220" w:after="220"/>
        <w:jc w:val="left"/>
        <w:rPr>
          <w:color w:val="000000" w:themeColor="text1"/>
          <w:sz w:val="18"/>
          <w:szCs w:val="18"/>
        </w:rPr>
      </w:pPr>
      <w:r w:rsidRPr="003A3035">
        <w:rPr>
          <w:i/>
          <w:iCs/>
          <w:color w:val="000000" w:themeColor="text1"/>
          <w:sz w:val="18"/>
          <w:szCs w:val="18"/>
        </w:rPr>
        <w:t>Systematic review of the clinical effectiveness of first-line chemotherapy for adult patients with locally advanced or metastatic non-small cell lung cancer (not alteration specific)</w:t>
      </w:r>
      <w:r w:rsidR="0072454D" w:rsidRPr="003A3035">
        <w:rPr>
          <w:i/>
          <w:iCs/>
          <w:color w:val="000000" w:themeColor="text1"/>
          <w:sz w:val="18"/>
          <w:szCs w:val="18"/>
        </w:rPr>
        <w:t xml:space="preserve"> </w:t>
      </w:r>
      <w:r w:rsidR="0072454D" w:rsidRPr="003A3035">
        <w:rPr>
          <w:i/>
          <w:iCs/>
          <w:color w:val="000000" w:themeColor="text1"/>
          <w:sz w:val="18"/>
          <w:szCs w:val="18"/>
        </w:rPr>
        <w:fldChar w:fldCharType="begin"/>
      </w:r>
      <w:r w:rsidR="004A64A5" w:rsidRPr="003A3035">
        <w:rPr>
          <w:i/>
          <w:iCs/>
          <w:color w:val="000000" w:themeColor="text1"/>
          <w:sz w:val="18"/>
          <w:szCs w:val="18"/>
        </w:rPr>
        <w:instrText xml:space="preserve"> ADDIN ZOTERO_ITEM CSL_CITATION {"citationID":"pzeSieCV","properties":{"formattedCitation":"(28)","plainCitation":"(28)","noteIndex":0},"citationItems":[{"id":8698,"uris":["http://zotero.org/groups/4549131/items/SZMZGH9Q"],"itemData":{"id":8698,"type":"article-journal","container-title":"Thorax","DOI":"10.1136/thoraxjnl-2014-205914","ISSN":"0040-6376","issue":"4","journalAbbreviation":"Thorax","language":"en","page":"359-367","source":"DOI.org (Crossref)","title":"A systematic review of the clinical effectiveness of first-line chemotherapy for adult patients with locally advanced or metastatic non-small cell lung cancer","volume":"70","author":[{"family":"Pilkington","given":"G."},{"family":"Boland","given":"A."},{"family":"Brown","given":"T."},{"family":"Oyee","given":"J."},{"family":"Bagust","given":"A."},{"family":"Dickson","given":"R."}],"issued":{"date-parts":[["2015",4,1]]}}}],"schema":"https://github.com/citation-style-language/schema/raw/master/csl-citation.json"} </w:instrText>
      </w:r>
      <w:r w:rsidR="0072454D" w:rsidRPr="003A3035">
        <w:rPr>
          <w:i/>
          <w:iCs/>
          <w:color w:val="000000" w:themeColor="text1"/>
          <w:sz w:val="18"/>
          <w:szCs w:val="18"/>
        </w:rPr>
        <w:fldChar w:fldCharType="separate"/>
      </w:r>
      <w:r w:rsidR="004A64A5" w:rsidRPr="003A3035">
        <w:rPr>
          <w:sz w:val="18"/>
        </w:rPr>
        <w:t>(28)</w:t>
      </w:r>
      <w:r w:rsidR="0072454D" w:rsidRPr="003A3035">
        <w:rPr>
          <w:i/>
          <w:iCs/>
          <w:color w:val="000000" w:themeColor="text1"/>
          <w:sz w:val="18"/>
          <w:szCs w:val="18"/>
        </w:rPr>
        <w:fldChar w:fldCharType="end"/>
      </w:r>
      <w:r w:rsidRPr="003A3035">
        <w:rPr>
          <w:i/>
          <w:iCs/>
          <w:color w:val="000000" w:themeColor="text1"/>
          <w:sz w:val="18"/>
          <w:szCs w:val="18"/>
        </w:rPr>
        <w:t>:</w:t>
      </w:r>
      <w:r w:rsidRPr="003A3035">
        <w:rPr>
          <w:color w:val="000000" w:themeColor="text1"/>
          <w:sz w:val="18"/>
          <w:szCs w:val="18"/>
        </w:rPr>
        <w:t xml:space="preserve"> </w:t>
      </w:r>
      <w:r w:rsidRPr="003A3035">
        <w:rPr>
          <w:b/>
          <w:bCs/>
          <w:color w:val="000000" w:themeColor="text1"/>
          <w:sz w:val="18"/>
          <w:szCs w:val="18"/>
        </w:rPr>
        <w:t>Median PFS/TTP ranged from 3.0 to 8.4 months</w:t>
      </w:r>
      <w:r w:rsidR="0072454D" w:rsidRPr="003A3035">
        <w:rPr>
          <w:b/>
          <w:bCs/>
          <w:color w:val="000000" w:themeColor="text1"/>
          <w:sz w:val="18"/>
          <w:szCs w:val="18"/>
        </w:rPr>
        <w:t xml:space="preserve"> </w:t>
      </w:r>
      <w:r w:rsidRPr="003A3035">
        <w:rPr>
          <w:color w:val="000000" w:themeColor="text1"/>
          <w:sz w:val="18"/>
          <w:szCs w:val="18"/>
        </w:rPr>
        <w:t xml:space="preserve"> </w:t>
      </w:r>
    </w:p>
    <w:p w14:paraId="5990C44D" w14:textId="359F54F1" w:rsidR="00CD7491" w:rsidRPr="003A3035" w:rsidRDefault="00CD7491" w:rsidP="6EBB0BD4">
      <w:pPr>
        <w:rPr>
          <w:color w:val="000000" w:themeColor="text1"/>
          <w:sz w:val="20"/>
          <w:szCs w:val="20"/>
        </w:rPr>
      </w:pPr>
    </w:p>
    <w:p w14:paraId="5B0313E9" w14:textId="65F86574" w:rsidR="00CD7491" w:rsidRPr="003A3035" w:rsidRDefault="54B22D05" w:rsidP="007D4215">
      <w:pPr>
        <w:pStyle w:val="Paragraphedeliste"/>
        <w:numPr>
          <w:ilvl w:val="0"/>
          <w:numId w:val="16"/>
        </w:numPr>
        <w:rPr>
          <w:b/>
          <w:bCs/>
        </w:rPr>
      </w:pPr>
      <w:r w:rsidRPr="003A3035">
        <w:rPr>
          <w:b/>
          <w:bCs/>
        </w:rPr>
        <w:lastRenderedPageBreak/>
        <w:t>Limitations o</w:t>
      </w:r>
      <w:r w:rsidR="1FAF9141" w:rsidRPr="003A3035">
        <w:rPr>
          <w:b/>
          <w:bCs/>
        </w:rPr>
        <w:t>f</w:t>
      </w:r>
      <w:r w:rsidRPr="003A3035">
        <w:rPr>
          <w:b/>
          <w:bCs/>
        </w:rPr>
        <w:t xml:space="preserve"> </w:t>
      </w:r>
      <w:r w:rsidR="77F2E430" w:rsidRPr="003A3035">
        <w:rPr>
          <w:b/>
          <w:bCs/>
        </w:rPr>
        <w:t>the data sources</w:t>
      </w:r>
    </w:p>
    <w:p w14:paraId="71426D35" w14:textId="6BF432BE" w:rsidR="00CD7491" w:rsidRPr="003A3035" w:rsidRDefault="77F2E430" w:rsidP="007D4215">
      <w:pPr>
        <w:rPr>
          <w:color w:val="auto"/>
        </w:rPr>
      </w:pPr>
      <w:r w:rsidRPr="003A3035">
        <w:rPr>
          <w:color w:val="auto"/>
        </w:rPr>
        <w:t xml:space="preserve">Differences between the </w:t>
      </w:r>
      <w:r w:rsidR="5AE146A2" w:rsidRPr="003A3035">
        <w:rPr>
          <w:color w:val="auto"/>
        </w:rPr>
        <w:t>two</w:t>
      </w:r>
      <w:r w:rsidRPr="003A3035">
        <w:rPr>
          <w:color w:val="auto"/>
        </w:rPr>
        <w:t xml:space="preserve"> data sources (multi-country clinical trials versus French real-world database) may introduce biases in terms of adherence, compliance, care management, availability of treatments, etc. </w:t>
      </w:r>
      <w:r w:rsidR="52B1725D" w:rsidRPr="003A3035">
        <w:rPr>
          <w:color w:val="auto"/>
        </w:rPr>
        <w:t>Unfortunately, these potential biases are difficult to avoid or correct in data that has already been collected and/or aggregated. Although the impact of these potential biases is difficult to estimate, the use of QBAs may prove useful in attempting to quantify them and then assess their impact.</w:t>
      </w:r>
    </w:p>
    <w:p w14:paraId="0DFB40C8" w14:textId="3705B8FC" w:rsidR="00CD7491" w:rsidRPr="003A3035" w:rsidRDefault="00CD7491" w:rsidP="6EBB0BD4">
      <w:pPr>
        <w:pStyle w:val="Paragraphedeliste"/>
        <w:rPr>
          <w:color w:val="auto"/>
        </w:rPr>
      </w:pPr>
    </w:p>
    <w:p w14:paraId="37677A76" w14:textId="70FED667" w:rsidR="00CD7491" w:rsidRPr="003A3035" w:rsidRDefault="3B3BBFDF" w:rsidP="40B4A519">
      <w:pPr>
        <w:pStyle w:val="Paragraphedeliste"/>
        <w:numPr>
          <w:ilvl w:val="0"/>
          <w:numId w:val="16"/>
        </w:numPr>
        <w:rPr>
          <w:b/>
          <w:bCs/>
        </w:rPr>
      </w:pPr>
      <w:r w:rsidRPr="003A3035">
        <w:rPr>
          <w:b/>
          <w:bCs/>
        </w:rPr>
        <w:t>Limitations of the multiple imputation model</w:t>
      </w:r>
    </w:p>
    <w:p w14:paraId="74204E13" w14:textId="5840F502" w:rsidR="00CD7491" w:rsidRPr="003A3035" w:rsidRDefault="2CC16CC2" w:rsidP="00F0641F">
      <w:pPr>
        <w:rPr>
          <w:rFonts w:eastAsia="Aptos"/>
        </w:rPr>
      </w:pPr>
      <w:r w:rsidRPr="003A3035">
        <w:rPr>
          <w:rFonts w:eastAsia="Aptos"/>
        </w:rPr>
        <w:t xml:space="preserve">Multiple imputation of </w:t>
      </w:r>
      <w:r w:rsidR="6F54BA17" w:rsidRPr="003A3035">
        <w:rPr>
          <w:rFonts w:eastAsia="Aptos"/>
        </w:rPr>
        <w:t xml:space="preserve">ECOG PS and smoking status </w:t>
      </w:r>
      <w:r w:rsidRPr="003A3035">
        <w:rPr>
          <w:rFonts w:eastAsia="Aptos"/>
        </w:rPr>
        <w:t>missing values was performed</w:t>
      </w:r>
      <w:r w:rsidR="03224088" w:rsidRPr="003A3035">
        <w:rPr>
          <w:rFonts w:eastAsia="Aptos"/>
        </w:rPr>
        <w:t xml:space="preserve">, as described in </w:t>
      </w:r>
      <w:r w:rsidR="7189F856" w:rsidRPr="003A3035">
        <w:rPr>
          <w:rFonts w:eastAsia="Aptos"/>
        </w:rPr>
        <w:t xml:space="preserve">supplementary material section </w:t>
      </w:r>
      <w:r w:rsidR="57DD5668" w:rsidRPr="003A3035">
        <w:rPr>
          <w:rFonts w:eastAsia="Aptos"/>
        </w:rPr>
        <w:t>E</w:t>
      </w:r>
      <w:r w:rsidR="7189F856" w:rsidRPr="003A3035">
        <w:rPr>
          <w:rFonts w:eastAsia="Aptos"/>
        </w:rPr>
        <w:t>.</w:t>
      </w:r>
      <w:r w:rsidRPr="003A3035">
        <w:rPr>
          <w:rFonts w:eastAsia="Aptos"/>
        </w:rPr>
        <w:t xml:space="preserve"> </w:t>
      </w:r>
      <w:r w:rsidR="2B5B0BFC" w:rsidRPr="003A3035">
        <w:rPr>
          <w:rFonts w:eastAsia="Aptos"/>
        </w:rPr>
        <w:t>Multiple imputation was done without including the outcome in the imputation model as t</w:t>
      </w:r>
      <w:r w:rsidR="41D5ABEC" w:rsidRPr="003A3035">
        <w:rPr>
          <w:rFonts w:eastAsia="Aptos"/>
        </w:rPr>
        <w:t xml:space="preserve">his step was performed </w:t>
      </w:r>
      <w:r w:rsidR="2B5B0BFC" w:rsidRPr="003A3035">
        <w:rPr>
          <w:rFonts w:eastAsia="Aptos"/>
        </w:rPr>
        <w:t xml:space="preserve">blinded of the outcomes to avoid data dredging, </w:t>
      </w:r>
      <w:r w:rsidR="7F581448" w:rsidRPr="003A3035">
        <w:rPr>
          <w:rFonts w:eastAsia="Aptos"/>
        </w:rPr>
        <w:t xml:space="preserve">However, this </w:t>
      </w:r>
      <w:r w:rsidR="2B5B0BFC" w:rsidRPr="003A3035">
        <w:rPr>
          <w:rFonts w:eastAsia="Aptos"/>
        </w:rPr>
        <w:t xml:space="preserve">can lead to biased estimates, unless it is specifically assumed that the outcome is not associated with the missingness mechanism.  </w:t>
      </w:r>
      <w:r w:rsidR="189FD794" w:rsidRPr="003A3035">
        <w:rPr>
          <w:rFonts w:eastAsia="Aptos"/>
        </w:rPr>
        <w:t>Conversely, not being blinded to the results entails a higher risk of data dredging. Thus, in such (non-blinded) situations, the need to pre-specify the weight estimation model, as proposed in this article, is all the more important.</w:t>
      </w:r>
    </w:p>
    <w:p w14:paraId="40AAD8BF" w14:textId="297E5D23" w:rsidR="00CD7491" w:rsidRPr="003A3035" w:rsidRDefault="00CD7491" w:rsidP="40B4A519">
      <w:pPr>
        <w:pStyle w:val="Paragraphedeliste"/>
        <w:ind w:left="1080" w:hanging="360"/>
      </w:pPr>
    </w:p>
    <w:p w14:paraId="5C444CAD" w14:textId="77777777" w:rsidR="00F0641F" w:rsidRPr="003A3035" w:rsidRDefault="00F0641F">
      <w:pPr>
        <w:spacing w:after="160" w:line="259" w:lineRule="auto"/>
        <w:contextualSpacing w:val="0"/>
        <w:jc w:val="left"/>
        <w:rPr>
          <w:rFonts w:eastAsiaTheme="majorEastAsia"/>
          <w:color w:val="0F4761" w:themeColor="accent1" w:themeShade="BF"/>
          <w:sz w:val="32"/>
          <w:szCs w:val="32"/>
        </w:rPr>
      </w:pPr>
      <w:bookmarkStart w:id="37" w:name="_Toc180526686"/>
      <w:bookmarkStart w:id="38" w:name="_Toc180526687"/>
      <w:bookmarkStart w:id="39" w:name="_Toc180526688"/>
      <w:bookmarkEnd w:id="37"/>
      <w:bookmarkEnd w:id="38"/>
      <w:r w:rsidRPr="003A3035">
        <w:br w:type="page"/>
      </w:r>
    </w:p>
    <w:p w14:paraId="13B590EB" w14:textId="13C3DEBA" w:rsidR="00CD7491" w:rsidRPr="003A3035" w:rsidRDefault="252F6BA6" w:rsidP="007D4215">
      <w:pPr>
        <w:pStyle w:val="Titre1"/>
        <w:rPr>
          <w:rFonts w:ascii="Times New Roman" w:hAnsi="Times New Roman" w:cs="Times New Roman"/>
        </w:rPr>
      </w:pPr>
      <w:bookmarkStart w:id="40" w:name="_Toc181224705"/>
      <w:r w:rsidRPr="003A3035">
        <w:rPr>
          <w:rFonts w:ascii="Times New Roman" w:hAnsi="Times New Roman" w:cs="Times New Roman"/>
        </w:rPr>
        <w:lastRenderedPageBreak/>
        <w:t>References</w:t>
      </w:r>
      <w:bookmarkEnd w:id="39"/>
      <w:bookmarkEnd w:id="40"/>
    </w:p>
    <w:p w14:paraId="7899D552" w14:textId="77777777" w:rsidR="004A64A5" w:rsidRPr="003A3035" w:rsidRDefault="00CD7491" w:rsidP="004A64A5">
      <w:pPr>
        <w:pStyle w:val="Bibliographie"/>
      </w:pPr>
      <w:r w:rsidRPr="003A3035">
        <w:fldChar w:fldCharType="begin"/>
      </w:r>
      <w:r w:rsidR="0012656B" w:rsidRPr="003A3035">
        <w:instrText xml:space="preserve"> ADDIN ZOTERO_BIBL {"uncited":[],"omitted":[],"custom":[]} CSL_BIBLIOGRAPHY </w:instrText>
      </w:r>
      <w:r w:rsidRPr="003A3035">
        <w:fldChar w:fldCharType="separate"/>
      </w:r>
      <w:r w:rsidR="004A64A5" w:rsidRPr="003A3035">
        <w:t>1.</w:t>
      </w:r>
      <w:r w:rsidR="004A64A5" w:rsidRPr="003A3035">
        <w:tab/>
        <w:t xml:space="preserve">Dziadziuszko R, Krebs MG, De Braud F, Siena S, Drilon A, Doebele RC, et al. Updated Integrated Analysis of the Efficacy and Safety of Entrectinib in Locally Advanced or Metastatic ROS1 Fusion–Positive Non–Small-Cell Lung Cancer. J Clin Oncol. 2021 Apr 10;39(11):1253–63. </w:t>
      </w:r>
    </w:p>
    <w:p w14:paraId="409993FD" w14:textId="77777777" w:rsidR="004A64A5" w:rsidRPr="003A3035" w:rsidRDefault="004A64A5" w:rsidP="004A64A5">
      <w:pPr>
        <w:pStyle w:val="Bibliographie"/>
      </w:pPr>
      <w:r w:rsidRPr="003A3035">
        <w:t>2.</w:t>
      </w:r>
      <w:r w:rsidRPr="003A3035">
        <w:tab/>
        <w:t>https://stefvanbuuren.name/fimd/sec-choices.html [Internet]. [cited 2024 Jun 11]. Available from: https://stefvanbuuren.name/fimd/sec-choices.html</w:t>
      </w:r>
    </w:p>
    <w:p w14:paraId="5ECF2BA6" w14:textId="77777777" w:rsidR="004A64A5" w:rsidRPr="003A3035" w:rsidRDefault="004A64A5" w:rsidP="004A64A5">
      <w:pPr>
        <w:pStyle w:val="Bibliographie"/>
      </w:pPr>
      <w:r w:rsidRPr="003A3035">
        <w:t>3.</w:t>
      </w:r>
      <w:r w:rsidRPr="003A3035">
        <w:tab/>
        <w:t>Phillippo D, Ades T, Dias S, Palmer S, Abrams KR, Welton NJ. NICE DSU Technical Support Document 18: Methods for population-adjusted indirect comparisons in submissions to NICE [Internet]. 2016. Available from: https://research-information.bris.ac.uk/en/publications/nice-dsu-technical-support-document-18-methods-for-population-adj</w:t>
      </w:r>
    </w:p>
    <w:p w14:paraId="4CCA57DF" w14:textId="77777777" w:rsidR="004A64A5" w:rsidRPr="003A3035" w:rsidRDefault="004A64A5" w:rsidP="004A64A5">
      <w:pPr>
        <w:pStyle w:val="Bibliographie"/>
      </w:pPr>
      <w:r w:rsidRPr="003A3035">
        <w:t>4.</w:t>
      </w:r>
      <w:r w:rsidRPr="003A3035">
        <w:tab/>
        <w:t>Chapter9 Rubin’s Rules | Book_MI.knit [Internet]. [cited 2022 Mar 9]. Available from: https://bookdown.org/mwheymans/bookmi/rubins-rules.html#degrees-of-freedom-and-p-values</w:t>
      </w:r>
    </w:p>
    <w:p w14:paraId="0999D451" w14:textId="77777777" w:rsidR="004A64A5" w:rsidRPr="003A3035" w:rsidRDefault="004A64A5" w:rsidP="004A64A5">
      <w:pPr>
        <w:pStyle w:val="Bibliographie"/>
      </w:pPr>
      <w:r w:rsidRPr="003A3035">
        <w:t>5.</w:t>
      </w:r>
      <w:r w:rsidRPr="003A3035">
        <w:tab/>
        <w:t>Stef van Buuren. Part I : Basics. In: Flexible Imputation of Missing Data, Second Edition [Internet]. [cited 2023 Aug 16]. Available from: https://stefvanbuuren.name/fimd/sec-whyandwhen.html</w:t>
      </w:r>
    </w:p>
    <w:p w14:paraId="6D72D3C8" w14:textId="77777777" w:rsidR="004A64A5" w:rsidRPr="003A3035" w:rsidRDefault="004A64A5" w:rsidP="004A64A5">
      <w:pPr>
        <w:pStyle w:val="Bibliographie"/>
      </w:pPr>
      <w:r w:rsidRPr="003A3035">
        <w:t>6.</w:t>
      </w:r>
      <w:r w:rsidRPr="003A3035">
        <w:tab/>
        <w:t xml:space="preserve">Raghunathan T. </w:t>
      </w:r>
      <w:r w:rsidRPr="003A3035">
        <w:rPr>
          <w:i/>
          <w:iCs/>
        </w:rPr>
        <w:t>Missing Data Analysis in Practice</w:t>
      </w:r>
      <w:r w:rsidRPr="003A3035">
        <w:t xml:space="preserve"> , by Trivellore Raghunathan: Boca Raton, FL: CRC Press, 2016, $63.96, ISBN 978-1-4822-1192-4. J Biopharm Stat. 2016 Nov;26(6):1146–7. </w:t>
      </w:r>
    </w:p>
    <w:p w14:paraId="69338DE0" w14:textId="77777777" w:rsidR="004A64A5" w:rsidRPr="003A3035" w:rsidRDefault="004A64A5" w:rsidP="004A64A5">
      <w:pPr>
        <w:pStyle w:val="Bibliographie"/>
      </w:pPr>
      <w:r w:rsidRPr="003A3035">
        <w:t>7.</w:t>
      </w:r>
      <w:r w:rsidRPr="003A3035">
        <w:tab/>
        <w:t xml:space="preserve">Cusson A, Infante-Rivard C. Bias factor, maximum bias and the E-value: insight and extended applications. Int J Epidemiol. 2020 Oct 1;49(5):1509–16. </w:t>
      </w:r>
    </w:p>
    <w:p w14:paraId="79D6ABB4" w14:textId="77777777" w:rsidR="004A64A5" w:rsidRPr="003A3035" w:rsidRDefault="004A64A5" w:rsidP="004A64A5">
      <w:pPr>
        <w:pStyle w:val="Bibliographie"/>
      </w:pPr>
      <w:r w:rsidRPr="003A3035">
        <w:t>8.</w:t>
      </w:r>
      <w:r w:rsidRPr="003A3035">
        <w:tab/>
        <w:t xml:space="preserve">VanderWeele TJ, Ding P. Sensitivity Analysis in Observational Research: Introducing the E-Value. Ann Intern Med. 2017 Aug 15;167(4):268–74. </w:t>
      </w:r>
    </w:p>
    <w:p w14:paraId="3B8616B8" w14:textId="77777777" w:rsidR="004A64A5" w:rsidRPr="003A3035" w:rsidRDefault="004A64A5" w:rsidP="004A64A5">
      <w:pPr>
        <w:pStyle w:val="Bibliographie"/>
      </w:pPr>
      <w:r w:rsidRPr="003A3035">
        <w:t>9.</w:t>
      </w:r>
      <w:r w:rsidRPr="003A3035">
        <w:tab/>
        <w:t xml:space="preserve">Ding P, VanderWeele TJ. Sensitivity Analysis Without Assumptions. Epidemiol Camb Mass. 2016 May;27(3):368–77. </w:t>
      </w:r>
    </w:p>
    <w:p w14:paraId="22227447" w14:textId="77777777" w:rsidR="004A64A5" w:rsidRPr="003A3035" w:rsidRDefault="004A64A5" w:rsidP="004A64A5">
      <w:pPr>
        <w:pStyle w:val="Bibliographie"/>
      </w:pPr>
      <w:r w:rsidRPr="003A3035">
        <w:t>10.</w:t>
      </w:r>
      <w:r w:rsidRPr="003A3035">
        <w:tab/>
        <w:t xml:space="preserve">VanderWeele T. On a square-root transformation of the odds ratio for a common outcome. Epidemiol Camb Mass. 2017 Nov;28(6):e58–60. </w:t>
      </w:r>
    </w:p>
    <w:p w14:paraId="1ED37CB2" w14:textId="77777777" w:rsidR="004A64A5" w:rsidRPr="003A3035" w:rsidRDefault="004A64A5" w:rsidP="004A64A5">
      <w:pPr>
        <w:pStyle w:val="Bibliographie"/>
      </w:pPr>
      <w:r w:rsidRPr="003A3035">
        <w:t>11.</w:t>
      </w:r>
      <w:r w:rsidRPr="003A3035">
        <w:tab/>
        <w:t xml:space="preserve">Leacy FP, Floyd S, Yates TA, White IR. Analyses of Sensitivity to the Missing-at-Random Assumption Using Multiple Imputation With Delta Adjustment: Application to a Tuberculosis/HIV Prevalence Survey With Incomplete HIV-Status Data. Am J Epidemiol. 2017 Jan 10;amjepid;kww107v1. </w:t>
      </w:r>
    </w:p>
    <w:p w14:paraId="32637548" w14:textId="77777777" w:rsidR="004A64A5" w:rsidRPr="003A3035" w:rsidRDefault="004A64A5" w:rsidP="004A64A5">
      <w:pPr>
        <w:pStyle w:val="Bibliographie"/>
      </w:pPr>
      <w:r w:rsidRPr="003A3035">
        <w:t>12.</w:t>
      </w:r>
      <w:r w:rsidRPr="003A3035">
        <w:tab/>
        <w:t xml:space="preserve">Shen L, Qiang T, Li Z, Ding D, Yu Y, Lu S. First-line crizotinib versus platinum-pemetrexed chemotherapy in patients with advanced ROS1-rearranged non-small-cell lung cancer. Cancer Med. 2020 May;9(10):3310–8. </w:t>
      </w:r>
    </w:p>
    <w:p w14:paraId="2C9722F9" w14:textId="77777777" w:rsidR="004A64A5" w:rsidRPr="003A3035" w:rsidRDefault="004A64A5" w:rsidP="004A64A5">
      <w:pPr>
        <w:pStyle w:val="Bibliographie"/>
      </w:pPr>
      <w:r w:rsidRPr="003A3035">
        <w:t>13.</w:t>
      </w:r>
      <w:r w:rsidRPr="003A3035">
        <w:tab/>
        <w:t xml:space="preserve">Xu H, Zhang Q, Liang L, Li J, Liu Z, Li W, et al. Crizotinib vs platinum-based chemotherapy as first-line treatment for advanced non-small cell lung cancer with different ROS1 fusion variants. Cancer Med. 2020 May;9(10):3328–36. </w:t>
      </w:r>
    </w:p>
    <w:p w14:paraId="3D257FCD" w14:textId="77777777" w:rsidR="004A64A5" w:rsidRPr="003A3035" w:rsidRDefault="004A64A5" w:rsidP="004A64A5">
      <w:pPr>
        <w:pStyle w:val="Bibliographie"/>
      </w:pPr>
      <w:r w:rsidRPr="003A3035">
        <w:t>14.</w:t>
      </w:r>
      <w:r w:rsidRPr="003A3035">
        <w:tab/>
        <w:t xml:space="preserve">Adamson BJS, Ma X, Griffith SD, Sweeney EM, Sarkar S, Bourla AB. Differential frequency in </w:t>
      </w:r>
      <w:r w:rsidRPr="003A3035">
        <w:rPr>
          <w:smallCaps/>
        </w:rPr>
        <w:t>imaging‐based</w:t>
      </w:r>
      <w:r w:rsidRPr="003A3035">
        <w:t xml:space="preserve"> outcome measurement: Bias in </w:t>
      </w:r>
      <w:r w:rsidRPr="003A3035">
        <w:rPr>
          <w:smallCaps/>
        </w:rPr>
        <w:t>real‐world</w:t>
      </w:r>
      <w:r w:rsidRPr="003A3035">
        <w:t xml:space="preserve"> oncology </w:t>
      </w:r>
      <w:r w:rsidRPr="003A3035">
        <w:rPr>
          <w:smallCaps/>
        </w:rPr>
        <w:t>comparative‐effectiveness</w:t>
      </w:r>
      <w:r w:rsidRPr="003A3035">
        <w:t xml:space="preserve"> studies. Pharmacoepidemiol Drug Saf. 2022 Jan;31(1):46–54. </w:t>
      </w:r>
    </w:p>
    <w:p w14:paraId="62A4B10A" w14:textId="77777777" w:rsidR="004A64A5" w:rsidRPr="003A3035" w:rsidRDefault="004A64A5" w:rsidP="004A64A5">
      <w:pPr>
        <w:pStyle w:val="Bibliographie"/>
      </w:pPr>
      <w:r w:rsidRPr="003A3035">
        <w:t>15.</w:t>
      </w:r>
      <w:r w:rsidRPr="003A3035">
        <w:tab/>
        <w:t xml:space="preserve">Ton TGN, Pal N, Trinh H, Mahrus S, Bretscher MT, Machado RJM, et al. Replication of Overall Survival, Progression-Free Survival, and Overall Response in Chemotherapy Arms of Non–Small Cell Lung Cancer Trials Using Real-World Data. Clin Cancer Res. 2022 Jul 1;28(13):2844–53. </w:t>
      </w:r>
    </w:p>
    <w:p w14:paraId="6328B71B" w14:textId="77777777" w:rsidR="004A64A5" w:rsidRPr="003A3035" w:rsidRDefault="004A64A5" w:rsidP="004A64A5">
      <w:pPr>
        <w:pStyle w:val="Bibliographie"/>
      </w:pPr>
      <w:r w:rsidRPr="003A3035">
        <w:t>16.</w:t>
      </w:r>
      <w:r w:rsidRPr="003A3035">
        <w:tab/>
        <w:t xml:space="preserve">Griffith SD, Miksad RA, Calkins G, You P, Lipitz NG, Bourla AB, et al. Characterizing the Feasibility and Performance of Real-World Tumor Progression End Points and Their Association With Overall Survival in a Large Advanced Non–Small-Cell Lung Cancer Data Set. JCO Clin Cancer Inform. 2019 Dec;(3):1–13. </w:t>
      </w:r>
    </w:p>
    <w:p w14:paraId="2C0564EC" w14:textId="77777777" w:rsidR="004A64A5" w:rsidRPr="003A3035" w:rsidRDefault="004A64A5" w:rsidP="004A64A5">
      <w:pPr>
        <w:pStyle w:val="Bibliographie"/>
      </w:pPr>
      <w:r w:rsidRPr="003A3035">
        <w:t>17.</w:t>
      </w:r>
      <w:r w:rsidRPr="003A3035">
        <w:tab/>
        <w:t xml:space="preserve">Mhatre SK, Machado RJM, Ton TGN, Trinh H, Mazieres J, Rittmeyer A, et al. Real‐World Progression‐Free Survival as an Endpoint in Lung Cancer: Replicating Atezolizumab and Docetaxel Arms of the OAK Trial Using Real‐World Data. Clin Pharmacol Ther. 2023 Dec;114(6):1313–22. </w:t>
      </w:r>
    </w:p>
    <w:p w14:paraId="65FD6A9A" w14:textId="77777777" w:rsidR="004A64A5" w:rsidRPr="003A3035" w:rsidRDefault="004A64A5" w:rsidP="004A64A5">
      <w:pPr>
        <w:pStyle w:val="Bibliographie"/>
      </w:pPr>
      <w:r w:rsidRPr="003A3035">
        <w:t>18.</w:t>
      </w:r>
      <w:r w:rsidRPr="003A3035">
        <w:tab/>
        <w:t xml:space="preserve">McCaw ZR, Tian L, Wei J, Claggett BL, Bretz F, Fitzmaurice G, et al. Choosing clinically interpretable summary measures and robust analytic procedures for quantifying the treatment difference in comparative clinical studies. Stat Med. 2021 Dec 10;40(28):6235–42. </w:t>
      </w:r>
    </w:p>
    <w:p w14:paraId="45EF90FA" w14:textId="77777777" w:rsidR="004A64A5" w:rsidRPr="003A3035" w:rsidRDefault="004A64A5" w:rsidP="004A64A5">
      <w:pPr>
        <w:pStyle w:val="Bibliographie"/>
      </w:pPr>
      <w:r w:rsidRPr="003A3035">
        <w:t>19.</w:t>
      </w:r>
      <w:r w:rsidRPr="003A3035">
        <w:tab/>
        <w:t xml:space="preserve">Andersen PK, Pohar Perme M. Pseudo-observations in survival analysis. Stat Methods Med Res. 2010 Feb;19(1):71–99. </w:t>
      </w:r>
    </w:p>
    <w:p w14:paraId="1299AA67" w14:textId="77777777" w:rsidR="004A64A5" w:rsidRPr="003A3035" w:rsidRDefault="004A64A5" w:rsidP="004A64A5">
      <w:pPr>
        <w:pStyle w:val="Bibliographie"/>
      </w:pPr>
      <w:r w:rsidRPr="003A3035">
        <w:lastRenderedPageBreak/>
        <w:t>20.</w:t>
      </w:r>
      <w:r w:rsidRPr="003A3035">
        <w:tab/>
        <w:t xml:space="preserve">Tian L, Zhao L, Wei LJ. Predicting the restricted mean event time with the subject’s baseline covariates in survival analysis. Biostatistics. 2014 Apr 1;15(2):222–33. </w:t>
      </w:r>
    </w:p>
    <w:p w14:paraId="2C2AF441" w14:textId="77777777" w:rsidR="004A64A5" w:rsidRPr="003A3035" w:rsidRDefault="004A64A5" w:rsidP="004A64A5">
      <w:pPr>
        <w:pStyle w:val="Bibliographie"/>
      </w:pPr>
      <w:r w:rsidRPr="003A3035">
        <w:t>21.</w:t>
      </w:r>
      <w:r w:rsidRPr="003A3035">
        <w:tab/>
        <w:t xml:space="preserve">Song Z, Su H, Zhang Y. Patients with </w:t>
      </w:r>
      <w:r w:rsidRPr="003A3035">
        <w:rPr>
          <w:smallCaps/>
        </w:rPr>
        <w:t>ROS</w:t>
      </w:r>
      <w:r w:rsidRPr="003A3035">
        <w:t xml:space="preserve"> 1 rearrangement‐positive non‐small‐cell lung cancer benefit from pemetrexed‐based chemotherapy. Cancer Med. 2016 Oct;5(10):2688–93. </w:t>
      </w:r>
    </w:p>
    <w:p w14:paraId="06E93C5B" w14:textId="77777777" w:rsidR="004A64A5" w:rsidRPr="003A3035" w:rsidRDefault="004A64A5" w:rsidP="004A64A5">
      <w:pPr>
        <w:pStyle w:val="Bibliographie"/>
        <w:rPr>
          <w:lang w:val="es-ES"/>
        </w:rPr>
      </w:pPr>
      <w:r w:rsidRPr="003A3035">
        <w:t>22.</w:t>
      </w:r>
      <w:r w:rsidRPr="003A3035">
        <w:tab/>
        <w:t xml:space="preserve">Huber KVM, Salah E, Radic B, Gridling M, Elkins JM, Stukalov A, et al. Stereospecific targeting of MTH1 by (S)-crizotinib as an anticancer strategy. </w:t>
      </w:r>
      <w:r w:rsidRPr="003A3035">
        <w:rPr>
          <w:lang w:val="es-ES"/>
        </w:rPr>
        <w:t xml:space="preserve">Nature. 2014 Apr 10;508(7495):222–7. </w:t>
      </w:r>
    </w:p>
    <w:p w14:paraId="3CBD2143" w14:textId="77777777" w:rsidR="004A64A5" w:rsidRPr="003A3035" w:rsidRDefault="004A64A5" w:rsidP="004A64A5">
      <w:pPr>
        <w:pStyle w:val="Bibliographie"/>
      </w:pPr>
      <w:r w:rsidRPr="003A3035">
        <w:rPr>
          <w:lang w:val="es-ES"/>
        </w:rPr>
        <w:t>23.</w:t>
      </w:r>
      <w:r w:rsidRPr="003A3035">
        <w:rPr>
          <w:lang w:val="es-ES"/>
        </w:rPr>
        <w:tab/>
        <w:t xml:space="preserve">Soria JC, Tan DSW, Chiari R, Wu YL, Paz-Ares L, Wolf J, et al. </w:t>
      </w:r>
      <w:r w:rsidRPr="003A3035">
        <w:t xml:space="preserve">First-line ceritinib versus platinum-based chemotherapy in advanced ALK -rearranged non-small-cell lung cancer (ASCEND-4): a randomised, open-label, phase 3 study. The Lancet. 2017 Mar;389(10072):917–29. </w:t>
      </w:r>
    </w:p>
    <w:p w14:paraId="3EB1D5A4" w14:textId="77777777" w:rsidR="004A64A5" w:rsidRPr="003A3035" w:rsidRDefault="004A64A5" w:rsidP="004A64A5">
      <w:pPr>
        <w:pStyle w:val="Bibliographie"/>
      </w:pPr>
      <w:r w:rsidRPr="003A3035">
        <w:t>24.</w:t>
      </w:r>
      <w:r w:rsidRPr="003A3035">
        <w:tab/>
        <w:t xml:space="preserve">Solomon BJ, Mok T, Kim DW, Wu YL, Nakagawa K, Mekhail T, et al. First-Line Crizotinib versus Chemotherapy in </w:t>
      </w:r>
      <w:r w:rsidRPr="003A3035">
        <w:rPr>
          <w:i/>
          <w:iCs/>
        </w:rPr>
        <w:t>ALK</w:t>
      </w:r>
      <w:r w:rsidRPr="003A3035">
        <w:t xml:space="preserve"> -Positive Lung Cancer. N Engl J Med. 2014 Dec 4;371(23):2167–77. </w:t>
      </w:r>
    </w:p>
    <w:p w14:paraId="475DC74D" w14:textId="77777777" w:rsidR="004A64A5" w:rsidRPr="003A3035" w:rsidRDefault="004A64A5" w:rsidP="004A64A5">
      <w:pPr>
        <w:pStyle w:val="Bibliographie"/>
      </w:pPr>
      <w:r w:rsidRPr="003A3035">
        <w:t>25.</w:t>
      </w:r>
      <w:r w:rsidRPr="003A3035">
        <w:tab/>
        <w:t xml:space="preserve">Socinski MA, Jotte RM, Cappuzzo F, Orlandi F, Stroyakovskiy D, Nogami N, et al. Atezolizumab for First-Line Treatment of Metastatic Nonsquamous NSCLC. N Engl J Med. 2018 Jun 14;378(24):2288–301. </w:t>
      </w:r>
    </w:p>
    <w:p w14:paraId="73B39CD3" w14:textId="77777777" w:rsidR="004A64A5" w:rsidRPr="003A3035" w:rsidRDefault="004A64A5" w:rsidP="004A64A5">
      <w:pPr>
        <w:pStyle w:val="Bibliographie"/>
      </w:pPr>
      <w:r w:rsidRPr="003A3035">
        <w:rPr>
          <w:lang w:val="fr-FR"/>
        </w:rPr>
        <w:t>26.</w:t>
      </w:r>
      <w:r w:rsidRPr="003A3035">
        <w:rPr>
          <w:lang w:val="fr-FR"/>
        </w:rPr>
        <w:tab/>
        <w:t xml:space="preserve">Tian T, Li Y, Li J, Xu H, Fan H, Zhu J, et al. </w:t>
      </w:r>
      <w:r w:rsidRPr="003A3035">
        <w:t xml:space="preserve">Immunotherapy for patients with advanced non-small cell lung cancer harboring oncogenic driver alterations other than EGFR: a multicenter real-world analysis. Transl Lung Cancer Res. 2024 Apr;13(4):861–74. </w:t>
      </w:r>
    </w:p>
    <w:p w14:paraId="4C945246" w14:textId="77777777" w:rsidR="004A64A5" w:rsidRPr="003A3035" w:rsidRDefault="004A64A5" w:rsidP="004A64A5">
      <w:pPr>
        <w:pStyle w:val="Bibliographie"/>
      </w:pPr>
      <w:r w:rsidRPr="003A3035">
        <w:t>27.</w:t>
      </w:r>
      <w:r w:rsidRPr="003A3035">
        <w:tab/>
        <w:t xml:space="preserve">Negrao MV, Skoulidis F, Montesion M, Schulze K, Bara I, Shen V, et al. Oncogene-specific differences in tumor mutational burden, PD-L1 expression, and outcomes from immunotherapy in non-small cell lung cancer. J Immunother Cancer. 2021 Aug;9(8):e002891. </w:t>
      </w:r>
    </w:p>
    <w:p w14:paraId="71251893" w14:textId="77777777" w:rsidR="004A64A5" w:rsidRPr="003A3035" w:rsidRDefault="004A64A5" w:rsidP="004A64A5">
      <w:pPr>
        <w:pStyle w:val="Bibliographie"/>
      </w:pPr>
      <w:r w:rsidRPr="003A3035">
        <w:t>28.</w:t>
      </w:r>
      <w:r w:rsidRPr="003A3035">
        <w:tab/>
        <w:t xml:space="preserve">Pilkington G, Boland A, Brown T, Oyee J, Bagust A, Dickson R. A systematic review of the clinical effectiveness of first-line chemotherapy for adult patients with locally advanced or metastatic non-small cell lung cancer. Thorax. 2015 Apr 1;70(4):359–67. </w:t>
      </w:r>
    </w:p>
    <w:p w14:paraId="096A7AD2" w14:textId="491EA1E2" w:rsidR="00CD7491" w:rsidRPr="003A3035" w:rsidRDefault="00CD7491">
      <w:r w:rsidRPr="003A3035">
        <w:fldChar w:fldCharType="end"/>
      </w:r>
    </w:p>
    <w:sectPr w:rsidR="00CD7491" w:rsidRPr="003A3035">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312570C" w14:textId="77777777" w:rsidR="008A1784" w:rsidRDefault="008A1784" w:rsidP="00C97D7F">
      <w:pPr>
        <w:spacing w:line="240" w:lineRule="auto"/>
      </w:pPr>
      <w:r>
        <w:separator/>
      </w:r>
    </w:p>
  </w:endnote>
  <w:endnote w:type="continuationSeparator" w:id="0">
    <w:p w14:paraId="59CE6623" w14:textId="77777777" w:rsidR="008A1784" w:rsidRDefault="008A1784" w:rsidP="00C97D7F">
      <w:pPr>
        <w:spacing w:line="240" w:lineRule="auto"/>
      </w:pPr>
      <w:r>
        <w:continuationSeparator/>
      </w:r>
    </w:p>
  </w:endnote>
  <w:endnote w:type="continuationNotice" w:id="1">
    <w:p w14:paraId="1F6CFE14" w14:textId="77777777" w:rsidR="008A1784" w:rsidRDefault="008A1784">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Calibri"/>
    <w:charset w:val="00"/>
    <w:family w:val="auto"/>
    <w:pitch w:val="default"/>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Gungsuh">
    <w:charset w:val="81"/>
    <w:family w:val="roman"/>
    <w:pitch w:val="variable"/>
    <w:sig w:usb0="B00002AF" w:usb1="69D77CFB" w:usb2="00000030" w:usb3="00000000" w:csb0="0008009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D05702" w14:textId="77777777" w:rsidR="00C97D7F" w:rsidRDefault="00C97D7F">
    <w:pPr>
      <w:pStyle w:val="Pieddepag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4E1E7B" w14:textId="77777777" w:rsidR="00C97D7F" w:rsidRDefault="00C97D7F">
    <w:pPr>
      <w:pStyle w:val="Pieddepag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48E225" w14:textId="77777777" w:rsidR="00C97D7F" w:rsidRDefault="00C97D7F">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A09D392" w14:textId="77777777" w:rsidR="008A1784" w:rsidRDefault="008A1784" w:rsidP="00C97D7F">
      <w:pPr>
        <w:spacing w:line="240" w:lineRule="auto"/>
      </w:pPr>
      <w:r>
        <w:separator/>
      </w:r>
    </w:p>
  </w:footnote>
  <w:footnote w:type="continuationSeparator" w:id="0">
    <w:p w14:paraId="6D75AB74" w14:textId="77777777" w:rsidR="008A1784" w:rsidRDefault="008A1784" w:rsidP="00C97D7F">
      <w:pPr>
        <w:spacing w:line="240" w:lineRule="auto"/>
      </w:pPr>
      <w:r>
        <w:continuationSeparator/>
      </w:r>
    </w:p>
  </w:footnote>
  <w:footnote w:type="continuationNotice" w:id="1">
    <w:p w14:paraId="589A9508" w14:textId="77777777" w:rsidR="008A1784" w:rsidRDefault="008A1784">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D3529E" w14:textId="530DEE32" w:rsidR="00C97D7F" w:rsidRDefault="00FE69C4">
    <w:pPr>
      <w:pStyle w:val="En-tte"/>
    </w:pPr>
    <w:r>
      <w:rPr>
        <w:noProof/>
      </w:rPr>
      <w:pict w14:anchorId="7D377199">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243693657" o:spid="_x0000_s1026" type="#_x0000_t136" style="position:absolute;left:0;text-align:left;margin-left:0;margin-top:0;width:620.6pt;height:38.75pt;rotation:315;z-index:-251658239;mso-position-horizontal:center;mso-position-horizontal-relative:margin;mso-position-vertical:center;mso-position-vertical-relative:margin" o:allowincell="f" fillcolor="silver" stroked="f">
          <v:fill opacity=".5"/>
          <v:textpath style="font-family:&quot;Times New Roman&quot;;font-size:1pt" string="UNDER SUBMISSION - CONFIDENTIAL"/>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5B65FF" w14:textId="375AD6C0" w:rsidR="00C97D7F" w:rsidRDefault="00FE69C4">
    <w:pPr>
      <w:pStyle w:val="En-tte"/>
    </w:pPr>
    <w:r>
      <w:rPr>
        <w:noProof/>
      </w:rPr>
      <w:pict w14:anchorId="4A68F3B9">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243693658" o:spid="_x0000_s1027" type="#_x0000_t136" style="position:absolute;left:0;text-align:left;margin-left:0;margin-top:0;width:620.6pt;height:38.75pt;rotation:315;z-index:-251658238;mso-position-horizontal:center;mso-position-horizontal-relative:margin;mso-position-vertical:center;mso-position-vertical-relative:margin" o:allowincell="f" fillcolor="silver" stroked="f">
          <v:fill opacity=".5"/>
          <v:textpath style="font-family:&quot;Times New Roman&quot;;font-size:1pt" string="UNDER SUBMISSION - CONFIDENTIAL"/>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359C8B" w14:textId="286CB7EC" w:rsidR="00C97D7F" w:rsidRDefault="00FE69C4">
    <w:pPr>
      <w:pStyle w:val="En-tte"/>
    </w:pPr>
    <w:r>
      <w:rPr>
        <w:noProof/>
      </w:rPr>
      <w:pict w14:anchorId="0F32BC41">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243693656" o:spid="_x0000_s1025" type="#_x0000_t136" style="position:absolute;left:0;text-align:left;margin-left:0;margin-top:0;width:620.6pt;height:38.75pt;rotation:315;z-index:-251658240;mso-position-horizontal:center;mso-position-horizontal-relative:margin;mso-position-vertical:center;mso-position-vertical-relative:margin" o:allowincell="f" fillcolor="silver" stroked="f">
          <v:fill opacity=".5"/>
          <v:textpath style="font-family:&quot;Times New Roman&quot;;font-size:1pt" string="UNDER SUBMISSION - CONFIDENTIAL"/>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28DB87"/>
    <w:multiLevelType w:val="hybridMultilevel"/>
    <w:tmpl w:val="CFE66078"/>
    <w:lvl w:ilvl="0" w:tplc="61406D4C">
      <w:start w:val="1"/>
      <w:numFmt w:val="bullet"/>
      <w:lvlText w:val=""/>
      <w:lvlJc w:val="left"/>
      <w:pPr>
        <w:ind w:left="1428" w:hanging="360"/>
      </w:pPr>
      <w:rPr>
        <w:rFonts w:ascii="Symbol" w:hAnsi="Symbol" w:hint="default"/>
      </w:rPr>
    </w:lvl>
    <w:lvl w:ilvl="1" w:tplc="7BB8B0B2">
      <w:start w:val="1"/>
      <w:numFmt w:val="bullet"/>
      <w:lvlText w:val="o"/>
      <w:lvlJc w:val="left"/>
      <w:pPr>
        <w:ind w:left="2148" w:hanging="360"/>
      </w:pPr>
      <w:rPr>
        <w:rFonts w:ascii="Courier New" w:hAnsi="Courier New" w:hint="default"/>
      </w:rPr>
    </w:lvl>
    <w:lvl w:ilvl="2" w:tplc="222AFDA0">
      <w:start w:val="1"/>
      <w:numFmt w:val="bullet"/>
      <w:lvlText w:val=""/>
      <w:lvlJc w:val="left"/>
      <w:pPr>
        <w:ind w:left="2868" w:hanging="360"/>
      </w:pPr>
      <w:rPr>
        <w:rFonts w:ascii="Wingdings" w:hAnsi="Wingdings" w:hint="default"/>
      </w:rPr>
    </w:lvl>
    <w:lvl w:ilvl="3" w:tplc="86AAA5A0">
      <w:start w:val="1"/>
      <w:numFmt w:val="bullet"/>
      <w:lvlText w:val=""/>
      <w:lvlJc w:val="left"/>
      <w:pPr>
        <w:ind w:left="3588" w:hanging="360"/>
      </w:pPr>
      <w:rPr>
        <w:rFonts w:ascii="Symbol" w:hAnsi="Symbol" w:hint="default"/>
      </w:rPr>
    </w:lvl>
    <w:lvl w:ilvl="4" w:tplc="64DCAFEE">
      <w:start w:val="1"/>
      <w:numFmt w:val="bullet"/>
      <w:lvlText w:val="o"/>
      <w:lvlJc w:val="left"/>
      <w:pPr>
        <w:ind w:left="4308" w:hanging="360"/>
      </w:pPr>
      <w:rPr>
        <w:rFonts w:ascii="Courier New" w:hAnsi="Courier New" w:hint="default"/>
      </w:rPr>
    </w:lvl>
    <w:lvl w:ilvl="5" w:tplc="AE244BA8">
      <w:start w:val="1"/>
      <w:numFmt w:val="bullet"/>
      <w:lvlText w:val=""/>
      <w:lvlJc w:val="left"/>
      <w:pPr>
        <w:ind w:left="5028" w:hanging="360"/>
      </w:pPr>
      <w:rPr>
        <w:rFonts w:ascii="Wingdings" w:hAnsi="Wingdings" w:hint="default"/>
      </w:rPr>
    </w:lvl>
    <w:lvl w:ilvl="6" w:tplc="FFB4254A">
      <w:start w:val="1"/>
      <w:numFmt w:val="bullet"/>
      <w:lvlText w:val=""/>
      <w:lvlJc w:val="left"/>
      <w:pPr>
        <w:ind w:left="5748" w:hanging="360"/>
      </w:pPr>
      <w:rPr>
        <w:rFonts w:ascii="Symbol" w:hAnsi="Symbol" w:hint="default"/>
      </w:rPr>
    </w:lvl>
    <w:lvl w:ilvl="7" w:tplc="14A08C72">
      <w:start w:val="1"/>
      <w:numFmt w:val="bullet"/>
      <w:lvlText w:val="o"/>
      <w:lvlJc w:val="left"/>
      <w:pPr>
        <w:ind w:left="6468" w:hanging="360"/>
      </w:pPr>
      <w:rPr>
        <w:rFonts w:ascii="Courier New" w:hAnsi="Courier New" w:hint="default"/>
      </w:rPr>
    </w:lvl>
    <w:lvl w:ilvl="8" w:tplc="76867F16">
      <w:start w:val="1"/>
      <w:numFmt w:val="bullet"/>
      <w:lvlText w:val=""/>
      <w:lvlJc w:val="left"/>
      <w:pPr>
        <w:ind w:left="7188" w:hanging="360"/>
      </w:pPr>
      <w:rPr>
        <w:rFonts w:ascii="Wingdings" w:hAnsi="Wingdings" w:hint="default"/>
      </w:rPr>
    </w:lvl>
  </w:abstractNum>
  <w:abstractNum w:abstractNumId="1" w15:restartNumberingAfterBreak="0">
    <w:nsid w:val="0C467A7F"/>
    <w:multiLevelType w:val="hybridMultilevel"/>
    <w:tmpl w:val="BEC4DEA4"/>
    <w:lvl w:ilvl="0" w:tplc="D6760864">
      <w:start w:val="1"/>
      <w:numFmt w:val="bullet"/>
      <w:lvlText w:val=""/>
      <w:lvlJc w:val="left"/>
      <w:pPr>
        <w:ind w:left="1068" w:hanging="360"/>
      </w:pPr>
      <w:rPr>
        <w:rFonts w:ascii="Symbol" w:hAnsi="Symbol" w:hint="default"/>
      </w:rPr>
    </w:lvl>
    <w:lvl w:ilvl="1" w:tplc="4B50A36E">
      <w:start w:val="1"/>
      <w:numFmt w:val="bullet"/>
      <w:lvlText w:val="o"/>
      <w:lvlJc w:val="left"/>
      <w:pPr>
        <w:ind w:left="1788" w:hanging="360"/>
      </w:pPr>
      <w:rPr>
        <w:rFonts w:ascii="Courier New" w:hAnsi="Courier New" w:hint="default"/>
      </w:rPr>
    </w:lvl>
    <w:lvl w:ilvl="2" w:tplc="58704BA0">
      <w:start w:val="1"/>
      <w:numFmt w:val="bullet"/>
      <w:lvlText w:val=""/>
      <w:lvlJc w:val="left"/>
      <w:pPr>
        <w:ind w:left="2508" w:hanging="360"/>
      </w:pPr>
      <w:rPr>
        <w:rFonts w:ascii="Wingdings" w:hAnsi="Wingdings" w:hint="default"/>
      </w:rPr>
    </w:lvl>
    <w:lvl w:ilvl="3" w:tplc="C89C835A">
      <w:start w:val="1"/>
      <w:numFmt w:val="bullet"/>
      <w:lvlText w:val=""/>
      <w:lvlJc w:val="left"/>
      <w:pPr>
        <w:ind w:left="3228" w:hanging="360"/>
      </w:pPr>
      <w:rPr>
        <w:rFonts w:ascii="Symbol" w:hAnsi="Symbol" w:hint="default"/>
      </w:rPr>
    </w:lvl>
    <w:lvl w:ilvl="4" w:tplc="93440B0A">
      <w:start w:val="1"/>
      <w:numFmt w:val="bullet"/>
      <w:lvlText w:val="o"/>
      <w:lvlJc w:val="left"/>
      <w:pPr>
        <w:ind w:left="3948" w:hanging="360"/>
      </w:pPr>
      <w:rPr>
        <w:rFonts w:ascii="Courier New" w:hAnsi="Courier New" w:hint="default"/>
      </w:rPr>
    </w:lvl>
    <w:lvl w:ilvl="5" w:tplc="EC60BF36">
      <w:start w:val="1"/>
      <w:numFmt w:val="bullet"/>
      <w:lvlText w:val=""/>
      <w:lvlJc w:val="left"/>
      <w:pPr>
        <w:ind w:left="4668" w:hanging="360"/>
      </w:pPr>
      <w:rPr>
        <w:rFonts w:ascii="Wingdings" w:hAnsi="Wingdings" w:hint="default"/>
      </w:rPr>
    </w:lvl>
    <w:lvl w:ilvl="6" w:tplc="0B9491AC">
      <w:start w:val="1"/>
      <w:numFmt w:val="bullet"/>
      <w:lvlText w:val=""/>
      <w:lvlJc w:val="left"/>
      <w:pPr>
        <w:ind w:left="5388" w:hanging="360"/>
      </w:pPr>
      <w:rPr>
        <w:rFonts w:ascii="Symbol" w:hAnsi="Symbol" w:hint="default"/>
      </w:rPr>
    </w:lvl>
    <w:lvl w:ilvl="7" w:tplc="08481BA2">
      <w:start w:val="1"/>
      <w:numFmt w:val="bullet"/>
      <w:lvlText w:val="o"/>
      <w:lvlJc w:val="left"/>
      <w:pPr>
        <w:ind w:left="6108" w:hanging="360"/>
      </w:pPr>
      <w:rPr>
        <w:rFonts w:ascii="Courier New" w:hAnsi="Courier New" w:hint="default"/>
      </w:rPr>
    </w:lvl>
    <w:lvl w:ilvl="8" w:tplc="6C0214DE">
      <w:start w:val="1"/>
      <w:numFmt w:val="bullet"/>
      <w:lvlText w:val=""/>
      <w:lvlJc w:val="left"/>
      <w:pPr>
        <w:ind w:left="6828" w:hanging="360"/>
      </w:pPr>
      <w:rPr>
        <w:rFonts w:ascii="Wingdings" w:hAnsi="Wingdings" w:hint="default"/>
      </w:rPr>
    </w:lvl>
  </w:abstractNum>
  <w:abstractNum w:abstractNumId="2" w15:restartNumberingAfterBreak="0">
    <w:nsid w:val="23ED012E"/>
    <w:multiLevelType w:val="multilevel"/>
    <w:tmpl w:val="E194A8D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 w15:restartNumberingAfterBreak="0">
    <w:nsid w:val="26BA5C02"/>
    <w:multiLevelType w:val="hybridMultilevel"/>
    <w:tmpl w:val="03B818E6"/>
    <w:lvl w:ilvl="0" w:tplc="040C0015">
      <w:start w:val="1"/>
      <w:numFmt w:val="upperLetter"/>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4" w15:restartNumberingAfterBreak="0">
    <w:nsid w:val="292BABFB"/>
    <w:multiLevelType w:val="hybridMultilevel"/>
    <w:tmpl w:val="AD7E2B1A"/>
    <w:lvl w:ilvl="0" w:tplc="0A1E5F0A">
      <w:start w:val="1"/>
      <w:numFmt w:val="decimal"/>
      <w:lvlText w:val="%1."/>
      <w:lvlJc w:val="left"/>
      <w:pPr>
        <w:ind w:left="1080" w:hanging="360"/>
      </w:pPr>
    </w:lvl>
    <w:lvl w:ilvl="1" w:tplc="58EE0F5E">
      <w:start w:val="1"/>
      <w:numFmt w:val="lowerLetter"/>
      <w:lvlText w:val="%2."/>
      <w:lvlJc w:val="left"/>
      <w:pPr>
        <w:ind w:left="1800" w:hanging="360"/>
      </w:pPr>
    </w:lvl>
    <w:lvl w:ilvl="2" w:tplc="E9B0A86E">
      <w:start w:val="1"/>
      <w:numFmt w:val="lowerRoman"/>
      <w:lvlText w:val="%3."/>
      <w:lvlJc w:val="right"/>
      <w:pPr>
        <w:ind w:left="2520" w:hanging="180"/>
      </w:pPr>
    </w:lvl>
    <w:lvl w:ilvl="3" w:tplc="1D72F092">
      <w:start w:val="1"/>
      <w:numFmt w:val="decimal"/>
      <w:lvlText w:val="%4."/>
      <w:lvlJc w:val="left"/>
      <w:pPr>
        <w:ind w:left="3240" w:hanging="360"/>
      </w:pPr>
    </w:lvl>
    <w:lvl w:ilvl="4" w:tplc="9B2A0D9E">
      <w:start w:val="1"/>
      <w:numFmt w:val="lowerLetter"/>
      <w:lvlText w:val="%5."/>
      <w:lvlJc w:val="left"/>
      <w:pPr>
        <w:ind w:left="3960" w:hanging="360"/>
      </w:pPr>
    </w:lvl>
    <w:lvl w:ilvl="5" w:tplc="BB9A9008">
      <w:start w:val="1"/>
      <w:numFmt w:val="lowerRoman"/>
      <w:lvlText w:val="%6."/>
      <w:lvlJc w:val="right"/>
      <w:pPr>
        <w:ind w:left="4680" w:hanging="180"/>
      </w:pPr>
    </w:lvl>
    <w:lvl w:ilvl="6" w:tplc="F9BAF7FE">
      <w:start w:val="1"/>
      <w:numFmt w:val="decimal"/>
      <w:lvlText w:val="%7."/>
      <w:lvlJc w:val="left"/>
      <w:pPr>
        <w:ind w:left="5400" w:hanging="360"/>
      </w:pPr>
    </w:lvl>
    <w:lvl w:ilvl="7" w:tplc="5852C8CE">
      <w:start w:val="1"/>
      <w:numFmt w:val="lowerLetter"/>
      <w:lvlText w:val="%8."/>
      <w:lvlJc w:val="left"/>
      <w:pPr>
        <w:ind w:left="6120" w:hanging="360"/>
      </w:pPr>
    </w:lvl>
    <w:lvl w:ilvl="8" w:tplc="05222788">
      <w:start w:val="1"/>
      <w:numFmt w:val="lowerRoman"/>
      <w:lvlText w:val="%9."/>
      <w:lvlJc w:val="right"/>
      <w:pPr>
        <w:ind w:left="6840" w:hanging="180"/>
      </w:pPr>
    </w:lvl>
  </w:abstractNum>
  <w:abstractNum w:abstractNumId="5" w15:restartNumberingAfterBreak="0">
    <w:nsid w:val="2A110735"/>
    <w:multiLevelType w:val="hybridMultilevel"/>
    <w:tmpl w:val="B4162232"/>
    <w:lvl w:ilvl="0" w:tplc="63C277C8">
      <w:start w:val="1"/>
      <w:numFmt w:val="bullet"/>
      <w:lvlText w:val=""/>
      <w:lvlJc w:val="left"/>
      <w:pPr>
        <w:ind w:left="1428" w:hanging="360"/>
      </w:pPr>
      <w:rPr>
        <w:rFonts w:ascii="Symbol" w:hAnsi="Symbol" w:hint="default"/>
      </w:rPr>
    </w:lvl>
    <w:lvl w:ilvl="1" w:tplc="B8E81732">
      <w:start w:val="1"/>
      <w:numFmt w:val="bullet"/>
      <w:lvlText w:val="o"/>
      <w:lvlJc w:val="left"/>
      <w:pPr>
        <w:ind w:left="2148" w:hanging="360"/>
      </w:pPr>
      <w:rPr>
        <w:rFonts w:ascii="Courier New" w:hAnsi="Courier New" w:hint="default"/>
      </w:rPr>
    </w:lvl>
    <w:lvl w:ilvl="2" w:tplc="5C7698A8">
      <w:start w:val="1"/>
      <w:numFmt w:val="bullet"/>
      <w:lvlText w:val=""/>
      <w:lvlJc w:val="left"/>
      <w:pPr>
        <w:ind w:left="2868" w:hanging="360"/>
      </w:pPr>
      <w:rPr>
        <w:rFonts w:ascii="Wingdings" w:hAnsi="Wingdings" w:hint="default"/>
      </w:rPr>
    </w:lvl>
    <w:lvl w:ilvl="3" w:tplc="F6745256">
      <w:start w:val="1"/>
      <w:numFmt w:val="bullet"/>
      <w:lvlText w:val=""/>
      <w:lvlJc w:val="left"/>
      <w:pPr>
        <w:ind w:left="3588" w:hanging="360"/>
      </w:pPr>
      <w:rPr>
        <w:rFonts w:ascii="Symbol" w:hAnsi="Symbol" w:hint="default"/>
      </w:rPr>
    </w:lvl>
    <w:lvl w:ilvl="4" w:tplc="27006F30">
      <w:start w:val="1"/>
      <w:numFmt w:val="bullet"/>
      <w:lvlText w:val="o"/>
      <w:lvlJc w:val="left"/>
      <w:pPr>
        <w:ind w:left="4308" w:hanging="360"/>
      </w:pPr>
      <w:rPr>
        <w:rFonts w:ascii="Courier New" w:hAnsi="Courier New" w:hint="default"/>
      </w:rPr>
    </w:lvl>
    <w:lvl w:ilvl="5" w:tplc="14CC1E76">
      <w:start w:val="1"/>
      <w:numFmt w:val="bullet"/>
      <w:lvlText w:val=""/>
      <w:lvlJc w:val="left"/>
      <w:pPr>
        <w:ind w:left="5028" w:hanging="360"/>
      </w:pPr>
      <w:rPr>
        <w:rFonts w:ascii="Wingdings" w:hAnsi="Wingdings" w:hint="default"/>
      </w:rPr>
    </w:lvl>
    <w:lvl w:ilvl="6" w:tplc="F38003E6">
      <w:start w:val="1"/>
      <w:numFmt w:val="bullet"/>
      <w:lvlText w:val=""/>
      <w:lvlJc w:val="left"/>
      <w:pPr>
        <w:ind w:left="5748" w:hanging="360"/>
      </w:pPr>
      <w:rPr>
        <w:rFonts w:ascii="Symbol" w:hAnsi="Symbol" w:hint="default"/>
      </w:rPr>
    </w:lvl>
    <w:lvl w:ilvl="7" w:tplc="F7808AA8">
      <w:start w:val="1"/>
      <w:numFmt w:val="bullet"/>
      <w:lvlText w:val="o"/>
      <w:lvlJc w:val="left"/>
      <w:pPr>
        <w:ind w:left="6468" w:hanging="360"/>
      </w:pPr>
      <w:rPr>
        <w:rFonts w:ascii="Courier New" w:hAnsi="Courier New" w:hint="default"/>
      </w:rPr>
    </w:lvl>
    <w:lvl w:ilvl="8" w:tplc="F29AAB12">
      <w:start w:val="1"/>
      <w:numFmt w:val="bullet"/>
      <w:lvlText w:val=""/>
      <w:lvlJc w:val="left"/>
      <w:pPr>
        <w:ind w:left="7188" w:hanging="360"/>
      </w:pPr>
      <w:rPr>
        <w:rFonts w:ascii="Wingdings" w:hAnsi="Wingdings" w:hint="default"/>
      </w:rPr>
    </w:lvl>
  </w:abstractNum>
  <w:abstractNum w:abstractNumId="6" w15:restartNumberingAfterBreak="0">
    <w:nsid w:val="2EF514B3"/>
    <w:multiLevelType w:val="hybridMultilevel"/>
    <w:tmpl w:val="70DAB64E"/>
    <w:lvl w:ilvl="0" w:tplc="623401B0">
      <w:start w:val="1"/>
      <w:numFmt w:val="bullet"/>
      <w:lvlText w:val=""/>
      <w:lvlJc w:val="left"/>
      <w:pPr>
        <w:ind w:left="1068" w:hanging="360"/>
      </w:pPr>
      <w:rPr>
        <w:rFonts w:ascii="Symbol" w:hAnsi="Symbol" w:hint="default"/>
      </w:rPr>
    </w:lvl>
    <w:lvl w:ilvl="1" w:tplc="389C1266">
      <w:start w:val="1"/>
      <w:numFmt w:val="bullet"/>
      <w:lvlText w:val="o"/>
      <w:lvlJc w:val="left"/>
      <w:pPr>
        <w:ind w:left="1788" w:hanging="360"/>
      </w:pPr>
      <w:rPr>
        <w:rFonts w:ascii="Courier New" w:hAnsi="Courier New" w:hint="default"/>
      </w:rPr>
    </w:lvl>
    <w:lvl w:ilvl="2" w:tplc="35206978">
      <w:start w:val="1"/>
      <w:numFmt w:val="bullet"/>
      <w:lvlText w:val=""/>
      <w:lvlJc w:val="left"/>
      <w:pPr>
        <w:ind w:left="2508" w:hanging="360"/>
      </w:pPr>
      <w:rPr>
        <w:rFonts w:ascii="Wingdings" w:hAnsi="Wingdings" w:hint="default"/>
      </w:rPr>
    </w:lvl>
    <w:lvl w:ilvl="3" w:tplc="88B8A144">
      <w:start w:val="1"/>
      <w:numFmt w:val="bullet"/>
      <w:lvlText w:val=""/>
      <w:lvlJc w:val="left"/>
      <w:pPr>
        <w:ind w:left="3228" w:hanging="360"/>
      </w:pPr>
      <w:rPr>
        <w:rFonts w:ascii="Symbol" w:hAnsi="Symbol" w:hint="default"/>
      </w:rPr>
    </w:lvl>
    <w:lvl w:ilvl="4" w:tplc="5E985570">
      <w:start w:val="1"/>
      <w:numFmt w:val="bullet"/>
      <w:lvlText w:val="o"/>
      <w:lvlJc w:val="left"/>
      <w:pPr>
        <w:ind w:left="3948" w:hanging="360"/>
      </w:pPr>
      <w:rPr>
        <w:rFonts w:ascii="Courier New" w:hAnsi="Courier New" w:hint="default"/>
      </w:rPr>
    </w:lvl>
    <w:lvl w:ilvl="5" w:tplc="2438ECD8">
      <w:start w:val="1"/>
      <w:numFmt w:val="bullet"/>
      <w:lvlText w:val=""/>
      <w:lvlJc w:val="left"/>
      <w:pPr>
        <w:ind w:left="4668" w:hanging="360"/>
      </w:pPr>
      <w:rPr>
        <w:rFonts w:ascii="Wingdings" w:hAnsi="Wingdings" w:hint="default"/>
      </w:rPr>
    </w:lvl>
    <w:lvl w:ilvl="6" w:tplc="DDCEDD5C">
      <w:start w:val="1"/>
      <w:numFmt w:val="bullet"/>
      <w:lvlText w:val=""/>
      <w:lvlJc w:val="left"/>
      <w:pPr>
        <w:ind w:left="5388" w:hanging="360"/>
      </w:pPr>
      <w:rPr>
        <w:rFonts w:ascii="Symbol" w:hAnsi="Symbol" w:hint="default"/>
      </w:rPr>
    </w:lvl>
    <w:lvl w:ilvl="7" w:tplc="C194ECBE">
      <w:start w:val="1"/>
      <w:numFmt w:val="bullet"/>
      <w:lvlText w:val="o"/>
      <w:lvlJc w:val="left"/>
      <w:pPr>
        <w:ind w:left="6108" w:hanging="360"/>
      </w:pPr>
      <w:rPr>
        <w:rFonts w:ascii="Courier New" w:hAnsi="Courier New" w:hint="default"/>
      </w:rPr>
    </w:lvl>
    <w:lvl w:ilvl="8" w:tplc="FC08597C">
      <w:start w:val="1"/>
      <w:numFmt w:val="bullet"/>
      <w:lvlText w:val=""/>
      <w:lvlJc w:val="left"/>
      <w:pPr>
        <w:ind w:left="6828" w:hanging="360"/>
      </w:pPr>
      <w:rPr>
        <w:rFonts w:ascii="Wingdings" w:hAnsi="Wingdings" w:hint="default"/>
      </w:rPr>
    </w:lvl>
  </w:abstractNum>
  <w:abstractNum w:abstractNumId="7" w15:restartNumberingAfterBreak="0">
    <w:nsid w:val="2FE763D8"/>
    <w:multiLevelType w:val="multilevel"/>
    <w:tmpl w:val="409E6134"/>
    <w:lvl w:ilvl="0">
      <w:start w:val="101"/>
      <w:numFmt w:val="bullet"/>
      <w:lvlText w:val="-"/>
      <w:lvlJc w:val="left"/>
      <w:pPr>
        <w:ind w:left="780" w:hanging="360"/>
      </w:pPr>
      <w:rPr>
        <w:rFonts w:ascii="Times New Roman" w:eastAsia="Times New Roman" w:hAnsi="Times New Roman" w:cs="Times New Roman"/>
      </w:rPr>
    </w:lvl>
    <w:lvl w:ilvl="1">
      <w:start w:val="1"/>
      <w:numFmt w:val="bullet"/>
      <w:lvlText w:val="o"/>
      <w:lvlJc w:val="left"/>
      <w:pPr>
        <w:ind w:left="1500" w:hanging="360"/>
      </w:pPr>
      <w:rPr>
        <w:rFonts w:ascii="Courier New" w:eastAsia="Courier New" w:hAnsi="Courier New" w:cs="Courier New"/>
      </w:rPr>
    </w:lvl>
    <w:lvl w:ilvl="2">
      <w:start w:val="1"/>
      <w:numFmt w:val="bullet"/>
      <w:lvlText w:val="▪"/>
      <w:lvlJc w:val="left"/>
      <w:pPr>
        <w:ind w:left="2220" w:hanging="360"/>
      </w:pPr>
      <w:rPr>
        <w:rFonts w:ascii="Noto Sans Symbols" w:eastAsia="Noto Sans Symbols" w:hAnsi="Noto Sans Symbols" w:cs="Noto Sans Symbols"/>
      </w:rPr>
    </w:lvl>
    <w:lvl w:ilvl="3">
      <w:start w:val="1"/>
      <w:numFmt w:val="bullet"/>
      <w:lvlText w:val="●"/>
      <w:lvlJc w:val="left"/>
      <w:pPr>
        <w:ind w:left="2940" w:hanging="360"/>
      </w:pPr>
      <w:rPr>
        <w:rFonts w:ascii="Noto Sans Symbols" w:eastAsia="Noto Sans Symbols" w:hAnsi="Noto Sans Symbols" w:cs="Noto Sans Symbols"/>
      </w:rPr>
    </w:lvl>
    <w:lvl w:ilvl="4">
      <w:start w:val="1"/>
      <w:numFmt w:val="bullet"/>
      <w:lvlText w:val="o"/>
      <w:lvlJc w:val="left"/>
      <w:pPr>
        <w:ind w:left="3660" w:hanging="360"/>
      </w:pPr>
      <w:rPr>
        <w:rFonts w:ascii="Courier New" w:eastAsia="Courier New" w:hAnsi="Courier New" w:cs="Courier New"/>
      </w:rPr>
    </w:lvl>
    <w:lvl w:ilvl="5">
      <w:start w:val="1"/>
      <w:numFmt w:val="bullet"/>
      <w:lvlText w:val="▪"/>
      <w:lvlJc w:val="left"/>
      <w:pPr>
        <w:ind w:left="4380" w:hanging="360"/>
      </w:pPr>
      <w:rPr>
        <w:rFonts w:ascii="Noto Sans Symbols" w:eastAsia="Noto Sans Symbols" w:hAnsi="Noto Sans Symbols" w:cs="Noto Sans Symbols"/>
      </w:rPr>
    </w:lvl>
    <w:lvl w:ilvl="6">
      <w:start w:val="1"/>
      <w:numFmt w:val="bullet"/>
      <w:lvlText w:val="●"/>
      <w:lvlJc w:val="left"/>
      <w:pPr>
        <w:ind w:left="5100" w:hanging="360"/>
      </w:pPr>
      <w:rPr>
        <w:rFonts w:ascii="Noto Sans Symbols" w:eastAsia="Noto Sans Symbols" w:hAnsi="Noto Sans Symbols" w:cs="Noto Sans Symbols"/>
      </w:rPr>
    </w:lvl>
    <w:lvl w:ilvl="7">
      <w:start w:val="1"/>
      <w:numFmt w:val="bullet"/>
      <w:lvlText w:val="o"/>
      <w:lvlJc w:val="left"/>
      <w:pPr>
        <w:ind w:left="5820" w:hanging="360"/>
      </w:pPr>
      <w:rPr>
        <w:rFonts w:ascii="Courier New" w:eastAsia="Courier New" w:hAnsi="Courier New" w:cs="Courier New"/>
      </w:rPr>
    </w:lvl>
    <w:lvl w:ilvl="8">
      <w:start w:val="1"/>
      <w:numFmt w:val="bullet"/>
      <w:lvlText w:val="▪"/>
      <w:lvlJc w:val="left"/>
      <w:pPr>
        <w:ind w:left="6540" w:hanging="360"/>
      </w:pPr>
      <w:rPr>
        <w:rFonts w:ascii="Noto Sans Symbols" w:eastAsia="Noto Sans Symbols" w:hAnsi="Noto Sans Symbols" w:cs="Noto Sans Symbols"/>
      </w:rPr>
    </w:lvl>
  </w:abstractNum>
  <w:abstractNum w:abstractNumId="8" w15:restartNumberingAfterBreak="0">
    <w:nsid w:val="36804D08"/>
    <w:multiLevelType w:val="hybridMultilevel"/>
    <w:tmpl w:val="A4C0F8B4"/>
    <w:lvl w:ilvl="0" w:tplc="BB5EB200">
      <w:start w:val="1"/>
      <w:numFmt w:val="bullet"/>
      <w:lvlText w:val=""/>
      <w:lvlJc w:val="left"/>
      <w:pPr>
        <w:ind w:left="1428" w:hanging="360"/>
      </w:pPr>
      <w:rPr>
        <w:rFonts w:ascii="Symbol" w:hAnsi="Symbol" w:hint="default"/>
      </w:rPr>
    </w:lvl>
    <w:lvl w:ilvl="1" w:tplc="3E665A84">
      <w:start w:val="1"/>
      <w:numFmt w:val="bullet"/>
      <w:lvlText w:val="o"/>
      <w:lvlJc w:val="left"/>
      <w:pPr>
        <w:ind w:left="2148" w:hanging="360"/>
      </w:pPr>
      <w:rPr>
        <w:rFonts w:ascii="Courier New" w:hAnsi="Courier New" w:hint="default"/>
      </w:rPr>
    </w:lvl>
    <w:lvl w:ilvl="2" w:tplc="141A9070">
      <w:start w:val="1"/>
      <w:numFmt w:val="bullet"/>
      <w:lvlText w:val=""/>
      <w:lvlJc w:val="left"/>
      <w:pPr>
        <w:ind w:left="2868" w:hanging="360"/>
      </w:pPr>
      <w:rPr>
        <w:rFonts w:ascii="Wingdings" w:hAnsi="Wingdings" w:hint="default"/>
      </w:rPr>
    </w:lvl>
    <w:lvl w:ilvl="3" w:tplc="C5140D30">
      <w:start w:val="1"/>
      <w:numFmt w:val="bullet"/>
      <w:lvlText w:val=""/>
      <w:lvlJc w:val="left"/>
      <w:pPr>
        <w:ind w:left="3588" w:hanging="360"/>
      </w:pPr>
      <w:rPr>
        <w:rFonts w:ascii="Symbol" w:hAnsi="Symbol" w:hint="default"/>
      </w:rPr>
    </w:lvl>
    <w:lvl w:ilvl="4" w:tplc="4E8A5B42">
      <w:start w:val="1"/>
      <w:numFmt w:val="bullet"/>
      <w:lvlText w:val="o"/>
      <w:lvlJc w:val="left"/>
      <w:pPr>
        <w:ind w:left="4308" w:hanging="360"/>
      </w:pPr>
      <w:rPr>
        <w:rFonts w:ascii="Courier New" w:hAnsi="Courier New" w:hint="default"/>
      </w:rPr>
    </w:lvl>
    <w:lvl w:ilvl="5" w:tplc="69184B50">
      <w:start w:val="1"/>
      <w:numFmt w:val="bullet"/>
      <w:lvlText w:val=""/>
      <w:lvlJc w:val="left"/>
      <w:pPr>
        <w:ind w:left="5028" w:hanging="360"/>
      </w:pPr>
      <w:rPr>
        <w:rFonts w:ascii="Wingdings" w:hAnsi="Wingdings" w:hint="default"/>
      </w:rPr>
    </w:lvl>
    <w:lvl w:ilvl="6" w:tplc="CF4AFA72">
      <w:start w:val="1"/>
      <w:numFmt w:val="bullet"/>
      <w:lvlText w:val=""/>
      <w:lvlJc w:val="left"/>
      <w:pPr>
        <w:ind w:left="5748" w:hanging="360"/>
      </w:pPr>
      <w:rPr>
        <w:rFonts w:ascii="Symbol" w:hAnsi="Symbol" w:hint="default"/>
      </w:rPr>
    </w:lvl>
    <w:lvl w:ilvl="7" w:tplc="7358765E">
      <w:start w:val="1"/>
      <w:numFmt w:val="bullet"/>
      <w:lvlText w:val="o"/>
      <w:lvlJc w:val="left"/>
      <w:pPr>
        <w:ind w:left="6468" w:hanging="360"/>
      </w:pPr>
      <w:rPr>
        <w:rFonts w:ascii="Courier New" w:hAnsi="Courier New" w:hint="default"/>
      </w:rPr>
    </w:lvl>
    <w:lvl w:ilvl="8" w:tplc="7B2470EC">
      <w:start w:val="1"/>
      <w:numFmt w:val="bullet"/>
      <w:lvlText w:val=""/>
      <w:lvlJc w:val="left"/>
      <w:pPr>
        <w:ind w:left="7188" w:hanging="360"/>
      </w:pPr>
      <w:rPr>
        <w:rFonts w:ascii="Wingdings" w:hAnsi="Wingdings" w:hint="default"/>
      </w:rPr>
    </w:lvl>
  </w:abstractNum>
  <w:abstractNum w:abstractNumId="9" w15:restartNumberingAfterBreak="0">
    <w:nsid w:val="3C5B0796"/>
    <w:multiLevelType w:val="hybridMultilevel"/>
    <w:tmpl w:val="EB8030D4"/>
    <w:lvl w:ilvl="0" w:tplc="85DCD504">
      <w:start w:val="1"/>
      <w:numFmt w:val="bullet"/>
      <w:lvlText w:val=""/>
      <w:lvlJc w:val="left"/>
      <w:pPr>
        <w:ind w:left="1428" w:hanging="360"/>
      </w:pPr>
      <w:rPr>
        <w:rFonts w:ascii="Symbol" w:hAnsi="Symbol" w:hint="default"/>
      </w:rPr>
    </w:lvl>
    <w:lvl w:ilvl="1" w:tplc="97D8A032">
      <w:start w:val="1"/>
      <w:numFmt w:val="bullet"/>
      <w:lvlText w:val="o"/>
      <w:lvlJc w:val="left"/>
      <w:pPr>
        <w:ind w:left="2148" w:hanging="360"/>
      </w:pPr>
      <w:rPr>
        <w:rFonts w:ascii="Courier New" w:hAnsi="Courier New" w:hint="default"/>
      </w:rPr>
    </w:lvl>
    <w:lvl w:ilvl="2" w:tplc="04FA248C">
      <w:start w:val="1"/>
      <w:numFmt w:val="bullet"/>
      <w:lvlText w:val=""/>
      <w:lvlJc w:val="left"/>
      <w:pPr>
        <w:ind w:left="2868" w:hanging="360"/>
      </w:pPr>
      <w:rPr>
        <w:rFonts w:ascii="Wingdings" w:hAnsi="Wingdings" w:hint="default"/>
      </w:rPr>
    </w:lvl>
    <w:lvl w:ilvl="3" w:tplc="5456FF8A">
      <w:start w:val="1"/>
      <w:numFmt w:val="bullet"/>
      <w:lvlText w:val=""/>
      <w:lvlJc w:val="left"/>
      <w:pPr>
        <w:ind w:left="3588" w:hanging="360"/>
      </w:pPr>
      <w:rPr>
        <w:rFonts w:ascii="Symbol" w:hAnsi="Symbol" w:hint="default"/>
      </w:rPr>
    </w:lvl>
    <w:lvl w:ilvl="4" w:tplc="0C546892">
      <w:start w:val="1"/>
      <w:numFmt w:val="bullet"/>
      <w:lvlText w:val="o"/>
      <w:lvlJc w:val="left"/>
      <w:pPr>
        <w:ind w:left="4308" w:hanging="360"/>
      </w:pPr>
      <w:rPr>
        <w:rFonts w:ascii="Courier New" w:hAnsi="Courier New" w:hint="default"/>
      </w:rPr>
    </w:lvl>
    <w:lvl w:ilvl="5" w:tplc="2B501756">
      <w:start w:val="1"/>
      <w:numFmt w:val="bullet"/>
      <w:lvlText w:val=""/>
      <w:lvlJc w:val="left"/>
      <w:pPr>
        <w:ind w:left="5028" w:hanging="360"/>
      </w:pPr>
      <w:rPr>
        <w:rFonts w:ascii="Wingdings" w:hAnsi="Wingdings" w:hint="default"/>
      </w:rPr>
    </w:lvl>
    <w:lvl w:ilvl="6" w:tplc="85CA19CE">
      <w:start w:val="1"/>
      <w:numFmt w:val="bullet"/>
      <w:lvlText w:val=""/>
      <w:lvlJc w:val="left"/>
      <w:pPr>
        <w:ind w:left="5748" w:hanging="360"/>
      </w:pPr>
      <w:rPr>
        <w:rFonts w:ascii="Symbol" w:hAnsi="Symbol" w:hint="default"/>
      </w:rPr>
    </w:lvl>
    <w:lvl w:ilvl="7" w:tplc="31AE50D8">
      <w:start w:val="1"/>
      <w:numFmt w:val="bullet"/>
      <w:lvlText w:val="o"/>
      <w:lvlJc w:val="left"/>
      <w:pPr>
        <w:ind w:left="6468" w:hanging="360"/>
      </w:pPr>
      <w:rPr>
        <w:rFonts w:ascii="Courier New" w:hAnsi="Courier New" w:hint="default"/>
      </w:rPr>
    </w:lvl>
    <w:lvl w:ilvl="8" w:tplc="EE327ACA">
      <w:start w:val="1"/>
      <w:numFmt w:val="bullet"/>
      <w:lvlText w:val=""/>
      <w:lvlJc w:val="left"/>
      <w:pPr>
        <w:ind w:left="7188" w:hanging="360"/>
      </w:pPr>
      <w:rPr>
        <w:rFonts w:ascii="Wingdings" w:hAnsi="Wingdings" w:hint="default"/>
      </w:rPr>
    </w:lvl>
  </w:abstractNum>
  <w:abstractNum w:abstractNumId="10" w15:restartNumberingAfterBreak="0">
    <w:nsid w:val="43D6B881"/>
    <w:multiLevelType w:val="hybridMultilevel"/>
    <w:tmpl w:val="07B27360"/>
    <w:lvl w:ilvl="0" w:tplc="8A9603AA">
      <w:start w:val="1"/>
      <w:numFmt w:val="bullet"/>
      <w:lvlText w:val=""/>
      <w:lvlJc w:val="left"/>
      <w:pPr>
        <w:ind w:left="1068" w:hanging="360"/>
      </w:pPr>
      <w:rPr>
        <w:rFonts w:ascii="Symbol" w:hAnsi="Symbol" w:hint="default"/>
      </w:rPr>
    </w:lvl>
    <w:lvl w:ilvl="1" w:tplc="04A8EA02">
      <w:start w:val="1"/>
      <w:numFmt w:val="bullet"/>
      <w:lvlText w:val="o"/>
      <w:lvlJc w:val="left"/>
      <w:pPr>
        <w:ind w:left="1788" w:hanging="360"/>
      </w:pPr>
      <w:rPr>
        <w:rFonts w:ascii="Courier New" w:hAnsi="Courier New" w:hint="default"/>
      </w:rPr>
    </w:lvl>
    <w:lvl w:ilvl="2" w:tplc="E0221966">
      <w:start w:val="1"/>
      <w:numFmt w:val="bullet"/>
      <w:lvlText w:val=""/>
      <w:lvlJc w:val="left"/>
      <w:pPr>
        <w:ind w:left="2508" w:hanging="360"/>
      </w:pPr>
      <w:rPr>
        <w:rFonts w:ascii="Wingdings" w:hAnsi="Wingdings" w:hint="default"/>
      </w:rPr>
    </w:lvl>
    <w:lvl w:ilvl="3" w:tplc="ACBAEAB2">
      <w:start w:val="1"/>
      <w:numFmt w:val="bullet"/>
      <w:lvlText w:val=""/>
      <w:lvlJc w:val="left"/>
      <w:pPr>
        <w:ind w:left="3228" w:hanging="360"/>
      </w:pPr>
      <w:rPr>
        <w:rFonts w:ascii="Symbol" w:hAnsi="Symbol" w:hint="default"/>
      </w:rPr>
    </w:lvl>
    <w:lvl w:ilvl="4" w:tplc="39886876">
      <w:start w:val="1"/>
      <w:numFmt w:val="bullet"/>
      <w:lvlText w:val="o"/>
      <w:lvlJc w:val="left"/>
      <w:pPr>
        <w:ind w:left="3948" w:hanging="360"/>
      </w:pPr>
      <w:rPr>
        <w:rFonts w:ascii="Courier New" w:hAnsi="Courier New" w:hint="default"/>
      </w:rPr>
    </w:lvl>
    <w:lvl w:ilvl="5" w:tplc="CE589C06">
      <w:start w:val="1"/>
      <w:numFmt w:val="bullet"/>
      <w:lvlText w:val=""/>
      <w:lvlJc w:val="left"/>
      <w:pPr>
        <w:ind w:left="4668" w:hanging="360"/>
      </w:pPr>
      <w:rPr>
        <w:rFonts w:ascii="Wingdings" w:hAnsi="Wingdings" w:hint="default"/>
      </w:rPr>
    </w:lvl>
    <w:lvl w:ilvl="6" w:tplc="F866125A">
      <w:start w:val="1"/>
      <w:numFmt w:val="bullet"/>
      <w:lvlText w:val=""/>
      <w:lvlJc w:val="left"/>
      <w:pPr>
        <w:ind w:left="5388" w:hanging="360"/>
      </w:pPr>
      <w:rPr>
        <w:rFonts w:ascii="Symbol" w:hAnsi="Symbol" w:hint="default"/>
      </w:rPr>
    </w:lvl>
    <w:lvl w:ilvl="7" w:tplc="7B0A8A8A">
      <w:start w:val="1"/>
      <w:numFmt w:val="bullet"/>
      <w:lvlText w:val="o"/>
      <w:lvlJc w:val="left"/>
      <w:pPr>
        <w:ind w:left="6108" w:hanging="360"/>
      </w:pPr>
      <w:rPr>
        <w:rFonts w:ascii="Courier New" w:hAnsi="Courier New" w:hint="default"/>
      </w:rPr>
    </w:lvl>
    <w:lvl w:ilvl="8" w:tplc="405C7FE2">
      <w:start w:val="1"/>
      <w:numFmt w:val="bullet"/>
      <w:lvlText w:val=""/>
      <w:lvlJc w:val="left"/>
      <w:pPr>
        <w:ind w:left="6828" w:hanging="360"/>
      </w:pPr>
      <w:rPr>
        <w:rFonts w:ascii="Wingdings" w:hAnsi="Wingdings" w:hint="default"/>
      </w:rPr>
    </w:lvl>
  </w:abstractNum>
  <w:abstractNum w:abstractNumId="11" w15:restartNumberingAfterBreak="0">
    <w:nsid w:val="505C8A05"/>
    <w:multiLevelType w:val="hybridMultilevel"/>
    <w:tmpl w:val="46E08EA4"/>
    <w:lvl w:ilvl="0" w:tplc="965A850E">
      <w:start w:val="1"/>
      <w:numFmt w:val="bullet"/>
      <w:lvlText w:val=""/>
      <w:lvlJc w:val="left"/>
      <w:pPr>
        <w:ind w:left="360" w:hanging="360"/>
      </w:pPr>
      <w:rPr>
        <w:rFonts w:ascii="Symbol" w:hAnsi="Symbol" w:hint="default"/>
      </w:rPr>
    </w:lvl>
    <w:lvl w:ilvl="1" w:tplc="06009ACC">
      <w:start w:val="1"/>
      <w:numFmt w:val="bullet"/>
      <w:lvlText w:val="o"/>
      <w:lvlJc w:val="left"/>
      <w:pPr>
        <w:ind w:left="1080" w:hanging="360"/>
      </w:pPr>
      <w:rPr>
        <w:rFonts w:ascii="Courier New" w:hAnsi="Courier New" w:hint="default"/>
      </w:rPr>
    </w:lvl>
    <w:lvl w:ilvl="2" w:tplc="0D8E86D6">
      <w:start w:val="1"/>
      <w:numFmt w:val="bullet"/>
      <w:lvlText w:val=""/>
      <w:lvlJc w:val="left"/>
      <w:pPr>
        <w:ind w:left="1800" w:hanging="360"/>
      </w:pPr>
      <w:rPr>
        <w:rFonts w:ascii="Wingdings" w:hAnsi="Wingdings" w:hint="default"/>
      </w:rPr>
    </w:lvl>
    <w:lvl w:ilvl="3" w:tplc="246242F6">
      <w:start w:val="1"/>
      <w:numFmt w:val="bullet"/>
      <w:lvlText w:val=""/>
      <w:lvlJc w:val="left"/>
      <w:pPr>
        <w:ind w:left="2520" w:hanging="360"/>
      </w:pPr>
      <w:rPr>
        <w:rFonts w:ascii="Symbol" w:hAnsi="Symbol" w:hint="default"/>
      </w:rPr>
    </w:lvl>
    <w:lvl w:ilvl="4" w:tplc="43FEDED2">
      <w:start w:val="1"/>
      <w:numFmt w:val="bullet"/>
      <w:lvlText w:val="o"/>
      <w:lvlJc w:val="left"/>
      <w:pPr>
        <w:ind w:left="3240" w:hanging="360"/>
      </w:pPr>
      <w:rPr>
        <w:rFonts w:ascii="Courier New" w:hAnsi="Courier New" w:hint="default"/>
      </w:rPr>
    </w:lvl>
    <w:lvl w:ilvl="5" w:tplc="D47297F6">
      <w:start w:val="1"/>
      <w:numFmt w:val="bullet"/>
      <w:lvlText w:val=""/>
      <w:lvlJc w:val="left"/>
      <w:pPr>
        <w:ind w:left="3960" w:hanging="360"/>
      </w:pPr>
      <w:rPr>
        <w:rFonts w:ascii="Wingdings" w:hAnsi="Wingdings" w:hint="default"/>
      </w:rPr>
    </w:lvl>
    <w:lvl w:ilvl="6" w:tplc="4A145C36">
      <w:start w:val="1"/>
      <w:numFmt w:val="bullet"/>
      <w:lvlText w:val=""/>
      <w:lvlJc w:val="left"/>
      <w:pPr>
        <w:ind w:left="4680" w:hanging="360"/>
      </w:pPr>
      <w:rPr>
        <w:rFonts w:ascii="Symbol" w:hAnsi="Symbol" w:hint="default"/>
      </w:rPr>
    </w:lvl>
    <w:lvl w:ilvl="7" w:tplc="1354D07A">
      <w:start w:val="1"/>
      <w:numFmt w:val="bullet"/>
      <w:lvlText w:val="o"/>
      <w:lvlJc w:val="left"/>
      <w:pPr>
        <w:ind w:left="5400" w:hanging="360"/>
      </w:pPr>
      <w:rPr>
        <w:rFonts w:ascii="Courier New" w:hAnsi="Courier New" w:hint="default"/>
      </w:rPr>
    </w:lvl>
    <w:lvl w:ilvl="8" w:tplc="8EB65746">
      <w:start w:val="1"/>
      <w:numFmt w:val="bullet"/>
      <w:lvlText w:val=""/>
      <w:lvlJc w:val="left"/>
      <w:pPr>
        <w:ind w:left="6120" w:hanging="360"/>
      </w:pPr>
      <w:rPr>
        <w:rFonts w:ascii="Wingdings" w:hAnsi="Wingdings" w:hint="default"/>
      </w:rPr>
    </w:lvl>
  </w:abstractNum>
  <w:abstractNum w:abstractNumId="12" w15:restartNumberingAfterBreak="0">
    <w:nsid w:val="532B52EF"/>
    <w:multiLevelType w:val="hybridMultilevel"/>
    <w:tmpl w:val="F2623B1A"/>
    <w:lvl w:ilvl="0" w:tplc="FFFFFFFF">
      <w:start w:val="1"/>
      <w:numFmt w:val="upperLetter"/>
      <w:pStyle w:val="Titre1"/>
      <w:lvlText w:val="%1."/>
      <w:lvlJc w:val="left"/>
      <w:pPr>
        <w:ind w:left="720" w:hanging="360"/>
      </w:pPr>
      <w:rPr>
        <w:sz w:val="28"/>
        <w:szCs w:val="28"/>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3" w15:restartNumberingAfterBreak="0">
    <w:nsid w:val="5411E0EC"/>
    <w:multiLevelType w:val="hybridMultilevel"/>
    <w:tmpl w:val="BC188620"/>
    <w:lvl w:ilvl="0" w:tplc="E346A6FE">
      <w:start w:val="1"/>
      <w:numFmt w:val="bullet"/>
      <w:lvlText w:val=""/>
      <w:lvlJc w:val="left"/>
      <w:pPr>
        <w:ind w:left="720" w:hanging="360"/>
      </w:pPr>
      <w:rPr>
        <w:rFonts w:ascii="Symbol" w:hAnsi="Symbol" w:hint="default"/>
      </w:rPr>
    </w:lvl>
    <w:lvl w:ilvl="1" w:tplc="E68646C6">
      <w:start w:val="1"/>
      <w:numFmt w:val="bullet"/>
      <w:lvlText w:val="o"/>
      <w:lvlJc w:val="left"/>
      <w:pPr>
        <w:ind w:left="1440" w:hanging="360"/>
      </w:pPr>
      <w:rPr>
        <w:rFonts w:ascii="Courier New" w:hAnsi="Courier New" w:hint="default"/>
      </w:rPr>
    </w:lvl>
    <w:lvl w:ilvl="2" w:tplc="66E0F6F4">
      <w:start w:val="1"/>
      <w:numFmt w:val="bullet"/>
      <w:lvlText w:val=""/>
      <w:lvlJc w:val="left"/>
      <w:pPr>
        <w:ind w:left="2160" w:hanging="360"/>
      </w:pPr>
      <w:rPr>
        <w:rFonts w:ascii="Wingdings" w:hAnsi="Wingdings" w:hint="default"/>
      </w:rPr>
    </w:lvl>
    <w:lvl w:ilvl="3" w:tplc="9B9AF31C">
      <w:start w:val="1"/>
      <w:numFmt w:val="bullet"/>
      <w:lvlText w:val=""/>
      <w:lvlJc w:val="left"/>
      <w:pPr>
        <w:ind w:left="2880" w:hanging="360"/>
      </w:pPr>
      <w:rPr>
        <w:rFonts w:ascii="Symbol" w:hAnsi="Symbol" w:hint="default"/>
      </w:rPr>
    </w:lvl>
    <w:lvl w:ilvl="4" w:tplc="25C08D58">
      <w:start w:val="1"/>
      <w:numFmt w:val="bullet"/>
      <w:lvlText w:val="o"/>
      <w:lvlJc w:val="left"/>
      <w:pPr>
        <w:ind w:left="3600" w:hanging="360"/>
      </w:pPr>
      <w:rPr>
        <w:rFonts w:ascii="Courier New" w:hAnsi="Courier New" w:hint="default"/>
      </w:rPr>
    </w:lvl>
    <w:lvl w:ilvl="5" w:tplc="150CF392">
      <w:start w:val="1"/>
      <w:numFmt w:val="bullet"/>
      <w:lvlText w:val=""/>
      <w:lvlJc w:val="left"/>
      <w:pPr>
        <w:ind w:left="4320" w:hanging="360"/>
      </w:pPr>
      <w:rPr>
        <w:rFonts w:ascii="Wingdings" w:hAnsi="Wingdings" w:hint="default"/>
      </w:rPr>
    </w:lvl>
    <w:lvl w:ilvl="6" w:tplc="DF0C80BE">
      <w:start w:val="1"/>
      <w:numFmt w:val="bullet"/>
      <w:lvlText w:val=""/>
      <w:lvlJc w:val="left"/>
      <w:pPr>
        <w:ind w:left="5040" w:hanging="360"/>
      </w:pPr>
      <w:rPr>
        <w:rFonts w:ascii="Symbol" w:hAnsi="Symbol" w:hint="default"/>
      </w:rPr>
    </w:lvl>
    <w:lvl w:ilvl="7" w:tplc="6BDEA994">
      <w:start w:val="1"/>
      <w:numFmt w:val="bullet"/>
      <w:lvlText w:val="o"/>
      <w:lvlJc w:val="left"/>
      <w:pPr>
        <w:ind w:left="5760" w:hanging="360"/>
      </w:pPr>
      <w:rPr>
        <w:rFonts w:ascii="Courier New" w:hAnsi="Courier New" w:hint="default"/>
      </w:rPr>
    </w:lvl>
    <w:lvl w:ilvl="8" w:tplc="FED4A522">
      <w:start w:val="1"/>
      <w:numFmt w:val="bullet"/>
      <w:lvlText w:val=""/>
      <w:lvlJc w:val="left"/>
      <w:pPr>
        <w:ind w:left="6480" w:hanging="360"/>
      </w:pPr>
      <w:rPr>
        <w:rFonts w:ascii="Wingdings" w:hAnsi="Wingdings" w:hint="default"/>
      </w:rPr>
    </w:lvl>
  </w:abstractNum>
  <w:abstractNum w:abstractNumId="14" w15:restartNumberingAfterBreak="0">
    <w:nsid w:val="55E86D8A"/>
    <w:multiLevelType w:val="multilevel"/>
    <w:tmpl w:val="24BE0654"/>
    <w:lvl w:ilvl="0">
      <w:start w:val="101"/>
      <w:numFmt w:val="bullet"/>
      <w:lvlText w:val="-"/>
      <w:lvlJc w:val="left"/>
      <w:pPr>
        <w:ind w:left="720" w:hanging="360"/>
      </w:pPr>
      <w:rPr>
        <w:rFonts w:ascii="Times New Roman" w:eastAsia="Times New Roman" w:hAnsi="Times New Roman" w:cs="Times New Roman"/>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5" w15:restartNumberingAfterBreak="0">
    <w:nsid w:val="62D421D2"/>
    <w:multiLevelType w:val="multilevel"/>
    <w:tmpl w:val="636A4B9E"/>
    <w:lvl w:ilvl="0">
      <w:numFmt w:val="bullet"/>
      <w:lvlText w:val="-"/>
      <w:lvlJc w:val="left"/>
      <w:pPr>
        <w:ind w:left="720" w:hanging="360"/>
      </w:pPr>
      <w:rPr>
        <w:rFonts w:ascii="Arial" w:eastAsia="Arial" w:hAnsi="Arial" w:cs="Arial"/>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6" w15:restartNumberingAfterBreak="0">
    <w:nsid w:val="65D0A56D"/>
    <w:multiLevelType w:val="hybridMultilevel"/>
    <w:tmpl w:val="A148E762"/>
    <w:lvl w:ilvl="0" w:tplc="249CE25E">
      <w:start w:val="1"/>
      <w:numFmt w:val="bullet"/>
      <w:lvlText w:val=""/>
      <w:lvlJc w:val="left"/>
      <w:pPr>
        <w:ind w:left="1428" w:hanging="360"/>
      </w:pPr>
      <w:rPr>
        <w:rFonts w:ascii="Symbol" w:hAnsi="Symbol" w:hint="default"/>
      </w:rPr>
    </w:lvl>
    <w:lvl w:ilvl="1" w:tplc="B69AE484">
      <w:start w:val="1"/>
      <w:numFmt w:val="bullet"/>
      <w:lvlText w:val="o"/>
      <w:lvlJc w:val="left"/>
      <w:pPr>
        <w:ind w:left="2148" w:hanging="360"/>
      </w:pPr>
      <w:rPr>
        <w:rFonts w:ascii="Courier New" w:hAnsi="Courier New" w:hint="default"/>
      </w:rPr>
    </w:lvl>
    <w:lvl w:ilvl="2" w:tplc="4B00B522">
      <w:start w:val="1"/>
      <w:numFmt w:val="bullet"/>
      <w:lvlText w:val=""/>
      <w:lvlJc w:val="left"/>
      <w:pPr>
        <w:ind w:left="2868" w:hanging="360"/>
      </w:pPr>
      <w:rPr>
        <w:rFonts w:ascii="Wingdings" w:hAnsi="Wingdings" w:hint="default"/>
      </w:rPr>
    </w:lvl>
    <w:lvl w:ilvl="3" w:tplc="68C85DFE">
      <w:start w:val="1"/>
      <w:numFmt w:val="bullet"/>
      <w:lvlText w:val=""/>
      <w:lvlJc w:val="left"/>
      <w:pPr>
        <w:ind w:left="3588" w:hanging="360"/>
      </w:pPr>
      <w:rPr>
        <w:rFonts w:ascii="Symbol" w:hAnsi="Symbol" w:hint="default"/>
      </w:rPr>
    </w:lvl>
    <w:lvl w:ilvl="4" w:tplc="53460372">
      <w:start w:val="1"/>
      <w:numFmt w:val="bullet"/>
      <w:lvlText w:val="o"/>
      <w:lvlJc w:val="left"/>
      <w:pPr>
        <w:ind w:left="4308" w:hanging="360"/>
      </w:pPr>
      <w:rPr>
        <w:rFonts w:ascii="Courier New" w:hAnsi="Courier New" w:hint="default"/>
      </w:rPr>
    </w:lvl>
    <w:lvl w:ilvl="5" w:tplc="846E0ABE">
      <w:start w:val="1"/>
      <w:numFmt w:val="bullet"/>
      <w:lvlText w:val=""/>
      <w:lvlJc w:val="left"/>
      <w:pPr>
        <w:ind w:left="5028" w:hanging="360"/>
      </w:pPr>
      <w:rPr>
        <w:rFonts w:ascii="Wingdings" w:hAnsi="Wingdings" w:hint="default"/>
      </w:rPr>
    </w:lvl>
    <w:lvl w:ilvl="6" w:tplc="9842C160">
      <w:start w:val="1"/>
      <w:numFmt w:val="bullet"/>
      <w:lvlText w:val=""/>
      <w:lvlJc w:val="left"/>
      <w:pPr>
        <w:ind w:left="5748" w:hanging="360"/>
      </w:pPr>
      <w:rPr>
        <w:rFonts w:ascii="Symbol" w:hAnsi="Symbol" w:hint="default"/>
      </w:rPr>
    </w:lvl>
    <w:lvl w:ilvl="7" w:tplc="230CF35E">
      <w:start w:val="1"/>
      <w:numFmt w:val="bullet"/>
      <w:lvlText w:val="o"/>
      <w:lvlJc w:val="left"/>
      <w:pPr>
        <w:ind w:left="6468" w:hanging="360"/>
      </w:pPr>
      <w:rPr>
        <w:rFonts w:ascii="Courier New" w:hAnsi="Courier New" w:hint="default"/>
      </w:rPr>
    </w:lvl>
    <w:lvl w:ilvl="8" w:tplc="280A8F50">
      <w:start w:val="1"/>
      <w:numFmt w:val="bullet"/>
      <w:lvlText w:val=""/>
      <w:lvlJc w:val="left"/>
      <w:pPr>
        <w:ind w:left="7188" w:hanging="360"/>
      </w:pPr>
      <w:rPr>
        <w:rFonts w:ascii="Wingdings" w:hAnsi="Wingdings" w:hint="default"/>
      </w:rPr>
    </w:lvl>
  </w:abstractNum>
  <w:abstractNum w:abstractNumId="17" w15:restartNumberingAfterBreak="0">
    <w:nsid w:val="694829FC"/>
    <w:multiLevelType w:val="multilevel"/>
    <w:tmpl w:val="BC5CB0C8"/>
    <w:lvl w:ilvl="0">
      <w:start w:val="1"/>
      <w:numFmt w:val="bullet"/>
      <w:lvlText w:val="-"/>
      <w:lvlJc w:val="left"/>
      <w:pPr>
        <w:ind w:left="720" w:hanging="360"/>
      </w:pPr>
      <w:rPr>
        <w:rFonts w:ascii="Arial" w:eastAsia="Arial" w:hAnsi="Arial" w:cs="Arial"/>
        <w:b w:val="0"/>
        <w:i w:val="0"/>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8" w15:restartNumberingAfterBreak="0">
    <w:nsid w:val="6A187EDB"/>
    <w:multiLevelType w:val="hybridMultilevel"/>
    <w:tmpl w:val="E124E708"/>
    <w:lvl w:ilvl="0" w:tplc="9F201908">
      <w:start w:val="1"/>
      <w:numFmt w:val="bullet"/>
      <w:lvlText w:val=""/>
      <w:lvlJc w:val="left"/>
      <w:pPr>
        <w:ind w:left="1428" w:hanging="360"/>
      </w:pPr>
      <w:rPr>
        <w:rFonts w:ascii="Symbol" w:hAnsi="Symbol" w:hint="default"/>
      </w:rPr>
    </w:lvl>
    <w:lvl w:ilvl="1" w:tplc="B93487C0">
      <w:start w:val="1"/>
      <w:numFmt w:val="bullet"/>
      <w:lvlText w:val="o"/>
      <w:lvlJc w:val="left"/>
      <w:pPr>
        <w:ind w:left="2148" w:hanging="360"/>
      </w:pPr>
      <w:rPr>
        <w:rFonts w:ascii="Courier New" w:hAnsi="Courier New" w:hint="default"/>
      </w:rPr>
    </w:lvl>
    <w:lvl w:ilvl="2" w:tplc="2FAC54E6">
      <w:start w:val="1"/>
      <w:numFmt w:val="bullet"/>
      <w:lvlText w:val=""/>
      <w:lvlJc w:val="left"/>
      <w:pPr>
        <w:ind w:left="2868" w:hanging="360"/>
      </w:pPr>
      <w:rPr>
        <w:rFonts w:ascii="Wingdings" w:hAnsi="Wingdings" w:hint="default"/>
      </w:rPr>
    </w:lvl>
    <w:lvl w:ilvl="3" w:tplc="8646BBF6">
      <w:start w:val="1"/>
      <w:numFmt w:val="bullet"/>
      <w:lvlText w:val=""/>
      <w:lvlJc w:val="left"/>
      <w:pPr>
        <w:ind w:left="3588" w:hanging="360"/>
      </w:pPr>
      <w:rPr>
        <w:rFonts w:ascii="Symbol" w:hAnsi="Symbol" w:hint="default"/>
      </w:rPr>
    </w:lvl>
    <w:lvl w:ilvl="4" w:tplc="71926E62">
      <w:start w:val="1"/>
      <w:numFmt w:val="bullet"/>
      <w:lvlText w:val="o"/>
      <w:lvlJc w:val="left"/>
      <w:pPr>
        <w:ind w:left="4308" w:hanging="360"/>
      </w:pPr>
      <w:rPr>
        <w:rFonts w:ascii="Courier New" w:hAnsi="Courier New" w:hint="default"/>
      </w:rPr>
    </w:lvl>
    <w:lvl w:ilvl="5" w:tplc="FD52ED12">
      <w:start w:val="1"/>
      <w:numFmt w:val="bullet"/>
      <w:lvlText w:val=""/>
      <w:lvlJc w:val="left"/>
      <w:pPr>
        <w:ind w:left="5028" w:hanging="360"/>
      </w:pPr>
      <w:rPr>
        <w:rFonts w:ascii="Wingdings" w:hAnsi="Wingdings" w:hint="default"/>
      </w:rPr>
    </w:lvl>
    <w:lvl w:ilvl="6" w:tplc="65DE77FA">
      <w:start w:val="1"/>
      <w:numFmt w:val="bullet"/>
      <w:lvlText w:val=""/>
      <w:lvlJc w:val="left"/>
      <w:pPr>
        <w:ind w:left="5748" w:hanging="360"/>
      </w:pPr>
      <w:rPr>
        <w:rFonts w:ascii="Symbol" w:hAnsi="Symbol" w:hint="default"/>
      </w:rPr>
    </w:lvl>
    <w:lvl w:ilvl="7" w:tplc="4FD4D3A2">
      <w:start w:val="1"/>
      <w:numFmt w:val="bullet"/>
      <w:lvlText w:val="o"/>
      <w:lvlJc w:val="left"/>
      <w:pPr>
        <w:ind w:left="6468" w:hanging="360"/>
      </w:pPr>
      <w:rPr>
        <w:rFonts w:ascii="Courier New" w:hAnsi="Courier New" w:hint="default"/>
      </w:rPr>
    </w:lvl>
    <w:lvl w:ilvl="8" w:tplc="8FD21126">
      <w:start w:val="1"/>
      <w:numFmt w:val="bullet"/>
      <w:lvlText w:val=""/>
      <w:lvlJc w:val="left"/>
      <w:pPr>
        <w:ind w:left="7188" w:hanging="360"/>
      </w:pPr>
      <w:rPr>
        <w:rFonts w:ascii="Wingdings" w:hAnsi="Wingdings" w:hint="default"/>
      </w:rPr>
    </w:lvl>
  </w:abstractNum>
  <w:abstractNum w:abstractNumId="19" w15:restartNumberingAfterBreak="0">
    <w:nsid w:val="6A1CC802"/>
    <w:multiLevelType w:val="hybridMultilevel"/>
    <w:tmpl w:val="89A28114"/>
    <w:lvl w:ilvl="0" w:tplc="7BEEBB5C">
      <w:start w:val="1"/>
      <w:numFmt w:val="bullet"/>
      <w:lvlText w:val=""/>
      <w:lvlJc w:val="left"/>
      <w:pPr>
        <w:ind w:left="720" w:hanging="360"/>
      </w:pPr>
      <w:rPr>
        <w:rFonts w:ascii="Symbol" w:hAnsi="Symbol" w:hint="default"/>
      </w:rPr>
    </w:lvl>
    <w:lvl w:ilvl="1" w:tplc="5FF8438E">
      <w:start w:val="1"/>
      <w:numFmt w:val="bullet"/>
      <w:lvlText w:val="o"/>
      <w:lvlJc w:val="left"/>
      <w:pPr>
        <w:ind w:left="1440" w:hanging="360"/>
      </w:pPr>
      <w:rPr>
        <w:rFonts w:ascii="Courier New" w:hAnsi="Courier New" w:hint="default"/>
      </w:rPr>
    </w:lvl>
    <w:lvl w:ilvl="2" w:tplc="FC5CE536">
      <w:start w:val="1"/>
      <w:numFmt w:val="bullet"/>
      <w:lvlText w:val=""/>
      <w:lvlJc w:val="left"/>
      <w:pPr>
        <w:ind w:left="2160" w:hanging="360"/>
      </w:pPr>
      <w:rPr>
        <w:rFonts w:ascii="Wingdings" w:hAnsi="Wingdings" w:hint="default"/>
      </w:rPr>
    </w:lvl>
    <w:lvl w:ilvl="3" w:tplc="CABE65AA">
      <w:start w:val="1"/>
      <w:numFmt w:val="bullet"/>
      <w:lvlText w:val=""/>
      <w:lvlJc w:val="left"/>
      <w:pPr>
        <w:ind w:left="2880" w:hanging="360"/>
      </w:pPr>
      <w:rPr>
        <w:rFonts w:ascii="Symbol" w:hAnsi="Symbol" w:hint="default"/>
      </w:rPr>
    </w:lvl>
    <w:lvl w:ilvl="4" w:tplc="8B20B3DE">
      <w:start w:val="1"/>
      <w:numFmt w:val="bullet"/>
      <w:lvlText w:val="o"/>
      <w:lvlJc w:val="left"/>
      <w:pPr>
        <w:ind w:left="3600" w:hanging="360"/>
      </w:pPr>
      <w:rPr>
        <w:rFonts w:ascii="Courier New" w:hAnsi="Courier New" w:hint="default"/>
      </w:rPr>
    </w:lvl>
    <w:lvl w:ilvl="5" w:tplc="F13066E4">
      <w:start w:val="1"/>
      <w:numFmt w:val="bullet"/>
      <w:lvlText w:val=""/>
      <w:lvlJc w:val="left"/>
      <w:pPr>
        <w:ind w:left="4320" w:hanging="360"/>
      </w:pPr>
      <w:rPr>
        <w:rFonts w:ascii="Wingdings" w:hAnsi="Wingdings" w:hint="default"/>
      </w:rPr>
    </w:lvl>
    <w:lvl w:ilvl="6" w:tplc="ADB22016">
      <w:start w:val="1"/>
      <w:numFmt w:val="bullet"/>
      <w:lvlText w:val=""/>
      <w:lvlJc w:val="left"/>
      <w:pPr>
        <w:ind w:left="5040" w:hanging="360"/>
      </w:pPr>
      <w:rPr>
        <w:rFonts w:ascii="Symbol" w:hAnsi="Symbol" w:hint="default"/>
      </w:rPr>
    </w:lvl>
    <w:lvl w:ilvl="7" w:tplc="588A0326">
      <w:start w:val="1"/>
      <w:numFmt w:val="bullet"/>
      <w:lvlText w:val="o"/>
      <w:lvlJc w:val="left"/>
      <w:pPr>
        <w:ind w:left="5760" w:hanging="360"/>
      </w:pPr>
      <w:rPr>
        <w:rFonts w:ascii="Courier New" w:hAnsi="Courier New" w:hint="default"/>
      </w:rPr>
    </w:lvl>
    <w:lvl w:ilvl="8" w:tplc="00E834B2">
      <w:start w:val="1"/>
      <w:numFmt w:val="bullet"/>
      <w:lvlText w:val=""/>
      <w:lvlJc w:val="left"/>
      <w:pPr>
        <w:ind w:left="6480" w:hanging="360"/>
      </w:pPr>
      <w:rPr>
        <w:rFonts w:ascii="Wingdings" w:hAnsi="Wingdings" w:hint="default"/>
      </w:rPr>
    </w:lvl>
  </w:abstractNum>
  <w:abstractNum w:abstractNumId="20" w15:restartNumberingAfterBreak="0">
    <w:nsid w:val="6C4E4B52"/>
    <w:multiLevelType w:val="hybridMultilevel"/>
    <w:tmpl w:val="BBF2AC70"/>
    <w:lvl w:ilvl="0" w:tplc="C69603B8">
      <w:start w:val="1"/>
      <w:numFmt w:val="bullet"/>
      <w:lvlText w:val=""/>
      <w:lvlJc w:val="left"/>
      <w:pPr>
        <w:ind w:left="360" w:hanging="360"/>
      </w:pPr>
      <w:rPr>
        <w:rFonts w:ascii="Symbol" w:hAnsi="Symbol" w:hint="default"/>
      </w:rPr>
    </w:lvl>
    <w:lvl w:ilvl="1" w:tplc="E81AE1D0">
      <w:start w:val="1"/>
      <w:numFmt w:val="bullet"/>
      <w:lvlText w:val="o"/>
      <w:lvlJc w:val="left"/>
      <w:pPr>
        <w:ind w:left="1080" w:hanging="360"/>
      </w:pPr>
      <w:rPr>
        <w:rFonts w:ascii="Courier New" w:hAnsi="Courier New" w:hint="default"/>
      </w:rPr>
    </w:lvl>
    <w:lvl w:ilvl="2" w:tplc="682E1D52">
      <w:start w:val="1"/>
      <w:numFmt w:val="bullet"/>
      <w:lvlText w:val=""/>
      <w:lvlJc w:val="left"/>
      <w:pPr>
        <w:ind w:left="1800" w:hanging="360"/>
      </w:pPr>
      <w:rPr>
        <w:rFonts w:ascii="Wingdings" w:hAnsi="Wingdings" w:hint="default"/>
      </w:rPr>
    </w:lvl>
    <w:lvl w:ilvl="3" w:tplc="16C8456A">
      <w:start w:val="1"/>
      <w:numFmt w:val="bullet"/>
      <w:lvlText w:val=""/>
      <w:lvlJc w:val="left"/>
      <w:pPr>
        <w:ind w:left="2520" w:hanging="360"/>
      </w:pPr>
      <w:rPr>
        <w:rFonts w:ascii="Symbol" w:hAnsi="Symbol" w:hint="default"/>
      </w:rPr>
    </w:lvl>
    <w:lvl w:ilvl="4" w:tplc="6BDAF0BC">
      <w:start w:val="1"/>
      <w:numFmt w:val="bullet"/>
      <w:lvlText w:val="o"/>
      <w:lvlJc w:val="left"/>
      <w:pPr>
        <w:ind w:left="3240" w:hanging="360"/>
      </w:pPr>
      <w:rPr>
        <w:rFonts w:ascii="Courier New" w:hAnsi="Courier New" w:hint="default"/>
      </w:rPr>
    </w:lvl>
    <w:lvl w:ilvl="5" w:tplc="ED36F864">
      <w:start w:val="1"/>
      <w:numFmt w:val="bullet"/>
      <w:lvlText w:val=""/>
      <w:lvlJc w:val="left"/>
      <w:pPr>
        <w:ind w:left="3960" w:hanging="360"/>
      </w:pPr>
      <w:rPr>
        <w:rFonts w:ascii="Wingdings" w:hAnsi="Wingdings" w:hint="default"/>
      </w:rPr>
    </w:lvl>
    <w:lvl w:ilvl="6" w:tplc="BCE06A28">
      <w:start w:val="1"/>
      <w:numFmt w:val="bullet"/>
      <w:lvlText w:val=""/>
      <w:lvlJc w:val="left"/>
      <w:pPr>
        <w:ind w:left="4680" w:hanging="360"/>
      </w:pPr>
      <w:rPr>
        <w:rFonts w:ascii="Symbol" w:hAnsi="Symbol" w:hint="default"/>
      </w:rPr>
    </w:lvl>
    <w:lvl w:ilvl="7" w:tplc="07C8FC70">
      <w:start w:val="1"/>
      <w:numFmt w:val="bullet"/>
      <w:lvlText w:val="o"/>
      <w:lvlJc w:val="left"/>
      <w:pPr>
        <w:ind w:left="5400" w:hanging="360"/>
      </w:pPr>
      <w:rPr>
        <w:rFonts w:ascii="Courier New" w:hAnsi="Courier New" w:hint="default"/>
      </w:rPr>
    </w:lvl>
    <w:lvl w:ilvl="8" w:tplc="16C03AA0">
      <w:start w:val="1"/>
      <w:numFmt w:val="bullet"/>
      <w:lvlText w:val=""/>
      <w:lvlJc w:val="left"/>
      <w:pPr>
        <w:ind w:left="6120" w:hanging="360"/>
      </w:pPr>
      <w:rPr>
        <w:rFonts w:ascii="Wingdings" w:hAnsi="Wingdings" w:hint="default"/>
      </w:rPr>
    </w:lvl>
  </w:abstractNum>
  <w:abstractNum w:abstractNumId="21" w15:restartNumberingAfterBreak="0">
    <w:nsid w:val="7615109D"/>
    <w:multiLevelType w:val="hybridMultilevel"/>
    <w:tmpl w:val="69E84990"/>
    <w:lvl w:ilvl="0" w:tplc="77465398">
      <w:start w:val="1"/>
      <w:numFmt w:val="bullet"/>
      <w:lvlText w:val=""/>
      <w:lvlJc w:val="left"/>
      <w:pPr>
        <w:ind w:left="1068" w:hanging="360"/>
      </w:pPr>
      <w:rPr>
        <w:rFonts w:ascii="Symbol" w:hAnsi="Symbol" w:hint="default"/>
      </w:rPr>
    </w:lvl>
    <w:lvl w:ilvl="1" w:tplc="7F52F686">
      <w:start w:val="1"/>
      <w:numFmt w:val="bullet"/>
      <w:lvlText w:val="o"/>
      <w:lvlJc w:val="left"/>
      <w:pPr>
        <w:ind w:left="1788" w:hanging="360"/>
      </w:pPr>
      <w:rPr>
        <w:rFonts w:ascii="Courier New" w:hAnsi="Courier New" w:hint="default"/>
      </w:rPr>
    </w:lvl>
    <w:lvl w:ilvl="2" w:tplc="3F5E8AF4">
      <w:start w:val="1"/>
      <w:numFmt w:val="bullet"/>
      <w:lvlText w:val=""/>
      <w:lvlJc w:val="left"/>
      <w:pPr>
        <w:ind w:left="2508" w:hanging="360"/>
      </w:pPr>
      <w:rPr>
        <w:rFonts w:ascii="Wingdings" w:hAnsi="Wingdings" w:hint="default"/>
      </w:rPr>
    </w:lvl>
    <w:lvl w:ilvl="3" w:tplc="5178ED3E">
      <w:start w:val="1"/>
      <w:numFmt w:val="bullet"/>
      <w:lvlText w:val=""/>
      <w:lvlJc w:val="left"/>
      <w:pPr>
        <w:ind w:left="3228" w:hanging="360"/>
      </w:pPr>
      <w:rPr>
        <w:rFonts w:ascii="Symbol" w:hAnsi="Symbol" w:hint="default"/>
      </w:rPr>
    </w:lvl>
    <w:lvl w:ilvl="4" w:tplc="E69EBC36">
      <w:start w:val="1"/>
      <w:numFmt w:val="bullet"/>
      <w:lvlText w:val="o"/>
      <w:lvlJc w:val="left"/>
      <w:pPr>
        <w:ind w:left="3948" w:hanging="360"/>
      </w:pPr>
      <w:rPr>
        <w:rFonts w:ascii="Courier New" w:hAnsi="Courier New" w:hint="default"/>
      </w:rPr>
    </w:lvl>
    <w:lvl w:ilvl="5" w:tplc="EFE47F38">
      <w:start w:val="1"/>
      <w:numFmt w:val="bullet"/>
      <w:lvlText w:val=""/>
      <w:lvlJc w:val="left"/>
      <w:pPr>
        <w:ind w:left="4668" w:hanging="360"/>
      </w:pPr>
      <w:rPr>
        <w:rFonts w:ascii="Wingdings" w:hAnsi="Wingdings" w:hint="default"/>
      </w:rPr>
    </w:lvl>
    <w:lvl w:ilvl="6" w:tplc="F2703F6E">
      <w:start w:val="1"/>
      <w:numFmt w:val="bullet"/>
      <w:lvlText w:val=""/>
      <w:lvlJc w:val="left"/>
      <w:pPr>
        <w:ind w:left="5388" w:hanging="360"/>
      </w:pPr>
      <w:rPr>
        <w:rFonts w:ascii="Symbol" w:hAnsi="Symbol" w:hint="default"/>
      </w:rPr>
    </w:lvl>
    <w:lvl w:ilvl="7" w:tplc="F3FE189A">
      <w:start w:val="1"/>
      <w:numFmt w:val="bullet"/>
      <w:lvlText w:val="o"/>
      <w:lvlJc w:val="left"/>
      <w:pPr>
        <w:ind w:left="6108" w:hanging="360"/>
      </w:pPr>
      <w:rPr>
        <w:rFonts w:ascii="Courier New" w:hAnsi="Courier New" w:hint="default"/>
      </w:rPr>
    </w:lvl>
    <w:lvl w:ilvl="8" w:tplc="21A2CBAC">
      <w:start w:val="1"/>
      <w:numFmt w:val="bullet"/>
      <w:lvlText w:val=""/>
      <w:lvlJc w:val="left"/>
      <w:pPr>
        <w:ind w:left="6828" w:hanging="360"/>
      </w:pPr>
      <w:rPr>
        <w:rFonts w:ascii="Wingdings" w:hAnsi="Wingdings" w:hint="default"/>
      </w:rPr>
    </w:lvl>
  </w:abstractNum>
  <w:abstractNum w:abstractNumId="22" w15:restartNumberingAfterBreak="0">
    <w:nsid w:val="787D17DD"/>
    <w:multiLevelType w:val="multilevel"/>
    <w:tmpl w:val="657E05E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3" w15:restartNumberingAfterBreak="0">
    <w:nsid w:val="78C0B7DB"/>
    <w:multiLevelType w:val="hybridMultilevel"/>
    <w:tmpl w:val="2C8ECDA0"/>
    <w:lvl w:ilvl="0" w:tplc="241E02E6">
      <w:start w:val="1"/>
      <w:numFmt w:val="bullet"/>
      <w:lvlText w:val=""/>
      <w:lvlJc w:val="left"/>
      <w:pPr>
        <w:ind w:left="1068" w:hanging="360"/>
      </w:pPr>
      <w:rPr>
        <w:rFonts w:ascii="Symbol" w:hAnsi="Symbol" w:hint="default"/>
      </w:rPr>
    </w:lvl>
    <w:lvl w:ilvl="1" w:tplc="69E282F4">
      <w:start w:val="1"/>
      <w:numFmt w:val="bullet"/>
      <w:lvlText w:val="o"/>
      <w:lvlJc w:val="left"/>
      <w:pPr>
        <w:ind w:left="1788" w:hanging="360"/>
      </w:pPr>
      <w:rPr>
        <w:rFonts w:ascii="Courier New" w:hAnsi="Courier New" w:hint="default"/>
      </w:rPr>
    </w:lvl>
    <w:lvl w:ilvl="2" w:tplc="6DAE46EA">
      <w:start w:val="1"/>
      <w:numFmt w:val="bullet"/>
      <w:lvlText w:val=""/>
      <w:lvlJc w:val="left"/>
      <w:pPr>
        <w:ind w:left="2508" w:hanging="360"/>
      </w:pPr>
      <w:rPr>
        <w:rFonts w:ascii="Wingdings" w:hAnsi="Wingdings" w:hint="default"/>
      </w:rPr>
    </w:lvl>
    <w:lvl w:ilvl="3" w:tplc="DC1C9E98">
      <w:start w:val="1"/>
      <w:numFmt w:val="bullet"/>
      <w:lvlText w:val=""/>
      <w:lvlJc w:val="left"/>
      <w:pPr>
        <w:ind w:left="3228" w:hanging="360"/>
      </w:pPr>
      <w:rPr>
        <w:rFonts w:ascii="Symbol" w:hAnsi="Symbol" w:hint="default"/>
      </w:rPr>
    </w:lvl>
    <w:lvl w:ilvl="4" w:tplc="9E90A46C">
      <w:start w:val="1"/>
      <w:numFmt w:val="bullet"/>
      <w:lvlText w:val="o"/>
      <w:lvlJc w:val="left"/>
      <w:pPr>
        <w:ind w:left="3948" w:hanging="360"/>
      </w:pPr>
      <w:rPr>
        <w:rFonts w:ascii="Courier New" w:hAnsi="Courier New" w:hint="default"/>
      </w:rPr>
    </w:lvl>
    <w:lvl w:ilvl="5" w:tplc="5B94D0B6">
      <w:start w:val="1"/>
      <w:numFmt w:val="bullet"/>
      <w:lvlText w:val=""/>
      <w:lvlJc w:val="left"/>
      <w:pPr>
        <w:ind w:left="4668" w:hanging="360"/>
      </w:pPr>
      <w:rPr>
        <w:rFonts w:ascii="Wingdings" w:hAnsi="Wingdings" w:hint="default"/>
      </w:rPr>
    </w:lvl>
    <w:lvl w:ilvl="6" w:tplc="749A932C">
      <w:start w:val="1"/>
      <w:numFmt w:val="bullet"/>
      <w:lvlText w:val=""/>
      <w:lvlJc w:val="left"/>
      <w:pPr>
        <w:ind w:left="5388" w:hanging="360"/>
      </w:pPr>
      <w:rPr>
        <w:rFonts w:ascii="Symbol" w:hAnsi="Symbol" w:hint="default"/>
      </w:rPr>
    </w:lvl>
    <w:lvl w:ilvl="7" w:tplc="6EF2BD3A">
      <w:start w:val="1"/>
      <w:numFmt w:val="bullet"/>
      <w:lvlText w:val="o"/>
      <w:lvlJc w:val="left"/>
      <w:pPr>
        <w:ind w:left="6108" w:hanging="360"/>
      </w:pPr>
      <w:rPr>
        <w:rFonts w:ascii="Courier New" w:hAnsi="Courier New" w:hint="default"/>
      </w:rPr>
    </w:lvl>
    <w:lvl w:ilvl="8" w:tplc="D59097F8">
      <w:start w:val="1"/>
      <w:numFmt w:val="bullet"/>
      <w:lvlText w:val=""/>
      <w:lvlJc w:val="left"/>
      <w:pPr>
        <w:ind w:left="6828" w:hanging="360"/>
      </w:pPr>
      <w:rPr>
        <w:rFonts w:ascii="Wingdings" w:hAnsi="Wingdings" w:hint="default"/>
      </w:rPr>
    </w:lvl>
  </w:abstractNum>
  <w:num w:numId="1" w16cid:durableId="461924076">
    <w:abstractNumId w:val="11"/>
  </w:num>
  <w:num w:numId="2" w16cid:durableId="980960592">
    <w:abstractNumId w:val="10"/>
  </w:num>
  <w:num w:numId="3" w16cid:durableId="869950642">
    <w:abstractNumId w:val="6"/>
  </w:num>
  <w:num w:numId="4" w16cid:durableId="623658908">
    <w:abstractNumId w:val="20"/>
  </w:num>
  <w:num w:numId="5" w16cid:durableId="1652054721">
    <w:abstractNumId w:val="23"/>
  </w:num>
  <w:num w:numId="6" w16cid:durableId="2090418823">
    <w:abstractNumId w:val="9"/>
  </w:num>
  <w:num w:numId="7" w16cid:durableId="1148783136">
    <w:abstractNumId w:val="16"/>
  </w:num>
  <w:num w:numId="8" w16cid:durableId="1635330108">
    <w:abstractNumId w:val="18"/>
  </w:num>
  <w:num w:numId="9" w16cid:durableId="1687441575">
    <w:abstractNumId w:val="0"/>
  </w:num>
  <w:num w:numId="10" w16cid:durableId="80496535">
    <w:abstractNumId w:val="8"/>
  </w:num>
  <w:num w:numId="11" w16cid:durableId="1762793671">
    <w:abstractNumId w:val="21"/>
  </w:num>
  <w:num w:numId="12" w16cid:durableId="1013415381">
    <w:abstractNumId w:val="5"/>
  </w:num>
  <w:num w:numId="13" w16cid:durableId="555818609">
    <w:abstractNumId w:val="1"/>
  </w:num>
  <w:num w:numId="14" w16cid:durableId="507137561">
    <w:abstractNumId w:val="13"/>
  </w:num>
  <w:num w:numId="15" w16cid:durableId="1417360128">
    <w:abstractNumId w:val="19"/>
  </w:num>
  <w:num w:numId="16" w16cid:durableId="155348150">
    <w:abstractNumId w:val="4"/>
  </w:num>
  <w:num w:numId="17" w16cid:durableId="1567371964">
    <w:abstractNumId w:val="22"/>
  </w:num>
  <w:num w:numId="18" w16cid:durableId="532618818">
    <w:abstractNumId w:val="14"/>
  </w:num>
  <w:num w:numId="19" w16cid:durableId="1116097310">
    <w:abstractNumId w:val="2"/>
  </w:num>
  <w:num w:numId="20" w16cid:durableId="52505060">
    <w:abstractNumId w:val="7"/>
  </w:num>
  <w:num w:numId="21" w16cid:durableId="34737757">
    <w:abstractNumId w:val="15"/>
  </w:num>
  <w:num w:numId="22" w16cid:durableId="1612012822">
    <w:abstractNumId w:val="17"/>
  </w:num>
  <w:num w:numId="23" w16cid:durableId="955137788">
    <w:abstractNumId w:val="3"/>
  </w:num>
  <w:num w:numId="24" w16cid:durableId="1687906142">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70"/>
  <w:proofState w:spelling="clean"/>
  <w:trackRevisions/>
  <w:defaultTabStop w:val="708"/>
  <w:hyphenationZone w:val="425"/>
  <w:characterSpacingControl w:val="doNotCompress"/>
  <w:hdrShapeDefaults>
    <o:shapedefaults v:ext="edit" spidmax="2050"/>
    <o:shapelayout v:ext="edit">
      <o:idmap v:ext="edit" data="1"/>
    </o:shapelayout>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D7491"/>
    <w:rsid w:val="00037AA8"/>
    <w:rsid w:val="000616A2"/>
    <w:rsid w:val="00074575"/>
    <w:rsid w:val="0007496A"/>
    <w:rsid w:val="000910ED"/>
    <w:rsid w:val="00093315"/>
    <w:rsid w:val="000B3F89"/>
    <w:rsid w:val="000B41A1"/>
    <w:rsid w:val="000C059E"/>
    <w:rsid w:val="000E0CAA"/>
    <w:rsid w:val="00123E9B"/>
    <w:rsid w:val="0012656B"/>
    <w:rsid w:val="0014558E"/>
    <w:rsid w:val="00175322"/>
    <w:rsid w:val="001758BA"/>
    <w:rsid w:val="001902EA"/>
    <w:rsid w:val="001B7FD7"/>
    <w:rsid w:val="001E40BF"/>
    <w:rsid w:val="001E6702"/>
    <w:rsid w:val="00200581"/>
    <w:rsid w:val="00210F32"/>
    <w:rsid w:val="00220523"/>
    <w:rsid w:val="002317EC"/>
    <w:rsid w:val="00257680"/>
    <w:rsid w:val="002662F9"/>
    <w:rsid w:val="00267ED8"/>
    <w:rsid w:val="00273CBD"/>
    <w:rsid w:val="00277D3F"/>
    <w:rsid w:val="00283213"/>
    <w:rsid w:val="002B6C49"/>
    <w:rsid w:val="002D0F9F"/>
    <w:rsid w:val="00306ADF"/>
    <w:rsid w:val="00321994"/>
    <w:rsid w:val="0033105A"/>
    <w:rsid w:val="0036664A"/>
    <w:rsid w:val="0037612A"/>
    <w:rsid w:val="00390246"/>
    <w:rsid w:val="003914AC"/>
    <w:rsid w:val="00393E1E"/>
    <w:rsid w:val="00395ED0"/>
    <w:rsid w:val="003A3035"/>
    <w:rsid w:val="003B5D14"/>
    <w:rsid w:val="003E2CA8"/>
    <w:rsid w:val="003E7871"/>
    <w:rsid w:val="003F6933"/>
    <w:rsid w:val="00406CA5"/>
    <w:rsid w:val="004139F3"/>
    <w:rsid w:val="00416513"/>
    <w:rsid w:val="0043732A"/>
    <w:rsid w:val="00445D47"/>
    <w:rsid w:val="00452CDD"/>
    <w:rsid w:val="00457DA9"/>
    <w:rsid w:val="0049178E"/>
    <w:rsid w:val="004A1005"/>
    <w:rsid w:val="004A64A5"/>
    <w:rsid w:val="004B54C4"/>
    <w:rsid w:val="004D3773"/>
    <w:rsid w:val="0051019C"/>
    <w:rsid w:val="005109F2"/>
    <w:rsid w:val="00511997"/>
    <w:rsid w:val="00512572"/>
    <w:rsid w:val="005140AF"/>
    <w:rsid w:val="0051749C"/>
    <w:rsid w:val="005231E6"/>
    <w:rsid w:val="00525F32"/>
    <w:rsid w:val="00535F36"/>
    <w:rsid w:val="005872AB"/>
    <w:rsid w:val="00587C2B"/>
    <w:rsid w:val="005B0A18"/>
    <w:rsid w:val="005B1956"/>
    <w:rsid w:val="005C38A4"/>
    <w:rsid w:val="005D63A8"/>
    <w:rsid w:val="005E4DFB"/>
    <w:rsid w:val="00634014"/>
    <w:rsid w:val="006435DA"/>
    <w:rsid w:val="00656FA8"/>
    <w:rsid w:val="00660984"/>
    <w:rsid w:val="006C1701"/>
    <w:rsid w:val="006E6001"/>
    <w:rsid w:val="006F1905"/>
    <w:rsid w:val="006F5985"/>
    <w:rsid w:val="00712301"/>
    <w:rsid w:val="00713125"/>
    <w:rsid w:val="0072454D"/>
    <w:rsid w:val="00726EEB"/>
    <w:rsid w:val="00732E5C"/>
    <w:rsid w:val="007367C3"/>
    <w:rsid w:val="00743C8E"/>
    <w:rsid w:val="00781827"/>
    <w:rsid w:val="00796DF9"/>
    <w:rsid w:val="007C389E"/>
    <w:rsid w:val="007D2194"/>
    <w:rsid w:val="007D3950"/>
    <w:rsid w:val="007D4215"/>
    <w:rsid w:val="007D6A3B"/>
    <w:rsid w:val="007F4479"/>
    <w:rsid w:val="00813554"/>
    <w:rsid w:val="008146E4"/>
    <w:rsid w:val="00821D78"/>
    <w:rsid w:val="00845C7C"/>
    <w:rsid w:val="008500A8"/>
    <w:rsid w:val="00867041"/>
    <w:rsid w:val="008763BA"/>
    <w:rsid w:val="00877368"/>
    <w:rsid w:val="008825CF"/>
    <w:rsid w:val="008917BF"/>
    <w:rsid w:val="008A1784"/>
    <w:rsid w:val="008C304B"/>
    <w:rsid w:val="008E334A"/>
    <w:rsid w:val="008E5BD4"/>
    <w:rsid w:val="00905717"/>
    <w:rsid w:val="00905F3A"/>
    <w:rsid w:val="00925F8F"/>
    <w:rsid w:val="00942810"/>
    <w:rsid w:val="00943FAC"/>
    <w:rsid w:val="00944C9D"/>
    <w:rsid w:val="00952BA9"/>
    <w:rsid w:val="0095491B"/>
    <w:rsid w:val="009758AC"/>
    <w:rsid w:val="00987616"/>
    <w:rsid w:val="009A0B9C"/>
    <w:rsid w:val="009B143B"/>
    <w:rsid w:val="00A15893"/>
    <w:rsid w:val="00A24B75"/>
    <w:rsid w:val="00A4673F"/>
    <w:rsid w:val="00A7058D"/>
    <w:rsid w:val="00A71F2A"/>
    <w:rsid w:val="00A93DB7"/>
    <w:rsid w:val="00AA604D"/>
    <w:rsid w:val="00AC0A18"/>
    <w:rsid w:val="00AE6F2F"/>
    <w:rsid w:val="00B15BB4"/>
    <w:rsid w:val="00B46445"/>
    <w:rsid w:val="00B5324A"/>
    <w:rsid w:val="00B6059F"/>
    <w:rsid w:val="00B61F72"/>
    <w:rsid w:val="00B65B0A"/>
    <w:rsid w:val="00B714B3"/>
    <w:rsid w:val="00B76F58"/>
    <w:rsid w:val="00B9050A"/>
    <w:rsid w:val="00B959E8"/>
    <w:rsid w:val="00BB27E1"/>
    <w:rsid w:val="00BB37E1"/>
    <w:rsid w:val="00BD2BB2"/>
    <w:rsid w:val="00BF15B8"/>
    <w:rsid w:val="00BF6C1C"/>
    <w:rsid w:val="00BF7139"/>
    <w:rsid w:val="00BF7454"/>
    <w:rsid w:val="00C34C10"/>
    <w:rsid w:val="00C4E7BB"/>
    <w:rsid w:val="00C57649"/>
    <w:rsid w:val="00C7507B"/>
    <w:rsid w:val="00C97D7F"/>
    <w:rsid w:val="00CC2F13"/>
    <w:rsid w:val="00CD378E"/>
    <w:rsid w:val="00CD7491"/>
    <w:rsid w:val="00CE1C15"/>
    <w:rsid w:val="00CE471B"/>
    <w:rsid w:val="00CF4977"/>
    <w:rsid w:val="00D14D75"/>
    <w:rsid w:val="00D27D5C"/>
    <w:rsid w:val="00D44273"/>
    <w:rsid w:val="00D52201"/>
    <w:rsid w:val="00D615AE"/>
    <w:rsid w:val="00DC184B"/>
    <w:rsid w:val="00DE7B73"/>
    <w:rsid w:val="00DF0C96"/>
    <w:rsid w:val="00DF34A7"/>
    <w:rsid w:val="00E10D71"/>
    <w:rsid w:val="00E12B26"/>
    <w:rsid w:val="00E20C6F"/>
    <w:rsid w:val="00E456BE"/>
    <w:rsid w:val="00E532FB"/>
    <w:rsid w:val="00E54E97"/>
    <w:rsid w:val="00E63B80"/>
    <w:rsid w:val="00EA286F"/>
    <w:rsid w:val="00EB246A"/>
    <w:rsid w:val="00EC3C15"/>
    <w:rsid w:val="00EC4F21"/>
    <w:rsid w:val="00EE094C"/>
    <w:rsid w:val="00EF2D46"/>
    <w:rsid w:val="00F0641F"/>
    <w:rsid w:val="00F57902"/>
    <w:rsid w:val="00F62672"/>
    <w:rsid w:val="00F6382E"/>
    <w:rsid w:val="00F77FAF"/>
    <w:rsid w:val="00FD2C30"/>
    <w:rsid w:val="00FD5C35"/>
    <w:rsid w:val="00FE69C4"/>
    <w:rsid w:val="01B4449C"/>
    <w:rsid w:val="0282E45B"/>
    <w:rsid w:val="03224088"/>
    <w:rsid w:val="045037B9"/>
    <w:rsid w:val="04FBAC03"/>
    <w:rsid w:val="05145D8D"/>
    <w:rsid w:val="062A385F"/>
    <w:rsid w:val="06A55C7D"/>
    <w:rsid w:val="07055FDD"/>
    <w:rsid w:val="09454B93"/>
    <w:rsid w:val="0A2F027A"/>
    <w:rsid w:val="0B254A62"/>
    <w:rsid w:val="0CD4A5FF"/>
    <w:rsid w:val="0D394E02"/>
    <w:rsid w:val="0D5DBF04"/>
    <w:rsid w:val="0E0A520F"/>
    <w:rsid w:val="0E3F09F3"/>
    <w:rsid w:val="0E4D9652"/>
    <w:rsid w:val="0E8ACFA5"/>
    <w:rsid w:val="0F58F2A3"/>
    <w:rsid w:val="11127FCC"/>
    <w:rsid w:val="1141E5F7"/>
    <w:rsid w:val="1202E672"/>
    <w:rsid w:val="1246A9BE"/>
    <w:rsid w:val="1257BFC2"/>
    <w:rsid w:val="137B7520"/>
    <w:rsid w:val="14BADF11"/>
    <w:rsid w:val="1584043B"/>
    <w:rsid w:val="159E66B9"/>
    <w:rsid w:val="16914A10"/>
    <w:rsid w:val="173E7E50"/>
    <w:rsid w:val="179883F9"/>
    <w:rsid w:val="1800C403"/>
    <w:rsid w:val="189FD794"/>
    <w:rsid w:val="18DBC572"/>
    <w:rsid w:val="1B08DDC8"/>
    <w:rsid w:val="1B349055"/>
    <w:rsid w:val="1C894803"/>
    <w:rsid w:val="1DA0FB68"/>
    <w:rsid w:val="1E54A80F"/>
    <w:rsid w:val="1F1713FE"/>
    <w:rsid w:val="1FAF9141"/>
    <w:rsid w:val="206CBA3C"/>
    <w:rsid w:val="252F6BA6"/>
    <w:rsid w:val="25819698"/>
    <w:rsid w:val="27C7E638"/>
    <w:rsid w:val="28BCD380"/>
    <w:rsid w:val="28FDCE24"/>
    <w:rsid w:val="29C5FBED"/>
    <w:rsid w:val="2A0475CC"/>
    <w:rsid w:val="2AA8C2C7"/>
    <w:rsid w:val="2B5B0BFC"/>
    <w:rsid w:val="2C0F988C"/>
    <w:rsid w:val="2CC16CC2"/>
    <w:rsid w:val="2F5922D5"/>
    <w:rsid w:val="30D7F196"/>
    <w:rsid w:val="31653D22"/>
    <w:rsid w:val="31ED5792"/>
    <w:rsid w:val="31F7A7D1"/>
    <w:rsid w:val="321540B6"/>
    <w:rsid w:val="327D19CB"/>
    <w:rsid w:val="32B3E16A"/>
    <w:rsid w:val="32F3621E"/>
    <w:rsid w:val="33FE821F"/>
    <w:rsid w:val="352C6774"/>
    <w:rsid w:val="36808F45"/>
    <w:rsid w:val="3715CD2F"/>
    <w:rsid w:val="377BD47C"/>
    <w:rsid w:val="379CBCC3"/>
    <w:rsid w:val="38507C18"/>
    <w:rsid w:val="385263C1"/>
    <w:rsid w:val="38FFCF3C"/>
    <w:rsid w:val="3A084EAE"/>
    <w:rsid w:val="3A7AE7E3"/>
    <w:rsid w:val="3B009688"/>
    <w:rsid w:val="3B3BBFDF"/>
    <w:rsid w:val="3BEC22AA"/>
    <w:rsid w:val="3D52C927"/>
    <w:rsid w:val="3D6864DD"/>
    <w:rsid w:val="3F27665F"/>
    <w:rsid w:val="3FD2FC51"/>
    <w:rsid w:val="409D876F"/>
    <w:rsid w:val="40B4A519"/>
    <w:rsid w:val="40D0BFC1"/>
    <w:rsid w:val="4107CA42"/>
    <w:rsid w:val="413698D5"/>
    <w:rsid w:val="41B8D50F"/>
    <w:rsid w:val="41D5ABEC"/>
    <w:rsid w:val="4282B981"/>
    <w:rsid w:val="42E68BC8"/>
    <w:rsid w:val="43F8F846"/>
    <w:rsid w:val="44AF2C07"/>
    <w:rsid w:val="44E128E9"/>
    <w:rsid w:val="44F411A5"/>
    <w:rsid w:val="4519830F"/>
    <w:rsid w:val="4547EB8E"/>
    <w:rsid w:val="45B07118"/>
    <w:rsid w:val="46765FAD"/>
    <w:rsid w:val="4765F844"/>
    <w:rsid w:val="47FCCD03"/>
    <w:rsid w:val="48775120"/>
    <w:rsid w:val="48B2F51C"/>
    <w:rsid w:val="491588E8"/>
    <w:rsid w:val="491D3F9D"/>
    <w:rsid w:val="4922BF07"/>
    <w:rsid w:val="4BFBCB17"/>
    <w:rsid w:val="4C01D084"/>
    <w:rsid w:val="4CD7394F"/>
    <w:rsid w:val="4DDB3D98"/>
    <w:rsid w:val="510E807E"/>
    <w:rsid w:val="525F1475"/>
    <w:rsid w:val="52B1725D"/>
    <w:rsid w:val="53EE880D"/>
    <w:rsid w:val="5430A066"/>
    <w:rsid w:val="54B22D05"/>
    <w:rsid w:val="54B41B25"/>
    <w:rsid w:val="54C521AA"/>
    <w:rsid w:val="5726220E"/>
    <w:rsid w:val="5731FA3A"/>
    <w:rsid w:val="575B6B31"/>
    <w:rsid w:val="57974579"/>
    <w:rsid w:val="57A886CE"/>
    <w:rsid w:val="57DD5668"/>
    <w:rsid w:val="5863D037"/>
    <w:rsid w:val="5879D41D"/>
    <w:rsid w:val="5A60E633"/>
    <w:rsid w:val="5AE146A2"/>
    <w:rsid w:val="5AF20240"/>
    <w:rsid w:val="5BA2FB6F"/>
    <w:rsid w:val="5BD7E85B"/>
    <w:rsid w:val="5C5A6DE7"/>
    <w:rsid w:val="5C6B22F7"/>
    <w:rsid w:val="5D692623"/>
    <w:rsid w:val="5DA5F50E"/>
    <w:rsid w:val="5EBF13C4"/>
    <w:rsid w:val="5FC77AFB"/>
    <w:rsid w:val="60B1B071"/>
    <w:rsid w:val="64859544"/>
    <w:rsid w:val="6664600E"/>
    <w:rsid w:val="670BF680"/>
    <w:rsid w:val="69650703"/>
    <w:rsid w:val="6B95D898"/>
    <w:rsid w:val="6D11A816"/>
    <w:rsid w:val="6D678573"/>
    <w:rsid w:val="6DC2575A"/>
    <w:rsid w:val="6E556DF3"/>
    <w:rsid w:val="6EBB0BD4"/>
    <w:rsid w:val="6F225578"/>
    <w:rsid w:val="6F54BA17"/>
    <w:rsid w:val="6FEAE2DC"/>
    <w:rsid w:val="6FF8AAAB"/>
    <w:rsid w:val="71138881"/>
    <w:rsid w:val="7189F856"/>
    <w:rsid w:val="71E3D3C5"/>
    <w:rsid w:val="73DC6E52"/>
    <w:rsid w:val="75F7C9C2"/>
    <w:rsid w:val="760F6D7F"/>
    <w:rsid w:val="76D2CA29"/>
    <w:rsid w:val="76FB3E54"/>
    <w:rsid w:val="77432B7A"/>
    <w:rsid w:val="7782CBB9"/>
    <w:rsid w:val="77BDE9DE"/>
    <w:rsid w:val="77D2F662"/>
    <w:rsid w:val="77F2E430"/>
    <w:rsid w:val="7831A71B"/>
    <w:rsid w:val="7889278A"/>
    <w:rsid w:val="78CFDB2D"/>
    <w:rsid w:val="78D25194"/>
    <w:rsid w:val="79347499"/>
    <w:rsid w:val="7ACBB8CE"/>
    <w:rsid w:val="7B41D151"/>
    <w:rsid w:val="7C046834"/>
    <w:rsid w:val="7C42F603"/>
    <w:rsid w:val="7C62B646"/>
    <w:rsid w:val="7CA39574"/>
    <w:rsid w:val="7D4AB686"/>
    <w:rsid w:val="7D7C3076"/>
    <w:rsid w:val="7EDAA582"/>
    <w:rsid w:val="7F4AB1DA"/>
    <w:rsid w:val="7F581448"/>
    <w:rsid w:val="7F73FF79"/>
    <w:rsid w:val="7FA340B6"/>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B2EDF43"/>
  <w15:chartTrackingRefBased/>
  <w15:docId w15:val="{924D170F-837B-4F41-8663-195D4B8EE7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fr-FR"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D7491"/>
    <w:pPr>
      <w:spacing w:after="0" w:line="360" w:lineRule="auto"/>
      <w:contextualSpacing/>
      <w:jc w:val="both"/>
    </w:pPr>
    <w:rPr>
      <w:rFonts w:ascii="Times New Roman" w:eastAsia="Times New Roman" w:hAnsi="Times New Roman" w:cs="Times New Roman"/>
      <w:color w:val="000000"/>
      <w:kern w:val="0"/>
      <w:lang w:val="en-US" w:eastAsia="en-CA"/>
      <w14:ligatures w14:val="none"/>
    </w:rPr>
  </w:style>
  <w:style w:type="paragraph" w:styleId="Titre1">
    <w:name w:val="heading 1"/>
    <w:basedOn w:val="Normal"/>
    <w:next w:val="Normal"/>
    <w:link w:val="Titre1Car"/>
    <w:qFormat/>
    <w:rsid w:val="00CD7491"/>
    <w:pPr>
      <w:keepNext/>
      <w:keepLines/>
      <w:numPr>
        <w:numId w:val="24"/>
      </w:numPr>
      <w:spacing w:before="360" w:after="80"/>
      <w:outlineLvl w:val="0"/>
    </w:pPr>
    <w:rPr>
      <w:rFonts w:ascii="Arial" w:eastAsiaTheme="majorEastAsia" w:hAnsi="Arial" w:cs="Arial"/>
      <w:color w:val="0F4761" w:themeColor="accent1" w:themeShade="BF"/>
      <w:sz w:val="32"/>
      <w:szCs w:val="32"/>
    </w:rPr>
  </w:style>
  <w:style w:type="paragraph" w:styleId="Titre2">
    <w:name w:val="heading 2"/>
    <w:basedOn w:val="Normal"/>
    <w:next w:val="Normal"/>
    <w:link w:val="Titre2Car"/>
    <w:uiPriority w:val="9"/>
    <w:semiHidden/>
    <w:unhideWhenUsed/>
    <w:qFormat/>
    <w:rsid w:val="00CD7491"/>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itre3">
    <w:name w:val="heading 3"/>
    <w:basedOn w:val="Normal"/>
    <w:next w:val="Normal"/>
    <w:link w:val="Titre3Car"/>
    <w:uiPriority w:val="9"/>
    <w:semiHidden/>
    <w:unhideWhenUsed/>
    <w:qFormat/>
    <w:rsid w:val="00CD7491"/>
    <w:pPr>
      <w:keepNext/>
      <w:keepLines/>
      <w:spacing w:before="160" w:after="80"/>
      <w:outlineLvl w:val="2"/>
    </w:pPr>
    <w:rPr>
      <w:rFonts w:eastAsiaTheme="majorEastAsia" w:cstheme="majorBidi"/>
      <w:color w:val="0F4761" w:themeColor="accent1" w:themeShade="BF"/>
      <w:sz w:val="28"/>
      <w:szCs w:val="28"/>
    </w:rPr>
  </w:style>
  <w:style w:type="paragraph" w:styleId="Titre4">
    <w:name w:val="heading 4"/>
    <w:basedOn w:val="Normal"/>
    <w:next w:val="Normal"/>
    <w:link w:val="Titre4Car"/>
    <w:unhideWhenUsed/>
    <w:qFormat/>
    <w:rsid w:val="00CD7491"/>
    <w:pPr>
      <w:keepNext/>
      <w:keepLines/>
      <w:spacing w:before="80" w:after="40"/>
      <w:outlineLvl w:val="3"/>
    </w:pPr>
    <w:rPr>
      <w:rFonts w:eastAsiaTheme="majorEastAsia" w:cstheme="majorBidi"/>
      <w:i/>
      <w:iCs/>
      <w:color w:val="0F4761" w:themeColor="accent1" w:themeShade="BF"/>
    </w:rPr>
  </w:style>
  <w:style w:type="paragraph" w:styleId="Titre5">
    <w:name w:val="heading 5"/>
    <w:basedOn w:val="Normal"/>
    <w:next w:val="Normal"/>
    <w:link w:val="Titre5Car"/>
    <w:uiPriority w:val="9"/>
    <w:semiHidden/>
    <w:unhideWhenUsed/>
    <w:qFormat/>
    <w:rsid w:val="00CD7491"/>
    <w:pPr>
      <w:keepNext/>
      <w:keepLines/>
      <w:spacing w:before="80" w:after="40"/>
      <w:outlineLvl w:val="4"/>
    </w:pPr>
    <w:rPr>
      <w:rFonts w:eastAsiaTheme="majorEastAsia" w:cstheme="majorBidi"/>
      <w:color w:val="0F4761" w:themeColor="accent1" w:themeShade="BF"/>
    </w:rPr>
  </w:style>
  <w:style w:type="paragraph" w:styleId="Titre6">
    <w:name w:val="heading 6"/>
    <w:basedOn w:val="Normal"/>
    <w:next w:val="Normal"/>
    <w:link w:val="Titre6Car"/>
    <w:uiPriority w:val="9"/>
    <w:semiHidden/>
    <w:unhideWhenUsed/>
    <w:qFormat/>
    <w:rsid w:val="00CD7491"/>
    <w:pPr>
      <w:keepNext/>
      <w:keepLines/>
      <w:spacing w:before="40"/>
      <w:outlineLvl w:val="5"/>
    </w:pPr>
    <w:rPr>
      <w:rFonts w:eastAsiaTheme="majorEastAsia" w:cstheme="majorBidi"/>
      <w:i/>
      <w:iCs/>
      <w:color w:val="595959" w:themeColor="text1" w:themeTint="A6"/>
    </w:rPr>
  </w:style>
  <w:style w:type="paragraph" w:styleId="Titre7">
    <w:name w:val="heading 7"/>
    <w:basedOn w:val="Normal"/>
    <w:next w:val="Normal"/>
    <w:link w:val="Titre7Car"/>
    <w:uiPriority w:val="9"/>
    <w:semiHidden/>
    <w:unhideWhenUsed/>
    <w:qFormat/>
    <w:rsid w:val="00CD7491"/>
    <w:pPr>
      <w:keepNext/>
      <w:keepLines/>
      <w:spacing w:before="40"/>
      <w:outlineLvl w:val="6"/>
    </w:pPr>
    <w:rPr>
      <w:rFonts w:eastAsiaTheme="majorEastAsia" w:cstheme="majorBidi"/>
      <w:color w:val="595959" w:themeColor="text1" w:themeTint="A6"/>
    </w:rPr>
  </w:style>
  <w:style w:type="paragraph" w:styleId="Titre8">
    <w:name w:val="heading 8"/>
    <w:basedOn w:val="Normal"/>
    <w:next w:val="Normal"/>
    <w:link w:val="Titre8Car"/>
    <w:uiPriority w:val="9"/>
    <w:semiHidden/>
    <w:unhideWhenUsed/>
    <w:qFormat/>
    <w:rsid w:val="00CD7491"/>
    <w:pPr>
      <w:keepNext/>
      <w:keepLines/>
      <w:outlineLvl w:val="7"/>
    </w:pPr>
    <w:rPr>
      <w:rFonts w:eastAsiaTheme="majorEastAsia" w:cstheme="majorBidi"/>
      <w:i/>
      <w:iCs/>
      <w:color w:val="272727" w:themeColor="text1" w:themeTint="D8"/>
    </w:rPr>
  </w:style>
  <w:style w:type="paragraph" w:styleId="Titre9">
    <w:name w:val="heading 9"/>
    <w:basedOn w:val="Normal"/>
    <w:next w:val="Normal"/>
    <w:link w:val="Titre9Car"/>
    <w:uiPriority w:val="9"/>
    <w:semiHidden/>
    <w:unhideWhenUsed/>
    <w:qFormat/>
    <w:rsid w:val="00CD7491"/>
    <w:pPr>
      <w:keepNext/>
      <w:keepLines/>
      <w:outlineLvl w:val="8"/>
    </w:pPr>
    <w:rPr>
      <w:rFonts w:eastAsiaTheme="majorEastAsia" w:cstheme="majorBidi"/>
      <w:color w:val="272727" w:themeColor="text1" w:themeTint="D8"/>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rsid w:val="00CD7491"/>
    <w:rPr>
      <w:rFonts w:ascii="Arial" w:eastAsiaTheme="majorEastAsia" w:hAnsi="Arial" w:cs="Arial"/>
      <w:color w:val="0F4761" w:themeColor="accent1" w:themeShade="BF"/>
      <w:kern w:val="0"/>
      <w:sz w:val="32"/>
      <w:szCs w:val="32"/>
      <w:lang w:val="en-US" w:eastAsia="en-CA"/>
      <w14:ligatures w14:val="none"/>
    </w:rPr>
  </w:style>
  <w:style w:type="character" w:customStyle="1" w:styleId="Titre2Car">
    <w:name w:val="Titre 2 Car"/>
    <w:basedOn w:val="Policepardfaut"/>
    <w:link w:val="Titre2"/>
    <w:uiPriority w:val="9"/>
    <w:semiHidden/>
    <w:rsid w:val="00CD7491"/>
    <w:rPr>
      <w:rFonts w:asciiTheme="majorHAnsi" w:eastAsiaTheme="majorEastAsia" w:hAnsiTheme="majorHAnsi" w:cstheme="majorBidi"/>
      <w:color w:val="0F4761" w:themeColor="accent1" w:themeShade="BF"/>
      <w:sz w:val="32"/>
      <w:szCs w:val="32"/>
    </w:rPr>
  </w:style>
  <w:style w:type="character" w:customStyle="1" w:styleId="Titre3Car">
    <w:name w:val="Titre 3 Car"/>
    <w:basedOn w:val="Policepardfaut"/>
    <w:link w:val="Titre3"/>
    <w:uiPriority w:val="9"/>
    <w:semiHidden/>
    <w:rsid w:val="00CD7491"/>
    <w:rPr>
      <w:rFonts w:eastAsiaTheme="majorEastAsia" w:cstheme="majorBidi"/>
      <w:color w:val="0F4761" w:themeColor="accent1" w:themeShade="BF"/>
      <w:sz w:val="28"/>
      <w:szCs w:val="28"/>
    </w:rPr>
  </w:style>
  <w:style w:type="character" w:customStyle="1" w:styleId="Titre4Car">
    <w:name w:val="Titre 4 Car"/>
    <w:basedOn w:val="Policepardfaut"/>
    <w:link w:val="Titre4"/>
    <w:rsid w:val="00CD7491"/>
    <w:rPr>
      <w:rFonts w:eastAsiaTheme="majorEastAsia" w:cstheme="majorBidi"/>
      <w:i/>
      <w:iCs/>
      <w:color w:val="0F4761" w:themeColor="accent1" w:themeShade="BF"/>
    </w:rPr>
  </w:style>
  <w:style w:type="character" w:customStyle="1" w:styleId="Titre5Car">
    <w:name w:val="Titre 5 Car"/>
    <w:basedOn w:val="Policepardfaut"/>
    <w:link w:val="Titre5"/>
    <w:uiPriority w:val="9"/>
    <w:semiHidden/>
    <w:rsid w:val="00CD7491"/>
    <w:rPr>
      <w:rFonts w:eastAsiaTheme="majorEastAsia" w:cstheme="majorBidi"/>
      <w:color w:val="0F4761" w:themeColor="accent1" w:themeShade="BF"/>
    </w:rPr>
  </w:style>
  <w:style w:type="character" w:customStyle="1" w:styleId="Titre6Car">
    <w:name w:val="Titre 6 Car"/>
    <w:basedOn w:val="Policepardfaut"/>
    <w:link w:val="Titre6"/>
    <w:uiPriority w:val="9"/>
    <w:semiHidden/>
    <w:rsid w:val="00CD7491"/>
    <w:rPr>
      <w:rFonts w:eastAsiaTheme="majorEastAsia" w:cstheme="majorBidi"/>
      <w:i/>
      <w:iCs/>
      <w:color w:val="595959" w:themeColor="text1" w:themeTint="A6"/>
    </w:rPr>
  </w:style>
  <w:style w:type="character" w:customStyle="1" w:styleId="Titre7Car">
    <w:name w:val="Titre 7 Car"/>
    <w:basedOn w:val="Policepardfaut"/>
    <w:link w:val="Titre7"/>
    <w:uiPriority w:val="9"/>
    <w:semiHidden/>
    <w:rsid w:val="00CD7491"/>
    <w:rPr>
      <w:rFonts w:eastAsiaTheme="majorEastAsia" w:cstheme="majorBidi"/>
      <w:color w:val="595959" w:themeColor="text1" w:themeTint="A6"/>
    </w:rPr>
  </w:style>
  <w:style w:type="character" w:customStyle="1" w:styleId="Titre8Car">
    <w:name w:val="Titre 8 Car"/>
    <w:basedOn w:val="Policepardfaut"/>
    <w:link w:val="Titre8"/>
    <w:uiPriority w:val="9"/>
    <w:semiHidden/>
    <w:rsid w:val="00CD7491"/>
    <w:rPr>
      <w:rFonts w:eastAsiaTheme="majorEastAsia" w:cstheme="majorBidi"/>
      <w:i/>
      <w:iCs/>
      <w:color w:val="272727" w:themeColor="text1" w:themeTint="D8"/>
    </w:rPr>
  </w:style>
  <w:style w:type="character" w:customStyle="1" w:styleId="Titre9Car">
    <w:name w:val="Titre 9 Car"/>
    <w:basedOn w:val="Policepardfaut"/>
    <w:link w:val="Titre9"/>
    <w:uiPriority w:val="9"/>
    <w:semiHidden/>
    <w:rsid w:val="00CD7491"/>
    <w:rPr>
      <w:rFonts w:eastAsiaTheme="majorEastAsia" w:cstheme="majorBidi"/>
      <w:color w:val="272727" w:themeColor="text1" w:themeTint="D8"/>
    </w:rPr>
  </w:style>
  <w:style w:type="paragraph" w:styleId="Titre">
    <w:name w:val="Title"/>
    <w:basedOn w:val="Normal"/>
    <w:next w:val="Normal"/>
    <w:link w:val="TitreCar"/>
    <w:uiPriority w:val="10"/>
    <w:qFormat/>
    <w:rsid w:val="00CD7491"/>
    <w:pPr>
      <w:spacing w:after="80" w:line="240" w:lineRule="auto"/>
    </w:pPr>
    <w:rPr>
      <w:rFonts w:asciiTheme="majorHAnsi" w:eastAsiaTheme="majorEastAsia" w:hAnsiTheme="majorHAnsi" w:cstheme="majorBidi"/>
      <w:spacing w:val="-10"/>
      <w:kern w:val="28"/>
      <w:sz w:val="56"/>
      <w:szCs w:val="56"/>
    </w:rPr>
  </w:style>
  <w:style w:type="character" w:customStyle="1" w:styleId="TitreCar">
    <w:name w:val="Titre Car"/>
    <w:basedOn w:val="Policepardfaut"/>
    <w:link w:val="Titre"/>
    <w:uiPriority w:val="10"/>
    <w:rsid w:val="00CD7491"/>
    <w:rPr>
      <w:rFonts w:asciiTheme="majorHAnsi" w:eastAsiaTheme="majorEastAsia" w:hAnsiTheme="majorHAnsi" w:cstheme="majorBidi"/>
      <w:spacing w:val="-10"/>
      <w:kern w:val="28"/>
      <w:sz w:val="56"/>
      <w:szCs w:val="56"/>
    </w:rPr>
  </w:style>
  <w:style w:type="paragraph" w:styleId="Sous-titre">
    <w:name w:val="Subtitle"/>
    <w:basedOn w:val="Normal"/>
    <w:next w:val="Normal"/>
    <w:link w:val="Sous-titreCar"/>
    <w:uiPriority w:val="11"/>
    <w:qFormat/>
    <w:rsid w:val="00CD7491"/>
    <w:pPr>
      <w:numPr>
        <w:ilvl w:val="1"/>
      </w:numPr>
    </w:pPr>
    <w:rPr>
      <w:rFonts w:eastAsiaTheme="majorEastAsia" w:cstheme="majorBidi"/>
      <w:color w:val="595959" w:themeColor="text1" w:themeTint="A6"/>
      <w:spacing w:val="15"/>
      <w:sz w:val="28"/>
      <w:szCs w:val="28"/>
    </w:rPr>
  </w:style>
  <w:style w:type="character" w:customStyle="1" w:styleId="Sous-titreCar">
    <w:name w:val="Sous-titre Car"/>
    <w:basedOn w:val="Policepardfaut"/>
    <w:link w:val="Sous-titre"/>
    <w:uiPriority w:val="11"/>
    <w:rsid w:val="00CD7491"/>
    <w:rPr>
      <w:rFonts w:eastAsiaTheme="majorEastAsia" w:cstheme="majorBidi"/>
      <w:color w:val="595959" w:themeColor="text1" w:themeTint="A6"/>
      <w:spacing w:val="15"/>
      <w:sz w:val="28"/>
      <w:szCs w:val="28"/>
    </w:rPr>
  </w:style>
  <w:style w:type="paragraph" w:styleId="Citation">
    <w:name w:val="Quote"/>
    <w:basedOn w:val="Normal"/>
    <w:next w:val="Normal"/>
    <w:link w:val="CitationCar"/>
    <w:uiPriority w:val="29"/>
    <w:qFormat/>
    <w:rsid w:val="00CD7491"/>
    <w:pPr>
      <w:spacing w:before="160"/>
      <w:jc w:val="center"/>
    </w:pPr>
    <w:rPr>
      <w:i/>
      <w:iCs/>
      <w:color w:val="404040" w:themeColor="text1" w:themeTint="BF"/>
    </w:rPr>
  </w:style>
  <w:style w:type="character" w:customStyle="1" w:styleId="CitationCar">
    <w:name w:val="Citation Car"/>
    <w:basedOn w:val="Policepardfaut"/>
    <w:link w:val="Citation"/>
    <w:uiPriority w:val="29"/>
    <w:rsid w:val="00CD7491"/>
    <w:rPr>
      <w:i/>
      <w:iCs/>
      <w:color w:val="404040" w:themeColor="text1" w:themeTint="BF"/>
    </w:rPr>
  </w:style>
  <w:style w:type="paragraph" w:styleId="Paragraphedeliste">
    <w:name w:val="List Paragraph"/>
    <w:aliases w:val="Bullet1,Bullet 1,Bullet List,Table Legend,Párrafo de lista,Section 5,Bullet Niv 1,lp1,P1 Pharos,Titre1_Contexte,Bullets Points,Questions,List Paragraph1,Bulleted - 2"/>
    <w:basedOn w:val="Normal"/>
    <w:link w:val="ParagraphedelisteCar"/>
    <w:uiPriority w:val="34"/>
    <w:qFormat/>
    <w:rsid w:val="00CD7491"/>
    <w:pPr>
      <w:ind w:left="720"/>
    </w:pPr>
  </w:style>
  <w:style w:type="character" w:styleId="Accentuationintense">
    <w:name w:val="Intense Emphasis"/>
    <w:basedOn w:val="Policepardfaut"/>
    <w:uiPriority w:val="21"/>
    <w:qFormat/>
    <w:rsid w:val="00CD7491"/>
    <w:rPr>
      <w:i/>
      <w:iCs/>
      <w:color w:val="0F4761" w:themeColor="accent1" w:themeShade="BF"/>
    </w:rPr>
  </w:style>
  <w:style w:type="paragraph" w:styleId="Citationintense">
    <w:name w:val="Intense Quote"/>
    <w:basedOn w:val="Normal"/>
    <w:next w:val="Normal"/>
    <w:link w:val="CitationintenseCar"/>
    <w:uiPriority w:val="30"/>
    <w:qFormat/>
    <w:rsid w:val="00CD749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tionintenseCar">
    <w:name w:val="Citation intense Car"/>
    <w:basedOn w:val="Policepardfaut"/>
    <w:link w:val="Citationintense"/>
    <w:uiPriority w:val="30"/>
    <w:rsid w:val="00CD7491"/>
    <w:rPr>
      <w:i/>
      <w:iCs/>
      <w:color w:val="0F4761" w:themeColor="accent1" w:themeShade="BF"/>
    </w:rPr>
  </w:style>
  <w:style w:type="character" w:styleId="Rfrenceintense">
    <w:name w:val="Intense Reference"/>
    <w:basedOn w:val="Policepardfaut"/>
    <w:uiPriority w:val="32"/>
    <w:qFormat/>
    <w:rsid w:val="00CD7491"/>
    <w:rPr>
      <w:b/>
      <w:bCs/>
      <w:smallCaps/>
      <w:color w:val="0F4761" w:themeColor="accent1" w:themeShade="BF"/>
      <w:spacing w:val="5"/>
    </w:rPr>
  </w:style>
  <w:style w:type="character" w:styleId="Marquedecommentaire">
    <w:name w:val="annotation reference"/>
    <w:basedOn w:val="Policepardfaut"/>
    <w:uiPriority w:val="99"/>
    <w:unhideWhenUsed/>
    <w:rsid w:val="00CD7491"/>
    <w:rPr>
      <w:sz w:val="16"/>
      <w:szCs w:val="16"/>
    </w:rPr>
  </w:style>
  <w:style w:type="paragraph" w:styleId="Commentaire">
    <w:name w:val="annotation text"/>
    <w:basedOn w:val="Normal"/>
    <w:link w:val="CommentaireCar"/>
    <w:uiPriority w:val="99"/>
    <w:unhideWhenUsed/>
    <w:rsid w:val="00CD7491"/>
    <w:pPr>
      <w:spacing w:line="240" w:lineRule="auto"/>
    </w:pPr>
    <w:rPr>
      <w:sz w:val="20"/>
      <w:szCs w:val="20"/>
    </w:rPr>
  </w:style>
  <w:style w:type="character" w:customStyle="1" w:styleId="CommentaireCar">
    <w:name w:val="Commentaire Car"/>
    <w:basedOn w:val="Policepardfaut"/>
    <w:link w:val="Commentaire"/>
    <w:uiPriority w:val="99"/>
    <w:rsid w:val="00CD7491"/>
    <w:rPr>
      <w:rFonts w:ascii="Times New Roman" w:eastAsia="Times New Roman" w:hAnsi="Times New Roman" w:cs="Times New Roman"/>
      <w:color w:val="000000"/>
      <w:kern w:val="0"/>
      <w:sz w:val="20"/>
      <w:szCs w:val="20"/>
      <w:lang w:val="en-US" w:eastAsia="en-CA"/>
      <w14:ligatures w14:val="none"/>
    </w:rPr>
  </w:style>
  <w:style w:type="paragraph" w:styleId="Corpsdetexte">
    <w:name w:val="Body Text"/>
    <w:basedOn w:val="Normal"/>
    <w:link w:val="CorpsdetexteCar"/>
    <w:qFormat/>
    <w:rsid w:val="00CD7491"/>
    <w:pPr>
      <w:spacing w:before="240" w:after="240" w:line="240" w:lineRule="atLeast"/>
    </w:pPr>
    <w:rPr>
      <w:rFonts w:ascii="Arial" w:hAnsi="Arial"/>
      <w:sz w:val="20"/>
      <w:szCs w:val="24"/>
    </w:rPr>
  </w:style>
  <w:style w:type="character" w:customStyle="1" w:styleId="CorpsdetexteCar">
    <w:name w:val="Corps de texte Car"/>
    <w:basedOn w:val="Policepardfaut"/>
    <w:link w:val="Corpsdetexte"/>
    <w:rsid w:val="00CD7491"/>
    <w:rPr>
      <w:rFonts w:ascii="Arial" w:eastAsia="Times New Roman" w:hAnsi="Arial" w:cs="Times New Roman"/>
      <w:color w:val="000000"/>
      <w:kern w:val="0"/>
      <w:sz w:val="20"/>
      <w:szCs w:val="24"/>
      <w:lang w:val="en-US" w:eastAsia="en-CA"/>
      <w14:ligatures w14:val="none"/>
    </w:rPr>
  </w:style>
  <w:style w:type="paragraph" w:styleId="Lgende">
    <w:name w:val="caption"/>
    <w:aliases w:val="Caption Char Char Char,Caption Char Char,Char1,Caption 3,TableCaption,Caption-FUSA,]•/,c,Caption Char1,Caption Char1 Char Char,Char Char Char Char Char,Caption Char Char1,Table Caption,Caption Char1 Char Char Char Char,- H17,Not B...., Char1"/>
    <w:next w:val="Corpsdetexte"/>
    <w:link w:val="LgendeCar"/>
    <w:qFormat/>
    <w:rsid w:val="00CD7491"/>
    <w:pPr>
      <w:spacing w:before="120" w:after="120" w:line="240" w:lineRule="auto"/>
      <w:jc w:val="both"/>
      <w:outlineLvl w:val="8"/>
    </w:pPr>
    <w:rPr>
      <w:rFonts w:ascii="Times New Roman" w:eastAsia="Times New Roman" w:hAnsi="Times New Roman" w:cs="Arial"/>
      <w:bCs/>
      <w:i/>
      <w:color w:val="000000"/>
      <w:kern w:val="0"/>
      <w:szCs w:val="20"/>
      <w:lang w:val="en-US" w:eastAsia="fr-FR"/>
      <w14:ligatures w14:val="none"/>
    </w:rPr>
  </w:style>
  <w:style w:type="character" w:customStyle="1" w:styleId="LgendeCar">
    <w:name w:val="Légende Car"/>
    <w:aliases w:val="Caption Char Char Char Car,Caption Char Char Car,Char1 Car,Caption 3 Car,TableCaption Car,Caption-FUSA Car,]•/ Car,c Car,Caption Char1 Car,Caption Char1 Char Char Car,Char Char Char Char Char Car,Caption Char Char1 Car,Table Caption Car"/>
    <w:basedOn w:val="Policepardfaut"/>
    <w:link w:val="Lgende"/>
    <w:rsid w:val="00CD7491"/>
    <w:rPr>
      <w:rFonts w:ascii="Times New Roman" w:eastAsia="Times New Roman" w:hAnsi="Times New Roman" w:cs="Arial"/>
      <w:bCs/>
      <w:i/>
      <w:color w:val="000000"/>
      <w:kern w:val="0"/>
      <w:szCs w:val="20"/>
      <w:lang w:val="en-US" w:eastAsia="fr-FR"/>
      <w14:ligatures w14:val="none"/>
    </w:rPr>
  </w:style>
  <w:style w:type="character" w:customStyle="1" w:styleId="ParagraphedelisteCar">
    <w:name w:val="Paragraphe de liste Car"/>
    <w:aliases w:val="Bullet1 Car,Bullet 1 Car,Bullet List Car,Table Legend Car,Párrafo de lista Car,Section 5 Car,Bullet Niv 1 Car,lp1 Car,P1 Pharos Car,Titre1_Contexte Car,Bullets Points Car,Questions Car,List Paragraph1 Car,Bulleted - 2 Car"/>
    <w:link w:val="Paragraphedeliste"/>
    <w:uiPriority w:val="34"/>
    <w:qFormat/>
    <w:rsid w:val="00CD7491"/>
  </w:style>
  <w:style w:type="paragraph" w:customStyle="1" w:styleId="Body">
    <w:name w:val="Body"/>
    <w:link w:val="BodyCar"/>
    <w:qFormat/>
    <w:rsid w:val="00CD7491"/>
    <w:pPr>
      <w:spacing w:after="0" w:line="240" w:lineRule="auto"/>
      <w:jc w:val="both"/>
    </w:pPr>
    <w:rPr>
      <w:rFonts w:ascii="Times New Roman" w:eastAsia="Times New Roman" w:hAnsi="Times New Roman" w:cs="Times New Roman"/>
      <w:kern w:val="0"/>
      <w:sz w:val="24"/>
      <w:szCs w:val="24"/>
      <w:lang w:val="en-GB" w:eastAsia="fr-FR"/>
      <w14:ligatures w14:val="none"/>
    </w:rPr>
  </w:style>
  <w:style w:type="character" w:customStyle="1" w:styleId="BodyCar">
    <w:name w:val="Body Car"/>
    <w:basedOn w:val="Policepardfaut"/>
    <w:link w:val="Body"/>
    <w:rsid w:val="00CD7491"/>
    <w:rPr>
      <w:rFonts w:ascii="Times New Roman" w:eastAsia="Times New Roman" w:hAnsi="Times New Roman" w:cs="Times New Roman"/>
      <w:kern w:val="0"/>
      <w:sz w:val="24"/>
      <w:szCs w:val="24"/>
      <w:lang w:val="en-GB" w:eastAsia="fr-FR"/>
      <w14:ligatures w14:val="none"/>
    </w:rPr>
  </w:style>
  <w:style w:type="paragraph" w:styleId="Bibliographie">
    <w:name w:val="Bibliography"/>
    <w:basedOn w:val="Normal"/>
    <w:next w:val="Normal"/>
    <w:uiPriority w:val="37"/>
    <w:unhideWhenUsed/>
    <w:rsid w:val="00CD7491"/>
    <w:pPr>
      <w:tabs>
        <w:tab w:val="left" w:pos="384"/>
      </w:tabs>
      <w:spacing w:after="240" w:line="240" w:lineRule="auto"/>
      <w:ind w:left="384" w:hanging="384"/>
    </w:pPr>
  </w:style>
  <w:style w:type="paragraph" w:styleId="En-ttedetabledesmatires">
    <w:name w:val="TOC Heading"/>
    <w:basedOn w:val="Titre1"/>
    <w:next w:val="Normal"/>
    <w:uiPriority w:val="39"/>
    <w:unhideWhenUsed/>
    <w:qFormat/>
    <w:rsid w:val="00CD7491"/>
    <w:pPr>
      <w:numPr>
        <w:numId w:val="0"/>
      </w:numPr>
      <w:spacing w:before="240" w:after="0" w:line="259" w:lineRule="auto"/>
      <w:contextualSpacing w:val="0"/>
      <w:jc w:val="left"/>
      <w:outlineLvl w:val="9"/>
    </w:pPr>
    <w:rPr>
      <w:rFonts w:asciiTheme="majorHAnsi" w:hAnsiTheme="majorHAnsi" w:cstheme="majorBidi"/>
      <w:lang w:val="fr-FR" w:eastAsia="fr-FR"/>
    </w:rPr>
  </w:style>
  <w:style w:type="paragraph" w:styleId="TM1">
    <w:name w:val="toc 1"/>
    <w:basedOn w:val="Normal"/>
    <w:next w:val="Normal"/>
    <w:autoRedefine/>
    <w:uiPriority w:val="39"/>
    <w:unhideWhenUsed/>
    <w:rsid w:val="00CD7491"/>
    <w:pPr>
      <w:spacing w:after="100"/>
    </w:pPr>
  </w:style>
  <w:style w:type="character" w:styleId="Lienhypertexte">
    <w:name w:val="Hyperlink"/>
    <w:basedOn w:val="Policepardfaut"/>
    <w:uiPriority w:val="99"/>
    <w:unhideWhenUsed/>
    <w:rsid w:val="00CD7491"/>
    <w:rPr>
      <w:color w:val="467886" w:themeColor="hyperlink"/>
      <w:u w:val="single"/>
    </w:rPr>
  </w:style>
  <w:style w:type="paragraph" w:styleId="En-tte">
    <w:name w:val="header"/>
    <w:basedOn w:val="Normal"/>
    <w:link w:val="En-tteCar"/>
    <w:uiPriority w:val="99"/>
    <w:unhideWhenUsed/>
    <w:rsid w:val="00C97D7F"/>
    <w:pPr>
      <w:tabs>
        <w:tab w:val="center" w:pos="4536"/>
        <w:tab w:val="right" w:pos="9072"/>
      </w:tabs>
      <w:spacing w:line="240" w:lineRule="auto"/>
    </w:pPr>
  </w:style>
  <w:style w:type="character" w:customStyle="1" w:styleId="En-tteCar">
    <w:name w:val="En-tête Car"/>
    <w:basedOn w:val="Policepardfaut"/>
    <w:link w:val="En-tte"/>
    <w:uiPriority w:val="99"/>
    <w:rsid w:val="00C97D7F"/>
    <w:rPr>
      <w:rFonts w:ascii="Times New Roman" w:eastAsia="Times New Roman" w:hAnsi="Times New Roman" w:cs="Times New Roman"/>
      <w:color w:val="000000"/>
      <w:kern w:val="0"/>
      <w:lang w:val="en-US" w:eastAsia="en-CA"/>
      <w14:ligatures w14:val="none"/>
    </w:rPr>
  </w:style>
  <w:style w:type="paragraph" w:styleId="Pieddepage">
    <w:name w:val="footer"/>
    <w:basedOn w:val="Normal"/>
    <w:link w:val="PieddepageCar"/>
    <w:uiPriority w:val="99"/>
    <w:unhideWhenUsed/>
    <w:rsid w:val="00C97D7F"/>
    <w:pPr>
      <w:tabs>
        <w:tab w:val="center" w:pos="4536"/>
        <w:tab w:val="right" w:pos="9072"/>
      </w:tabs>
      <w:spacing w:line="240" w:lineRule="auto"/>
    </w:pPr>
  </w:style>
  <w:style w:type="character" w:customStyle="1" w:styleId="PieddepageCar">
    <w:name w:val="Pied de page Car"/>
    <w:basedOn w:val="Policepardfaut"/>
    <w:link w:val="Pieddepage"/>
    <w:uiPriority w:val="99"/>
    <w:rsid w:val="00C97D7F"/>
    <w:rPr>
      <w:rFonts w:ascii="Times New Roman" w:eastAsia="Times New Roman" w:hAnsi="Times New Roman" w:cs="Times New Roman"/>
      <w:color w:val="000000"/>
      <w:kern w:val="0"/>
      <w:lang w:val="en-US" w:eastAsia="en-CA"/>
      <w14:ligatures w14:val="none"/>
    </w:rPr>
  </w:style>
  <w:style w:type="paragraph" w:styleId="Rvision">
    <w:name w:val="Revision"/>
    <w:hidden/>
    <w:uiPriority w:val="99"/>
    <w:semiHidden/>
    <w:rsid w:val="00A71F2A"/>
    <w:pPr>
      <w:spacing w:after="0" w:line="240" w:lineRule="auto"/>
    </w:pPr>
    <w:rPr>
      <w:rFonts w:ascii="Times New Roman" w:eastAsia="Times New Roman" w:hAnsi="Times New Roman" w:cs="Times New Roman"/>
      <w:color w:val="000000"/>
      <w:kern w:val="0"/>
      <w:lang w:val="en-US" w:eastAsia="en-CA"/>
      <w14:ligatures w14:val="none"/>
    </w:rPr>
  </w:style>
  <w:style w:type="character" w:styleId="Lienhypertextesuivivisit">
    <w:name w:val="FollowedHyperlink"/>
    <w:basedOn w:val="Policepardfaut"/>
    <w:uiPriority w:val="99"/>
    <w:semiHidden/>
    <w:unhideWhenUsed/>
    <w:rsid w:val="00257680"/>
    <w:rPr>
      <w:color w:val="96607D" w:themeColor="followedHyperlink"/>
      <w:u w:val="single"/>
    </w:rPr>
  </w:style>
  <w:style w:type="paragraph" w:styleId="Objetducommentaire">
    <w:name w:val="annotation subject"/>
    <w:basedOn w:val="Commentaire"/>
    <w:next w:val="Commentaire"/>
    <w:link w:val="ObjetducommentaireCar"/>
    <w:uiPriority w:val="99"/>
    <w:semiHidden/>
    <w:unhideWhenUsed/>
    <w:rsid w:val="00CE471B"/>
    <w:rPr>
      <w:b/>
      <w:bCs/>
    </w:rPr>
  </w:style>
  <w:style w:type="character" w:customStyle="1" w:styleId="ObjetducommentaireCar">
    <w:name w:val="Objet du commentaire Car"/>
    <w:basedOn w:val="CommentaireCar"/>
    <w:link w:val="Objetducommentaire"/>
    <w:uiPriority w:val="99"/>
    <w:semiHidden/>
    <w:rsid w:val="00CE471B"/>
    <w:rPr>
      <w:rFonts w:ascii="Times New Roman" w:eastAsia="Times New Roman" w:hAnsi="Times New Roman" w:cs="Times New Roman"/>
      <w:b/>
      <w:bCs/>
      <w:color w:val="000000"/>
      <w:kern w:val="0"/>
      <w:sz w:val="20"/>
      <w:szCs w:val="20"/>
      <w:lang w:val="en-US" w:eastAsia="en-CA"/>
      <w14:ligatures w14:val="none"/>
    </w:rPr>
  </w:style>
  <w:style w:type="character" w:styleId="Mentionnonrsolue">
    <w:name w:val="Unresolved Mention"/>
    <w:basedOn w:val="Policepardfaut"/>
    <w:uiPriority w:val="99"/>
    <w:semiHidden/>
    <w:unhideWhenUsed/>
    <w:rsid w:val="00F62672"/>
    <w:rPr>
      <w:color w:val="605E5C"/>
      <w:shd w:val="clear" w:color="auto" w:fill="E1DFDD"/>
    </w:rPr>
  </w:style>
  <w:style w:type="character" w:styleId="Textedelespacerserv">
    <w:name w:val="Placeholder Text"/>
    <w:basedOn w:val="Policepardfaut"/>
    <w:uiPriority w:val="99"/>
    <w:semiHidden/>
    <w:rsid w:val="003B5D14"/>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2916307">
      <w:bodyDiv w:val="1"/>
      <w:marLeft w:val="0"/>
      <w:marRight w:val="0"/>
      <w:marTop w:val="0"/>
      <w:marBottom w:val="0"/>
      <w:divBdr>
        <w:top w:val="none" w:sz="0" w:space="0" w:color="auto"/>
        <w:left w:val="none" w:sz="0" w:space="0" w:color="auto"/>
        <w:bottom w:val="none" w:sz="0" w:space="0" w:color="auto"/>
        <w:right w:val="none" w:sz="0" w:space="0" w:color="auto"/>
      </w:divBdr>
    </w:div>
    <w:div w:id="21226479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image" Target="media/image2.png"/><Relationship Id="rId26" Type="http://schemas.openxmlformats.org/officeDocument/2006/relationships/fontTable" Target="fontTable.xml"/><Relationship Id="rId3" Type="http://schemas.openxmlformats.org/officeDocument/2006/relationships/customXml" Target="../customXml/item3.xml"/><Relationship Id="rId21" Type="http://schemas.openxmlformats.org/officeDocument/2006/relationships/image" Target="media/image5.png"/><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image" Target="media/image1.png"/><Relationship Id="rId25" Type="http://schemas.openxmlformats.org/officeDocument/2006/relationships/image" Target="media/image9.png"/><Relationship Id="rId2" Type="http://schemas.openxmlformats.org/officeDocument/2006/relationships/customXml" Target="../customXml/item2.xml"/><Relationship Id="rId16" Type="http://schemas.openxmlformats.org/officeDocument/2006/relationships/footer" Target="footer3.xml"/><Relationship Id="rId20" Type="http://schemas.openxmlformats.org/officeDocument/2006/relationships/image" Target="media/image4.png"/><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24" Type="http://schemas.openxmlformats.org/officeDocument/2006/relationships/image" Target="media/image8.png"/><Relationship Id="rId5" Type="http://schemas.openxmlformats.org/officeDocument/2006/relationships/numbering" Target="numbering.xml"/><Relationship Id="rId15" Type="http://schemas.openxmlformats.org/officeDocument/2006/relationships/header" Target="header3.xml"/><Relationship Id="rId23" Type="http://schemas.openxmlformats.org/officeDocument/2006/relationships/image" Target="media/image7.png"/><Relationship Id="rId10" Type="http://schemas.openxmlformats.org/officeDocument/2006/relationships/endnotes" Target="endnotes.xml"/><Relationship Id="rId19" Type="http://schemas.openxmlformats.org/officeDocument/2006/relationships/image" Target="media/image3.pn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image" Target="media/image6.png"/><Relationship Id="rId27" Type="http://schemas.openxmlformats.org/officeDocument/2006/relationships/theme" Target="theme/theme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7CA657A8766985489E9296294B507598" ma:contentTypeVersion="17" ma:contentTypeDescription="Crée un document." ma:contentTypeScope="" ma:versionID="59719bfd208f5470d98ef7eaa57831d2">
  <xsd:schema xmlns:xsd="http://www.w3.org/2001/XMLSchema" xmlns:xs="http://www.w3.org/2001/XMLSchema" xmlns:p="http://schemas.microsoft.com/office/2006/metadata/properties" xmlns:ns2="099be882-7c91-401b-8a75-e1beb29fe232" xmlns:ns3="bd288384-ec20-4a60-8280-1807579d3848" xmlns:ns4="6e50707d-6b43-4d8a-959d-131e5aba889e" targetNamespace="http://schemas.microsoft.com/office/2006/metadata/properties" ma:root="true" ma:fieldsID="b13975d8f2d539a31f009c1b85ad8120" ns2:_="" ns3:_="" ns4:_="">
    <xsd:import namespace="099be882-7c91-401b-8a75-e1beb29fe232"/>
    <xsd:import namespace="bd288384-ec20-4a60-8280-1807579d3848"/>
    <xsd:import namespace="6e50707d-6b43-4d8a-959d-131e5aba889e"/>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lcf76f155ced4ddcb4097134ff3c332f" minOccurs="0"/>
                <xsd:element ref="ns4:TaxCatchAll" minOccurs="0"/>
                <xsd:element ref="ns2:MediaLengthInSecond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99be882-7c91-401b-8a75-e1beb29fe23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lcf76f155ced4ddcb4097134ff3c332f" ma:index="20" nillable="true" ma:taxonomy="true" ma:internalName="lcf76f155ced4ddcb4097134ff3c332f" ma:taxonomyFieldName="MediaServiceImageTags" ma:displayName="Balises d’images" ma:readOnly="false" ma:fieldId="{5cf76f15-5ced-4ddc-b409-7134ff3c332f}" ma:taxonomyMulti="true" ma:sspId="55bef5ef-99c5-4022-ba33-c687131503e8" ma:termSetId="09814cd3-568e-fe90-9814-8d621ff8fb84" ma:anchorId="fba54fb3-c3e1-fe81-a776-ca4b69148c4d" ma:open="true" ma:isKeyword="false">
      <xsd:complexType>
        <xsd:sequence>
          <xsd:element ref="pc:Terms" minOccurs="0" maxOccurs="1"/>
        </xsd:sequence>
      </xsd:complexType>
    </xsd:element>
    <xsd:element name="MediaLengthInSeconds" ma:index="22" nillable="true" ma:displayName="MediaLengthInSeconds" ma:hidden="true" ma:internalName="MediaLengthInSeconds" ma:readOnly="true">
      <xsd:simpleType>
        <xsd:restriction base="dms:Unknown"/>
      </xsd:simple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bd288384-ec20-4a60-8280-1807579d3848" elementFormDefault="qualified">
    <xsd:import namespace="http://schemas.microsoft.com/office/2006/documentManagement/types"/>
    <xsd:import namespace="http://schemas.microsoft.com/office/infopath/2007/PartnerControls"/>
    <xsd:element name="SharedWithUsers" ma:index="12" nillable="true" ma:displayName="Partagé avec"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Partagé avec dé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6e50707d-6b43-4d8a-959d-131e5aba889e" elementFormDefault="qualified">
    <xsd:import namespace="http://schemas.microsoft.com/office/2006/documentManagement/types"/>
    <xsd:import namespace="http://schemas.microsoft.com/office/infopath/2007/PartnerControls"/>
    <xsd:element name="TaxCatchAll" ma:index="21" nillable="true" ma:displayName="Taxonomy Catch All Column" ma:hidden="true" ma:list="{5f126c1b-71ed-4caf-a8ad-0fcda16634ed}" ma:internalName="TaxCatchAll" ma:showField="CatchAllData" ma:web="6e50707d-6b43-4d8a-959d-131e5aba889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6e50707d-6b43-4d8a-959d-131e5aba889e" xsi:nil="true"/>
    <lcf76f155ced4ddcb4097134ff3c332f xmlns="099be882-7c91-401b-8a75-e1beb29fe232">
      <Terms xmlns="http://schemas.microsoft.com/office/infopath/2007/PartnerControls"/>
    </lcf76f155ced4ddcb4097134ff3c332f>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3B5C3A95-14E9-4E2E-ABB6-D11633D28FEC}">
  <ds:schemaRefs>
    <ds:schemaRef ds:uri="http://schemas.openxmlformats.org/officeDocument/2006/bibliography"/>
  </ds:schemaRefs>
</ds:datastoreItem>
</file>

<file path=customXml/itemProps2.xml><?xml version="1.0" encoding="utf-8"?>
<ds:datastoreItem xmlns:ds="http://schemas.openxmlformats.org/officeDocument/2006/customXml" ds:itemID="{43708CB2-9B4E-4B96-8DE7-1A02B6164D2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99be882-7c91-401b-8a75-e1beb29fe232"/>
    <ds:schemaRef ds:uri="bd288384-ec20-4a60-8280-1807579d3848"/>
    <ds:schemaRef ds:uri="6e50707d-6b43-4d8a-959d-131e5aba889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5EFC620F-4735-441E-9643-21C6D28DFD50}">
  <ds:schemaRefs>
    <ds:schemaRef ds:uri="http://schemas.microsoft.com/office/2006/metadata/properties"/>
    <ds:schemaRef ds:uri="http://schemas.microsoft.com/office/infopath/2007/PartnerControls"/>
    <ds:schemaRef ds:uri="6e50707d-6b43-4d8a-959d-131e5aba889e"/>
    <ds:schemaRef ds:uri="099be882-7c91-401b-8a75-e1beb29fe232"/>
  </ds:schemaRefs>
</ds:datastoreItem>
</file>

<file path=customXml/itemProps4.xml><?xml version="1.0" encoding="utf-8"?>
<ds:datastoreItem xmlns:ds="http://schemas.openxmlformats.org/officeDocument/2006/customXml" ds:itemID="{F7DE2A10-6D35-495F-BBE4-7A1CEB174D8A}">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20</Pages>
  <Words>15216</Words>
  <Characters>83690</Characters>
  <Application>Microsoft Office Word</Application>
  <DocSecurity>0</DocSecurity>
  <Lines>697</Lines>
  <Paragraphs>197</Paragraphs>
  <ScaleCrop>false</ScaleCrop>
  <Company/>
  <LinksUpToDate>false</LinksUpToDate>
  <CharactersWithSpaces>98709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Louise BASCHET</dc:creator>
  <cp:keywords/>
  <dc:description/>
  <cp:lastModifiedBy>Louise BASCHET</cp:lastModifiedBy>
  <cp:revision>3</cp:revision>
  <cp:lastPrinted>2024-10-30T23:06:00Z</cp:lastPrinted>
  <dcterms:created xsi:type="dcterms:W3CDTF">2025-02-02T10:43:00Z</dcterms:created>
  <dcterms:modified xsi:type="dcterms:W3CDTF">2025-02-02T10:43:00Z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ZOTERO_PREF_1">
    <vt:lpwstr>&lt;data data-version="3" zotero-version="6.0.36"&gt;&lt;session id="mcnjQVTc"/&gt;&lt;style id="http://www.zotero.org/styles/vancouver" locale="en-GB" hasBibliography="1" bibliographyStyleHasBeenSet="1"/&gt;&lt;prefs&gt;&lt;pref name="fieldType" value="Field"/&gt;&lt;pref name="automati</vt:lpwstr>
  </property>
  <property fmtid="{D5CDD505-2E9C-101B-9397-08002B2CF9AE}" pid="3" name="ZOTERO_PREF_2">
    <vt:lpwstr>cJournalAbbreviations" value="true"/&gt;&lt;pref name="dontAskDelayCitationUpdates" value="true"/&gt;&lt;/prefs&gt;&lt;/data&gt;</vt:lpwstr>
  </property>
  <property fmtid="{D5CDD505-2E9C-101B-9397-08002B2CF9AE}" pid="4" name="ContentTypeId">
    <vt:lpwstr>0x0101007CA657A8766985489E9296294B507598</vt:lpwstr>
  </property>
  <property fmtid="{D5CDD505-2E9C-101B-9397-08002B2CF9AE}" pid="5" name="MediaServiceImageTags">
    <vt:lpwstr/>
  </property>
</Properties>
</file>